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900" w:lineRule="exact"/>
        <w:ind w:left="484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7"/>
          <w:sz w:val="20"/>
          <w:szCs w:val="20"/>
        </w:rPr>
        <w:drawing>
          <wp:inline distT="0" distB="0" distL="0" distR="0">
            <wp:extent cx="1410335" cy="5715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10335" cy="571500"/>
                    </a:xfrm>
                    <a:prstGeom prst="rect">
                      <a:avLst/>
                    </a:prstGeom>
                  </pic:spPr>
                </pic:pic>
              </a:graphicData>
            </a:graphic>
          </wp:inline>
        </w:drawing>
      </w:r>
      <w:r>
        <w:rPr>
          <w:rFonts w:ascii="Times New Roman" w:hAnsi="Times New Roman" w:cs="Times New Roman" w:eastAsia="Times New Roman" w:hint="default"/>
          <w:position w:val="-17"/>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3403" w:right="3403" w:firstLine="0"/>
        <w:jc w:val="center"/>
        <w:rPr>
          <w:rFonts w:ascii="宋体" w:hAnsi="宋体" w:cs="宋体" w:eastAsia="宋体" w:hint="default"/>
          <w:sz w:val="36"/>
          <w:szCs w:val="36"/>
        </w:rPr>
      </w:pPr>
      <w:r>
        <w:rPr>
          <w:rFonts w:ascii="宋体" w:hAnsi="宋体" w:cs="宋体" w:eastAsia="宋体" w:hint="default"/>
          <w:b/>
          <w:bCs/>
          <w:sz w:val="36"/>
          <w:szCs w:val="36"/>
        </w:rPr>
        <w:t>上海中信信息发展股份有限公司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3402" w:right="340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3403" w:right="340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3785" w:right="0"/>
        <w:jc w:val="left"/>
        <w:rPr>
          <w:b w:val="0"/>
          <w:bCs w:val="0"/>
        </w:rPr>
      </w:pPr>
      <w:bookmarkStart w:name="_TOC_250010"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1"/>
        <w:ind w:right="1141" w:firstLine="562"/>
        <w:jc w:val="both"/>
        <w:rPr>
          <w:b w:val="0"/>
          <w:bCs w:val="0"/>
        </w:rPr>
      </w:pPr>
      <w:r>
        <w:rPr>
          <w:spacing w:val="3"/>
          <w:w w:val="95"/>
        </w:rPr>
        <w:t>本公司董事会、监事会及董事、监事、高级管理人员保证年度报告内容的</w:t>
      </w:r>
      <w:r>
        <w:rPr>
          <w:w w:val="99"/>
        </w:rPr>
        <w:t> </w:t>
      </w:r>
      <w:r>
        <w:rPr>
          <w:spacing w:val="3"/>
          <w:w w:val="95"/>
        </w:rPr>
        <w:t>真实、准确、完整，不存在虚假记载、误导性陈述或重大遗漏，并承担个别和</w:t>
      </w:r>
      <w:r>
        <w:rPr>
          <w:spacing w:val="23"/>
          <w:w w:val="95"/>
        </w:rPr>
        <w:t> </w:t>
      </w:r>
      <w:r>
        <w:rPr>
          <w:spacing w:val="23"/>
          <w:w w:val="95"/>
        </w:rPr>
      </w:r>
      <w:r>
        <w:rPr/>
        <w:t>连带的法律责任。</w:t>
      </w:r>
      <w:r>
        <w:rPr>
          <w:b w:val="0"/>
          <w:bCs w:val="0"/>
        </w:rPr>
      </w:r>
    </w:p>
    <w:p>
      <w:pPr>
        <w:pStyle w:val="Heading2"/>
        <w:spacing w:line="386" w:lineRule="auto" w:before="161"/>
        <w:ind w:right="0" w:firstLine="562"/>
        <w:jc w:val="left"/>
        <w:rPr>
          <w:b w:val="0"/>
          <w:bCs w:val="0"/>
        </w:rPr>
      </w:pPr>
      <w:r>
        <w:rPr>
          <w:w w:val="95"/>
        </w:rPr>
        <w:t>公司负责人张曙华、主管会计工作负责人张颖及会计机构负责人</w:t>
      </w:r>
      <w:r>
        <w:rPr>
          <w:rFonts w:ascii="Times New Roman" w:hAnsi="Times New Roman" w:cs="Times New Roman" w:eastAsia="Times New Roman" w:hint="default"/>
          <w:w w:val="95"/>
        </w:rPr>
        <w:t>(</w:t>
      </w:r>
      <w:r>
        <w:rPr>
          <w:w w:val="95"/>
        </w:rPr>
        <w:t>会计主管</w:t>
      </w:r>
      <w:r>
        <w:rPr>
          <w:spacing w:val="1"/>
          <w:w w:val="99"/>
        </w:rPr>
        <w:t> </w:t>
      </w:r>
      <w:r>
        <w:rPr/>
        <w:t>人员</w:t>
      </w:r>
      <w:r>
        <w:rPr>
          <w:rFonts w:ascii="Times New Roman" w:hAnsi="Times New Roman" w:cs="Times New Roman" w:eastAsia="Times New Roman" w:hint="default"/>
        </w:rPr>
        <w:t>)</w:t>
      </w:r>
      <w:r>
        <w:rPr/>
        <w:t>汤泓涛声明：保证年度报告中财务报告的真实、准确、完整。</w:t>
      </w:r>
      <w:r>
        <w:rPr>
          <w:b w:val="0"/>
          <w:bCs w:val="0"/>
        </w:rPr>
      </w:r>
    </w:p>
    <w:p>
      <w:pPr>
        <w:pStyle w:val="Heading2"/>
        <w:spacing w:line="472" w:lineRule="auto" w:before="147"/>
        <w:ind w:left="1695" w:right="0"/>
        <w:jc w:val="left"/>
        <w:rPr>
          <w:b w:val="0"/>
          <w:bCs w:val="0"/>
        </w:rPr>
      </w:pPr>
      <w:r>
        <w:rPr/>
        <w:t>所有董事均已出席了审议本报告的董事会会议。</w:t>
      </w:r>
      <w:r>
        <w:rPr>
          <w:w w:val="99"/>
        </w:rPr>
        <w:t> </w:t>
      </w:r>
      <w:r>
        <w:rPr>
          <w:spacing w:val="3"/>
          <w:w w:val="95"/>
        </w:rPr>
        <w:t>本报告中如有涉及未来的计划、业绩预测等方面的内容，均不构成本公司</w:t>
      </w:r>
      <w:r>
        <w:rPr>
          <w:b w:val="0"/>
          <w:bCs w:val="0"/>
          <w:spacing w:val="3"/>
        </w:rPr>
      </w:r>
    </w:p>
    <w:p>
      <w:pPr>
        <w:pStyle w:val="Heading2"/>
        <w:spacing w:line="410" w:lineRule="auto"/>
        <w:ind w:right="0"/>
        <w:jc w:val="left"/>
        <w:rPr>
          <w:b w:val="0"/>
          <w:bCs w:val="0"/>
        </w:rPr>
      </w:pPr>
      <w:r>
        <w:rPr>
          <w:spacing w:val="3"/>
          <w:w w:val="95"/>
        </w:rPr>
        <w:t>对任何投资者及相关人士的承诺，投资者及相关人士均应对此保持足够的风险</w:t>
      </w:r>
      <w:r>
        <w:rPr>
          <w:spacing w:val="23"/>
          <w:w w:val="95"/>
        </w:rPr>
        <w:t> </w:t>
      </w:r>
      <w:r>
        <w:rPr>
          <w:spacing w:val="23"/>
          <w:w w:val="95"/>
        </w:rPr>
      </w:r>
      <w:r>
        <w:rPr/>
        <w:t>认识，并且应当理解计划、预测与承诺之间的差异。</w:t>
      </w:r>
      <w:r>
        <w:rPr>
          <w:b w:val="0"/>
          <w:bCs w:val="0"/>
        </w:rPr>
      </w:r>
    </w:p>
    <w:p>
      <w:pPr>
        <w:pStyle w:val="Heading2"/>
        <w:spacing w:line="240" w:lineRule="auto" w:before="159"/>
        <w:ind w:left="1683" w:right="0"/>
        <w:jc w:val="left"/>
        <w:rPr>
          <w:b w:val="0"/>
          <w:bCs w:val="0"/>
        </w:rPr>
      </w:pPr>
      <w:r>
        <w:rPr/>
        <w:t>本公司请投资者认真阅读本年度报告全文，并特别注意下列风险因素：</w:t>
      </w:r>
      <w:r>
        <w:rPr>
          <w:b w:val="0"/>
          <w:bCs w:val="0"/>
        </w:rPr>
      </w:r>
    </w:p>
    <w:p>
      <w:pPr>
        <w:spacing w:line="240" w:lineRule="auto" w:before="4"/>
        <w:rPr>
          <w:rFonts w:ascii="宋体" w:hAnsi="宋体" w:cs="宋体" w:eastAsia="宋体" w:hint="default"/>
          <w:b/>
          <w:bCs/>
          <w:sz w:val="27"/>
          <w:szCs w:val="27"/>
        </w:rPr>
      </w:pPr>
    </w:p>
    <w:p>
      <w:pPr>
        <w:pStyle w:val="Heading2"/>
        <w:spacing w:line="240" w:lineRule="auto"/>
        <w:ind w:left="1683" w:right="0"/>
        <w:jc w:val="left"/>
        <w:rPr>
          <w:b w:val="0"/>
          <w:bCs w:val="0"/>
        </w:rPr>
      </w:pPr>
      <w:r>
        <w:rPr/>
        <w:t>（一）行业政策变动风险</w:t>
      </w:r>
      <w:r>
        <w:rPr>
          <w:b w:val="0"/>
          <w:bCs w:val="0"/>
        </w:rPr>
      </w:r>
    </w:p>
    <w:p>
      <w:pPr>
        <w:spacing w:line="240" w:lineRule="auto" w:before="3"/>
        <w:rPr>
          <w:rFonts w:ascii="宋体" w:hAnsi="宋体" w:cs="宋体" w:eastAsia="宋体" w:hint="default"/>
          <w:b/>
          <w:bCs/>
          <w:sz w:val="27"/>
          <w:szCs w:val="27"/>
        </w:rPr>
      </w:pPr>
    </w:p>
    <w:p>
      <w:pPr>
        <w:pStyle w:val="Heading2"/>
        <w:spacing w:line="405" w:lineRule="auto"/>
        <w:ind w:right="0" w:firstLine="551"/>
        <w:jc w:val="left"/>
        <w:rPr>
          <w:b w:val="0"/>
          <w:bCs w:val="0"/>
        </w:rPr>
      </w:pPr>
      <w:r>
        <w:rPr/>
        <w:t>新修订的《中华人民共和国食品安全法》已于</w:t>
      </w:r>
      <w:r>
        <w:rPr>
          <w:spacing w:val="-7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2"/>
        </w:rPr>
        <w:t> </w:t>
      </w:r>
      <w:r>
        <w:rPr/>
        <w:t>年</w:t>
      </w:r>
      <w:r>
        <w:rPr>
          <w:spacing w:val="-82"/>
        </w:rPr>
        <w:t>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月</w:t>
      </w:r>
      <w:r>
        <w:rPr>
          <w:spacing w:val="-84"/>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日开始实施，</w:t>
      </w:r>
      <w:r>
        <w:rPr>
          <w:w w:val="99"/>
        </w:rPr>
        <w:t> </w:t>
      </w:r>
      <w:r>
        <w:rPr>
          <w:spacing w:val="3"/>
        </w:rPr>
        <w:t>该法设立了最严格的食品安全全过程监管法律制度。其中第四十二条指出：国</w:t>
      </w:r>
      <w:r>
        <w:rPr>
          <w:w w:val="99"/>
        </w:rPr>
        <w:t> </w:t>
      </w:r>
      <w:r>
        <w:rPr>
          <w:spacing w:val="3"/>
        </w:rPr>
        <w:t>家建立食品安全全过程追溯制度，并规定食品生产经营者应当建立食品安全追</w:t>
      </w:r>
      <w:r>
        <w:rPr>
          <w:w w:val="99"/>
        </w:rPr>
        <w:t> </w:t>
      </w:r>
      <w:r>
        <w:rPr>
          <w:spacing w:val="3"/>
        </w:rPr>
        <w:t>溯体系，保证食品可追溯。国家鼓励食品生产经营企业采用信息化手段采集、</w:t>
      </w:r>
      <w:r>
        <w:rPr>
          <w:w w:val="99"/>
        </w:rPr>
        <w:t> </w:t>
      </w:r>
      <w:r>
        <w:rPr>
          <w:spacing w:val="3"/>
        </w:rPr>
        <w:t>留存生产经营信息，建立食品安全追溯体系。国务院食品药品监督管理部门会</w:t>
      </w:r>
      <w:r>
        <w:rPr>
          <w:w w:val="99"/>
        </w:rPr>
        <w:t> </w:t>
      </w:r>
      <w:r>
        <w:rPr/>
        <w:t>同国务院农业行政等有关部门建立食品和食用农产品全程追溯协作机制。</w:t>
      </w:r>
      <w:r>
        <w:rPr>
          <w:b w:val="0"/>
          <w:bCs w:val="0"/>
        </w:rPr>
      </w:r>
    </w:p>
    <w:p>
      <w:pPr>
        <w:pStyle w:val="Heading2"/>
        <w:spacing w:line="240" w:lineRule="auto" w:before="164"/>
        <w:ind w:left="1685" w:right="0"/>
        <w:jc w:val="left"/>
        <w:rPr>
          <w:rFonts w:ascii="Times New Roman" w:hAnsi="Times New Roman" w:cs="Times New Roman" w:eastAsia="Times New Roman" w:hint="default"/>
          <w:b w:val="0"/>
          <w:bCs w:val="0"/>
        </w:rPr>
      </w:pPr>
      <w:r>
        <w:rPr/>
        <w:t>上海市颁布了《上海市食品安全信息追溯管理办法》并于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10 </w:t>
      </w:r>
      <w:r>
        <w:rPr/>
        <w:t>月</w:t>
      </w:r>
      <w:r>
        <w:rPr>
          <w:spacing w:val="-67"/>
        </w:rPr>
        <w:t> </w:t>
      </w:r>
      <w:r>
        <w:rPr>
          <w:rFonts w:ascii="Times New Roman" w:hAnsi="Times New Roman" w:cs="Times New Roman" w:eastAsia="Times New Roman" w:hint="default"/>
        </w:rPr>
        <w:t>1</w:t>
      </w:r>
      <w:r>
        <w:rPr>
          <w:rFonts w:ascii="Times New Roman" w:hAnsi="Times New Roman" w:cs="Times New Roman" w:eastAsia="Times New Roman" w:hint="default"/>
          <w:b w:val="0"/>
          <w:bCs w:val="0"/>
        </w:rPr>
      </w:r>
    </w:p>
    <w:p>
      <w:pPr>
        <w:pStyle w:val="Heading2"/>
        <w:spacing w:line="240" w:lineRule="auto" w:before="236"/>
        <w:ind w:right="0"/>
        <w:jc w:val="left"/>
        <w:rPr>
          <w:b w:val="0"/>
          <w:bCs w:val="0"/>
        </w:rPr>
      </w:pPr>
      <w:r>
        <w:rPr>
          <w:spacing w:val="3"/>
        </w:rPr>
        <w:t>日起正式实施。该办法对上海市人民政府、市食药监、市农业行政主管部门、</w:t>
      </w:r>
      <w:r>
        <w:rPr>
          <w:b w:val="0"/>
          <w:bCs w:val="0"/>
          <w:spacing w:val="3"/>
        </w:rPr>
      </w:r>
    </w:p>
    <w:p>
      <w:pPr>
        <w:spacing w:after="0" w:line="240" w:lineRule="auto"/>
        <w:jc w:val="left"/>
        <w:sectPr>
          <w:footerReference w:type="default" r:id="rId8"/>
          <w:pgSz w:w="11910" w:h="16840"/>
          <w:pgMar w:footer="979" w:header="747" w:top="1060" w:bottom="1160" w:left="0" w:right="0"/>
          <w:pgNumType w:start="2"/>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9"/>
          <w:szCs w:val="29"/>
        </w:rPr>
      </w:pPr>
    </w:p>
    <w:p>
      <w:pPr>
        <w:pStyle w:val="Heading2"/>
        <w:spacing w:line="408" w:lineRule="auto" w:before="13"/>
        <w:ind w:right="1141"/>
        <w:jc w:val="both"/>
        <w:rPr>
          <w:b w:val="0"/>
          <w:bCs w:val="0"/>
        </w:rPr>
      </w:pPr>
      <w:r>
        <w:rPr>
          <w:spacing w:val="3"/>
          <w:w w:val="95"/>
        </w:rPr>
        <w:t>市商务主管部门的职责进行了明确分工和协调。明确规定十大类追溯类别与品</w:t>
      </w:r>
      <w:r>
        <w:rPr>
          <w:spacing w:val="23"/>
          <w:w w:val="95"/>
        </w:rPr>
        <w:t> </w:t>
      </w:r>
      <w:r>
        <w:rPr>
          <w:spacing w:val="23"/>
          <w:w w:val="95"/>
        </w:rPr>
      </w:r>
      <w:r>
        <w:rPr>
          <w:spacing w:val="3"/>
          <w:w w:val="95"/>
        </w:rPr>
        <w:t>种，包括了粮食、畜产品、禽及其产品、蔬菜、水果等，对本市行政区域内生</w:t>
      </w:r>
      <w:r>
        <w:rPr>
          <w:spacing w:val="23"/>
          <w:w w:val="95"/>
        </w:rPr>
        <w:t> </w:t>
      </w:r>
      <w:r>
        <w:rPr>
          <w:spacing w:val="23"/>
          <w:w w:val="95"/>
        </w:rPr>
      </w:r>
      <w:r>
        <w:rPr>
          <w:spacing w:val="-6"/>
          <w:w w:val="99"/>
        </w:rPr>
        <w:t>产（含种植、养殖、加工）、流通（含销售、贮存和运输）以及餐饮服务环节实</w:t>
      </w:r>
      <w:r>
        <w:rPr>
          <w:spacing w:val="-112"/>
          <w:w w:val="99"/>
        </w:rPr>
        <w:t> </w:t>
      </w:r>
      <w:r>
        <w:rPr>
          <w:spacing w:val="-112"/>
          <w:w w:val="99"/>
        </w:rPr>
      </w:r>
      <w:r>
        <w:rPr>
          <w:spacing w:val="3"/>
          <w:w w:val="95"/>
        </w:rPr>
        <w:t>施信息追溯管理。明确规定食品和食用农产品生产经营者具有上传追溯食品信</w:t>
      </w:r>
      <w:r>
        <w:rPr>
          <w:spacing w:val="23"/>
          <w:w w:val="95"/>
        </w:rPr>
        <w:t> </w:t>
      </w:r>
      <w:r>
        <w:rPr>
          <w:spacing w:val="23"/>
          <w:w w:val="95"/>
        </w:rPr>
      </w:r>
      <w:r>
        <w:rPr>
          <w:spacing w:val="3"/>
          <w:w w:val="95"/>
        </w:rPr>
        <w:t>息和建立电子档案的义务，食品和食用农产品生产、流通以及餐饮服务等行业</w:t>
      </w:r>
      <w:r>
        <w:rPr>
          <w:spacing w:val="23"/>
          <w:w w:val="95"/>
        </w:rPr>
        <w:t> </w:t>
      </w:r>
      <w:r>
        <w:rPr>
          <w:spacing w:val="23"/>
          <w:w w:val="95"/>
        </w:rPr>
      </w:r>
      <w:r>
        <w:rPr/>
        <w:t>协会应当加强行业自律，推动行业信息追溯系统和信用系统建设的义务。</w:t>
      </w:r>
      <w:r>
        <w:rPr>
          <w:b w:val="0"/>
          <w:bCs w:val="0"/>
        </w:rPr>
      </w:r>
    </w:p>
    <w:p>
      <w:pPr>
        <w:pStyle w:val="Heading2"/>
        <w:spacing w:line="408" w:lineRule="auto" w:before="160"/>
        <w:ind w:right="1139" w:firstLine="551"/>
        <w:jc w:val="both"/>
        <w:rPr>
          <w:b w:val="0"/>
          <w:bCs w:val="0"/>
        </w:rPr>
      </w:pPr>
      <w:r>
        <w:rPr>
          <w:spacing w:val="3"/>
          <w:w w:val="95"/>
        </w:rPr>
        <w:t>这些新的法律法规的实施为我国开展食品安全追溯工作提供了法律保障，</w:t>
      </w:r>
      <w:r>
        <w:rPr>
          <w:w w:val="99"/>
        </w:rPr>
        <w:t> </w:t>
      </w:r>
      <w:r>
        <w:rPr>
          <w:spacing w:val="3"/>
          <w:w w:val="95"/>
        </w:rPr>
        <w:t>创造了有利条件，也为公司食品追溯业务发展创造了更大的空间。尽管如此，</w:t>
      </w:r>
      <w:r>
        <w:rPr>
          <w:spacing w:val="23"/>
          <w:w w:val="95"/>
        </w:rPr>
        <w:t> </w:t>
      </w:r>
      <w:r>
        <w:rPr>
          <w:spacing w:val="23"/>
          <w:w w:val="95"/>
        </w:rPr>
      </w:r>
      <w:r>
        <w:rPr>
          <w:spacing w:val="3"/>
          <w:w w:val="95"/>
        </w:rPr>
        <w:t>若公司不能正确把握因国家最新政策变化导致的客户的需求动态，将可能使公</w:t>
      </w:r>
      <w:r>
        <w:rPr>
          <w:spacing w:val="28"/>
          <w:w w:val="95"/>
        </w:rPr>
        <w:t> </w:t>
      </w:r>
      <w:r>
        <w:rPr>
          <w:spacing w:val="28"/>
          <w:w w:val="95"/>
        </w:rPr>
      </w:r>
      <w:r>
        <w:rPr>
          <w:spacing w:val="3"/>
          <w:w w:val="95"/>
        </w:rPr>
        <w:t>司在激烈的市场竞争环境中处于被动地位，从而影响公司的经营业绩和长远发  </w:t>
      </w:r>
      <w:r>
        <w:rPr>
          <w:spacing w:val="23"/>
          <w:w w:val="95"/>
        </w:rPr>
        <w:t> </w:t>
      </w:r>
      <w:r>
        <w:rPr>
          <w:spacing w:val="23"/>
          <w:w w:val="95"/>
        </w:rPr>
      </w:r>
      <w:r>
        <w:rPr/>
        <w:t>展。</w:t>
      </w:r>
      <w:r>
        <w:rPr>
          <w:b w:val="0"/>
          <w:bCs w:val="0"/>
        </w:rPr>
      </w:r>
    </w:p>
    <w:p>
      <w:pPr>
        <w:pStyle w:val="Heading2"/>
        <w:spacing w:line="446" w:lineRule="auto" w:before="162"/>
        <w:ind w:left="1685" w:right="0"/>
        <w:jc w:val="left"/>
        <w:rPr>
          <w:b w:val="0"/>
          <w:bCs w:val="0"/>
        </w:rPr>
      </w:pPr>
      <w:r>
        <w:rPr>
          <w:rFonts w:ascii="Times New Roman" w:hAnsi="Times New Roman" w:cs="Times New Roman" w:eastAsia="Times New Roman" w:hint="default"/>
        </w:rPr>
        <w:t>(</w:t>
      </w:r>
      <w:r>
        <w:rPr/>
        <w:t>二）销售季节性波动风险</w:t>
      </w:r>
      <w:r>
        <w:rPr>
          <w:w w:val="99"/>
        </w:rPr>
        <w:t> </w:t>
      </w:r>
      <w:r>
        <w:rPr>
          <w:spacing w:val="3"/>
          <w:w w:val="95"/>
        </w:rPr>
        <w:t>公司的客户主要为食品流通追溯领域相关的机关企事业单位，国内档案局</w:t>
      </w:r>
      <w:r>
        <w:rPr>
          <w:b w:val="0"/>
          <w:bCs w:val="0"/>
          <w:spacing w:val="3"/>
        </w:rPr>
      </w:r>
    </w:p>
    <w:p>
      <w:pPr>
        <w:pStyle w:val="Heading2"/>
        <w:spacing w:line="400" w:lineRule="auto" w:before="16"/>
        <w:ind w:right="1128"/>
        <w:jc w:val="both"/>
        <w:rPr>
          <w:b w:val="0"/>
          <w:bCs w:val="0"/>
        </w:rPr>
      </w:pPr>
      <w:r>
        <w:rPr>
          <w:spacing w:val="-6"/>
          <w:w w:val="99"/>
        </w:rPr>
        <w:t>（馆），监狱、检察院、法院等政府部门，其他企事业单位，对信息产品和服务</w:t>
      </w:r>
      <w:r>
        <w:rPr>
          <w:spacing w:val="-111"/>
          <w:w w:val="99"/>
        </w:rPr>
        <w:t> </w:t>
      </w:r>
      <w:r>
        <w:rPr>
          <w:spacing w:val="-111"/>
          <w:w w:val="99"/>
        </w:rPr>
      </w:r>
      <w:r>
        <w:rPr>
          <w:spacing w:val="3"/>
          <w:w w:val="95"/>
        </w:rPr>
        <w:t>的购买遵守较为严格的预算管理和采购制度，通常在下半年制定次年年度预算</w:t>
      </w:r>
      <w:r>
        <w:rPr>
          <w:spacing w:val="23"/>
          <w:w w:val="95"/>
        </w:rPr>
        <w:t> </w:t>
      </w:r>
      <w:r>
        <w:rPr>
          <w:spacing w:val="23"/>
          <w:w w:val="95"/>
        </w:rPr>
      </w:r>
      <w:r>
        <w:rPr>
          <w:spacing w:val="3"/>
          <w:w w:val="95"/>
        </w:rPr>
        <w:t>计划，预算审批通常集中在次年第一季度，采购招标多安排在次年第二、三、</w:t>
      </w:r>
      <w:r>
        <w:rPr>
          <w:spacing w:val="23"/>
          <w:w w:val="95"/>
        </w:rPr>
        <w:t> </w:t>
      </w:r>
      <w:r>
        <w:rPr>
          <w:spacing w:val="23"/>
          <w:w w:val="95"/>
        </w:rPr>
      </w:r>
      <w:r>
        <w:rPr>
          <w:spacing w:val="3"/>
          <w:w w:val="95"/>
        </w:rPr>
        <w:t>四季度，第四季度（尤其是年末）通常是验收和支付的高峰期。同时，公司的</w:t>
      </w:r>
      <w:r>
        <w:rPr>
          <w:spacing w:val="23"/>
          <w:w w:val="95"/>
        </w:rPr>
        <w:t> </w:t>
      </w:r>
      <w:r>
        <w:rPr>
          <w:spacing w:val="23"/>
          <w:w w:val="95"/>
        </w:rPr>
      </w:r>
      <w:r>
        <w:rPr/>
        <w:t>会计核算以项目验收为确认收入的时点。公司 </w:t>
      </w:r>
      <w:r>
        <w:rPr>
          <w:rFonts w:ascii="Times New Roman" w:hAnsi="Times New Roman" w:cs="Times New Roman" w:eastAsia="Times New Roman" w:hint="default"/>
        </w:rPr>
        <w:t>2013 </w:t>
      </w:r>
      <w:r>
        <w:rPr/>
        <w:t>年度、</w:t>
      </w:r>
      <w:r>
        <w:rPr>
          <w:rFonts w:ascii="Times New Roman" w:hAnsi="Times New Roman" w:cs="Times New Roman" w:eastAsia="Times New Roman" w:hint="default"/>
        </w:rPr>
        <w:t>2014 </w:t>
      </w:r>
      <w:r>
        <w:rPr/>
        <w:t>年度、</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w w:val="99"/>
        </w:rPr>
        <w:t> </w:t>
      </w:r>
      <w:r>
        <w:rPr/>
        <w:t>度第四季度收入占比分别为</w:t>
      </w:r>
      <w:r>
        <w:rPr>
          <w:spacing w:val="9"/>
        </w:rPr>
        <w:t> </w:t>
      </w:r>
      <w:r>
        <w:rPr>
          <w:rFonts w:ascii="Times New Roman" w:hAnsi="Times New Roman" w:cs="Times New Roman" w:eastAsia="Times New Roman" w:hint="default"/>
        </w:rPr>
        <w:t>55.50%</w:t>
      </w:r>
      <w:r>
        <w:rPr/>
        <w:t>、</w:t>
      </w:r>
      <w:r>
        <w:rPr>
          <w:rFonts w:ascii="Times New Roman" w:hAnsi="Times New Roman" w:cs="Times New Roman" w:eastAsia="Times New Roman" w:hint="default"/>
        </w:rPr>
        <w:t>50.80%</w:t>
      </w:r>
      <w:r>
        <w:rPr/>
        <w:t>、</w:t>
      </w:r>
      <w:r>
        <w:rPr>
          <w:rFonts w:ascii="Times New Roman" w:hAnsi="Times New Roman" w:cs="Times New Roman" w:eastAsia="Times New Roman" w:hint="default"/>
        </w:rPr>
        <w:t>49.33%</w:t>
      </w:r>
      <w:r>
        <w:rPr/>
        <w:t>，由此可见公司第四季</w:t>
      </w:r>
      <w:r>
        <w:rPr>
          <w:spacing w:val="2"/>
          <w:w w:val="99"/>
        </w:rPr>
        <w:t> </w:t>
      </w:r>
      <w:r>
        <w:rPr/>
        <w:t>度收入相对比较集中，占比较大，业绩存在季节性波动。</w:t>
      </w:r>
      <w:r>
        <w:rPr>
          <w:b w:val="0"/>
          <w:bCs w:val="0"/>
        </w:rPr>
      </w:r>
    </w:p>
    <w:p>
      <w:pPr>
        <w:pStyle w:val="Heading2"/>
        <w:spacing w:line="240" w:lineRule="auto" w:before="170"/>
        <w:ind w:left="1685" w:right="0"/>
        <w:jc w:val="left"/>
        <w:rPr>
          <w:b w:val="0"/>
          <w:bCs w:val="0"/>
        </w:rPr>
      </w:pPr>
      <w:r>
        <w:rPr/>
        <w:t>（三）人力成本不断上升的风险</w:t>
      </w:r>
      <w:r>
        <w:rPr>
          <w:b w:val="0"/>
          <w:bCs w:val="0"/>
        </w:rPr>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pStyle w:val="Heading2"/>
        <w:spacing w:line="408" w:lineRule="auto" w:before="13"/>
        <w:ind w:right="0" w:firstLine="551"/>
        <w:jc w:val="left"/>
        <w:rPr>
          <w:b w:val="0"/>
          <w:bCs w:val="0"/>
        </w:rPr>
      </w:pPr>
      <w:r>
        <w:rPr>
          <w:spacing w:val="3"/>
        </w:rPr>
        <w:t>人力成本是软件企业的重要经营成本。一方面，公司为了提高核心竞争力</w:t>
      </w:r>
      <w:r>
        <w:rPr>
          <w:w w:val="99"/>
        </w:rPr>
        <w:t> </w:t>
      </w:r>
      <w:r>
        <w:rPr>
          <w:spacing w:val="3"/>
        </w:rPr>
        <w:t>及提升自主创新能力，持续加大新技术、新产品的研发投入，加大高端复合性</w:t>
      </w:r>
      <w:r>
        <w:rPr>
          <w:w w:val="99"/>
        </w:rPr>
        <w:t> </w:t>
      </w:r>
      <w:r>
        <w:rPr>
          <w:spacing w:val="3"/>
        </w:rPr>
        <w:t>人才的引进，故而导致人力成本增加。另一方面，虽然公司一直致力于不断提</w:t>
      </w:r>
      <w:r>
        <w:rPr>
          <w:w w:val="99"/>
        </w:rPr>
        <w:t> </w:t>
      </w:r>
      <w:r>
        <w:rPr>
          <w:spacing w:val="-1"/>
          <w:w w:val="95"/>
        </w:rPr>
        <w:t>高产品复用率、改进软件开发项目的管理流程，提高开发效率，降低开发成本，</w:t>
      </w:r>
      <w:r>
        <w:rPr>
          <w:spacing w:val="37"/>
          <w:w w:val="95"/>
        </w:rPr>
        <w:t> </w:t>
      </w:r>
      <w:r>
        <w:rPr>
          <w:spacing w:val="37"/>
          <w:w w:val="95"/>
        </w:rPr>
      </w:r>
      <w:r>
        <w:rPr>
          <w:spacing w:val="3"/>
        </w:rPr>
        <w:t>并通过技术升级提升产品和服务的附加值，但是随着经济的发展、城市生活成</w:t>
      </w:r>
      <w:r>
        <w:rPr>
          <w:w w:val="99"/>
        </w:rPr>
        <w:t> </w:t>
      </w:r>
      <w:r>
        <w:rPr>
          <w:spacing w:val="3"/>
        </w:rPr>
        <w:t>本的上升、互联网新兴行业对专业人才的争夺日趋激烈，人力成本上升的趋势</w:t>
      </w:r>
      <w:r>
        <w:rPr>
          <w:w w:val="99"/>
        </w:rPr>
        <w:t> </w:t>
      </w:r>
      <w:r>
        <w:rPr/>
        <w:t>不可避免。</w:t>
      </w:r>
      <w:r>
        <w:rPr>
          <w:b w:val="0"/>
          <w:bCs w:val="0"/>
        </w:rPr>
      </w:r>
    </w:p>
    <w:p>
      <w:pPr>
        <w:pStyle w:val="Heading2"/>
        <w:spacing w:line="408" w:lineRule="auto" w:before="160"/>
        <w:ind w:right="0" w:firstLine="412"/>
        <w:jc w:val="left"/>
        <w:rPr>
          <w:b w:val="0"/>
          <w:bCs w:val="0"/>
        </w:rPr>
      </w:pPr>
      <w:r>
        <w:rPr/>
        <w:t>（四）公司规模迅速扩张引起的管理风险</w:t>
      </w:r>
      <w:r>
        <w:rPr>
          <w:w w:val="99"/>
        </w:rPr>
        <w:t> </w:t>
      </w:r>
      <w:r>
        <w:rPr/>
        <w:t>随着公司进入快速成长期，伴随着自身业务的成长，公司的资产、业务、机构</w:t>
      </w:r>
      <w:r>
        <w:rPr>
          <w:w w:val="99"/>
        </w:rPr>
        <w:t> </w:t>
      </w:r>
      <w:r>
        <w:rPr/>
        <w:t>和人员规模等将进一步扩张，公司的组织结构和管理体系日益复杂，公司将在</w:t>
      </w:r>
      <w:r>
        <w:rPr>
          <w:w w:val="99"/>
        </w:rPr>
        <w:t> </w:t>
      </w:r>
      <w:r>
        <w:rPr>
          <w:spacing w:val="-2"/>
          <w:w w:val="95"/>
        </w:rPr>
        <w:t>制度建设、组织设置、运营管理、资金管理和内部控制等方面面临更大的挑战，</w:t>
      </w:r>
      <w:r>
        <w:rPr>
          <w:spacing w:val="63"/>
          <w:w w:val="95"/>
        </w:rPr>
        <w:t> </w:t>
      </w:r>
      <w:r>
        <w:rPr>
          <w:spacing w:val="63"/>
          <w:w w:val="95"/>
        </w:rPr>
      </w:r>
      <w:r>
        <w:rPr/>
        <w:t>这些都对公司的管理层提出了更高的要求。为此公司设立了业务管控中心，为</w:t>
      </w:r>
      <w:r>
        <w:rPr>
          <w:w w:val="99"/>
        </w:rPr>
        <w:t> </w:t>
      </w:r>
      <w:r>
        <w:rPr/>
        <w:t>公司三大行业主营业务向纵深发展创造了有利条件，也为公司的快速发展奠定</w:t>
      </w:r>
      <w:r>
        <w:rPr>
          <w:w w:val="99"/>
        </w:rPr>
        <w:t> </w:t>
      </w:r>
      <w:r>
        <w:rPr/>
        <w:t>了良好的基础。</w:t>
      </w:r>
      <w:r>
        <w:rPr>
          <w:b w:val="0"/>
          <w:bCs w:val="0"/>
        </w:rPr>
      </w:r>
    </w:p>
    <w:p>
      <w:pPr>
        <w:pStyle w:val="Heading2"/>
        <w:spacing w:line="408" w:lineRule="auto" w:before="161"/>
        <w:ind w:right="1134" w:firstLine="551"/>
        <w:jc w:val="both"/>
        <w:rPr>
          <w:b w:val="0"/>
          <w:bCs w:val="0"/>
        </w:rPr>
      </w:pPr>
      <w:r>
        <w:rPr>
          <w:spacing w:val="3"/>
          <w:w w:val="95"/>
        </w:rPr>
        <w:t>虽然公司已形成一支稳定、进取、涵盖多方面人才的核心管理团队，基本</w:t>
      </w:r>
      <w:r>
        <w:rPr>
          <w:w w:val="99"/>
        </w:rPr>
        <w:t> </w:t>
      </w:r>
      <w:r>
        <w:rPr>
          <w:spacing w:val="3"/>
          <w:w w:val="95"/>
        </w:rPr>
        <w:t>建立了完善的法人治理结构，同时在过去的经营实践中公司的管理层在管理快</w:t>
      </w:r>
      <w:r>
        <w:rPr>
          <w:spacing w:val="23"/>
          <w:w w:val="95"/>
        </w:rPr>
        <w:t> </w:t>
      </w:r>
      <w:r>
        <w:rPr>
          <w:spacing w:val="23"/>
          <w:w w:val="95"/>
        </w:rPr>
      </w:r>
      <w:r>
        <w:rPr>
          <w:spacing w:val="3"/>
          <w:w w:val="95"/>
        </w:rPr>
        <w:t>速成长的企业方面已经积累了一定的经验，并根据实际经营需要不断优化组织</w:t>
      </w:r>
      <w:r>
        <w:rPr>
          <w:spacing w:val="23"/>
          <w:w w:val="95"/>
        </w:rPr>
        <w:t> </w:t>
      </w:r>
      <w:r>
        <w:rPr>
          <w:spacing w:val="23"/>
          <w:w w:val="95"/>
        </w:rPr>
      </w:r>
      <w:r>
        <w:rPr>
          <w:spacing w:val="3"/>
          <w:w w:val="95"/>
        </w:rPr>
        <w:t>架构以提高企业运营效率，但公司仍可能存在未能及时调整原有运营管理体系</w:t>
      </w:r>
      <w:r>
        <w:rPr>
          <w:spacing w:val="32"/>
          <w:w w:val="95"/>
        </w:rPr>
        <w:t> </w:t>
      </w:r>
      <w:r>
        <w:rPr>
          <w:spacing w:val="32"/>
          <w:w w:val="95"/>
        </w:rPr>
      </w:r>
      <w:r>
        <w:rPr>
          <w:spacing w:val="3"/>
          <w:w w:val="95"/>
        </w:rPr>
        <w:t>和模式，未能迅速建立起适应资本市场要求和公司业务发展需要的运作机制并</w:t>
      </w:r>
      <w:r>
        <w:rPr>
          <w:spacing w:val="23"/>
          <w:w w:val="95"/>
        </w:rPr>
        <w:t> </w:t>
      </w:r>
      <w:r>
        <w:rPr>
          <w:spacing w:val="23"/>
          <w:w w:val="95"/>
        </w:rPr>
      </w:r>
      <w:r>
        <w:rPr/>
        <w:t>有效运行，从而影响公司经营业绩的风险。</w:t>
      </w:r>
      <w:r>
        <w:rPr>
          <w:b w:val="0"/>
          <w:bCs w:val="0"/>
        </w:rPr>
      </w:r>
    </w:p>
    <w:p>
      <w:pPr>
        <w:pStyle w:val="Heading2"/>
        <w:spacing w:line="240" w:lineRule="auto" w:before="161"/>
        <w:ind w:left="1685" w:right="0"/>
        <w:jc w:val="left"/>
        <w:rPr>
          <w:b w:val="0"/>
          <w:bCs w:val="0"/>
        </w:rPr>
      </w:pPr>
      <w:r>
        <w:rPr/>
        <w:t>（五）技术创新的风险</w:t>
      </w:r>
      <w:r>
        <w:rPr>
          <w:b w:val="0"/>
          <w:bCs w:val="0"/>
        </w:rPr>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pStyle w:val="Heading2"/>
        <w:spacing w:line="408" w:lineRule="auto" w:before="13"/>
        <w:ind w:right="1143" w:firstLine="551"/>
        <w:jc w:val="both"/>
        <w:rPr>
          <w:b w:val="0"/>
          <w:bCs w:val="0"/>
        </w:rPr>
      </w:pPr>
      <w:r>
        <w:rPr>
          <w:spacing w:val="3"/>
          <w:w w:val="95"/>
        </w:rPr>
        <w:t>信息技术发展日新月异，伴随云计算、大数据、互联网＋等创新技术的发</w:t>
      </w:r>
      <w:r>
        <w:rPr>
          <w:w w:val="99"/>
        </w:rPr>
        <w:t> </w:t>
      </w:r>
      <w:r>
        <w:rPr>
          <w:spacing w:val="3"/>
          <w:w w:val="95"/>
        </w:rPr>
        <w:t>展，公司所从事的食品流通追溯、档案、政法等领域的信息化面临前所未有的</w:t>
      </w:r>
      <w:r>
        <w:rPr>
          <w:spacing w:val="23"/>
          <w:w w:val="95"/>
        </w:rPr>
        <w:t> </w:t>
      </w:r>
      <w:r>
        <w:rPr>
          <w:spacing w:val="23"/>
          <w:w w:val="95"/>
        </w:rPr>
      </w:r>
      <w:r>
        <w:rPr>
          <w:spacing w:val="3"/>
          <w:w w:val="95"/>
        </w:rPr>
        <w:t>发展机遇，如公司能够正确判断并把握市场机会，全面了解业内技术发展的最</w:t>
      </w:r>
      <w:r>
        <w:rPr>
          <w:spacing w:val="23"/>
          <w:w w:val="95"/>
        </w:rPr>
        <w:t> </w:t>
      </w:r>
      <w:r>
        <w:rPr>
          <w:spacing w:val="23"/>
          <w:w w:val="95"/>
        </w:rPr>
      </w:r>
      <w:r>
        <w:rPr>
          <w:spacing w:val="3"/>
          <w:w w:val="95"/>
        </w:rPr>
        <w:t>新趋势，准确无误进行新产品和技术的创新，则能更好地满足客户不断升级的</w:t>
      </w:r>
      <w:r>
        <w:rPr>
          <w:spacing w:val="23"/>
          <w:w w:val="95"/>
        </w:rPr>
        <w:t> </w:t>
      </w:r>
      <w:r>
        <w:rPr>
          <w:spacing w:val="23"/>
          <w:w w:val="95"/>
        </w:rPr>
      </w:r>
      <w:r>
        <w:rPr/>
        <w:t>需求，实现飞跃式发展。</w:t>
      </w:r>
      <w:r>
        <w:rPr>
          <w:b w:val="0"/>
          <w:bCs w:val="0"/>
        </w:rPr>
      </w:r>
    </w:p>
    <w:p>
      <w:pPr>
        <w:pStyle w:val="Heading2"/>
        <w:spacing w:line="408" w:lineRule="auto" w:before="160"/>
        <w:ind w:right="1134" w:firstLine="551"/>
        <w:jc w:val="both"/>
        <w:rPr>
          <w:b w:val="0"/>
          <w:bCs w:val="0"/>
        </w:rPr>
      </w:pPr>
      <w:r>
        <w:rPr>
          <w:spacing w:val="3"/>
          <w:w w:val="95"/>
        </w:rPr>
        <w:t>但是，由于信息化技术发展日新月异，产品更新换代迅速，用户对产品的</w:t>
      </w:r>
      <w:r>
        <w:rPr>
          <w:w w:val="99"/>
        </w:rPr>
        <w:t> </w:t>
      </w:r>
      <w:r>
        <w:rPr>
          <w:spacing w:val="3"/>
          <w:w w:val="95"/>
        </w:rPr>
        <w:t>技术要求也不断提高。若公司对技术、产品和市场的发展趋势不能正确判断和</w:t>
      </w:r>
      <w:r>
        <w:rPr>
          <w:spacing w:val="23"/>
          <w:w w:val="95"/>
        </w:rPr>
        <w:t> </w:t>
      </w:r>
      <w:r>
        <w:rPr>
          <w:spacing w:val="23"/>
          <w:w w:val="95"/>
        </w:rPr>
      </w:r>
      <w:r>
        <w:rPr>
          <w:spacing w:val="3"/>
          <w:w w:val="95"/>
        </w:rPr>
        <w:t>预测，对行业关键技术发展方向的选择出现偏差，对客户的需求动态不能及时</w:t>
      </w:r>
      <w:r>
        <w:rPr>
          <w:spacing w:val="23"/>
          <w:w w:val="95"/>
        </w:rPr>
        <w:t> </w:t>
      </w:r>
      <w:r>
        <w:rPr>
          <w:spacing w:val="23"/>
          <w:w w:val="95"/>
        </w:rPr>
      </w:r>
      <w:r>
        <w:rPr>
          <w:spacing w:val="3"/>
          <w:w w:val="95"/>
        </w:rPr>
        <w:t>掌握，不能及时调整技术路线和产品定位，或是新技术、新产品不能迅速推广</w:t>
      </w:r>
      <w:r>
        <w:rPr>
          <w:spacing w:val="23"/>
          <w:w w:val="95"/>
        </w:rPr>
        <w:t> </w:t>
      </w:r>
      <w:r>
        <w:rPr>
          <w:spacing w:val="23"/>
          <w:w w:val="95"/>
        </w:rPr>
      </w:r>
      <w:r>
        <w:rPr>
          <w:spacing w:val="3"/>
          <w:w w:val="95"/>
        </w:rPr>
        <w:t>应用，可能使公司丧失技术和市场的领先地位，从而对公司的经营业绩带来负</w:t>
      </w:r>
      <w:r>
        <w:rPr>
          <w:spacing w:val="23"/>
          <w:w w:val="95"/>
        </w:rPr>
        <w:t> </w:t>
      </w:r>
      <w:r>
        <w:rPr>
          <w:spacing w:val="23"/>
          <w:w w:val="95"/>
        </w:rPr>
      </w:r>
      <w:r>
        <w:rPr/>
        <w:t>面影响。</w:t>
      </w:r>
      <w:r>
        <w:rPr>
          <w:b w:val="0"/>
          <w:bCs w:val="0"/>
        </w:rPr>
      </w:r>
    </w:p>
    <w:p>
      <w:pPr>
        <w:pStyle w:val="Heading2"/>
        <w:spacing w:line="240" w:lineRule="auto" w:before="162"/>
        <w:ind w:left="1685" w:right="0"/>
        <w:jc w:val="left"/>
        <w:rPr>
          <w:b w:val="0"/>
          <w:bCs w:val="0"/>
        </w:rPr>
      </w:pPr>
      <w:r>
        <w:rPr/>
        <w:t>（六）应收账款无法收回的风险</w:t>
      </w:r>
      <w:r>
        <w:rPr>
          <w:b w:val="0"/>
          <w:bCs w:val="0"/>
        </w:rPr>
      </w:r>
    </w:p>
    <w:p>
      <w:pPr>
        <w:spacing w:line="240" w:lineRule="auto" w:before="3"/>
        <w:rPr>
          <w:rFonts w:ascii="宋体" w:hAnsi="宋体" w:cs="宋体" w:eastAsia="宋体" w:hint="default"/>
          <w:b/>
          <w:bCs/>
          <w:sz w:val="27"/>
          <w:szCs w:val="27"/>
        </w:rPr>
      </w:pPr>
    </w:p>
    <w:p>
      <w:pPr>
        <w:pStyle w:val="Heading2"/>
        <w:spacing w:line="400" w:lineRule="auto"/>
        <w:ind w:right="1133" w:firstLine="551"/>
        <w:jc w:val="both"/>
        <w:rPr>
          <w:b w:val="0"/>
          <w:bCs w:val="0"/>
        </w:rPr>
      </w:pP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62"/>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日，公司应收账款净额为</w:t>
      </w:r>
      <w:r>
        <w:rPr>
          <w:spacing w:val="-59"/>
        </w:rPr>
        <w:t> </w:t>
      </w:r>
      <w:r>
        <w:rPr>
          <w:rFonts w:ascii="Times New Roman" w:hAnsi="Times New Roman" w:cs="Times New Roman" w:eastAsia="Times New Roman" w:hint="default"/>
        </w:rPr>
        <w:t>188,996,520.00</w:t>
      </w:r>
      <w:r>
        <w:rPr>
          <w:rFonts w:ascii="Times New Roman" w:hAnsi="Times New Roman" w:cs="Times New Roman" w:eastAsia="Times New Roman" w:hint="default"/>
          <w:spacing w:val="10"/>
        </w:rPr>
        <w:t> </w:t>
      </w:r>
      <w:r>
        <w:rPr/>
        <w:t>元，账龄在</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年</w:t>
      </w:r>
      <w:r>
        <w:rPr>
          <w:w w:val="99"/>
        </w:rPr>
        <w:t> </w:t>
      </w:r>
      <w:r>
        <w:rPr>
          <w:w w:val="95"/>
        </w:rPr>
        <w:t>以内的应收账款占比为 </w:t>
      </w:r>
      <w:r>
        <w:rPr>
          <w:rFonts w:ascii="Times New Roman" w:hAnsi="Times New Roman" w:cs="Times New Roman" w:eastAsia="Times New Roman" w:hint="default"/>
          <w:w w:val="95"/>
        </w:rPr>
        <w:t>69.98%</w:t>
      </w:r>
      <w:r>
        <w:rPr>
          <w:w w:val="95"/>
        </w:rPr>
        <w:t>。公司应收账款的主要客户为政府机关、事业单</w:t>
      </w:r>
      <w:r>
        <w:rPr>
          <w:spacing w:val="-71"/>
          <w:w w:val="95"/>
        </w:rPr>
        <w:t> </w:t>
      </w:r>
      <w:r>
        <w:rPr>
          <w:spacing w:val="-71"/>
          <w:w w:val="95"/>
        </w:rPr>
      </w:r>
      <w:r>
        <w:rPr>
          <w:spacing w:val="3"/>
          <w:w w:val="95"/>
        </w:rPr>
        <w:t>位和规模较大的企业集团，一般情况下，政府机关及事业单位客户信誉度高，</w:t>
      </w:r>
      <w:r>
        <w:rPr>
          <w:spacing w:val="26"/>
          <w:w w:val="95"/>
        </w:rPr>
        <w:t> </w:t>
      </w:r>
      <w:r>
        <w:rPr>
          <w:spacing w:val="26"/>
          <w:w w:val="95"/>
        </w:rPr>
      </w:r>
      <w:r>
        <w:rPr>
          <w:spacing w:val="3"/>
          <w:w w:val="95"/>
        </w:rPr>
        <w:t>规模较大的企业集团客户资本实力较强，资金回收较为可靠，且公司历史上也</w:t>
      </w:r>
      <w:r>
        <w:rPr>
          <w:spacing w:val="23"/>
          <w:w w:val="95"/>
        </w:rPr>
        <w:t> </w:t>
      </w:r>
      <w:r>
        <w:rPr>
          <w:spacing w:val="23"/>
          <w:w w:val="95"/>
        </w:rPr>
      </w:r>
      <w:r>
        <w:rPr>
          <w:spacing w:val="3"/>
          <w:w w:val="95"/>
        </w:rPr>
        <w:t>没有发生过重大坏账损失，同时公司本着谨慎性原则对应收账款提取了坏账准  </w:t>
      </w:r>
      <w:r>
        <w:rPr>
          <w:spacing w:val="23"/>
          <w:w w:val="95"/>
        </w:rPr>
        <w:t> </w:t>
      </w:r>
      <w:r>
        <w:rPr>
          <w:spacing w:val="23"/>
          <w:w w:val="95"/>
        </w:rPr>
      </w:r>
      <w:r>
        <w:rPr/>
        <w:t>备。</w:t>
      </w:r>
      <w:r>
        <w:rPr>
          <w:b w:val="0"/>
          <w:bCs w:val="0"/>
        </w:rPr>
      </w:r>
    </w:p>
    <w:p>
      <w:pPr>
        <w:pStyle w:val="Heading2"/>
        <w:spacing w:line="408" w:lineRule="auto" w:before="168"/>
        <w:ind w:right="1143" w:firstLine="551"/>
        <w:jc w:val="both"/>
        <w:rPr>
          <w:b w:val="0"/>
          <w:bCs w:val="0"/>
        </w:rPr>
      </w:pPr>
      <w:r>
        <w:rPr>
          <w:spacing w:val="3"/>
          <w:w w:val="95"/>
        </w:rPr>
        <w:t>但是，政府客户对规模和金额较大项目的结算，通常付款相对审慎，所涉</w:t>
      </w:r>
      <w:r>
        <w:rPr>
          <w:w w:val="99"/>
        </w:rPr>
        <w:t> </w:t>
      </w:r>
      <w:r>
        <w:rPr>
          <w:spacing w:val="3"/>
          <w:w w:val="95"/>
        </w:rPr>
        <w:t>及的审批部门较多，支付审核流程周期的耗时较长，若客户在政策环境等方面</w:t>
      </w:r>
      <w:r>
        <w:rPr>
          <w:spacing w:val="23"/>
          <w:w w:val="95"/>
        </w:rPr>
        <w:t> </w:t>
      </w:r>
      <w:r>
        <w:rPr>
          <w:spacing w:val="23"/>
          <w:w w:val="95"/>
        </w:rPr>
      </w:r>
      <w:r>
        <w:rPr>
          <w:spacing w:val="3"/>
          <w:w w:val="95"/>
        </w:rPr>
        <w:t>发生重大不利变化，公司应收账款仍存在发生坏账的风险，对公司资产质量以</w:t>
      </w:r>
      <w:r>
        <w:rPr>
          <w:b w:val="0"/>
          <w:bCs w:val="0"/>
          <w:spacing w:val="3"/>
        </w:rPr>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pStyle w:val="Heading2"/>
        <w:spacing w:line="240" w:lineRule="auto" w:before="13"/>
        <w:ind w:right="0"/>
        <w:jc w:val="left"/>
        <w:rPr>
          <w:b w:val="0"/>
          <w:bCs w:val="0"/>
        </w:rPr>
      </w:pPr>
      <w:r>
        <w:rPr/>
        <w:t>及财务状况将产生不利影响。</w:t>
      </w:r>
      <w:r>
        <w:rPr>
          <w:b w:val="0"/>
          <w:bCs w:val="0"/>
        </w:rPr>
      </w:r>
    </w:p>
    <w:p>
      <w:pPr>
        <w:spacing w:line="240" w:lineRule="auto" w:before="3"/>
        <w:rPr>
          <w:rFonts w:ascii="宋体" w:hAnsi="宋体" w:cs="宋体" w:eastAsia="宋体" w:hint="default"/>
          <w:b/>
          <w:bCs/>
          <w:sz w:val="27"/>
          <w:szCs w:val="27"/>
        </w:rPr>
      </w:pPr>
    </w:p>
    <w:p>
      <w:pPr>
        <w:pStyle w:val="Heading2"/>
        <w:spacing w:line="240" w:lineRule="auto"/>
        <w:ind w:left="1685" w:right="0"/>
        <w:jc w:val="left"/>
        <w:rPr>
          <w:b w:val="0"/>
          <w:bCs w:val="0"/>
        </w:rPr>
      </w:pPr>
      <w:r>
        <w:rPr/>
        <w:t>公司经本次董事会审议通过的利润分配方案：以</w:t>
      </w:r>
      <w:r>
        <w:rPr>
          <w:spacing w:val="-65"/>
        </w:rPr>
        <w:t> </w:t>
      </w:r>
      <w:r>
        <w:rPr>
          <w:rFonts w:ascii="Times New Roman" w:hAnsi="Times New Roman" w:cs="Times New Roman" w:eastAsia="Times New Roman" w:hint="default"/>
        </w:rPr>
        <w:t>66,800,000.00</w:t>
      </w:r>
      <w:r>
        <w:rPr>
          <w:rFonts w:ascii="Times New Roman" w:hAnsi="Times New Roman" w:cs="Times New Roman" w:eastAsia="Times New Roman" w:hint="default"/>
          <w:spacing w:val="2"/>
        </w:rPr>
        <w:t> </w:t>
      </w:r>
      <w:r>
        <w:rPr/>
        <w:t>股为基数，</w:t>
      </w:r>
      <w:r>
        <w:rPr>
          <w:b w:val="0"/>
          <w:bCs w:val="0"/>
        </w:rPr>
      </w:r>
    </w:p>
    <w:p>
      <w:pPr>
        <w:pStyle w:val="Heading2"/>
        <w:spacing w:line="240" w:lineRule="auto" w:before="237"/>
        <w:ind w:right="0"/>
        <w:jc w:val="left"/>
        <w:rPr>
          <w:b w:val="0"/>
          <w:bCs w:val="0"/>
        </w:rPr>
      </w:pPr>
      <w:r>
        <w:rPr>
          <w:spacing w:val="1"/>
          <w:w w:val="99"/>
        </w:rPr>
        <w:t>向</w:t>
      </w:r>
      <w:r>
        <w:rPr>
          <w:w w:val="99"/>
        </w:rPr>
        <w:t>全体</w:t>
      </w:r>
      <w:r>
        <w:rPr>
          <w:spacing w:val="2"/>
          <w:w w:val="99"/>
        </w:rPr>
        <w:t>股</w:t>
      </w:r>
      <w:r>
        <w:rPr>
          <w:w w:val="99"/>
        </w:rPr>
        <w:t>东每</w:t>
      </w:r>
      <w:r>
        <w:rPr>
          <w:spacing w:val="-68"/>
        </w:rPr>
        <w:t> </w:t>
      </w:r>
      <w:r>
        <w:rPr>
          <w:rFonts w:ascii="Times New Roman" w:hAnsi="Times New Roman" w:cs="Times New Roman" w:eastAsia="Times New Roman" w:hint="default"/>
          <w:w w:val="99"/>
        </w:rPr>
        <w:t>10</w:t>
      </w:r>
      <w:r>
        <w:rPr>
          <w:rFonts w:ascii="Times New Roman" w:hAnsi="Times New Roman" w:cs="Times New Roman" w:eastAsia="Times New Roman" w:hint="default"/>
        </w:rPr>
        <w:t> </w:t>
      </w:r>
      <w:r>
        <w:rPr>
          <w:w w:val="99"/>
        </w:rPr>
        <w:t>股派发</w:t>
      </w:r>
      <w:r>
        <w:rPr>
          <w:spacing w:val="2"/>
          <w:w w:val="99"/>
        </w:rPr>
        <w:t>现</w:t>
      </w:r>
      <w:r>
        <w:rPr>
          <w:w w:val="99"/>
        </w:rPr>
        <w:t>金红利</w:t>
      </w:r>
      <w:r>
        <w:rPr>
          <w:spacing w:val="-67"/>
        </w:rPr>
        <w:t> </w:t>
      </w:r>
      <w:r>
        <w:rPr>
          <w:rFonts w:ascii="Times New Roman" w:hAnsi="Times New Roman" w:cs="Times New Roman" w:eastAsia="Times New Roman" w:hint="default"/>
          <w:w w:val="99"/>
        </w:rPr>
        <w:t>2</w:t>
      </w:r>
      <w:r>
        <w:rPr>
          <w:rFonts w:ascii="Times New Roman" w:hAnsi="Times New Roman" w:cs="Times New Roman" w:eastAsia="Times New Roman" w:hint="default"/>
        </w:rPr>
        <w:t> </w:t>
      </w:r>
      <w:r>
        <w:rPr>
          <w:spacing w:val="-14"/>
          <w:w w:val="99"/>
        </w:rPr>
        <w:t>元</w:t>
      </w:r>
      <w:r>
        <w:rPr>
          <w:w w:val="99"/>
        </w:rPr>
        <w:t>（含</w:t>
      </w:r>
      <w:r>
        <w:rPr>
          <w:spacing w:val="2"/>
          <w:w w:val="99"/>
        </w:rPr>
        <w:t>税</w:t>
      </w:r>
      <w:r>
        <w:rPr>
          <w:spacing w:val="-140"/>
          <w:w w:val="99"/>
        </w:rPr>
        <w:t>）</w:t>
      </w:r>
      <w:r>
        <w:rPr>
          <w:spacing w:val="-14"/>
          <w:w w:val="99"/>
        </w:rPr>
        <w:t>，</w:t>
      </w:r>
      <w:r>
        <w:rPr>
          <w:w w:val="99"/>
        </w:rPr>
        <w:t>送</w:t>
      </w:r>
      <w:r>
        <w:rPr>
          <w:spacing w:val="2"/>
          <w:w w:val="99"/>
        </w:rPr>
        <w:t>红</w:t>
      </w:r>
      <w:r>
        <w:rPr>
          <w:w w:val="99"/>
        </w:rPr>
        <w:t>股</w:t>
      </w:r>
      <w:r>
        <w:rPr>
          <w:spacing w:val="-68"/>
        </w:rPr>
        <w:t> </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spacing w:val="-14"/>
          <w:w w:val="99"/>
        </w:rPr>
        <w:t>股</w:t>
      </w:r>
      <w:r>
        <w:rPr>
          <w:w w:val="99"/>
        </w:rPr>
        <w:t>（含税</w:t>
      </w:r>
      <w:r>
        <w:rPr>
          <w:spacing w:val="-140"/>
          <w:w w:val="99"/>
        </w:rPr>
        <w:t>）</w:t>
      </w:r>
      <w:r>
        <w:rPr>
          <w:spacing w:val="-13"/>
          <w:w w:val="99"/>
        </w:rPr>
        <w:t>，</w:t>
      </w:r>
      <w:r>
        <w:rPr>
          <w:w w:val="99"/>
        </w:rPr>
        <w:t>以资本公</w:t>
      </w:r>
      <w:r>
        <w:rPr>
          <w:b w:val="0"/>
          <w:bCs w:val="0"/>
        </w:rPr>
      </w:r>
    </w:p>
    <w:p>
      <w:pPr>
        <w:pStyle w:val="Heading2"/>
        <w:spacing w:line="240" w:lineRule="auto" w:before="237"/>
        <w:ind w:right="0"/>
        <w:jc w:val="left"/>
        <w:rPr>
          <w:b w:val="0"/>
          <w:bCs w:val="0"/>
        </w:rPr>
      </w:pPr>
      <w:r>
        <w:rPr/>
        <w:t>积金向全体股东每</w:t>
      </w:r>
      <w:r>
        <w:rPr>
          <w:spacing w:val="-71"/>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股转增</w:t>
      </w:r>
      <w:r>
        <w:rPr>
          <w:spacing w:val="-73"/>
        </w:rPr>
        <w:t> </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股。</w:t>
      </w:r>
      <w:r>
        <w:rPr>
          <w:b w:val="0"/>
          <w:bCs w:val="0"/>
        </w:rPr>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3"/>
        <w:ind w:left="3403" w:right="340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1076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t>第一节</w:t>
            </w:r>
            <w:r>
              <w:rPr>
                <w:spacing w:val="-19"/>
              </w:rPr>
              <w:t> </w:t>
            </w:r>
            <w:r>
              <w:rPr/>
              <w:t>重要提示、目录和释义</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w:t>
            </w:r>
            <w:r>
              <w:rPr>
                <w:spacing w:val="-19"/>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19"/>
              </w:rPr>
              <w:t> </w:t>
            </w:r>
            <w:r>
              <w:rPr/>
              <w:t>公司业务概要</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9"/>
              </w:rPr>
              <w:t> </w:t>
            </w:r>
            <w:r>
              <w:rPr/>
              <w:t>管理层讨论与分析</w:t>
            </w:r>
            <w:r>
              <w:rPr>
                <w:rFonts w:ascii="Times New Roman" w:hAnsi="Times New Roman" w:cs="Times New Roman" w:eastAsia="Times New Roman" w:hint="default"/>
              </w:rPr>
              <w:tab/>
              <w:t>15</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第五节</w:t>
            </w:r>
            <w:r>
              <w:rPr>
                <w:spacing w:val="-19"/>
              </w:rPr>
              <w:t> </w:t>
            </w:r>
            <w:r>
              <w:rPr/>
              <w:t>重要事项</w:t>
            </w:r>
            <w:r>
              <w:rPr>
                <w:rFonts w:ascii="Times New Roman" w:hAnsi="Times New Roman" w:cs="Times New Roman" w:eastAsia="Times New Roman" w:hint="default"/>
              </w:rPr>
              <w:tab/>
              <w:t>29</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9"/>
              </w:rPr>
              <w:t> </w:t>
            </w:r>
            <w:r>
              <w:rPr/>
              <w:t>股份变动及股东情况</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9"/>
              </w:rPr>
              <w:t> </w:t>
            </w:r>
            <w:r>
              <w:rPr/>
              <w:t>优先股相关情况</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1076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3">
            <w:r>
              <w:rPr/>
              <w:t>第八节</w:t>
            </w:r>
            <w:r>
              <w:rPr>
                <w:spacing w:val="-19"/>
              </w:rPr>
              <w:t> </w:t>
            </w:r>
            <w:r>
              <w:rPr/>
              <w:t>董事、监事、高级管理人员和员工情况</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第九节</w:t>
            </w:r>
            <w:r>
              <w:rPr>
                <w:spacing w:val="-19"/>
              </w:rPr>
              <w:t> </w:t>
            </w:r>
            <w:r>
              <w:rPr/>
              <w:t>公司治理</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w:t>
            </w:r>
            <w:r>
              <w:rPr>
                <w:spacing w:val="-19"/>
              </w:rPr>
              <w:t> </w:t>
            </w:r>
            <w:r>
              <w:rPr/>
              <w:t>财务报告</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20"/>
              </w:rPr>
              <w:t> </w:t>
            </w:r>
            <w:r>
              <w:rPr/>
              <w:t>备查文件目录</w:t>
            </w:r>
            <w:r>
              <w:rPr>
                <w:rFonts w:ascii="Times New Roman" w:hAnsi="Times New Roman" w:cs="Times New Roman" w:eastAsia="Times New Roman" w:hint="default"/>
              </w:rPr>
              <w:tab/>
              <w:t>170</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0" w:right="0"/>
        </w:sectPr>
      </w:pPr>
    </w:p>
    <w:p>
      <w:pPr>
        <w:spacing w:before="946"/>
        <w:ind w:left="3403" w:right="340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信息发展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上海中信信息发展股份有限公司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上海中信信息发展股份有限公司章程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上海中信信息发展股份有限公司股东大会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上海中信信息发展股份有限公司董事会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上海中信信息发展股份有限公司监事会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保荐机构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中山证券有限责任公司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立信会计事务所（特殊普通合伙）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人民币万元</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624" w:right="0"/>
        <w:jc w:val="left"/>
        <w:rPr>
          <w:b w:val="0"/>
          <w:bCs w:val="0"/>
        </w:rPr>
      </w:pPr>
      <w:bookmarkStart w:name="_TOC_250009"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0"/>
        <w:jc w:val="left"/>
        <w:rPr>
          <w:b w:val="0"/>
          <w:bCs w:val="0"/>
        </w:rPr>
      </w:pPr>
      <w:r>
        <w:rPr/>
        <w:pict>
          <v:group style="position:absolute;margin-left:172.339996pt;margin-top:114.735596pt;width:361.5pt;height:19.6pt;mso-position-horizontal-relative:page;mso-position-vertical-relative:paragraph;z-index:-1032832"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信息发展</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300469</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上海中信信息发展股份有限公司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信息发展</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ZHONGXIN INFORMATION DEVELOPMENT INC., </w:t>
            </w:r>
            <w:r>
              <w:rPr>
                <w:rFonts w:ascii="Times New Roman"/>
                <w:spacing w:val="-5"/>
                <w:sz w:val="18"/>
              </w:rPr>
              <w:t>LTD.</w:t>
            </w:r>
            <w:r>
              <w:rPr>
                <w:rFonts w:ascii="Times New Roman"/>
                <w:spacing w:val="-29"/>
                <w:sz w:val="18"/>
              </w:rPr>
              <w:t> </w:t>
            </w:r>
            <w:r>
              <w:rPr>
                <w:rFonts w:ascii="Times New Roman"/>
                <w:sz w:val="18"/>
              </w:rPr>
              <w:t>SHANGHAI</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CES</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张曙华</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上海市静安区昌平路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200040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上海市中江路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200333</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www.cesgroup.com.cn</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ir@cesgroup.com.cn</w:t>
              </w:r>
            </w:hyperlink>
          </w:p>
        </w:tc>
      </w:tr>
    </w:tbl>
    <w:p>
      <w:pPr>
        <w:spacing w:line="240" w:lineRule="auto" w:before="2"/>
        <w:rPr>
          <w:rFonts w:ascii="宋体" w:hAnsi="宋体" w:cs="宋体" w:eastAsia="宋体" w:hint="default"/>
          <w:b/>
          <w:bCs/>
          <w:sz w:val="18"/>
          <w:szCs w:val="18"/>
        </w:rPr>
      </w:pPr>
    </w:p>
    <w:p>
      <w:pPr>
        <w:pStyle w:val="Heading4"/>
        <w:spacing w:line="240" w:lineRule="auto" w:before="26"/>
        <w:ind w:left="113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石富义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杨炜炜</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上海市中江路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上海市中江路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021-51077666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021-51077666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021-51208285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021-51208285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ir@cesgroup.com.cn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ir@cesgroup.com.cn</w:t>
              </w:r>
            </w:hyperlink>
          </w:p>
        </w:tc>
      </w:tr>
    </w:tbl>
    <w:p>
      <w:pPr>
        <w:spacing w:line="240" w:lineRule="auto" w:before="2"/>
        <w:rPr>
          <w:rFonts w:ascii="宋体" w:hAnsi="宋体" w:cs="宋体" w:eastAsia="宋体" w:hint="default"/>
          <w:b/>
          <w:bCs/>
          <w:sz w:val="18"/>
          <w:szCs w:val="18"/>
        </w:rPr>
      </w:pPr>
    </w:p>
    <w:p>
      <w:pPr>
        <w:pStyle w:val="Heading4"/>
        <w:spacing w:line="240" w:lineRule="auto" w:before="26"/>
        <w:ind w:left="113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董事会办公室</w:t>
            </w:r>
          </w:p>
        </w:tc>
      </w:tr>
    </w:tbl>
    <w:p>
      <w:pPr>
        <w:spacing w:line="240" w:lineRule="auto" w:before="2"/>
        <w:rPr>
          <w:rFonts w:ascii="宋体" w:hAnsi="宋体" w:cs="宋体" w:eastAsia="宋体" w:hint="default"/>
          <w:b/>
          <w:bCs/>
          <w:sz w:val="18"/>
          <w:szCs w:val="18"/>
        </w:rPr>
      </w:pPr>
    </w:p>
    <w:p>
      <w:pPr>
        <w:pStyle w:val="Heading4"/>
        <w:spacing w:line="240" w:lineRule="auto" w:before="26"/>
        <w:ind w:left="1134"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公司聘请的会计师事务所</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无锡市滨湖区建筑西路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赵焕琪、宋斌</w:t>
            </w:r>
          </w:p>
        </w:tc>
      </w:tr>
    </w:tbl>
    <w:p>
      <w:pPr>
        <w:pStyle w:val="BodyText"/>
        <w:spacing w:line="240" w:lineRule="auto" w:before="51"/>
        <w:ind w:left="1134" w:right="0"/>
        <w:jc w:val="left"/>
      </w:pPr>
      <w:r>
        <w:rPr/>
        <w:t>公司聘请的报告期内履行持续督导职责的保荐机构</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中山证券有限责任公司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5"/>
              <w:jc w:val="left"/>
              <w:rPr>
                <w:rFonts w:ascii="宋体" w:hAnsi="宋体" w:cs="宋体" w:eastAsia="宋体" w:hint="default"/>
                <w:sz w:val="18"/>
                <w:szCs w:val="18"/>
              </w:rPr>
            </w:pPr>
            <w:r>
              <w:rPr>
                <w:rFonts w:ascii="宋体" w:hAnsi="宋体" w:cs="宋体" w:eastAsia="宋体" w:hint="default"/>
                <w:sz w:val="18"/>
                <w:szCs w:val="18"/>
              </w:rPr>
              <w:t>深圳市南山区科技中一路西 华强高新发展大楼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陈岗、姚伟华</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left="1134" w:right="0"/>
        <w:jc w:val="left"/>
      </w:pPr>
      <w:r>
        <w:rPr/>
        <w:t>公司聘请的报告期内履行持续督导职责的财务顾问</w:t>
      </w:r>
    </w:p>
    <w:p>
      <w:pPr>
        <w:pStyle w:val="BodyText"/>
        <w:spacing w:line="240" w:lineRule="auto" w:before="116"/>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437,900,031.09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368,328,787.20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308,089,482.38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38,242,426.34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35,339,310.97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33,095,138.62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23,336,861.59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29,485,324.30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-20.85%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28,726,178.14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-32,441,522.12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9,364,887.71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-446.42%</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6,833,036.90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0.654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0.661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0.654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0.661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688,154,627.25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424,281,651.77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62.19%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335,345,036.57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341,381,223.68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159,433,100.85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114.12%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124,093,789.88</w:t>
            </w:r>
          </w:p>
        </w:tc>
      </w:tr>
    </w:tbl>
    <w:p>
      <w:pPr>
        <w:spacing w:line="240" w:lineRule="auto" w:before="2"/>
        <w:rPr>
          <w:rFonts w:ascii="宋体" w:hAnsi="宋体" w:cs="宋体" w:eastAsia="宋体" w:hint="default"/>
          <w:sz w:val="18"/>
          <w:szCs w:val="18"/>
        </w:rPr>
      </w:pPr>
    </w:p>
    <w:p>
      <w:pPr>
        <w:pStyle w:val="Heading4"/>
        <w:spacing w:line="240" w:lineRule="auto" w:before="26"/>
        <w:ind w:left="1134"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24,112,034.05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109,957,826.28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87,783,315.44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216,046,855.32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-20,297,285.00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8,056,527.04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9,923,466.71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40,559,717.59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-20,352,190.98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7,943,583.29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9,830,714.21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25,914,755.07</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-103,532,166.75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-55,149,397.33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-45,417,422.94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171,657,464.90</w:t>
            </w:r>
          </w:p>
        </w:tc>
      </w:tr>
    </w:tbl>
    <w:p>
      <w:pPr>
        <w:pStyle w:val="BodyText"/>
        <w:spacing w:line="240" w:lineRule="auto" w:before="51"/>
        <w:ind w:left="1134"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21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6"/>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4"/>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285"/>
        <w:gridCol w:w="1520"/>
        <w:gridCol w:w="1520"/>
        <w:gridCol w:w="1522"/>
        <w:gridCol w:w="1710"/>
      </w:tblGrid>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-14,329.09</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5,715.91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17,352,700.00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6,984,872.85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5,125,471.50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54"/>
              <w:jc w:val="left"/>
              <w:rPr>
                <w:rFonts w:ascii="宋体" w:hAnsi="宋体" w:cs="宋体" w:eastAsia="宋体" w:hint="default"/>
                <w:sz w:val="18"/>
                <w:szCs w:val="18"/>
              </w:rPr>
            </w:pPr>
            <w:r>
              <w:rPr>
                <w:rFonts w:ascii="宋体" w:hAnsi="宋体" w:cs="宋体" w:eastAsia="宋体" w:hint="default"/>
                <w:sz w:val="18"/>
                <w:szCs w:val="18"/>
              </w:rPr>
              <w:t>计入当期损益的政府 补助</w:t>
            </w:r>
          </w:p>
        </w:tc>
      </w:tr>
      <w:tr>
        <w:trPr>
          <w:trHeight w:val="161" w:hRule="exact"/>
        </w:trPr>
        <w:tc>
          <w:tcPr>
            <w:tcW w:w="32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0"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9" w:right="0"/>
              <w:jc w:val="left"/>
              <w:rPr>
                <w:rFonts w:ascii="Times New Roman" w:hAnsi="Times New Roman" w:cs="Times New Roman" w:eastAsia="Times New Roman" w:hint="default"/>
                <w:sz w:val="18"/>
                <w:szCs w:val="18"/>
              </w:rPr>
            </w:pPr>
            <w:r>
              <w:rPr>
                <w:rFonts w:ascii="Times New Roman"/>
                <w:sz w:val="18"/>
              </w:rPr>
              <w:t>-39,021.73</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8" w:right="0"/>
              <w:jc w:val="left"/>
              <w:rPr>
                <w:rFonts w:ascii="Times New Roman" w:hAnsi="Times New Roman" w:cs="Times New Roman" w:eastAsia="Times New Roman" w:hint="default"/>
                <w:sz w:val="18"/>
                <w:szCs w:val="18"/>
              </w:rPr>
            </w:pPr>
            <w:r>
              <w:rPr>
                <w:rFonts w:ascii="Times New Roman"/>
                <w:sz w:val="18"/>
              </w:rPr>
              <w:t>45,785.10</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9" w:right="0"/>
              <w:jc w:val="left"/>
              <w:rPr>
                <w:rFonts w:ascii="Times New Roman" w:hAnsi="Times New Roman" w:cs="Times New Roman" w:eastAsia="Times New Roman" w:hint="default"/>
                <w:sz w:val="18"/>
                <w:szCs w:val="18"/>
              </w:rPr>
            </w:pPr>
            <w:r>
              <w:rPr>
                <w:rFonts w:ascii="Times New Roman"/>
                <w:sz w:val="18"/>
              </w:rPr>
              <w:t>2,587.33</w:t>
            </w:r>
          </w:p>
        </w:tc>
        <w:tc>
          <w:tcPr>
            <w:tcW w:w="1710"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4"/>
              <w:jc w:val="left"/>
              <w:rPr>
                <w:rFonts w:ascii="宋体" w:hAnsi="宋体" w:cs="宋体" w:eastAsia="宋体" w:hint="default"/>
                <w:sz w:val="18"/>
                <w:szCs w:val="18"/>
              </w:rPr>
            </w:pPr>
            <w:r>
              <w:rPr>
                <w:rFonts w:ascii="宋体" w:hAnsi="宋体" w:cs="宋体" w:eastAsia="宋体" w:hint="default"/>
                <w:sz w:val="18"/>
                <w:szCs w:val="18"/>
              </w:rPr>
              <w:t>营业外收入与营业外 支出之差</w:t>
            </w:r>
          </w:p>
        </w:tc>
      </w:tr>
      <w:tr>
        <w:trPr>
          <w:trHeight w:val="392" w:hRule="exact"/>
        </w:trPr>
        <w:tc>
          <w:tcPr>
            <w:tcW w:w="32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161" w:hRule="exact"/>
        </w:trPr>
        <w:tc>
          <w:tcPr>
            <w:tcW w:w="32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0"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2,382,457.12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1,159,627.73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763,394.04</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所得税</w:t>
            </w:r>
          </w:p>
        </w:tc>
      </w:tr>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25,656.40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2,714.46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1,420.22</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r>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14,905,564.75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5,853,986.67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4,368,960.48</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_TOC_250008" w:id="15"/>
      <w:bookmarkStart w:name="第三节 公司业务概要" w:id="16"/>
      <w:r>
        <w:rPr>
          <w:b w:val="0"/>
          <w:bCs w:val="0"/>
        </w:rPr>
      </w:r>
      <w:r>
        <w:rPr/>
        <w:t>第三节</w:t>
      </w:r>
      <w:r>
        <w:rPr>
          <w:spacing w:val="-7"/>
        </w:rPr>
        <w:t> </w:t>
      </w:r>
      <w:r>
        <w:rPr/>
        <w:t>公司业务概要</w:t>
      </w:r>
      <w:bookmarkEnd w:id="15"/>
      <w:r>
        <w:rPr>
          <w:b w:val="0"/>
          <w:bCs w:val="0"/>
        </w:rPr>
      </w:r>
    </w:p>
    <w:p>
      <w:pPr>
        <w:spacing w:line="240" w:lineRule="auto" w:before="12"/>
        <w:rPr>
          <w:rFonts w:ascii="宋体" w:hAnsi="宋体" w:cs="宋体" w:eastAsia="宋体" w:hint="default"/>
          <w:b/>
          <w:bCs/>
          <w:sz w:val="38"/>
          <w:szCs w:val="38"/>
        </w:rPr>
      </w:pPr>
    </w:p>
    <w:p>
      <w:pPr>
        <w:pStyle w:val="Heading4"/>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pStyle w:val="BodyText"/>
        <w:spacing w:line="319" w:lineRule="auto" w:before="0"/>
        <w:ind w:right="0" w:firstLine="360"/>
        <w:jc w:val="left"/>
      </w:pPr>
      <w:r>
        <w:rPr>
          <w:spacing w:val="-2"/>
        </w:rPr>
        <w:t>公司主要从事面向食品流通追溯、档案、政法等领域的信息化系统开发与服务，向客户提供信息化系统规划咨询、软硬</w:t>
      </w:r>
      <w:r>
        <w:rPr/>
        <w:t> 件产品开发、系统集成、运行维护和推广等相关整体解决方案。</w:t>
      </w:r>
    </w:p>
    <w:p>
      <w:pPr>
        <w:pStyle w:val="BodyText"/>
        <w:spacing w:line="316" w:lineRule="auto" w:before="137"/>
        <w:ind w:left="1134" w:right="0" w:firstLine="360"/>
        <w:jc w:val="left"/>
      </w:pPr>
      <w:r>
        <w:rPr>
          <w:spacing w:val="-2"/>
        </w:rPr>
        <w:t>公司的客户主要包括：档案局（馆），食品流通追溯领域相关的机关企事业单位，监狱、检察院、法院等政府部门以及</w:t>
      </w:r>
      <w:r>
        <w:rPr/>
        <w:t> 其他企事业单位等。</w:t>
      </w:r>
    </w:p>
    <w:p>
      <w:pPr>
        <w:pStyle w:val="BodyText"/>
        <w:spacing w:line="240" w:lineRule="auto" w:before="58"/>
        <w:ind w:left="1494" w:right="0"/>
        <w:jc w:val="left"/>
      </w:pPr>
      <w:r>
        <w:rPr/>
        <w:t>公司主营业务如下图所示：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line="8640" w:lineRule="exact"/>
        <w:ind w:left="1134" w:right="0" w:firstLine="0"/>
        <w:rPr>
          <w:rFonts w:ascii="宋体" w:hAnsi="宋体" w:cs="宋体" w:eastAsia="宋体" w:hint="default"/>
          <w:sz w:val="20"/>
          <w:szCs w:val="20"/>
        </w:rPr>
      </w:pPr>
      <w:r>
        <w:rPr>
          <w:rFonts w:ascii="宋体" w:hAnsi="宋体" w:cs="宋体" w:eastAsia="宋体" w:hint="default"/>
          <w:position w:val="-172"/>
          <w:sz w:val="20"/>
          <w:szCs w:val="20"/>
        </w:rPr>
        <w:drawing>
          <wp:inline distT="0" distB="0" distL="0" distR="0">
            <wp:extent cx="5276849" cy="548640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5276849" cy="5486400"/>
                    </a:xfrm>
                    <a:prstGeom prst="rect">
                      <a:avLst/>
                    </a:prstGeom>
                  </pic:spPr>
                </pic:pic>
              </a:graphicData>
            </a:graphic>
          </wp:inline>
        </w:drawing>
      </w:r>
      <w:r>
        <w:rPr>
          <w:rFonts w:ascii="宋体" w:hAnsi="宋体" w:cs="宋体" w:eastAsia="宋体" w:hint="default"/>
          <w:position w:val="-172"/>
          <w:sz w:val="20"/>
          <w:szCs w:val="20"/>
        </w:rPr>
      </w:r>
    </w:p>
    <w:p>
      <w:pPr>
        <w:spacing w:after="0" w:line="8640" w:lineRule="exact"/>
        <w:rPr>
          <w:rFonts w:ascii="宋体" w:hAnsi="宋体" w:cs="宋体" w:eastAsia="宋体" w:hint="default"/>
          <w:sz w:val="20"/>
          <w:szCs w:val="20"/>
        </w:rPr>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4"/>
        <w:spacing w:line="240" w:lineRule="auto" w:before="26"/>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041"/>
        <w:gridCol w:w="6517"/>
      </w:tblGrid>
      <w:tr>
        <w:trPr>
          <w:trHeight w:val="186"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本期增加主要系本公司募投项目的投入建设</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子公司食品追溯信息服务云平台项目的投入</w:t>
            </w:r>
          </w:p>
        </w:tc>
      </w:tr>
    </w:tbl>
    <w:p>
      <w:pPr>
        <w:spacing w:line="240" w:lineRule="auto" w:before="2"/>
        <w:rPr>
          <w:rFonts w:ascii="宋体" w:hAnsi="宋体" w:cs="宋体" w:eastAsia="宋体" w:hint="default"/>
          <w:b/>
          <w:bCs/>
          <w:sz w:val="19"/>
          <w:szCs w:val="19"/>
        </w:rPr>
      </w:pPr>
    </w:p>
    <w:p>
      <w:pPr>
        <w:pStyle w:val="Heading6"/>
        <w:spacing w:line="240" w:lineRule="auto" w:before="35"/>
        <w:ind w:left="1134"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1493" w:right="0"/>
        <w:jc w:val="left"/>
      </w:pPr>
      <w:r>
        <w:rPr/>
        <w:t>报告期内，公司的核心竞争力没有发生重大变化，主要体现在以下几个方面：</w:t>
      </w:r>
    </w:p>
    <w:p>
      <w:pPr>
        <w:pStyle w:val="BodyText"/>
        <w:spacing w:line="300" w:lineRule="auto" w:before="76"/>
        <w:ind w:left="1494" w:right="1118" w:firstLine="1"/>
        <w:jc w:val="left"/>
      </w:pPr>
      <w:r>
        <w:rPr>
          <w:rFonts w:ascii="Times New Roman" w:hAnsi="Times New Roman" w:cs="Times New Roman" w:eastAsia="Times New Roman" w:hint="default"/>
          <w:b/>
          <w:bCs/>
        </w:rPr>
        <w:t>1</w:t>
      </w:r>
      <w:r>
        <w:rPr>
          <w:rFonts w:ascii="宋体" w:hAnsi="宋体" w:cs="宋体" w:eastAsia="宋体" w:hint="default"/>
          <w:b/>
          <w:bCs/>
        </w:rPr>
        <w:t>、技术优势</w:t>
      </w:r>
      <w:r>
        <w:rPr>
          <w:rFonts w:ascii="宋体" w:hAnsi="宋体" w:cs="宋体" w:eastAsia="宋体" w:hint="default"/>
          <w:b/>
          <w:bCs/>
          <w:w w:val="99"/>
        </w:rPr>
        <w:t> </w:t>
      </w:r>
      <w:r>
        <w:rPr/>
        <w:t>经过十多年在信息化行业的技术探索、积累与沉淀，公司具备明显的技术优势。报告期内，</w:t>
      </w:r>
      <w:r>
        <w:rPr>
          <w:rFonts w:ascii="Times New Roman" w:hAnsi="Times New Roman" w:cs="Times New Roman" w:eastAsia="Times New Roman" w:hint="default"/>
        </w:rPr>
        <w:t>“</w:t>
      </w:r>
      <w:r>
        <w:rPr/>
        <w:t>光典追索超市卖场信息追</w:t>
      </w:r>
    </w:p>
    <w:p>
      <w:pPr>
        <w:pStyle w:val="BodyText"/>
        <w:spacing w:line="300" w:lineRule="auto" w:before="13"/>
        <w:ind w:right="1053"/>
        <w:jc w:val="left"/>
      </w:pPr>
      <w:r>
        <w:rPr/>
        <w:t>溯管理软件</w:t>
      </w:r>
      <w:r>
        <w:rPr>
          <w:rFonts w:ascii="Times New Roman" w:hAnsi="Times New Roman" w:cs="Times New Roman" w:eastAsia="Times New Roman" w:hint="default"/>
        </w:rPr>
        <w:t>V1.0”</w:t>
      </w:r>
      <w:r>
        <w:rPr/>
        <w:t>、</w:t>
      </w:r>
      <w:r>
        <w:rPr>
          <w:rFonts w:ascii="Times New Roman" w:hAnsi="Times New Roman" w:cs="Times New Roman" w:eastAsia="Times New Roman" w:hint="default"/>
        </w:rPr>
        <w:t>“</w:t>
      </w:r>
      <w:r>
        <w:rPr/>
        <w:t>光典档案信息资源管理软件（专业版）</w:t>
      </w:r>
      <w:r>
        <w:rPr>
          <w:rFonts w:ascii="Times New Roman" w:hAnsi="Times New Roman" w:cs="Times New Roman" w:eastAsia="Times New Roman" w:hint="default"/>
        </w:rPr>
        <w:t>V4.5”</w:t>
      </w:r>
      <w:r>
        <w:rPr/>
        <w:t>荣获</w:t>
      </w:r>
      <w:r>
        <w:rPr>
          <w:rFonts w:ascii="Times New Roman" w:hAnsi="Times New Roman" w:cs="Times New Roman" w:eastAsia="Times New Roman" w:hint="default"/>
        </w:rPr>
        <w:t>2015</w:t>
      </w:r>
      <w:r>
        <w:rPr/>
        <w:t>年度上海市优秀软件产品称号，</w:t>
      </w:r>
      <w:r>
        <w:rPr>
          <w:rFonts w:ascii="Times New Roman" w:hAnsi="Times New Roman" w:cs="Times New Roman" w:eastAsia="Times New Roman" w:hint="default"/>
        </w:rPr>
        <w:t>“</w:t>
      </w:r>
      <w:r>
        <w:rPr/>
        <w:t>光典档案信息资 源管理软件</w:t>
      </w:r>
      <w:r>
        <w:rPr>
          <w:rFonts w:ascii="Times New Roman" w:hAnsi="Times New Roman" w:cs="Times New Roman" w:eastAsia="Times New Roman" w:hint="default"/>
        </w:rPr>
        <w:t>V4.1”</w:t>
      </w:r>
      <w:r>
        <w:rPr/>
        <w:t>荣获</w:t>
      </w:r>
      <w:r>
        <w:rPr>
          <w:rFonts w:ascii="Times New Roman" w:hAnsi="Times New Roman" w:cs="Times New Roman" w:eastAsia="Times New Roman" w:hint="default"/>
        </w:rPr>
        <w:t>2015</w:t>
      </w:r>
      <w:r>
        <w:rPr/>
        <w:t>年第十九届中国软件博览会优秀参展产品，</w:t>
      </w:r>
      <w:r>
        <w:rPr>
          <w:rFonts w:ascii="Times New Roman" w:hAnsi="Times New Roman" w:cs="Times New Roman" w:eastAsia="Times New Roman" w:hint="default"/>
        </w:rPr>
        <w:t>“</w:t>
      </w:r>
      <w:r>
        <w:rPr/>
        <w:t>光典食品流通安全信息追溯档案管理软件</w:t>
      </w:r>
      <w:r>
        <w:rPr>
          <w:rFonts w:ascii="Times New Roman" w:hAnsi="Times New Roman" w:cs="Times New Roman" w:eastAsia="Times New Roman" w:hint="default"/>
        </w:rPr>
        <w:t>”</w:t>
      </w:r>
      <w:r>
        <w:rPr>
          <w:rFonts w:ascii="Times New Roman" w:hAnsi="Times New Roman" w:cs="Times New Roman" w:eastAsia="Times New Roman" w:hint="default"/>
          <w:spacing w:val="13"/>
        </w:rPr>
        <w:t> </w:t>
      </w:r>
      <w:r>
        <w:rPr/>
        <w:t>荣获</w:t>
      </w:r>
      <w:r>
        <w:rPr>
          <w:rFonts w:ascii="Times New Roman" w:hAnsi="Times New Roman" w:cs="Times New Roman" w:eastAsia="Times New Roman" w:hint="default"/>
        </w:rPr>
        <w:t>2014 </w:t>
      </w:r>
      <w:r>
        <w:rPr>
          <w:spacing w:val="-2"/>
        </w:rPr>
        <w:t>年度上海市高新技术成果转化项目百佳，</w:t>
      </w:r>
      <w:r>
        <w:rPr>
          <w:rFonts w:ascii="Times New Roman" w:hAnsi="Times New Roman" w:cs="Times New Roman" w:eastAsia="Times New Roman" w:hint="default"/>
          <w:spacing w:val="-2"/>
        </w:rPr>
        <w:t>“</w:t>
      </w:r>
      <w:r>
        <w:rPr>
          <w:spacing w:val="-2"/>
        </w:rPr>
        <w:t>农副产品批发市场电子化结算项目解决方案</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数字档案馆</w:t>
      </w:r>
      <w:r>
        <w:rPr>
          <w:rFonts w:ascii="Times New Roman" w:hAnsi="Times New Roman" w:cs="Times New Roman" w:eastAsia="Times New Roman" w:hint="default"/>
          <w:spacing w:val="-2"/>
        </w:rPr>
        <w:t>2.0</w:t>
      </w:r>
      <w:r>
        <w:rPr>
          <w:spacing w:val="-2"/>
        </w:rPr>
        <w:t>框架解决方案</w:t>
      </w:r>
      <w:r>
        <w:rPr>
          <w:rFonts w:ascii="Times New Roman" w:hAnsi="Times New Roman" w:cs="Times New Roman" w:eastAsia="Times New Roman" w:hint="default"/>
          <w:spacing w:val="-2"/>
        </w:rPr>
        <w:t>”</w:t>
      </w:r>
      <w:r>
        <w:rPr>
          <w:spacing w:val="-2"/>
        </w:rPr>
        <w:t>荣获</w:t>
      </w:r>
      <w:r>
        <w:rPr>
          <w:spacing w:val="-65"/>
        </w:rPr>
        <w:t> </w:t>
      </w:r>
      <w:r>
        <w:rPr>
          <w:rFonts w:ascii="Times New Roman" w:hAnsi="Times New Roman" w:cs="Times New Roman" w:eastAsia="Times New Roman" w:hint="default"/>
        </w:rPr>
        <w:t>2015</w:t>
      </w:r>
      <w:r>
        <w:rPr/>
        <w:t>年第十九届中国软件博览会优秀参展解决方案，同时公司获得了</w:t>
      </w:r>
      <w:r>
        <w:rPr>
          <w:rFonts w:ascii="Times New Roman" w:hAnsi="Times New Roman" w:cs="Times New Roman" w:eastAsia="Times New Roman" w:hint="default"/>
        </w:rPr>
        <w:t>“2015</w:t>
      </w:r>
      <w:r>
        <w:rPr/>
        <w:t>年度中国食品追溯行业信息化最佳解决方案奖</w:t>
      </w:r>
      <w:r>
        <w:rPr>
          <w:rFonts w:ascii="Times New Roman" w:hAnsi="Times New Roman" w:cs="Times New Roman" w:eastAsia="Times New Roman" w:hint="default"/>
        </w:rPr>
        <w:t>”</w:t>
      </w:r>
      <w:r>
        <w:rPr/>
        <w:t>。 </w:t>
      </w:r>
      <w:r>
        <w:rPr>
          <w:spacing w:val="-2"/>
        </w:rPr>
        <w:t>截止报告期末，公司及其子公司共取得国家知识产权局专利授权</w:t>
      </w:r>
      <w:r>
        <w:rPr>
          <w:rFonts w:ascii="Times New Roman" w:hAnsi="Times New Roman" w:cs="Times New Roman" w:eastAsia="Times New Roman" w:hint="default"/>
          <w:spacing w:val="-2"/>
        </w:rPr>
        <w:t>7</w:t>
      </w:r>
      <w:r>
        <w:rPr>
          <w:spacing w:val="-2"/>
        </w:rPr>
        <w:t>项，计算机软件著作权</w:t>
      </w:r>
      <w:r>
        <w:rPr>
          <w:rFonts w:ascii="Times New Roman" w:hAnsi="Times New Roman" w:cs="Times New Roman" w:eastAsia="Times New Roman" w:hint="default"/>
          <w:spacing w:val="-2"/>
        </w:rPr>
        <w:t>183</w:t>
      </w:r>
      <w:r>
        <w:rPr>
          <w:spacing w:val="-2"/>
        </w:rPr>
        <w:t>项，软件产品登记证书</w:t>
      </w:r>
      <w:r>
        <w:rPr>
          <w:rFonts w:ascii="Times New Roman" w:hAnsi="Times New Roman" w:cs="Times New Roman" w:eastAsia="Times New Roman" w:hint="default"/>
          <w:spacing w:val="-2"/>
        </w:rPr>
        <w:t>98</w:t>
      </w:r>
      <w:r>
        <w:rPr>
          <w:spacing w:val="-2"/>
        </w:rPr>
        <w:t>项，高</w:t>
      </w:r>
      <w:r>
        <w:rPr>
          <w:spacing w:val="-61"/>
        </w:rPr>
        <w:t> </w:t>
      </w:r>
      <w:r>
        <w:rPr>
          <w:spacing w:val="-61"/>
        </w:rPr>
      </w:r>
      <w:r>
        <w:rPr/>
        <w:t>新成果转化</w:t>
      </w:r>
      <w:r>
        <w:rPr>
          <w:rFonts w:ascii="Times New Roman" w:hAnsi="Times New Roman" w:cs="Times New Roman" w:eastAsia="Times New Roman" w:hint="default"/>
        </w:rPr>
        <w:t>8</w:t>
      </w:r>
      <w:r>
        <w:rPr/>
        <w:t>项。</w:t>
      </w:r>
    </w:p>
    <w:p>
      <w:pPr>
        <w:pStyle w:val="BodyText"/>
        <w:spacing w:line="316" w:lineRule="auto" w:before="13"/>
        <w:ind w:right="1133" w:firstLine="360"/>
        <w:jc w:val="both"/>
      </w:pPr>
      <w:r>
        <w:rPr>
          <w:spacing w:val="-2"/>
        </w:rPr>
        <w:t>作为较早进入行业的企业，我司建立了完备的软件开发与测试体系，具有领先的研发创新能力。公司逐年不断加大科研</w:t>
      </w:r>
      <w:r>
        <w:rPr/>
        <w:t> 经费的投入，并加强研发队伍的建设。</w:t>
      </w:r>
    </w:p>
    <w:p>
      <w:pPr>
        <w:pStyle w:val="BodyText"/>
        <w:spacing w:line="300" w:lineRule="auto" w:before="19"/>
        <w:ind w:left="1494" w:right="1118" w:firstLine="1"/>
        <w:jc w:val="left"/>
      </w:pPr>
      <w:r>
        <w:rPr>
          <w:rFonts w:ascii="Times New Roman" w:hAnsi="Times New Roman" w:cs="Times New Roman" w:eastAsia="Times New Roman" w:hint="default"/>
          <w:b/>
          <w:bCs/>
        </w:rPr>
        <w:t>2</w:t>
      </w:r>
      <w:r>
        <w:rPr>
          <w:rFonts w:ascii="宋体" w:hAnsi="宋体" w:cs="宋体" w:eastAsia="宋体" w:hint="default"/>
          <w:b/>
          <w:bCs/>
        </w:rPr>
        <w:t>、品牌优势</w:t>
      </w:r>
      <w:r>
        <w:rPr>
          <w:rFonts w:ascii="宋体" w:hAnsi="宋体" w:cs="宋体" w:eastAsia="宋体" w:hint="default"/>
          <w:b/>
          <w:bCs/>
          <w:w w:val="99"/>
        </w:rPr>
        <w:t> </w:t>
      </w:r>
      <w:r>
        <w:rPr>
          <w:spacing w:val="-2"/>
        </w:rPr>
        <w:t>从</w:t>
      </w:r>
      <w:r>
        <w:rPr>
          <w:rFonts w:ascii="Times New Roman" w:hAnsi="Times New Roman" w:cs="Times New Roman" w:eastAsia="Times New Roman" w:hint="default"/>
          <w:spacing w:val="-2"/>
        </w:rPr>
        <w:t>1997</w:t>
      </w:r>
      <w:r>
        <w:rPr>
          <w:spacing w:val="-2"/>
        </w:rPr>
        <w:t>年公司成立以来，公司本着诚信为先、以人为本、同舟共济、追求卓越的核心价值观，不断进取，致力于利用信</w:t>
      </w:r>
    </w:p>
    <w:p>
      <w:pPr>
        <w:pStyle w:val="BodyText"/>
        <w:spacing w:line="316" w:lineRule="auto" w:before="13"/>
        <w:ind w:left="1493" w:right="1131" w:hanging="360"/>
        <w:jc w:val="left"/>
      </w:pPr>
      <w:r>
        <w:rPr/>
        <w:t>息服务推动社会传承与进步，以产品、服务、质量来赢得客户。在行业内树立了较高的市场知名度和美誉度。 公司于</w:t>
      </w:r>
      <w:r>
        <w:rPr>
          <w:rFonts w:ascii="Times New Roman" w:hAnsi="Times New Roman" w:cs="Times New Roman" w:eastAsia="Times New Roman" w:hint="default"/>
        </w:rPr>
        <w:t>2014</w:t>
      </w:r>
      <w:r>
        <w:rPr/>
        <w:t>年获得上海市规划布局内重点软件企业证书，公司旗下光典产品在</w:t>
      </w:r>
      <w:r>
        <w:rPr>
          <w:rFonts w:ascii="Times New Roman" w:hAnsi="Times New Roman" w:cs="Times New Roman" w:eastAsia="Times New Roman" w:hint="default"/>
        </w:rPr>
        <w:t>2012-2014</w:t>
      </w:r>
      <w:r>
        <w:rPr/>
        <w:t>年先后获得上海市著名商标和</w:t>
      </w:r>
    </w:p>
    <w:p>
      <w:pPr>
        <w:pStyle w:val="BodyText"/>
        <w:spacing w:line="300" w:lineRule="auto" w:before="0"/>
        <w:ind w:right="1120"/>
        <w:jc w:val="left"/>
      </w:pPr>
      <w:r>
        <w:rPr>
          <w:rFonts w:ascii="Times New Roman" w:hAnsi="Times New Roman" w:cs="Times New Roman" w:eastAsia="Times New Roman" w:hint="default"/>
          <w:spacing w:val="-5"/>
          <w:w w:val="100"/>
        </w:rPr>
        <w:t>“</w:t>
      </w:r>
      <w:r>
        <w:rPr>
          <w:spacing w:val="-5"/>
          <w:w w:val="100"/>
        </w:rPr>
        <w:t>上海名牌</w:t>
      </w:r>
      <w:r>
        <w:rPr>
          <w:rFonts w:ascii="Times New Roman" w:hAnsi="Times New Roman" w:cs="Times New Roman" w:eastAsia="Times New Roman" w:hint="default"/>
          <w:spacing w:val="-5"/>
          <w:w w:val="100"/>
        </w:rPr>
        <w:t>”</w:t>
      </w:r>
      <w:r>
        <w:rPr>
          <w:spacing w:val="-5"/>
          <w:w w:val="100"/>
        </w:rPr>
        <w:t>称号。报告期，公司又荣获</w:t>
      </w:r>
      <w:r>
        <w:rPr>
          <w:spacing w:val="-11"/>
          <w:w w:val="100"/>
        </w:rPr>
        <w:t> </w:t>
      </w:r>
      <w:r>
        <w:rPr>
          <w:rFonts w:ascii="Times New Roman" w:hAnsi="Times New Roman" w:cs="Times New Roman" w:eastAsia="Times New Roman" w:hint="default"/>
          <w:spacing w:val="-4"/>
        </w:rPr>
        <w:t>2015</w:t>
      </w:r>
      <w:r>
        <w:rPr>
          <w:spacing w:val="-4"/>
        </w:rPr>
        <w:t>年上海民营服务企业</w:t>
      </w:r>
      <w:r>
        <w:rPr>
          <w:rFonts w:ascii="Times New Roman" w:hAnsi="Times New Roman" w:cs="Times New Roman" w:eastAsia="Times New Roman" w:hint="default"/>
          <w:spacing w:val="-4"/>
        </w:rPr>
        <w:t>50</w:t>
      </w:r>
      <w:r>
        <w:rPr>
          <w:spacing w:val="-4"/>
        </w:rPr>
        <w:t>强，</w:t>
      </w:r>
      <w:r>
        <w:rPr>
          <w:rFonts w:ascii="Times New Roman" w:hAnsi="Times New Roman" w:cs="Times New Roman" w:eastAsia="Times New Roman" w:hint="default"/>
          <w:spacing w:val="-4"/>
        </w:rPr>
        <w:t>2015</w:t>
      </w:r>
      <w:r>
        <w:rPr>
          <w:spacing w:val="-4"/>
        </w:rPr>
        <w:t>年度上海市明星软件企业</w:t>
      </w:r>
      <w:r>
        <w:rPr>
          <w:rFonts w:ascii="Times New Roman" w:hAnsi="Times New Roman" w:cs="Times New Roman" w:eastAsia="Times New Roman" w:hint="default"/>
          <w:spacing w:val="-4"/>
        </w:rPr>
        <w:t>(</w:t>
      </w:r>
      <w:r>
        <w:rPr>
          <w:spacing w:val="-4"/>
        </w:rPr>
        <w:t>经营型</w:t>
      </w:r>
      <w:r>
        <w:rPr>
          <w:rFonts w:ascii="Times New Roman" w:hAnsi="Times New Roman" w:cs="Times New Roman" w:eastAsia="Times New Roman" w:hint="default"/>
          <w:spacing w:val="-4"/>
        </w:rPr>
        <w:t>)</w:t>
      </w:r>
      <w:r>
        <w:rPr>
          <w:spacing w:val="-4"/>
        </w:rPr>
        <w:t>（创新型）（领</w:t>
      </w:r>
      <w:r>
        <w:rPr/>
        <w:t> 先型），</w:t>
      </w:r>
      <w:r>
        <w:rPr>
          <w:rFonts w:ascii="Times New Roman" w:hAnsi="Times New Roman" w:cs="Times New Roman" w:eastAsia="Times New Roman" w:hint="default"/>
        </w:rPr>
        <w:t>2015</w:t>
      </w:r>
      <w:r>
        <w:rPr/>
        <w:t>年第十九届中国软件博览会上海展团优秀参展企业称号，获得</w:t>
      </w:r>
      <w:r>
        <w:rPr>
          <w:rFonts w:ascii="Times New Roman" w:hAnsi="Times New Roman" w:cs="Times New Roman" w:eastAsia="Times New Roman" w:hint="default"/>
        </w:rPr>
        <w:t>2015</w:t>
      </w:r>
      <w:r>
        <w:rPr/>
        <w:t>年度中国行业信息化最具成长力企业奖。</w:t>
      </w:r>
    </w:p>
    <w:p>
      <w:pPr>
        <w:pStyle w:val="BodyText"/>
        <w:spacing w:line="300" w:lineRule="auto" w:before="13"/>
        <w:ind w:left="1494" w:right="0" w:firstLine="1"/>
        <w:jc w:val="left"/>
      </w:pPr>
      <w:r>
        <w:rPr>
          <w:rFonts w:ascii="Times New Roman" w:hAnsi="Times New Roman" w:cs="Times New Roman" w:eastAsia="Times New Roman" w:hint="default"/>
          <w:b/>
          <w:bCs/>
        </w:rPr>
        <w:t>3</w:t>
      </w:r>
      <w:r>
        <w:rPr>
          <w:rFonts w:ascii="宋体" w:hAnsi="宋体" w:cs="宋体" w:eastAsia="宋体" w:hint="default"/>
          <w:b/>
          <w:bCs/>
        </w:rPr>
        <w:t>、人才储备优势</w:t>
      </w:r>
      <w:r>
        <w:rPr>
          <w:rFonts w:ascii="宋体" w:hAnsi="宋体" w:cs="宋体" w:eastAsia="宋体" w:hint="default"/>
          <w:b/>
          <w:bCs/>
          <w:w w:val="99"/>
        </w:rPr>
        <w:t> </w:t>
      </w:r>
      <w:r>
        <w:rPr>
          <w:spacing w:val="-2"/>
        </w:rPr>
        <w:t>在多年的经营中，公司积累了稳定的、结构合理的高素质人才队伍和拥有丰富现代管理和业务经验的管理团队。公司拥</w:t>
      </w:r>
    </w:p>
    <w:p>
      <w:pPr>
        <w:pStyle w:val="BodyText"/>
        <w:spacing w:line="316" w:lineRule="auto" w:before="31"/>
        <w:ind w:left="1134" w:right="0"/>
        <w:jc w:val="left"/>
      </w:pPr>
      <w:r>
        <w:rPr>
          <w:spacing w:val="-4"/>
        </w:rPr>
        <w:t>有大量既精通行业业务知识，又熟练掌握计算机前沿技术的复合型高端人才。公司还具备具有软件开发经验和团队管理能力、</w:t>
      </w:r>
      <w:r>
        <w:rPr>
          <w:spacing w:val="-44"/>
        </w:rPr>
        <w:t> </w:t>
      </w:r>
      <w:r>
        <w:rPr>
          <w:spacing w:val="-44"/>
        </w:rPr>
      </w:r>
      <w:r>
        <w:rPr/>
        <w:t>熟悉项目开发规范的管理人才和专业的市场营销人才，能够准确把握行业发展趋势，具备很强的市场开拓能力。</w:t>
      </w:r>
    </w:p>
    <w:p>
      <w:pPr>
        <w:pStyle w:val="BodyText"/>
        <w:spacing w:line="312" w:lineRule="auto" w:before="19"/>
        <w:ind w:right="1131" w:firstLine="360"/>
        <w:jc w:val="both"/>
      </w:pPr>
      <w:r>
        <w:rPr>
          <w:spacing w:val="-2"/>
        </w:rPr>
        <w:t>人才是公司核心竞争力之一，因此，公司非常注重人才培养和培训机制的建设，设有专门的企业内部培训机构</w:t>
      </w:r>
      <w:r>
        <w:rPr>
          <w:rFonts w:ascii="Times New Roman" w:hAnsi="Times New Roman" w:cs="Times New Roman" w:eastAsia="Times New Roman" w:hint="default"/>
          <w:spacing w:val="-2"/>
        </w:rPr>
        <w:t>——</w:t>
      </w:r>
      <w:r>
        <w:rPr>
          <w:spacing w:val="-2"/>
        </w:rPr>
        <w:t>中信</w:t>
      </w:r>
      <w:r>
        <w:rPr/>
        <w:t> </w:t>
      </w:r>
      <w:r>
        <w:rPr>
          <w:spacing w:val="-2"/>
        </w:rPr>
        <w:t>学院。不定期聘请内、外部教师和专家担任顾问或者讲师，对各个岗位员工进行岗位培训和业务技术知识的指导，并且实施</w:t>
      </w:r>
      <w:r>
        <w:rPr>
          <w:spacing w:val="-66"/>
        </w:rPr>
        <w:t> </w:t>
      </w:r>
      <w:r>
        <w:rPr>
          <w:spacing w:val="-66"/>
        </w:rPr>
      </w:r>
      <w:r>
        <w:rPr>
          <w:spacing w:val="-2"/>
        </w:rPr>
        <w:t>了系统性的人才培养体系，制定了人才考核制度。因材施教，结合各个岗位员工的不同阶段，建立系统性的企业人才培育策</w:t>
      </w:r>
      <w:r>
        <w:rPr>
          <w:spacing w:val="-66"/>
        </w:rPr>
        <w:t> </w:t>
      </w:r>
      <w:r>
        <w:rPr>
          <w:spacing w:val="-66"/>
        </w:rPr>
      </w:r>
      <w:r>
        <w:rPr/>
        <w:t>略及相应的培训课程设置，为公司长期稳定的发展与积极创新的活力提供了人才资源的保障。</w:t>
      </w:r>
    </w:p>
    <w:p>
      <w:pPr>
        <w:pStyle w:val="BodyText"/>
        <w:spacing w:line="300" w:lineRule="auto" w:before="22"/>
        <w:ind w:left="1493" w:right="0" w:firstLine="1"/>
        <w:jc w:val="left"/>
      </w:pPr>
      <w:r>
        <w:rPr>
          <w:rFonts w:ascii="Times New Roman" w:hAnsi="Times New Roman" w:cs="Times New Roman" w:eastAsia="Times New Roman" w:hint="default"/>
          <w:b/>
          <w:bCs/>
        </w:rPr>
        <w:t>4</w:t>
      </w:r>
      <w:r>
        <w:rPr>
          <w:rFonts w:ascii="宋体" w:hAnsi="宋体" w:cs="宋体" w:eastAsia="宋体" w:hint="default"/>
          <w:b/>
          <w:bCs/>
        </w:rPr>
        <w:t>、强大的市场开拓能力</w:t>
      </w:r>
      <w:r>
        <w:rPr>
          <w:rFonts w:ascii="宋体" w:hAnsi="宋体" w:cs="宋体" w:eastAsia="宋体" w:hint="default"/>
          <w:b/>
          <w:bCs/>
          <w:w w:val="99"/>
        </w:rPr>
        <w:t> </w:t>
      </w:r>
      <w:r>
        <w:rPr>
          <w:spacing w:val="-2"/>
        </w:rPr>
        <w:t>公司凭借敏锐的市场嗅觉和对行业发展趋势正确的前瞻性判断，牢牢抓住市场发展机遇，提前进行市场布局。截止报告</w:t>
      </w:r>
    </w:p>
    <w:p>
      <w:pPr>
        <w:pStyle w:val="BodyText"/>
        <w:spacing w:line="240" w:lineRule="auto" w:before="31"/>
        <w:ind w:right="0"/>
        <w:jc w:val="left"/>
      </w:pPr>
      <w:r>
        <w:rPr/>
        <w:t>期末，公司已在全国设立</w:t>
      </w:r>
      <w:r>
        <w:rPr>
          <w:rFonts w:ascii="Times New Roman" w:hAnsi="Times New Roman" w:cs="Times New Roman" w:eastAsia="Times New Roman" w:hint="default"/>
        </w:rPr>
        <w:t>26</w:t>
      </w:r>
      <w:r>
        <w:rPr/>
        <w:t>家分公司，覆盖全国</w:t>
      </w:r>
      <w:r>
        <w:rPr>
          <w:rFonts w:ascii="Times New Roman" w:hAnsi="Times New Roman" w:cs="Times New Roman" w:eastAsia="Times New Roman" w:hint="default"/>
        </w:rPr>
        <w:t>23</w:t>
      </w:r>
      <w:r>
        <w:rPr/>
        <w:t>个省份。在业务推广过程中，公司重点采取</w:t>
      </w:r>
      <w:r>
        <w:rPr>
          <w:rFonts w:ascii="Times New Roman" w:hAnsi="Times New Roman" w:cs="Times New Roman" w:eastAsia="Times New Roman" w:hint="default"/>
        </w:rPr>
        <w:t>“</w:t>
      </w:r>
      <w:r>
        <w:rPr/>
        <w:t>占领制高点</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以点带面</w:t>
      </w:r>
      <w:r>
        <w:rPr>
          <w:rFonts w:ascii="Times New Roman" w:hAnsi="Times New Roman" w:cs="Times New Roman" w:eastAsia="Times New Roman" w:hint="default"/>
        </w:rPr>
        <w:t>”</w:t>
      </w:r>
      <w:r>
        <w:rPr/>
        <w:t>、</w:t>
      </w:r>
    </w:p>
    <w:p>
      <w:pPr>
        <w:pStyle w:val="BodyText"/>
        <w:spacing w:line="240" w:lineRule="auto" w:before="63"/>
        <w:ind w:right="0"/>
        <w:jc w:val="left"/>
      </w:pPr>
      <w:r>
        <w:rPr>
          <w:rFonts w:ascii="Times New Roman" w:hAnsi="Times New Roman" w:cs="Times New Roman" w:eastAsia="Times New Roman" w:hint="default"/>
        </w:rPr>
        <w:t>“</w:t>
      </w:r>
      <w:r>
        <w:rPr/>
        <w:t>条块结合</w:t>
      </w:r>
      <w:r>
        <w:rPr>
          <w:rFonts w:ascii="Times New Roman" w:hAnsi="Times New Roman" w:cs="Times New Roman" w:eastAsia="Times New Roman" w:hint="default"/>
        </w:rPr>
        <w:t>”</w:t>
      </w:r>
      <w:r>
        <w:rPr/>
        <w:t>的市场发展策略，以现有的优质客户资源为切入点，以市场机遇作为突破口，充分利用先进、成熟的技术为客户</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ind w:right="1118"/>
        <w:jc w:val="left"/>
      </w:pPr>
      <w:r>
        <w:rPr>
          <w:spacing w:val="-2"/>
        </w:rPr>
        <w:t>提供全方位、一站式的信息化服务，不断开发新的行业应用领域，形成面向不同行业的信息化整体解决方案，实现相关行业</w:t>
      </w:r>
      <w:r>
        <w:rPr>
          <w:spacing w:val="-66"/>
        </w:rPr>
        <w:t> </w:t>
      </w:r>
      <w:r>
        <w:rPr>
          <w:spacing w:val="-66"/>
        </w:rPr>
      </w:r>
      <w:r>
        <w:rPr/>
        <w:t>的纵深拓展。</w:t>
      </w:r>
    </w:p>
    <w:p>
      <w:pPr>
        <w:pStyle w:val="BodyText"/>
        <w:spacing w:line="312" w:lineRule="auto" w:before="19"/>
        <w:ind w:right="1033" w:firstLine="360"/>
        <w:jc w:val="left"/>
      </w:pPr>
      <w:r>
        <w:rPr>
          <w:spacing w:val="-4"/>
        </w:rPr>
        <w:t>近年来，公司的市场开拓效果已逐步呈现，公司在食品流通追溯、档案、政法信息化等领域积累了大量的优质客户资源，</w:t>
      </w:r>
      <w:r>
        <w:rPr/>
        <w:t> </w:t>
      </w:r>
      <w:r>
        <w:rPr>
          <w:spacing w:val="-2"/>
        </w:rPr>
        <w:t>这些客户多为政府机关部门和事业单位，其订单金额较大，信誉度高，账款回收时间短、坏账率低，并且这类客户给予二次</w:t>
      </w:r>
      <w:r>
        <w:rPr>
          <w:spacing w:val="-65"/>
        </w:rPr>
        <w:t> </w:t>
      </w:r>
      <w:r>
        <w:rPr>
          <w:spacing w:val="-65"/>
        </w:rPr>
      </w:r>
      <w:r>
        <w:rPr/>
        <w:t>订单的合同续签率较高，具备较高的客户忠诚度，与公司保持长期的合作关系。全国范围内，仅</w:t>
      </w:r>
      <w:r>
        <w:rPr>
          <w:rFonts w:ascii="Times New Roman" w:hAnsi="Times New Roman" w:cs="Times New Roman" w:eastAsia="Times New Roman" w:hint="default"/>
        </w:rPr>
        <w:t>2015</w:t>
      </w:r>
      <w:r>
        <w:rPr/>
        <w:t>年度新增客户就有</w:t>
      </w:r>
      <w:r>
        <w:rPr>
          <w:rFonts w:ascii="Times New Roman" w:hAnsi="Times New Roman" w:cs="Times New Roman" w:eastAsia="Times New Roman" w:hint="default"/>
        </w:rPr>
        <w:t>504</w:t>
      </w:r>
      <w:r>
        <w:rPr>
          <w:rFonts w:ascii="Times New Roman" w:hAnsi="Times New Roman" w:cs="Times New Roman" w:eastAsia="Times New Roman" w:hint="default"/>
          <w:spacing w:val="-37"/>
        </w:rPr>
        <w:t> </w:t>
      </w:r>
      <w:r>
        <w:rPr/>
        <w:t>家。</w:t>
      </w:r>
    </w:p>
    <w:p>
      <w:pPr>
        <w:pStyle w:val="BodyText"/>
        <w:spacing w:line="300" w:lineRule="auto" w:before="22"/>
        <w:ind w:left="1494" w:right="0" w:firstLine="1"/>
        <w:jc w:val="left"/>
      </w:pPr>
      <w:r>
        <w:rPr>
          <w:rFonts w:ascii="Times New Roman" w:hAnsi="Times New Roman" w:cs="Times New Roman" w:eastAsia="Times New Roman" w:hint="default"/>
          <w:b/>
          <w:bCs/>
        </w:rPr>
        <w:t>5</w:t>
      </w:r>
      <w:r>
        <w:rPr>
          <w:rFonts w:ascii="宋体" w:hAnsi="宋体" w:cs="宋体" w:eastAsia="宋体" w:hint="default"/>
          <w:b/>
          <w:bCs/>
        </w:rPr>
        <w:t>、先进的研发理念</w:t>
      </w:r>
      <w:r>
        <w:rPr>
          <w:rFonts w:ascii="宋体" w:hAnsi="宋体" w:cs="宋体" w:eastAsia="宋体" w:hint="default"/>
          <w:b/>
          <w:bCs/>
          <w:w w:val="99"/>
        </w:rPr>
        <w:t> </w:t>
      </w:r>
      <w:r>
        <w:rPr/>
        <w:t>公司十分注重自主创新研发能力的建设，把自主创新研发作为立足市场不败之地的法宝，为此公司推出了</w:t>
      </w:r>
      <w:r>
        <w:rPr>
          <w:rFonts w:ascii="Times New Roman" w:hAnsi="Times New Roman" w:cs="Times New Roman" w:eastAsia="Times New Roman" w:hint="default"/>
        </w:rPr>
        <w:t>“</w:t>
      </w:r>
      <w:r>
        <w:rPr/>
        <w:t>产品花园模</w:t>
      </w:r>
    </w:p>
    <w:p>
      <w:pPr>
        <w:pStyle w:val="BodyText"/>
        <w:spacing w:line="300" w:lineRule="auto" w:before="13"/>
        <w:ind w:left="1493" w:right="0" w:hanging="360"/>
        <w:jc w:val="left"/>
      </w:pPr>
      <w:r>
        <w:rPr/>
        <w:t>型</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软件工厂模型</w:t>
      </w:r>
      <w:r>
        <w:rPr>
          <w:rFonts w:ascii="Times New Roman" w:hAnsi="Times New Roman" w:cs="Times New Roman" w:eastAsia="Times New Roman" w:hint="default"/>
        </w:rPr>
        <w:t>”</w:t>
      </w:r>
      <w:r>
        <w:rPr/>
        <w:t>两大先进的研发理念，提高产品研发效率，提升公司的创新能力及核心竞争力。 </w:t>
      </w:r>
      <w:r>
        <w:rPr>
          <w:spacing w:val="-2"/>
        </w:rPr>
        <w:t>公司建立了档案系列、食品流通追溯系列、司法监狱系列、政务办公系列和文博系列五大</w:t>
      </w:r>
      <w:r>
        <w:rPr>
          <w:rFonts w:ascii="Times New Roman" w:hAnsi="Times New Roman" w:cs="Times New Roman" w:eastAsia="Times New Roman" w:hint="default"/>
          <w:spacing w:val="-2"/>
        </w:rPr>
        <w:t>“</w:t>
      </w:r>
      <w:r>
        <w:rPr>
          <w:spacing w:val="-2"/>
        </w:rPr>
        <w:t>应用产品树</w:t>
      </w:r>
      <w:r>
        <w:rPr>
          <w:rFonts w:ascii="Times New Roman" w:hAnsi="Times New Roman" w:cs="Times New Roman" w:eastAsia="Times New Roman" w:hint="default"/>
          <w:spacing w:val="-2"/>
        </w:rPr>
        <w:t>”</w:t>
      </w:r>
      <w:r>
        <w:rPr>
          <w:spacing w:val="-2"/>
        </w:rPr>
        <w:t>，在各个领域中</w:t>
      </w:r>
    </w:p>
    <w:p>
      <w:pPr>
        <w:pStyle w:val="BodyText"/>
        <w:spacing w:line="307" w:lineRule="auto" w:before="13"/>
        <w:ind w:right="1129"/>
        <w:jc w:val="both"/>
      </w:pPr>
      <w:r>
        <w:rPr>
          <w:spacing w:val="-2"/>
        </w:rPr>
        <w:t>不断推陈出新具有自主知识产权的软件产品和整体解决方案，实现应用产品树上的</w:t>
      </w:r>
      <w:r>
        <w:rPr>
          <w:rFonts w:ascii="Times New Roman" w:hAnsi="Times New Roman" w:cs="Times New Roman" w:eastAsia="Times New Roman" w:hint="default"/>
          <w:spacing w:val="-2"/>
        </w:rPr>
        <w:t>“</w:t>
      </w:r>
      <w:r>
        <w:rPr>
          <w:spacing w:val="-2"/>
        </w:rPr>
        <w:t>繁茂枝叶</w:t>
      </w:r>
      <w:r>
        <w:rPr>
          <w:rFonts w:ascii="Times New Roman" w:hAnsi="Times New Roman" w:cs="Times New Roman" w:eastAsia="Times New Roman" w:hint="default"/>
          <w:spacing w:val="-2"/>
        </w:rPr>
        <w:t>”</w:t>
      </w:r>
      <w:r>
        <w:rPr>
          <w:spacing w:val="-2"/>
        </w:rPr>
        <w:t>。公司的平台软件系列（包括</w:t>
      </w:r>
      <w:r>
        <w:rPr>
          <w:spacing w:val="-45"/>
        </w:rPr>
        <w:t> </w:t>
      </w:r>
      <w:r>
        <w:rPr>
          <w:spacing w:val="-45"/>
        </w:rPr>
      </w:r>
      <w:r>
        <w:rPr>
          <w:spacing w:val="-2"/>
        </w:rPr>
        <w:t>系统管理平台、基础组件平台、即时通讯平台等）和工具软件系列（包括通用数据采集工具、电子文件检测工具、通用文件</w:t>
      </w:r>
      <w:r>
        <w:rPr>
          <w:spacing w:val="-68"/>
        </w:rPr>
        <w:t> </w:t>
      </w:r>
      <w:r>
        <w:rPr>
          <w:spacing w:val="-68"/>
        </w:rPr>
      </w:r>
      <w:r>
        <w:rPr>
          <w:spacing w:val="-1"/>
        </w:rPr>
        <w:t>浏览器等）犹如</w:t>
      </w:r>
      <w:r>
        <w:rPr>
          <w:rFonts w:ascii="Times New Roman" w:hAnsi="Times New Roman" w:cs="Times New Roman" w:eastAsia="Times New Roman" w:hint="default"/>
          <w:spacing w:val="-1"/>
        </w:rPr>
        <w:t>“</w:t>
      </w:r>
      <w:r>
        <w:rPr>
          <w:spacing w:val="-1"/>
        </w:rPr>
        <w:t>肥沃的土壤</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坚实的围栏</w:t>
      </w:r>
      <w:r>
        <w:rPr>
          <w:rFonts w:ascii="Times New Roman" w:hAnsi="Times New Roman" w:cs="Times New Roman" w:eastAsia="Times New Roman" w:hint="default"/>
          <w:spacing w:val="-1"/>
        </w:rPr>
        <w:t>”</w:t>
      </w:r>
      <w:r>
        <w:rPr>
          <w:spacing w:val="-1"/>
        </w:rPr>
        <w:t>，为应用软件产品提供了基础和保障，滋润和保障着公司</w:t>
      </w:r>
      <w:r>
        <w:rPr>
          <w:rFonts w:ascii="Times New Roman" w:hAnsi="Times New Roman" w:cs="Times New Roman" w:eastAsia="Times New Roman" w:hint="default"/>
          <w:spacing w:val="-1"/>
        </w:rPr>
        <w:t>“</w:t>
      </w:r>
      <w:r>
        <w:rPr>
          <w:spacing w:val="-1"/>
        </w:rPr>
        <w:t>应用产品树</w:t>
      </w:r>
      <w:r>
        <w:rPr>
          <w:rFonts w:ascii="Times New Roman" w:hAnsi="Times New Roman" w:cs="Times New Roman" w:eastAsia="Times New Roman" w:hint="default"/>
          <w:spacing w:val="-1"/>
        </w:rPr>
        <w:t>”</w:t>
      </w:r>
      <w:r>
        <w:rPr>
          <w:spacing w:val="-1"/>
        </w:rPr>
        <w:t>的茁壮</w:t>
      </w:r>
      <w:r>
        <w:rPr>
          <w:spacing w:val="-58"/>
        </w:rPr>
        <w:t> </w:t>
      </w:r>
      <w:r>
        <w:rPr/>
        <w:t>成长，构建了公司</w:t>
      </w:r>
      <w:r>
        <w:rPr>
          <w:rFonts w:ascii="Times New Roman" w:hAnsi="Times New Roman" w:cs="Times New Roman" w:eastAsia="Times New Roman" w:hint="default"/>
        </w:rPr>
        <w:t>“</w:t>
      </w:r>
      <w:r>
        <w:rPr/>
        <w:t>产品花园模型</w:t>
      </w:r>
      <w:r>
        <w:rPr>
          <w:rFonts w:ascii="Times New Roman" w:hAnsi="Times New Roman" w:cs="Times New Roman" w:eastAsia="Times New Roman" w:hint="default"/>
        </w:rPr>
        <w:t>”</w:t>
      </w:r>
      <w:r>
        <w:rPr/>
        <w:t>。</w:t>
      </w:r>
    </w:p>
    <w:p>
      <w:pPr>
        <w:pStyle w:val="BodyText"/>
        <w:spacing w:line="300" w:lineRule="auto" w:before="7"/>
        <w:ind w:right="1130" w:firstLine="360"/>
        <w:jc w:val="both"/>
      </w:pPr>
      <w:r>
        <w:rPr/>
        <w:t>同时</w:t>
      </w:r>
      <w:r>
        <w:rPr>
          <w:rFonts w:ascii="Times New Roman" w:hAnsi="Times New Roman" w:cs="Times New Roman" w:eastAsia="Times New Roman" w:hint="default"/>
        </w:rPr>
        <w:t>,</w:t>
      </w:r>
      <w:r>
        <w:rPr/>
        <w:t>公司着力于建立一个类似于工业化工厂运行模式的</w:t>
      </w:r>
      <w:r>
        <w:rPr>
          <w:rFonts w:ascii="Times New Roman" w:hAnsi="Times New Roman" w:cs="Times New Roman" w:eastAsia="Times New Roman" w:hint="default"/>
        </w:rPr>
        <w:t>“</w:t>
      </w:r>
      <w:r>
        <w:rPr/>
        <w:t>应用软件工厂</w:t>
      </w:r>
      <w:r>
        <w:rPr>
          <w:rFonts w:ascii="Times New Roman" w:hAnsi="Times New Roman" w:cs="Times New Roman" w:eastAsia="Times New Roman" w:hint="default"/>
        </w:rPr>
        <w:t>”</w:t>
      </w:r>
      <w:r>
        <w:rPr/>
        <w:t>，全面优化应用软件</w:t>
      </w:r>
      <w:r>
        <w:rPr>
          <w:rFonts w:ascii="Times New Roman" w:hAnsi="Times New Roman" w:cs="Times New Roman" w:eastAsia="Times New Roman" w:hint="default"/>
        </w:rPr>
        <w:t>“</w:t>
      </w:r>
      <w:r>
        <w:rPr/>
        <w:t>加工流水线</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产品装配 </w:t>
      </w:r>
      <w:r>
        <w:rPr>
          <w:spacing w:val="-2"/>
        </w:rPr>
        <w:t>线</w:t>
      </w:r>
      <w:r>
        <w:rPr>
          <w:rFonts w:ascii="Times New Roman" w:hAnsi="Times New Roman" w:cs="Times New Roman" w:eastAsia="Times New Roman" w:hint="default"/>
          <w:spacing w:val="-2"/>
        </w:rPr>
        <w:t>”</w:t>
      </w:r>
      <w:r>
        <w:rPr>
          <w:spacing w:val="-2"/>
        </w:rPr>
        <w:t>，提升</w:t>
      </w:r>
      <w:r>
        <w:rPr>
          <w:rFonts w:ascii="Times New Roman" w:hAnsi="Times New Roman" w:cs="Times New Roman" w:eastAsia="Times New Roman" w:hint="default"/>
          <w:spacing w:val="-2"/>
        </w:rPr>
        <w:t>“</w:t>
      </w:r>
      <w:r>
        <w:rPr>
          <w:spacing w:val="-2"/>
        </w:rPr>
        <w:t>管控系统</w:t>
      </w:r>
      <w:r>
        <w:rPr>
          <w:rFonts w:ascii="Times New Roman" w:hAnsi="Times New Roman" w:cs="Times New Roman" w:eastAsia="Times New Roman" w:hint="default"/>
          <w:spacing w:val="-2"/>
        </w:rPr>
        <w:t>”</w:t>
      </w:r>
      <w:r>
        <w:rPr>
          <w:spacing w:val="-2"/>
        </w:rPr>
        <w:t>的有效性，更新</w:t>
      </w:r>
      <w:r>
        <w:rPr>
          <w:rFonts w:ascii="Times New Roman" w:hAnsi="Times New Roman" w:cs="Times New Roman" w:eastAsia="Times New Roman" w:hint="default"/>
          <w:spacing w:val="-2"/>
        </w:rPr>
        <w:t>“</w:t>
      </w:r>
      <w:r>
        <w:rPr>
          <w:spacing w:val="-2"/>
        </w:rPr>
        <w:t>零部件</w:t>
      </w:r>
      <w:r>
        <w:rPr>
          <w:rFonts w:ascii="Times New Roman" w:hAnsi="Times New Roman" w:cs="Times New Roman" w:eastAsia="Times New Roman" w:hint="default"/>
          <w:spacing w:val="-2"/>
        </w:rPr>
        <w:t>”</w:t>
      </w:r>
      <w:r>
        <w:rPr>
          <w:spacing w:val="-2"/>
        </w:rPr>
        <w:t>，升级</w:t>
      </w:r>
      <w:r>
        <w:rPr>
          <w:rFonts w:ascii="Times New Roman" w:hAnsi="Times New Roman" w:cs="Times New Roman" w:eastAsia="Times New Roman" w:hint="default"/>
          <w:spacing w:val="-2"/>
        </w:rPr>
        <w:t>“</w:t>
      </w:r>
      <w:r>
        <w:rPr>
          <w:spacing w:val="-2"/>
        </w:rPr>
        <w:t>各类工具</w:t>
      </w:r>
      <w:r>
        <w:rPr>
          <w:rFonts w:ascii="Times New Roman" w:hAnsi="Times New Roman" w:cs="Times New Roman" w:eastAsia="Times New Roman" w:hint="default"/>
          <w:spacing w:val="-2"/>
        </w:rPr>
        <w:t>”</w:t>
      </w:r>
      <w:r>
        <w:rPr>
          <w:spacing w:val="-2"/>
        </w:rPr>
        <w:t>，让业务构件充满</w:t>
      </w:r>
      <w:r>
        <w:rPr>
          <w:rFonts w:ascii="Times New Roman" w:hAnsi="Times New Roman" w:cs="Times New Roman" w:eastAsia="Times New Roman" w:hint="default"/>
          <w:spacing w:val="-2"/>
        </w:rPr>
        <w:t>“</w:t>
      </w:r>
      <w:r>
        <w:rPr>
          <w:spacing w:val="-2"/>
        </w:rPr>
        <w:t>成品仓库</w:t>
      </w:r>
      <w:r>
        <w:rPr>
          <w:rFonts w:ascii="Times New Roman" w:hAnsi="Times New Roman" w:cs="Times New Roman" w:eastAsia="Times New Roman" w:hint="default"/>
          <w:spacing w:val="-2"/>
        </w:rPr>
        <w:t>”</w:t>
      </w:r>
      <w:r>
        <w:rPr>
          <w:spacing w:val="-2"/>
        </w:rPr>
        <w:t>，在此基础上，科学合理地设</w:t>
      </w:r>
      <w:r>
        <w:rPr>
          <w:spacing w:val="-63"/>
        </w:rPr>
        <w:t> </w:t>
      </w:r>
      <w:r>
        <w:rPr>
          <w:spacing w:val="-63"/>
        </w:rPr>
      </w:r>
      <w:r>
        <w:rPr/>
        <w:t>计制定</w:t>
      </w:r>
      <w:r>
        <w:rPr>
          <w:rFonts w:ascii="Times New Roman" w:hAnsi="Times New Roman" w:cs="Times New Roman" w:eastAsia="Times New Roman" w:hint="default"/>
        </w:rPr>
        <w:t>“</w:t>
      </w:r>
      <w:r>
        <w:rPr/>
        <w:t>工艺操作计划、流程和指导书</w:t>
      </w:r>
      <w:r>
        <w:rPr>
          <w:rFonts w:ascii="Times New Roman" w:hAnsi="Times New Roman" w:cs="Times New Roman" w:eastAsia="Times New Roman" w:hint="default"/>
        </w:rPr>
        <w:t>”</w:t>
      </w:r>
      <w:r>
        <w:rPr/>
        <w:t>，最终实现交付产品性能和用户满意度的进一步提高。</w:t>
      </w:r>
    </w:p>
    <w:p>
      <w:pPr>
        <w:pStyle w:val="BodyText"/>
        <w:spacing w:line="300" w:lineRule="auto" w:before="13"/>
        <w:ind w:left="1494" w:right="1123" w:firstLine="1"/>
        <w:jc w:val="left"/>
        <w:rPr>
          <w:rFonts w:ascii="Times New Roman" w:hAnsi="Times New Roman" w:cs="Times New Roman" w:eastAsia="Times New Roman" w:hint="default"/>
        </w:rPr>
      </w:pPr>
      <w:r>
        <w:rPr>
          <w:rFonts w:ascii="Times New Roman" w:hAnsi="Times New Roman" w:cs="Times New Roman" w:eastAsia="Times New Roman" w:hint="default"/>
          <w:b/>
          <w:bCs/>
        </w:rPr>
        <w:t>6</w:t>
      </w:r>
      <w:r>
        <w:rPr>
          <w:rFonts w:ascii="宋体" w:hAnsi="宋体" w:cs="宋体" w:eastAsia="宋体" w:hint="default"/>
          <w:b/>
          <w:bCs/>
        </w:rPr>
        <w:t>、高效的服务体系</w:t>
      </w:r>
      <w:r>
        <w:rPr>
          <w:rFonts w:ascii="宋体" w:hAnsi="宋体" w:cs="宋体" w:eastAsia="宋体" w:hint="default"/>
          <w:b/>
          <w:bCs/>
          <w:w w:val="99"/>
        </w:rPr>
        <w:t> </w:t>
      </w:r>
      <w:r>
        <w:rPr>
          <w:spacing w:val="-5"/>
        </w:rPr>
        <w:t>公司于</w:t>
      </w:r>
      <w:r>
        <w:rPr>
          <w:rFonts w:ascii="Times New Roman" w:hAnsi="Times New Roman" w:cs="Times New Roman" w:eastAsia="Times New Roman" w:hint="default"/>
          <w:spacing w:val="-5"/>
        </w:rPr>
        <w:t>2004</w:t>
      </w:r>
      <w:r>
        <w:rPr>
          <w:spacing w:val="-5"/>
        </w:rPr>
        <w:t>年创立了</w:t>
      </w:r>
      <w:r>
        <w:rPr>
          <w:rFonts w:ascii="Times New Roman" w:hAnsi="Times New Roman" w:cs="Times New Roman" w:eastAsia="Times New Roman" w:hint="default"/>
          <w:spacing w:val="-5"/>
        </w:rPr>
        <w:t>“S1”</w:t>
      </w:r>
      <w:r>
        <w:rPr>
          <w:spacing w:val="-5"/>
        </w:rPr>
        <w:t>服务品牌（即服务</w:t>
      </w:r>
      <w:r>
        <w:rPr>
          <w:rFonts w:ascii="Times New Roman" w:hAnsi="Times New Roman" w:cs="Times New Roman" w:eastAsia="Times New Roman" w:hint="default"/>
          <w:spacing w:val="-5"/>
        </w:rPr>
        <w:t>Service</w:t>
      </w:r>
      <w:r>
        <w:rPr>
          <w:spacing w:val="-5"/>
        </w:rPr>
        <w:t>第一、速度</w:t>
      </w:r>
      <w:r>
        <w:rPr>
          <w:rFonts w:ascii="Times New Roman" w:hAnsi="Times New Roman" w:cs="Times New Roman" w:eastAsia="Times New Roman" w:hint="default"/>
          <w:spacing w:val="-5"/>
        </w:rPr>
        <w:t>Speed</w:t>
      </w:r>
      <w:r>
        <w:rPr>
          <w:spacing w:val="-5"/>
        </w:rPr>
        <w:t>第一、安全</w:t>
      </w:r>
      <w:r>
        <w:rPr>
          <w:rFonts w:ascii="Times New Roman" w:hAnsi="Times New Roman" w:cs="Times New Roman" w:eastAsia="Times New Roman" w:hint="default"/>
          <w:spacing w:val="-5"/>
        </w:rPr>
        <w:t>Security</w:t>
      </w:r>
      <w:r>
        <w:rPr>
          <w:spacing w:val="-5"/>
        </w:rPr>
        <w:t>第一、态度</w:t>
      </w:r>
      <w:r>
        <w:rPr>
          <w:rFonts w:ascii="Times New Roman" w:hAnsi="Times New Roman" w:cs="Times New Roman" w:eastAsia="Times New Roman" w:hint="default"/>
          <w:spacing w:val="-5"/>
        </w:rPr>
        <w:t>Smile</w:t>
      </w:r>
      <w:r>
        <w:rPr>
          <w:spacing w:val="-5"/>
        </w:rPr>
        <w:t>第一、规范</w:t>
      </w:r>
      <w:r>
        <w:rPr>
          <w:rFonts w:ascii="Times New Roman" w:hAnsi="Times New Roman" w:cs="Times New Roman" w:eastAsia="Times New Roman" w:hint="default"/>
          <w:spacing w:val="-5"/>
        </w:rPr>
        <w:t>Standard</w:t>
      </w:r>
    </w:p>
    <w:p>
      <w:pPr>
        <w:pStyle w:val="BodyText"/>
        <w:spacing w:line="300" w:lineRule="auto" w:before="13"/>
        <w:ind w:right="1132"/>
        <w:jc w:val="both"/>
      </w:pPr>
      <w:r>
        <w:rPr>
          <w:spacing w:val="-2"/>
        </w:rPr>
        <w:t>第一、保障</w:t>
      </w:r>
      <w:r>
        <w:rPr>
          <w:rFonts w:ascii="Times New Roman" w:hAnsi="Times New Roman" w:cs="Times New Roman" w:eastAsia="Times New Roman" w:hint="default"/>
          <w:spacing w:val="-2"/>
        </w:rPr>
        <w:t>System</w:t>
      </w:r>
      <w:r>
        <w:rPr>
          <w:spacing w:val="-2"/>
        </w:rPr>
        <w:t>第一）。</w:t>
      </w:r>
      <w:r>
        <w:rPr>
          <w:rFonts w:ascii="Times New Roman" w:hAnsi="Times New Roman" w:cs="Times New Roman" w:eastAsia="Times New Roman" w:hint="default"/>
          <w:spacing w:val="-2"/>
        </w:rPr>
        <w:t>“S1”</w:t>
      </w:r>
      <w:r>
        <w:rPr>
          <w:spacing w:val="-2"/>
        </w:rPr>
        <w:t>服务在服务时间上，为客户提供</w:t>
      </w:r>
      <w:r>
        <w:rPr>
          <w:rFonts w:ascii="Times New Roman" w:hAnsi="Times New Roman" w:cs="Times New Roman" w:eastAsia="Times New Roman" w:hint="default"/>
          <w:spacing w:val="-2"/>
        </w:rPr>
        <w:t>7*24</w:t>
      </w:r>
      <w:r>
        <w:rPr>
          <w:spacing w:val="-2"/>
        </w:rPr>
        <w:t>小时不间断服务；在服务内容上，为客户提供软件服务</w:t>
      </w:r>
      <w:r>
        <w:rPr>
          <w:spacing w:val="-36"/>
        </w:rPr>
        <w:t> </w:t>
      </w:r>
      <w:r>
        <w:rPr>
          <w:spacing w:val="-36"/>
        </w:rPr>
      </w:r>
      <w:r>
        <w:rPr/>
        <w:t>与硬件服务；在服务形式上，为客户提供应急服务、常驻服务和集成服务，以保证全方位满足用户需求。</w:t>
      </w:r>
    </w:p>
    <w:p>
      <w:pPr>
        <w:pStyle w:val="BodyText"/>
        <w:spacing w:line="300" w:lineRule="auto" w:before="31"/>
        <w:ind w:left="1134" w:right="1130" w:firstLine="360"/>
        <w:jc w:val="both"/>
      </w:pPr>
      <w:r>
        <w:rPr/>
        <w:t>自</w:t>
      </w:r>
      <w:r>
        <w:rPr>
          <w:rFonts w:ascii="Times New Roman" w:hAnsi="Times New Roman" w:cs="Times New Roman" w:eastAsia="Times New Roman" w:hint="default"/>
        </w:rPr>
        <w:t>2008</w:t>
      </w:r>
      <w:r>
        <w:rPr/>
        <w:t>年以来，公司不断提高全国市场的客户服务水平，开通了全国统一的</w:t>
      </w:r>
      <w:r>
        <w:rPr>
          <w:rFonts w:ascii="Times New Roman" w:hAnsi="Times New Roman" w:cs="Times New Roman" w:eastAsia="Times New Roman" w:hint="default"/>
        </w:rPr>
        <w:t>400</w:t>
      </w:r>
      <w:r>
        <w:rPr/>
        <w:t>服务热线，并逐步建立了各家分公司的 全国营销服务网络，能够及时、持续、有效地为客户提供配套软件产品和系统集成服务的售后技术支持。</w:t>
      </w:r>
    </w:p>
    <w:p>
      <w:pPr>
        <w:pStyle w:val="BodyText"/>
        <w:spacing w:line="300" w:lineRule="auto" w:before="31"/>
        <w:ind w:left="1134" w:right="1139" w:firstLine="360"/>
        <w:jc w:val="both"/>
      </w:pPr>
      <w:r>
        <w:rPr/>
        <w:t>公司创新的</w:t>
      </w:r>
      <w:r>
        <w:rPr>
          <w:rFonts w:ascii="Times New Roman" w:hAnsi="Times New Roman" w:cs="Times New Roman" w:eastAsia="Times New Roman" w:hint="default"/>
        </w:rPr>
        <w:t>S1</w:t>
      </w:r>
      <w:r>
        <w:rPr/>
        <w:t>服务理念，不仅是公司服务的保障，也为公司赢得了客户口碑与满意度，成为了公司核心竞争力的一大 重要因素。</w:t>
      </w:r>
    </w:p>
    <w:p>
      <w:pPr>
        <w:spacing w:after="0" w:line="300"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3403"/>
        <w:jc w:val="center"/>
        <w:rPr>
          <w:b w:val="0"/>
          <w:bCs w:val="0"/>
        </w:rPr>
      </w:pPr>
      <w:bookmarkStart w:name="_TOC_250007" w:id="22"/>
      <w:bookmarkStart w:name="第四节 管理层讨论与分析" w:id="23"/>
      <w:r>
        <w:rPr>
          <w:b w:val="0"/>
          <w:bCs w:val="0"/>
        </w:rPr>
      </w:r>
      <w:r>
        <w:rPr/>
        <w:t>第四节</w:t>
      </w:r>
      <w:r>
        <w:rPr>
          <w:spacing w:val="-9"/>
        </w:rPr>
        <w:t> </w:t>
      </w:r>
      <w:r>
        <w:rPr/>
        <w:t>管理层讨论与分析</w:t>
      </w:r>
      <w:bookmarkEnd w:id="2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0"/>
        <w:jc w:val="both"/>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9" w:lineRule="auto" w:before="0"/>
        <w:ind w:right="1033" w:firstLine="360"/>
        <w:jc w:val="left"/>
      </w:pPr>
      <w:r>
        <w:rPr>
          <w:rFonts w:ascii="Times New Roman" w:hAnsi="Times New Roman" w:cs="Times New Roman" w:eastAsia="Times New Roman" w:hint="default"/>
          <w:spacing w:val="-4"/>
        </w:rPr>
        <w:t>2015</w:t>
      </w:r>
      <w:r>
        <w:rPr>
          <w:spacing w:val="-4"/>
        </w:rPr>
        <w:t>年，在公司的发展历程中具有重要的里程碑意义，公司在深圳证券交易所成功上市，给公司带来了快速发展的契机，</w:t>
      </w:r>
      <w:r>
        <w:rPr/>
        <w:t> 行业知名度和市场美誉度大幅提升，促使公司的软实力和行业影响力不断增强。伴随着软件行业及其食品流通追溯、档案、 政法信息化细分行业持续良好的发展态势，公司全体员工砥砺同心，秉承</w:t>
      </w:r>
      <w:r>
        <w:rPr>
          <w:rFonts w:ascii="Times New Roman" w:hAnsi="Times New Roman" w:cs="Times New Roman" w:eastAsia="Times New Roman" w:hint="default"/>
        </w:rPr>
        <w:t>“</w:t>
      </w:r>
      <w:r>
        <w:rPr/>
        <w:t>诚信为先、以人为本、同舟共济、追求卓越</w:t>
      </w:r>
      <w:r>
        <w:rPr>
          <w:rFonts w:ascii="Times New Roman" w:hAnsi="Times New Roman" w:cs="Times New Roman" w:eastAsia="Times New Roman" w:hint="default"/>
        </w:rPr>
        <w:t>”</w:t>
      </w:r>
      <w:r>
        <w:rPr/>
        <w:t>的企 </w:t>
      </w:r>
      <w:r>
        <w:rPr>
          <w:spacing w:val="-2"/>
        </w:rPr>
        <w:t>业核心价值观，以研发创新为核心，以市场需求为导向，不断开发具有自主知识产权的软件核心产品，丰富和完善整体解决</w:t>
      </w:r>
      <w:r>
        <w:rPr>
          <w:spacing w:val="-66"/>
        </w:rPr>
        <w:t> </w:t>
      </w:r>
      <w:r>
        <w:rPr>
          <w:spacing w:val="-66"/>
        </w:rPr>
      </w:r>
      <w:r>
        <w:rPr/>
        <w:t>方案，为公司持续、稳健发展奠定了良好基础。</w:t>
      </w:r>
    </w:p>
    <w:p>
      <w:pPr>
        <w:pStyle w:val="BodyText"/>
        <w:spacing w:line="300" w:lineRule="auto" w:before="24"/>
        <w:ind w:right="1183" w:firstLine="360"/>
        <w:jc w:val="left"/>
      </w:pPr>
      <w:r>
        <w:rPr/>
        <w:t>报告期内，公司实现营业收入</w:t>
      </w:r>
      <w:r>
        <w:rPr>
          <w:rFonts w:ascii="Times New Roman" w:hAnsi="Times New Roman" w:cs="Times New Roman" w:eastAsia="Times New Roman" w:hint="default"/>
        </w:rPr>
        <w:t>4.38</w:t>
      </w:r>
      <w:r>
        <w:rPr/>
        <w:t>亿元，较上年同期增长</w:t>
      </w:r>
      <w:r>
        <w:rPr>
          <w:rFonts w:ascii="Times New Roman" w:hAnsi="Times New Roman" w:cs="Times New Roman" w:eastAsia="Times New Roman" w:hint="default"/>
        </w:rPr>
        <w:t>18.89%</w:t>
      </w:r>
      <w:r>
        <w:rPr/>
        <w:t>；营业利润</w:t>
      </w:r>
      <w:r>
        <w:rPr>
          <w:rFonts w:ascii="Times New Roman" w:hAnsi="Times New Roman" w:cs="Times New Roman" w:eastAsia="Times New Roman" w:hint="default"/>
        </w:rPr>
        <w:t>2444.54</w:t>
      </w:r>
      <w:r>
        <w:rPr/>
        <w:t>万元，较上年同期减少</w:t>
      </w:r>
      <w:r>
        <w:rPr>
          <w:rFonts w:ascii="Times New Roman" w:hAnsi="Times New Roman" w:cs="Times New Roman" w:eastAsia="Times New Roman" w:hint="default"/>
        </w:rPr>
        <w:t>29.79%</w:t>
      </w:r>
      <w:r>
        <w:rPr/>
        <w:t>；归</w:t>
      </w:r>
      <w:r>
        <w:rPr>
          <w:spacing w:val="-2"/>
        </w:rPr>
        <w:t> </w:t>
      </w:r>
      <w:r>
        <w:rPr/>
        <w:t>属于上市公司普通股股东的净利润为</w:t>
      </w:r>
      <w:r>
        <w:rPr>
          <w:rFonts w:ascii="Times New Roman" w:hAnsi="Times New Roman" w:cs="Times New Roman" w:eastAsia="Times New Roman" w:hint="default"/>
        </w:rPr>
        <w:t>3824.24</w:t>
      </w:r>
      <w:r>
        <w:rPr/>
        <w:t>万元，较上年同期增长</w:t>
      </w:r>
      <w:r>
        <w:rPr>
          <w:rFonts w:ascii="Times New Roman" w:hAnsi="Times New Roman" w:cs="Times New Roman" w:eastAsia="Times New Roman" w:hint="default"/>
        </w:rPr>
        <w:t>8.21%</w:t>
      </w:r>
      <w:r>
        <w:rPr/>
        <w:t>。</w:t>
      </w:r>
    </w:p>
    <w:p>
      <w:pPr>
        <w:pStyle w:val="BodyText"/>
        <w:spacing w:line="309" w:lineRule="auto" w:before="13"/>
        <w:ind w:left="1404" w:right="6072" w:firstLine="90"/>
        <w:jc w:val="left"/>
      </w:pPr>
      <w:r>
        <w:rPr/>
        <w:t>报告期内，公司围绕年度计划，主要开展了以下工作： </w:t>
      </w:r>
      <w:r>
        <w:rPr>
          <w:rFonts w:ascii="Times New Roman" w:hAnsi="Times New Roman" w:cs="Times New Roman" w:eastAsia="Times New Roman" w:hint="default"/>
          <w:b/>
          <w:bCs/>
        </w:rPr>
        <w:t>1</w:t>
      </w:r>
      <w:r>
        <w:rPr>
          <w:rFonts w:ascii="宋体" w:hAnsi="宋体" w:cs="宋体" w:eastAsia="宋体" w:hint="default"/>
          <w:b/>
          <w:bCs/>
        </w:rPr>
        <w:t>、业务发展情况</w:t>
      </w:r>
      <w:r>
        <w:rPr>
          <w:rFonts w:ascii="宋体" w:hAnsi="宋体" w:cs="宋体" w:eastAsia="宋体" w:hint="default"/>
          <w:b/>
          <w:bCs/>
          <w:w w:val="99"/>
        </w:rPr>
        <w:t> </w:t>
      </w:r>
      <w:r>
        <w:rPr/>
        <w:t>报告期内公司主要业务的发展情况如下：</w:t>
      </w:r>
    </w:p>
    <w:p>
      <w:pPr>
        <w:pStyle w:val="BodyText"/>
        <w:spacing w:line="316" w:lineRule="auto" w:before="24"/>
        <w:ind w:left="1494" w:right="0" w:hanging="71"/>
        <w:jc w:val="left"/>
      </w:pPr>
      <w:r>
        <w:rPr>
          <w:rFonts w:ascii="宋体" w:hAnsi="宋体" w:cs="宋体" w:eastAsia="宋体" w:hint="default"/>
          <w:b/>
          <w:bCs/>
        </w:rPr>
        <w:t>⑴食品流通追溯领域</w:t>
      </w:r>
      <w:r>
        <w:rPr>
          <w:rFonts w:ascii="宋体" w:hAnsi="宋体" w:cs="宋体" w:eastAsia="宋体" w:hint="default"/>
          <w:b/>
          <w:bCs/>
          <w:w w:val="99"/>
        </w:rPr>
        <w:t> </w:t>
      </w:r>
      <w:r>
        <w:rPr>
          <w:spacing w:val="-2"/>
        </w:rPr>
        <w:t>食品流通追溯市场具有专业性强、门槛高等特点，具有进入行业的壁垒。公司严格按照</w:t>
      </w:r>
      <w:r>
        <w:rPr>
          <w:rFonts w:ascii="Times New Roman" w:hAnsi="Times New Roman" w:cs="Times New Roman" w:eastAsia="Times New Roman" w:hint="default"/>
          <w:spacing w:val="-2"/>
        </w:rPr>
        <w:t>2015</w:t>
      </w:r>
      <w:r>
        <w:rPr>
          <w:spacing w:val="-2"/>
        </w:rPr>
        <w:t>年颁布实施的《中华人民共</w:t>
      </w:r>
    </w:p>
    <w:p>
      <w:pPr>
        <w:pStyle w:val="BodyText"/>
        <w:spacing w:line="316" w:lineRule="auto" w:before="0"/>
        <w:ind w:right="1133"/>
        <w:jc w:val="both"/>
      </w:pPr>
      <w:r>
        <w:rPr>
          <w:spacing w:val="-2"/>
        </w:rPr>
        <w:t>和国食品安全法》和其他相关法律法规规定，以信息技术为手段，以法规标准为依据，以发展现代流通技术为基础，建设以</w:t>
      </w:r>
      <w:r>
        <w:rPr>
          <w:spacing w:val="-66"/>
        </w:rPr>
        <w:t> </w:t>
      </w:r>
      <w:r>
        <w:rPr>
          <w:spacing w:val="-66"/>
        </w:rPr>
      </w:r>
      <w:r>
        <w:rPr>
          <w:spacing w:val="-2"/>
        </w:rPr>
        <w:t>数据中心追溯管理平台为核心，以生产加工环节、批发环节、零售环节、消费环节等追溯子系统为支撑，以追溯信息链条完</w:t>
      </w:r>
      <w:r>
        <w:rPr>
          <w:spacing w:val="-66"/>
        </w:rPr>
        <w:t> </w:t>
      </w:r>
      <w:r>
        <w:rPr>
          <w:spacing w:val="-66"/>
        </w:rPr>
      </w:r>
      <w:r>
        <w:rPr/>
        <w:t>整性管理为重点的食品流通追溯体系。</w:t>
      </w:r>
    </w:p>
    <w:p>
      <w:pPr>
        <w:pStyle w:val="BodyText"/>
        <w:spacing w:line="312" w:lineRule="auto" w:before="19"/>
        <w:ind w:right="0" w:firstLine="360"/>
        <w:jc w:val="left"/>
      </w:pPr>
      <w:r>
        <w:rPr>
          <w:spacing w:val="-2"/>
        </w:rPr>
        <w:t>公司在食品流通追溯体系领域有着扎实的理论基础和丰富的实施经验，得到了社会的认可与客户较高的满意度。公司在</w:t>
      </w:r>
      <w:r>
        <w:rPr/>
        <w:t> </w:t>
      </w:r>
      <w:r>
        <w:rPr>
          <w:spacing w:val="-4"/>
        </w:rPr>
        <w:t>报告期新增中标</w:t>
      </w:r>
      <w:r>
        <w:rPr>
          <w:rFonts w:ascii="Times New Roman" w:hAnsi="Times New Roman" w:cs="Times New Roman" w:eastAsia="Times New Roman" w:hint="default"/>
          <w:spacing w:val="-4"/>
        </w:rPr>
        <w:t>6</w:t>
      </w:r>
      <w:r>
        <w:rPr>
          <w:spacing w:val="-4"/>
        </w:rPr>
        <w:t>家商务部肉菜流通追溯试点城市，在全国五批共</w:t>
      </w:r>
      <w:r>
        <w:rPr>
          <w:rFonts w:ascii="Times New Roman" w:hAnsi="Times New Roman" w:cs="Times New Roman" w:eastAsia="Times New Roman" w:hint="default"/>
          <w:spacing w:val="-4"/>
        </w:rPr>
        <w:t>49</w:t>
      </w:r>
      <w:r>
        <w:rPr>
          <w:spacing w:val="-4"/>
        </w:rPr>
        <w:t>个已招标试点城市中，中标</w:t>
      </w:r>
      <w:r>
        <w:rPr>
          <w:rFonts w:ascii="Times New Roman" w:hAnsi="Times New Roman" w:cs="Times New Roman" w:eastAsia="Times New Roman" w:hint="default"/>
          <w:spacing w:val="-4"/>
        </w:rPr>
        <w:t>19</w:t>
      </w:r>
      <w:r>
        <w:rPr>
          <w:spacing w:val="-4"/>
        </w:rPr>
        <w:t>个，市场占有率约为</w:t>
      </w:r>
      <w:r>
        <w:rPr>
          <w:rFonts w:ascii="Times New Roman" w:hAnsi="Times New Roman" w:cs="Times New Roman" w:eastAsia="Times New Roman" w:hint="default"/>
          <w:spacing w:val="-4"/>
        </w:rPr>
        <w:t>38.8%</w:t>
      </w:r>
      <w:r>
        <w:rPr>
          <w:spacing w:val="-4"/>
        </w:rPr>
        <w:t>，</w:t>
      </w:r>
      <w:r>
        <w:rPr>
          <w:spacing w:val="-39"/>
        </w:rPr>
        <w:t> </w:t>
      </w:r>
      <w:r>
        <w:rPr>
          <w:spacing w:val="-2"/>
        </w:rPr>
        <w:t>市场占有率全国第一。与此同时，报告期内公司新增宁夏、山东省级中药材流通追溯试点项目和上海酒类流通追溯项目，扩</w:t>
      </w:r>
      <w:r>
        <w:rPr>
          <w:spacing w:val="-65"/>
        </w:rPr>
        <w:t> </w:t>
      </w:r>
      <w:r>
        <w:rPr>
          <w:spacing w:val="-65"/>
        </w:rPr>
      </w:r>
      <w:r>
        <w:rPr/>
        <w:t>展和延伸了追溯品种，扩宽了追溯市场。</w:t>
      </w:r>
    </w:p>
    <w:p>
      <w:pPr>
        <w:pStyle w:val="BodyText"/>
        <w:spacing w:line="316" w:lineRule="auto" w:before="22"/>
        <w:ind w:left="1493" w:right="0" w:hanging="52"/>
        <w:jc w:val="left"/>
      </w:pPr>
      <w:r>
        <w:rPr>
          <w:rFonts w:ascii="宋体" w:hAnsi="宋体" w:cs="宋体" w:eastAsia="宋体" w:hint="default"/>
          <w:b/>
          <w:bCs/>
        </w:rPr>
        <w:t>⑵档案信息化领域</w:t>
      </w:r>
      <w:r>
        <w:rPr>
          <w:rFonts w:ascii="宋体" w:hAnsi="宋体" w:cs="宋体" w:eastAsia="宋体" w:hint="default"/>
          <w:b/>
          <w:bCs/>
          <w:w w:val="99"/>
        </w:rPr>
        <w:t> </w:t>
      </w:r>
      <w:r>
        <w:rPr>
          <w:spacing w:val="-2"/>
        </w:rPr>
        <w:t>公司本着保护档案，对历史负责的态度，为传承历史记忆服务，专注于为政府部门、机构、企业提供量身定做的档案信</w:t>
      </w:r>
    </w:p>
    <w:p>
      <w:pPr>
        <w:pStyle w:val="BodyText"/>
        <w:spacing w:line="316" w:lineRule="auto" w:before="19"/>
        <w:ind w:right="1133"/>
        <w:jc w:val="both"/>
      </w:pPr>
      <w:r>
        <w:rPr>
          <w:spacing w:val="-2"/>
        </w:rPr>
        <w:t>息化整体解决方案。并依托公司在档案信息化领域十几年的技术积累，以上海总部为起点，不断将成熟的档案信息化产品和</w:t>
      </w:r>
      <w:r>
        <w:rPr>
          <w:spacing w:val="-66"/>
        </w:rPr>
        <w:t> </w:t>
      </w:r>
      <w:r>
        <w:rPr>
          <w:spacing w:val="-66"/>
        </w:rPr>
      </w:r>
      <w:r>
        <w:rPr/>
        <w:t>解决方案向华东、华北、华中、西北、西南等地区推广。</w:t>
      </w:r>
    </w:p>
    <w:p>
      <w:pPr>
        <w:pStyle w:val="BodyText"/>
        <w:spacing w:line="300" w:lineRule="auto" w:before="19"/>
        <w:ind w:right="0" w:firstLine="360"/>
        <w:jc w:val="left"/>
      </w:pPr>
      <w:r>
        <w:rPr>
          <w:spacing w:val="-2"/>
        </w:rPr>
        <w:t>报告期公司新增</w:t>
      </w:r>
      <w:r>
        <w:rPr>
          <w:rFonts w:ascii="Times New Roman" w:hAnsi="Times New Roman" w:cs="Times New Roman" w:eastAsia="Times New Roman" w:hint="default"/>
          <w:spacing w:val="-2"/>
        </w:rPr>
        <w:t>3</w:t>
      </w:r>
      <w:r>
        <w:rPr>
          <w:spacing w:val="-2"/>
        </w:rPr>
        <w:t>家省级档案馆客户，截止报告期末，公司共计承接了全国</w:t>
      </w:r>
      <w:r>
        <w:rPr>
          <w:rFonts w:ascii="Times New Roman" w:hAnsi="Times New Roman" w:cs="Times New Roman" w:eastAsia="Times New Roman" w:hint="default"/>
          <w:spacing w:val="-2"/>
        </w:rPr>
        <w:t>35</w:t>
      </w:r>
      <w:r>
        <w:rPr>
          <w:spacing w:val="-2"/>
        </w:rPr>
        <w:t>家中央及省级档案局（馆）中的</w:t>
      </w:r>
      <w:r>
        <w:rPr>
          <w:rFonts w:ascii="Times New Roman" w:hAnsi="Times New Roman" w:cs="Times New Roman" w:eastAsia="Times New Roman" w:hint="default"/>
          <w:spacing w:val="-2"/>
        </w:rPr>
        <w:t>21</w:t>
      </w:r>
      <w:r>
        <w:rPr>
          <w:spacing w:val="-2"/>
        </w:rPr>
        <w:t>家客户，</w:t>
      </w:r>
      <w:r>
        <w:rPr/>
        <w:t> </w:t>
      </w:r>
      <w:r>
        <w:rPr>
          <w:spacing w:val="-2"/>
        </w:rPr>
        <w:t>市场占有率为</w:t>
      </w:r>
      <w:r>
        <w:rPr>
          <w:rFonts w:ascii="Times New Roman" w:hAnsi="Times New Roman" w:cs="Times New Roman" w:eastAsia="Times New Roman" w:hint="default"/>
          <w:spacing w:val="-2"/>
        </w:rPr>
        <w:t>60%</w:t>
      </w:r>
      <w:r>
        <w:rPr>
          <w:spacing w:val="-2"/>
        </w:rPr>
        <w:t>。在上海市档案局（馆）信息化建设市场的客户覆盖率更高达</w:t>
      </w:r>
      <w:r>
        <w:rPr>
          <w:rFonts w:ascii="Times New Roman" w:hAnsi="Times New Roman" w:cs="Times New Roman" w:eastAsia="Times New Roman" w:hint="default"/>
          <w:spacing w:val="-2"/>
        </w:rPr>
        <w:t>82.35%</w:t>
      </w:r>
      <w:r>
        <w:rPr>
          <w:spacing w:val="-2"/>
        </w:rPr>
        <w:t>，占据市场绝对优势。另外，在浙江</w:t>
      </w:r>
      <w:r>
        <w:rPr>
          <w:spacing w:val="-44"/>
        </w:rPr>
        <w:t> </w:t>
      </w:r>
      <w:r>
        <w:rPr>
          <w:spacing w:val="-44"/>
        </w:rPr>
      </w:r>
      <w:r>
        <w:rPr/>
        <w:t>省、江苏省的档案局（馆）客户覆盖率也分别提升至</w:t>
      </w:r>
      <w:r>
        <w:rPr>
          <w:rFonts w:ascii="Times New Roman" w:hAnsi="Times New Roman" w:cs="Times New Roman" w:eastAsia="Times New Roman" w:hint="default"/>
        </w:rPr>
        <w:t>43.88%</w:t>
      </w:r>
      <w:r>
        <w:rPr/>
        <w:t>和</w:t>
      </w:r>
      <w:r>
        <w:rPr>
          <w:rFonts w:ascii="Times New Roman" w:hAnsi="Times New Roman" w:cs="Times New Roman" w:eastAsia="Times New Roman" w:hint="default"/>
        </w:rPr>
        <w:t>21.67%</w:t>
      </w:r>
      <w:r>
        <w:rPr/>
        <w:t>。</w:t>
      </w:r>
    </w:p>
    <w:p>
      <w:pPr>
        <w:pStyle w:val="BodyText"/>
        <w:spacing w:line="316" w:lineRule="auto" w:before="13"/>
        <w:ind w:left="1493" w:right="0" w:hanging="52"/>
        <w:jc w:val="left"/>
      </w:pPr>
      <w:r>
        <w:rPr>
          <w:rFonts w:ascii="宋体" w:hAnsi="宋体" w:cs="宋体" w:eastAsia="宋体" w:hint="default"/>
          <w:b/>
          <w:bCs/>
        </w:rPr>
        <w:t>⑶政法信息化领域</w:t>
      </w:r>
      <w:r>
        <w:rPr>
          <w:rFonts w:ascii="宋体" w:hAnsi="宋体" w:cs="宋体" w:eastAsia="宋体" w:hint="default"/>
          <w:b/>
          <w:bCs/>
          <w:w w:val="99"/>
        </w:rPr>
        <w:t> </w:t>
      </w:r>
      <w:r>
        <w:rPr>
          <w:spacing w:val="-2"/>
        </w:rPr>
        <w:t>公司在政法行业中本着提高司法效率、确保司法公正、推进司法公开的理念，为</w:t>
      </w:r>
      <w:r>
        <w:rPr>
          <w:rFonts w:ascii="Times New Roman" w:hAnsi="Times New Roman" w:cs="Times New Roman" w:eastAsia="Times New Roman" w:hint="default"/>
          <w:spacing w:val="-2"/>
        </w:rPr>
        <w:t>“</w:t>
      </w:r>
      <w:r>
        <w:rPr>
          <w:spacing w:val="-2"/>
        </w:rPr>
        <w:t>依法治国</w:t>
      </w:r>
      <w:r>
        <w:rPr>
          <w:rFonts w:ascii="Times New Roman" w:hAnsi="Times New Roman" w:cs="Times New Roman" w:eastAsia="Times New Roman" w:hint="default"/>
          <w:spacing w:val="-2"/>
        </w:rPr>
        <w:t>”</w:t>
      </w:r>
      <w:r>
        <w:rPr>
          <w:spacing w:val="-2"/>
        </w:rPr>
        <w:t>服务。为司法监狱、公检法</w:t>
      </w:r>
    </w:p>
    <w:p>
      <w:pPr>
        <w:pStyle w:val="BodyText"/>
        <w:spacing w:line="309" w:lineRule="auto" w:before="0"/>
        <w:ind w:right="1130"/>
        <w:jc w:val="both"/>
      </w:pPr>
      <w:r>
        <w:rPr>
          <w:spacing w:val="-2"/>
        </w:rPr>
        <w:t>等行业客户提供软件开发、系统集成以及智能化系统工程等信息化服务。公司为上海、安徽、江苏的监狱管理局及其下属共</w:t>
      </w:r>
      <w:r>
        <w:rPr>
          <w:spacing w:val="-66"/>
        </w:rPr>
        <w:t> </w:t>
      </w:r>
      <w:r>
        <w:rPr>
          <w:spacing w:val="-66"/>
        </w:rPr>
      </w:r>
      <w:r>
        <w:rPr>
          <w:rFonts w:ascii="Times New Roman" w:hAnsi="Times New Roman" w:cs="Times New Roman" w:eastAsia="Times New Roman" w:hint="default"/>
        </w:rPr>
        <w:t>58</w:t>
      </w:r>
      <w:r>
        <w:rPr/>
        <w:t>家监狱提供监狱信息化服务，上海、江苏市场覆盖率高达</w:t>
      </w:r>
      <w:r>
        <w:rPr>
          <w:rFonts w:ascii="Times New Roman" w:hAnsi="Times New Roman" w:cs="Times New Roman" w:eastAsia="Times New Roman" w:hint="default"/>
        </w:rPr>
        <w:t>100%</w:t>
      </w:r>
      <w:r>
        <w:rPr/>
        <w:t>。除此之外，公司在江西、湖南、陕西、内蒙古等地也有</w:t>
      </w:r>
      <w:r>
        <w:rPr>
          <w:spacing w:val="-55"/>
        </w:rPr>
        <w:t> </w:t>
      </w:r>
      <w:r>
        <w:rPr>
          <w:spacing w:val="-55"/>
        </w:rPr>
      </w:r>
      <w:r>
        <w:rPr/>
        <w:t>项目覆盖，潜在拓展空间巨大。报告期内公司新增监狱管理局客户</w:t>
      </w:r>
      <w:r>
        <w:rPr>
          <w:rFonts w:ascii="Times New Roman" w:hAnsi="Times New Roman" w:cs="Times New Roman" w:eastAsia="Times New Roman" w:hint="default"/>
        </w:rPr>
        <w:t>1</w:t>
      </w:r>
      <w:r>
        <w:rPr/>
        <w:t>家，狱所客户</w:t>
      </w:r>
      <w:r>
        <w:rPr>
          <w:rFonts w:ascii="Times New Roman" w:hAnsi="Times New Roman" w:cs="Times New Roman" w:eastAsia="Times New Roman" w:hint="default"/>
        </w:rPr>
        <w:t>5</w:t>
      </w:r>
      <w:r>
        <w:rPr/>
        <w:t>家。</w:t>
      </w:r>
    </w:p>
    <w:p>
      <w:pPr>
        <w:pStyle w:val="BodyText"/>
        <w:spacing w:line="300" w:lineRule="auto" w:before="5"/>
        <w:ind w:left="1477" w:right="0" w:hanging="44"/>
        <w:jc w:val="left"/>
      </w:pPr>
      <w:r>
        <w:rPr>
          <w:rFonts w:ascii="Times New Roman" w:hAnsi="Times New Roman" w:cs="Times New Roman" w:eastAsia="Times New Roman" w:hint="default"/>
          <w:b/>
          <w:bCs/>
        </w:rPr>
        <w:t>2</w:t>
      </w:r>
      <w:r>
        <w:rPr>
          <w:rFonts w:ascii="宋体" w:hAnsi="宋体" w:cs="宋体" w:eastAsia="宋体" w:hint="default"/>
          <w:b/>
          <w:bCs/>
        </w:rPr>
        <w:t>、完善组织架构</w:t>
      </w:r>
      <w:r>
        <w:rPr>
          <w:rFonts w:ascii="宋体" w:hAnsi="宋体" w:cs="宋体" w:eastAsia="宋体" w:hint="default"/>
          <w:b/>
          <w:bCs/>
          <w:w w:val="99"/>
        </w:rPr>
        <w:t> </w:t>
      </w:r>
      <w:r>
        <w:rPr>
          <w:spacing w:val="-2"/>
        </w:rPr>
        <w:t>为了进一步优化公司管理体制，提升公司业务管控、技术管理水平，深入和加强行业政策及市场动态研究，公司对组织</w:t>
      </w:r>
    </w:p>
    <w:p>
      <w:pPr>
        <w:pStyle w:val="BodyText"/>
        <w:spacing w:line="319" w:lineRule="auto" w:before="31"/>
        <w:ind w:left="1493" w:right="1118" w:hanging="360"/>
        <w:jc w:val="left"/>
      </w:pPr>
      <w:r>
        <w:rPr/>
        <w:t>架构予以了完善。 </w:t>
      </w:r>
      <w:r>
        <w:rPr>
          <w:spacing w:val="-2"/>
        </w:rPr>
        <w:t>报告期内，公司设立了业务管控中心，为公司向集团化管控以及三大行业主营业务向纵深发展创造了有利条件，也为公</w:t>
      </w:r>
    </w:p>
    <w:p>
      <w:pPr>
        <w:pStyle w:val="BodyText"/>
        <w:spacing w:line="240" w:lineRule="auto" w:before="17"/>
        <w:ind w:right="0"/>
        <w:jc w:val="both"/>
      </w:pPr>
      <w:r>
        <w:rPr/>
        <w:t>司的快速发展奠定了良好的基础。</w:t>
      </w:r>
    </w:p>
    <w:p>
      <w:pPr>
        <w:pStyle w:val="BodyText"/>
        <w:spacing w:line="300" w:lineRule="auto" w:before="76"/>
        <w:ind w:left="1494" w:right="0" w:hanging="60"/>
        <w:jc w:val="left"/>
      </w:pPr>
      <w:r>
        <w:rPr>
          <w:rFonts w:ascii="Times New Roman" w:hAnsi="Times New Roman" w:cs="Times New Roman" w:eastAsia="Times New Roman" w:hint="default"/>
          <w:b/>
          <w:bCs/>
        </w:rPr>
        <w:t>3</w:t>
      </w:r>
      <w:r>
        <w:rPr>
          <w:rFonts w:ascii="宋体" w:hAnsi="宋体" w:cs="宋体" w:eastAsia="宋体" w:hint="default"/>
          <w:b/>
          <w:bCs/>
        </w:rPr>
        <w:t>、市场营销管理</w:t>
      </w:r>
      <w:r>
        <w:rPr>
          <w:rFonts w:ascii="宋体" w:hAnsi="宋体" w:cs="宋体" w:eastAsia="宋体" w:hint="default"/>
          <w:b/>
          <w:bCs/>
          <w:w w:val="99"/>
        </w:rPr>
        <w:t> </w:t>
      </w:r>
      <w:r>
        <w:rPr>
          <w:spacing w:val="-2"/>
        </w:rPr>
        <w:t>公司积极推进全国营销网络建设，在国内重点区域增加营销服务网点，扩大市场覆盖面，提高产品渗透能力，同时积极</w:t>
      </w:r>
    </w:p>
    <w:p>
      <w:pPr>
        <w:spacing w:after="0" w:line="30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9" w:lineRule="auto"/>
        <w:ind w:right="1042"/>
        <w:jc w:val="both"/>
      </w:pPr>
      <w:r>
        <w:rPr/>
        <w:t>开拓全国其他区域市场，确保市场份额的不断提升。报告期，公司新设上海浦东、贵州、西安三家分公司。截止报告期末， </w:t>
      </w:r>
      <w:r>
        <w:rPr>
          <w:spacing w:val="-4"/>
        </w:rPr>
        <w:t>公司在全国共计布局</w:t>
      </w:r>
      <w:r>
        <w:rPr>
          <w:rFonts w:ascii="Times New Roman" w:hAnsi="Times New Roman" w:cs="Times New Roman" w:eastAsia="Times New Roman" w:hint="default"/>
          <w:spacing w:val="-4"/>
        </w:rPr>
        <w:t>26</w:t>
      </w:r>
      <w:r>
        <w:rPr>
          <w:spacing w:val="-4"/>
        </w:rPr>
        <w:t>家分公司，业务逐步向全国拓展，以便于能够持续、及时、有效地为客户提供本地化技术支持与服务，</w:t>
      </w:r>
      <w:r>
        <w:rPr>
          <w:spacing w:val="-42"/>
        </w:rPr>
        <w:t> </w:t>
      </w:r>
      <w:r>
        <w:rPr>
          <w:spacing w:val="-42"/>
        </w:rPr>
      </w:r>
      <w:r>
        <w:rPr/>
        <w:t>从而推动整体业务目标的达成。</w:t>
      </w:r>
    </w:p>
    <w:p>
      <w:pPr>
        <w:pStyle w:val="BodyText"/>
        <w:spacing w:line="319" w:lineRule="auto" w:before="24"/>
        <w:ind w:left="1134" w:right="0" w:firstLine="360"/>
        <w:jc w:val="left"/>
      </w:pPr>
      <w:r>
        <w:rPr>
          <w:spacing w:val="-2"/>
        </w:rPr>
        <w:t>为了抓住行业快速发展的机遇，占领重要的区域市场，公司加强营销人才队伍建设，完善激励和培训机制，逐步建成一</w:t>
      </w:r>
      <w:r>
        <w:rPr/>
        <w:t> 支可以适应地区文化，并且具备较强战斗力的营销队伍，从而加大新产品的推广和市场开拓的力度。</w:t>
      </w:r>
    </w:p>
    <w:p>
      <w:pPr>
        <w:pStyle w:val="BodyText"/>
        <w:spacing w:line="316" w:lineRule="auto" w:before="17"/>
        <w:ind w:right="1033" w:firstLine="360"/>
        <w:jc w:val="left"/>
      </w:pPr>
      <w:r>
        <w:rPr>
          <w:spacing w:val="-2"/>
        </w:rPr>
        <w:t>报告期内，公司全面构建以食品流通追溯、档案、政法为主线，自东向西，抓好重点区域的项目建设；以系列软件产品</w:t>
      </w:r>
      <w:r>
        <w:rPr/>
        <w:t> 推广为辅线，重点推进华东、华南、华北、西南地区软件产品的销售工作；初步完成企业从项目销售向软件产品销售转型。</w:t>
      </w:r>
    </w:p>
    <w:p>
      <w:pPr>
        <w:pStyle w:val="BodyText"/>
        <w:spacing w:line="300" w:lineRule="auto" w:before="19"/>
        <w:ind w:left="1493" w:right="0" w:hanging="52"/>
        <w:jc w:val="left"/>
      </w:pPr>
      <w:r>
        <w:rPr>
          <w:rFonts w:ascii="Times New Roman" w:hAnsi="Times New Roman" w:cs="Times New Roman" w:eastAsia="Times New Roman" w:hint="default"/>
          <w:b/>
          <w:bCs/>
        </w:rPr>
        <w:t>4</w:t>
      </w:r>
      <w:r>
        <w:rPr>
          <w:rFonts w:ascii="宋体" w:hAnsi="宋体" w:cs="宋体" w:eastAsia="宋体" w:hint="default"/>
          <w:b/>
          <w:bCs/>
        </w:rPr>
        <w:t>、产品研发管理</w:t>
      </w:r>
      <w:r>
        <w:rPr>
          <w:rFonts w:ascii="宋体" w:hAnsi="宋体" w:cs="宋体" w:eastAsia="宋体" w:hint="default"/>
          <w:b/>
          <w:bCs/>
          <w:w w:val="99"/>
        </w:rPr>
        <w:t> </w:t>
      </w:r>
      <w:r>
        <w:rPr>
          <w:spacing w:val="-2"/>
        </w:rPr>
        <w:t>公司产品研发涉及的各部门职责明确、相互协作，凭借公司丰富的行业经验，深入了解客户的需求、准确把握市场的发</w:t>
      </w:r>
    </w:p>
    <w:p>
      <w:pPr>
        <w:pStyle w:val="BodyText"/>
        <w:spacing w:line="316" w:lineRule="auto" w:before="31"/>
        <w:ind w:right="1131"/>
        <w:jc w:val="both"/>
      </w:pPr>
      <w:r>
        <w:rPr>
          <w:spacing w:val="-2"/>
        </w:rPr>
        <w:t>展方向，在产品管理委员会的统一管理和产品经理的主持下，协同开展工作，研发出符合国家标准和行业规范、贴近客户需</w:t>
      </w:r>
      <w:r>
        <w:rPr>
          <w:spacing w:val="-66"/>
        </w:rPr>
        <w:t> </w:t>
      </w:r>
      <w:r>
        <w:rPr>
          <w:spacing w:val="-66"/>
        </w:rPr>
      </w:r>
      <w:r>
        <w:rPr>
          <w:spacing w:val="-2"/>
        </w:rPr>
        <w:t>求的软件产品，并且不断提炼、改进、完善产品，提高产品的复用率，降低项目的开发成本，实现项目的快速开发，极大地</w:t>
      </w:r>
      <w:r>
        <w:rPr>
          <w:spacing w:val="-70"/>
        </w:rPr>
        <w:t> </w:t>
      </w:r>
      <w:r>
        <w:rPr>
          <w:spacing w:val="-70"/>
        </w:rPr>
      </w:r>
      <w:r>
        <w:rPr/>
        <w:t>提高市场竞争力。</w:t>
      </w:r>
    </w:p>
    <w:p>
      <w:pPr>
        <w:pStyle w:val="BodyText"/>
        <w:spacing w:line="316" w:lineRule="auto" w:before="19"/>
        <w:ind w:right="0" w:firstLine="290"/>
        <w:jc w:val="left"/>
      </w:pPr>
      <w:r>
        <w:rPr>
          <w:spacing w:val="-1"/>
        </w:rPr>
        <w:t>公司始终坚持自主创新，凭借雄厚的技术储备和持续的研发创新能力，获得了国内领先的技术和研究成果。报告期，公</w:t>
      </w:r>
      <w:r>
        <w:rPr/>
        <w:t> 司及其子公司新增</w:t>
      </w:r>
      <w:r>
        <w:rPr>
          <w:rFonts w:ascii="Times New Roman" w:hAnsi="Times New Roman" w:cs="Times New Roman" w:eastAsia="Times New Roman" w:hint="default"/>
        </w:rPr>
        <w:t>52</w:t>
      </w:r>
      <w:r>
        <w:rPr/>
        <w:t>项计算机软件著作权和</w:t>
      </w:r>
      <w:r>
        <w:rPr>
          <w:rFonts w:ascii="Times New Roman" w:hAnsi="Times New Roman" w:cs="Times New Roman" w:eastAsia="Times New Roman" w:hint="default"/>
        </w:rPr>
        <w:t>3</w:t>
      </w:r>
      <w:r>
        <w:rPr/>
        <w:t>项专利。</w:t>
      </w:r>
    </w:p>
    <w:p>
      <w:pPr>
        <w:pStyle w:val="BodyText"/>
        <w:spacing w:line="312" w:lineRule="auto" w:before="0"/>
        <w:ind w:left="1134" w:right="1131" w:firstLine="360"/>
        <w:jc w:val="both"/>
      </w:pPr>
      <w:r>
        <w:rPr>
          <w:spacing w:val="-2"/>
        </w:rPr>
        <w:t>报告期内，公司继续加大内部培养和外部引进高层次人才的力度，加强员工岗前培训和岗位技能培训，各岗位的培训体</w:t>
      </w:r>
      <w:r>
        <w:rPr/>
        <w:t> </w:t>
      </w:r>
      <w:r>
        <w:rPr>
          <w:spacing w:val="-2"/>
        </w:rPr>
        <w:t>系日趋完善，加强了</w:t>
      </w:r>
      <w:r>
        <w:rPr>
          <w:rFonts w:ascii="Times New Roman" w:hAnsi="Times New Roman" w:cs="Times New Roman" w:eastAsia="Times New Roman" w:hint="default"/>
          <w:spacing w:val="-2"/>
        </w:rPr>
        <w:t>“</w:t>
      </w:r>
      <w:r>
        <w:rPr>
          <w:spacing w:val="-2"/>
        </w:rPr>
        <w:t>鹰计划</w:t>
      </w:r>
      <w:r>
        <w:rPr>
          <w:rFonts w:ascii="Times New Roman" w:hAnsi="Times New Roman" w:cs="Times New Roman" w:eastAsia="Times New Roman" w:hint="default"/>
          <w:spacing w:val="-2"/>
        </w:rPr>
        <w:t>”</w:t>
      </w:r>
      <w:r>
        <w:rPr>
          <w:spacing w:val="-2"/>
        </w:rPr>
        <w:t>课程设置的匹配度。公司人力资源业务管控条线清晰，各岗位配置比例良好，基本满足了公司</w:t>
      </w:r>
      <w:r>
        <w:rPr>
          <w:spacing w:val="-44"/>
        </w:rPr>
        <w:t> </w:t>
      </w:r>
      <w:r>
        <w:rPr>
          <w:spacing w:val="-44"/>
        </w:rPr>
      </w:r>
      <w:r>
        <w:rPr>
          <w:spacing w:val="-2"/>
        </w:rPr>
        <w:t>发展的需要。公司建立及强化了与公司战略目标相一致的多维度、关键指标量化的考核体系，绩效考核指标从公司战略开始</w:t>
      </w:r>
      <w:r>
        <w:rPr>
          <w:spacing w:val="-65"/>
        </w:rPr>
        <w:t> </w:t>
      </w:r>
      <w:r>
        <w:rPr>
          <w:spacing w:val="-65"/>
        </w:rPr>
      </w:r>
      <w:r>
        <w:rPr/>
        <w:t>逐级分解，体现了公正、公开、透明、有效的考核机制。</w:t>
      </w:r>
    </w:p>
    <w:p>
      <w:pPr>
        <w:pStyle w:val="BodyText"/>
        <w:spacing w:line="300" w:lineRule="auto" w:before="22"/>
        <w:ind w:left="1494" w:right="0" w:firstLine="1"/>
        <w:jc w:val="left"/>
      </w:pPr>
      <w:r>
        <w:rPr>
          <w:rFonts w:ascii="Times New Roman" w:hAnsi="Times New Roman" w:cs="Times New Roman" w:eastAsia="Times New Roman" w:hint="default"/>
          <w:b/>
          <w:bCs/>
        </w:rPr>
        <w:t>5</w:t>
      </w:r>
      <w:r>
        <w:rPr>
          <w:rFonts w:ascii="宋体" w:hAnsi="宋体" w:cs="宋体" w:eastAsia="宋体" w:hint="default"/>
          <w:b/>
          <w:bCs/>
        </w:rPr>
        <w:t>、加强项目管理</w:t>
      </w:r>
      <w:r>
        <w:rPr>
          <w:rFonts w:ascii="宋体" w:hAnsi="宋体" w:cs="宋体" w:eastAsia="宋体" w:hint="default"/>
          <w:b/>
          <w:bCs/>
          <w:w w:val="99"/>
        </w:rPr>
        <w:t> </w:t>
      </w:r>
      <w:r>
        <w:rPr>
          <w:spacing w:val="-2"/>
        </w:rPr>
        <w:t>报告期内，公司实施项目全面管理，做到项目管理全覆盖，无死角，并日益完善项目梯队建设。项目管理与信息化的应</w:t>
      </w:r>
    </w:p>
    <w:p>
      <w:pPr>
        <w:pStyle w:val="BodyText"/>
        <w:spacing w:line="300" w:lineRule="auto" w:before="31"/>
        <w:ind w:right="1129"/>
        <w:jc w:val="both"/>
      </w:pPr>
      <w:r>
        <w:rPr/>
        <w:t>用深度结合、项目辅导成为项管新常态。公司建立了自主</w:t>
      </w:r>
      <w:r>
        <w:rPr>
          <w:rFonts w:ascii="Times New Roman" w:hAnsi="Times New Roman" w:cs="Times New Roman" w:eastAsia="Times New Roman" w:hint="default"/>
        </w:rPr>
        <w:t>PMO</w:t>
      </w:r>
      <w:r>
        <w:rPr/>
        <w:t>管理体系，</w:t>
      </w:r>
      <w:r>
        <w:rPr>
          <w:rFonts w:ascii="Times New Roman" w:hAnsi="Times New Roman" w:cs="Times New Roman" w:eastAsia="Times New Roman" w:hint="default"/>
        </w:rPr>
        <w:t>PMO</w:t>
      </w:r>
      <w:r>
        <w:rPr/>
        <w:t>与各项目部门紧密合作，项目问题及时主动</w:t>
      </w:r>
      <w:r>
        <w:rPr>
          <w:spacing w:val="-60"/>
        </w:rPr>
        <w:t> </w:t>
      </w:r>
      <w:r>
        <w:rPr>
          <w:spacing w:val="-60"/>
        </w:rPr>
      </w:r>
      <w:r>
        <w:rPr/>
        <w:t>提出，</w:t>
      </w:r>
      <w:r>
        <w:rPr>
          <w:rFonts w:ascii="Times New Roman" w:hAnsi="Times New Roman" w:cs="Times New Roman" w:eastAsia="Times New Roman" w:hint="default"/>
        </w:rPr>
        <w:t>PMO</w:t>
      </w:r>
      <w:r>
        <w:rPr/>
        <w:t>各项工作及制度执行顺畅，从项目开始前的辅导到过程，到结项，自主调整，全线管理，全面监控；同时公司</w:t>
      </w:r>
      <w:r>
        <w:rPr>
          <w:spacing w:val="-33"/>
        </w:rPr>
        <w:t> </w:t>
      </w:r>
      <w:r>
        <w:rPr>
          <w:spacing w:val="-33"/>
        </w:rPr>
      </w:r>
      <w:r>
        <w:rPr/>
        <w:t>调整了项目管理方式，从被动应付转变为主动预防。两级</w:t>
      </w:r>
      <w:r>
        <w:rPr>
          <w:rFonts w:ascii="Times New Roman" w:hAnsi="Times New Roman" w:cs="Times New Roman" w:eastAsia="Times New Roman" w:hint="default"/>
        </w:rPr>
        <w:t>PMO</w:t>
      </w:r>
      <w:r>
        <w:rPr/>
        <w:t>体系的初步建立，促使项目管理过程质量、结项数量及客户</w:t>
      </w:r>
      <w:r>
        <w:rPr>
          <w:spacing w:val="-28"/>
        </w:rPr>
        <w:t> </w:t>
      </w:r>
      <w:r>
        <w:rPr>
          <w:spacing w:val="-28"/>
        </w:rPr>
      </w:r>
      <w:r>
        <w:rPr/>
        <w:t>满意度均有所提升。</w:t>
      </w:r>
    </w:p>
    <w:p>
      <w:pPr>
        <w:pStyle w:val="Heading8"/>
        <w:spacing w:line="240" w:lineRule="auto" w:before="31"/>
        <w:ind w:left="1495" w:right="0"/>
        <w:jc w:val="left"/>
        <w:rPr>
          <w:b w:val="0"/>
          <w:bCs w:val="0"/>
        </w:rPr>
      </w:pPr>
      <w:r>
        <w:rPr>
          <w:rFonts w:ascii="Times New Roman" w:hAnsi="Times New Roman" w:cs="Times New Roman" w:eastAsia="Times New Roman" w:hint="default"/>
        </w:rPr>
        <w:t>6</w:t>
      </w:r>
      <w:r>
        <w:rPr/>
        <w:t>、服务平台建设</w:t>
      </w:r>
      <w:r>
        <w:rPr>
          <w:b w:val="0"/>
          <w:bCs w:val="0"/>
        </w:rPr>
      </w:r>
    </w:p>
    <w:p>
      <w:pPr>
        <w:pStyle w:val="BodyText"/>
        <w:spacing w:line="304" w:lineRule="auto" w:before="63"/>
        <w:ind w:right="1023" w:firstLine="360"/>
        <w:jc w:val="left"/>
      </w:pPr>
      <w:r>
        <w:rPr/>
        <w:t>报告期内，公司从流程、资源、工具和人员四个方面着手，建设、完善以</w:t>
      </w:r>
      <w:r>
        <w:rPr>
          <w:rFonts w:ascii="Times New Roman" w:hAnsi="Times New Roman" w:cs="Times New Roman" w:eastAsia="Times New Roman" w:hint="default"/>
        </w:rPr>
        <w:t>ISO20000/ ITSS </w:t>
      </w:r>
      <w:r>
        <w:rPr/>
        <w:t>为依据的中信</w:t>
      </w:r>
      <w:r>
        <w:rPr>
          <w:rFonts w:ascii="Times New Roman" w:hAnsi="Times New Roman" w:cs="Times New Roman" w:eastAsia="Times New Roman" w:hint="default"/>
        </w:rPr>
        <w:t>S1</w:t>
      </w:r>
      <w:r>
        <w:rPr>
          <w:rFonts w:ascii="Times New Roman" w:hAnsi="Times New Roman" w:cs="Times New Roman" w:eastAsia="Times New Roman" w:hint="default"/>
          <w:spacing w:val="8"/>
        </w:rPr>
        <w:t> </w:t>
      </w:r>
      <w:r>
        <w:rPr/>
        <w:t>服务管理体 系。实行</w:t>
      </w:r>
      <w:r>
        <w:rPr>
          <w:rFonts w:ascii="Times New Roman" w:hAnsi="Times New Roman" w:cs="Times New Roman" w:eastAsia="Times New Roman" w:hint="default"/>
        </w:rPr>
        <w:t>S1</w:t>
      </w:r>
      <w:r>
        <w:rPr/>
        <w:t>服务工程师、项目经理职级体系落地，完善推进服务团队建设。服务团队持续总结公司十余年的运维管理经验， 继续打造以服务业务为核心的服务工具平台。并且开发了可视化的追溯运行维护监管平台，用以打造覆盖全国的服务平台。 </w:t>
      </w:r>
      <w:r>
        <w:rPr>
          <w:spacing w:val="-2"/>
        </w:rPr>
        <w:t>建立健全了标准化、规范化、流程化的服务标准体系和考核体系，技术服务水平和服务质量明显提高。</w:t>
      </w:r>
      <w:r>
        <w:rPr>
          <w:rFonts w:ascii="Times New Roman" w:hAnsi="Times New Roman" w:cs="Times New Roman" w:eastAsia="Times New Roman" w:hint="default"/>
          <w:spacing w:val="-2"/>
        </w:rPr>
        <w:t>2015</w:t>
      </w:r>
      <w:r>
        <w:rPr>
          <w:spacing w:val="-2"/>
        </w:rPr>
        <w:t>年服务项目运行</w:t>
      </w:r>
      <w:r>
        <w:rPr>
          <w:spacing w:val="-61"/>
        </w:rPr>
        <w:t> </w:t>
      </w:r>
      <w:r>
        <w:rPr/>
        <w:t>情况良好，验收完成率、及时率、客户满意度较</w:t>
      </w:r>
      <w:r>
        <w:rPr>
          <w:rFonts w:ascii="Times New Roman" w:hAnsi="Times New Roman" w:cs="Times New Roman" w:eastAsia="Times New Roman" w:hint="default"/>
        </w:rPr>
        <w:t>2014</w:t>
      </w:r>
      <w:r>
        <w:rPr/>
        <w:t>年有不同程度提升。</w:t>
      </w:r>
    </w:p>
    <w:p>
      <w:pPr>
        <w:pStyle w:val="BodyText"/>
        <w:spacing w:line="300" w:lineRule="auto" w:before="9"/>
        <w:ind w:left="1494" w:right="0" w:firstLine="1"/>
        <w:jc w:val="left"/>
      </w:pPr>
      <w:r>
        <w:rPr>
          <w:rFonts w:ascii="Times New Roman" w:hAnsi="Times New Roman" w:cs="Times New Roman" w:eastAsia="Times New Roman" w:hint="default"/>
          <w:b/>
          <w:bCs/>
        </w:rPr>
        <w:t>7</w:t>
      </w:r>
      <w:r>
        <w:rPr>
          <w:rFonts w:ascii="宋体" w:hAnsi="宋体" w:cs="宋体" w:eastAsia="宋体" w:hint="default"/>
          <w:b/>
          <w:bCs/>
        </w:rPr>
        <w:t>、推进质量管理</w:t>
      </w:r>
      <w:r>
        <w:rPr>
          <w:rFonts w:ascii="宋体" w:hAnsi="宋体" w:cs="宋体" w:eastAsia="宋体" w:hint="default"/>
          <w:b/>
          <w:bCs/>
          <w:w w:val="99"/>
        </w:rPr>
        <w:t> </w:t>
      </w:r>
      <w:r>
        <w:rPr>
          <w:spacing w:val="-2"/>
        </w:rPr>
        <w:t>公司质量管理包括项目质量和管理质量两个方面。报告期内，公司转变质量管理中心的职能，加强了对业务管控中心管</w:t>
      </w:r>
    </w:p>
    <w:p>
      <w:pPr>
        <w:pStyle w:val="BodyText"/>
        <w:spacing w:line="307" w:lineRule="auto" w:before="31"/>
        <w:ind w:right="0"/>
        <w:jc w:val="left"/>
      </w:pPr>
      <w:r>
        <w:rPr>
          <w:spacing w:val="-4"/>
        </w:rPr>
        <w:t>理质量的监管。将项目质量管理工作前置，提升了质量管理检查覆盖率。按计划适时对产品实施、常驻服务项目、软件项目、</w:t>
      </w:r>
      <w:r>
        <w:rPr>
          <w:spacing w:val="-44"/>
        </w:rPr>
        <w:t> </w:t>
      </w:r>
      <w:r>
        <w:rPr>
          <w:spacing w:val="-44"/>
        </w:rPr>
      </w:r>
      <w:r>
        <w:rPr/>
        <w:t>集成工程项目开展客户满意度调查。将公司质量体系建设落到实处，各类</w:t>
      </w:r>
      <w:r>
        <w:rPr>
          <w:rFonts w:ascii="Times New Roman" w:hAnsi="Times New Roman" w:cs="Times New Roman" w:eastAsia="Times New Roman" w:hint="default"/>
        </w:rPr>
        <w:t>ISO</w:t>
      </w:r>
      <w:r>
        <w:rPr/>
        <w:t>内外审工作通过率</w:t>
      </w:r>
      <w:r>
        <w:rPr>
          <w:rFonts w:ascii="Times New Roman" w:hAnsi="Times New Roman" w:cs="Times New Roman" w:eastAsia="Times New Roman" w:hint="default"/>
        </w:rPr>
        <w:t>100</w:t>
      </w:r>
      <w:r>
        <w:rPr/>
        <w:t>％，并且促使公司顺利</w:t>
      </w:r>
      <w:r>
        <w:rPr>
          <w:spacing w:val="-20"/>
        </w:rPr>
        <w:t> </w:t>
      </w:r>
      <w:r>
        <w:rPr>
          <w:spacing w:val="-20"/>
        </w:rPr>
      </w:r>
      <w:r>
        <w:rPr/>
        <w:t>通过</w:t>
      </w:r>
      <w:r>
        <w:rPr>
          <w:rFonts w:ascii="Times New Roman" w:hAnsi="Times New Roman" w:cs="Times New Roman" w:eastAsia="Times New Roman" w:hint="default"/>
        </w:rPr>
        <w:t>ITSS</w:t>
      </w:r>
      <w:r>
        <w:rPr/>
        <w:t>二级认证，公司全资子公司上海金档信息技术有限公司、光典信息有限公司顺利通过</w:t>
      </w:r>
      <w:r>
        <w:rPr>
          <w:rFonts w:ascii="Times New Roman" w:hAnsi="Times New Roman" w:cs="Times New Roman" w:eastAsia="Times New Roman" w:hint="default"/>
        </w:rPr>
        <w:t>ISO9001</w:t>
      </w:r>
      <w:r>
        <w:rPr/>
        <w:t>质量管理体系认证， 从而使客户满意度有效提升。</w:t>
      </w:r>
      <w:r>
        <w:rPr>
          <w:position w:val="-3"/>
        </w:rPr>
        <w:drawing>
          <wp:inline distT="0" distB="0" distL="0" distR="0">
            <wp:extent cx="228600" cy="126492"/>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3" cstate="print"/>
                    <a:stretch>
                      <a:fillRect/>
                    </a:stretch>
                  </pic:blipFill>
                  <pic:spPr>
                    <a:xfrm>
                      <a:off x="0" y="0"/>
                      <a:ext cx="228600" cy="126492"/>
                    </a:xfrm>
                    <a:prstGeom prst="rect">
                      <a:avLst/>
                    </a:prstGeom>
                  </pic:spPr>
                </pic:pic>
              </a:graphicData>
            </a:graphic>
          </wp:inline>
        </w:drawing>
      </w:r>
      <w:r>
        <w:rPr>
          <w:position w:val="-3"/>
        </w:rPr>
      </w:r>
      <w:r>
        <w:rPr/>
      </w:r>
    </w:p>
    <w:p>
      <w:pPr>
        <w:pStyle w:val="BodyText"/>
        <w:spacing w:line="300" w:lineRule="auto" w:before="7"/>
        <w:ind w:left="1493" w:right="0" w:firstLine="1"/>
        <w:jc w:val="left"/>
      </w:pPr>
      <w:r>
        <w:rPr>
          <w:rFonts w:ascii="Times New Roman" w:hAnsi="Times New Roman" w:cs="Times New Roman" w:eastAsia="Times New Roman" w:hint="default"/>
          <w:b/>
          <w:bCs/>
        </w:rPr>
        <w:t>8</w:t>
      </w:r>
      <w:r>
        <w:rPr>
          <w:rFonts w:ascii="宋体" w:hAnsi="宋体" w:cs="宋体" w:eastAsia="宋体" w:hint="default"/>
          <w:b/>
          <w:bCs/>
        </w:rPr>
        <w:t>、成本管理，降本增效</w:t>
      </w:r>
      <w:r>
        <w:rPr>
          <w:rFonts w:ascii="宋体" w:hAnsi="宋体" w:cs="宋体" w:eastAsia="宋体" w:hint="default"/>
          <w:b/>
          <w:bCs/>
          <w:w w:val="99"/>
        </w:rPr>
        <w:t> </w:t>
      </w:r>
      <w:r>
        <w:rPr>
          <w:spacing w:val="-2"/>
        </w:rPr>
        <w:t>公司制定了《销售统一管理制度》、《项目统一管理制度》、《采购统一管理制度》、《财务统一管理制度》等等一系</w:t>
      </w:r>
    </w:p>
    <w:p>
      <w:pPr>
        <w:pStyle w:val="BodyText"/>
        <w:spacing w:line="307" w:lineRule="auto" w:before="31"/>
        <w:ind w:right="1129"/>
        <w:jc w:val="both"/>
      </w:pPr>
      <w:r>
        <w:rPr>
          <w:spacing w:val="-2"/>
        </w:rPr>
        <w:t>列制度，各部门严格按照公司制度，加强各类支出的合理性管理，做到</w:t>
      </w:r>
      <w:r>
        <w:rPr>
          <w:rFonts w:ascii="Times New Roman" w:hAnsi="Times New Roman" w:cs="Times New Roman" w:eastAsia="Times New Roman" w:hint="default"/>
          <w:spacing w:val="-2"/>
        </w:rPr>
        <w:t>“</w:t>
      </w:r>
      <w:r>
        <w:rPr>
          <w:spacing w:val="-2"/>
        </w:rPr>
        <w:t>事前控制、事中管理、事后分析</w:t>
      </w:r>
      <w:r>
        <w:rPr>
          <w:rFonts w:ascii="Times New Roman" w:hAnsi="Times New Roman" w:cs="Times New Roman" w:eastAsia="Times New Roman" w:hint="default"/>
          <w:spacing w:val="-2"/>
        </w:rPr>
        <w:t>”</w:t>
      </w:r>
      <w:r>
        <w:rPr>
          <w:spacing w:val="-2"/>
        </w:rPr>
        <w:t>。报告期内，公司</w:t>
      </w:r>
      <w:r>
        <w:rPr>
          <w:spacing w:val="-46"/>
        </w:rPr>
        <w:t> </w:t>
      </w:r>
      <w:r>
        <w:rPr>
          <w:spacing w:val="-46"/>
        </w:rPr>
      </w:r>
      <w:r>
        <w:rPr>
          <w:spacing w:val="-2"/>
        </w:rPr>
        <w:t>进一步加强了财务管控能力，提升会计核算的规范性，建立项目预决算制度，大项目成本做到精细化核算，加强了项目成本</w:t>
      </w:r>
      <w:r>
        <w:rPr>
          <w:spacing w:val="-66"/>
        </w:rPr>
        <w:t> </w:t>
      </w:r>
      <w:r>
        <w:rPr>
          <w:spacing w:val="-66"/>
        </w:rPr>
      </w:r>
      <w:r>
        <w:rPr>
          <w:spacing w:val="-2"/>
        </w:rPr>
        <w:t>核算的准确性、及时性和透明度。公司独创的</w:t>
      </w:r>
      <w:r>
        <w:rPr>
          <w:rFonts w:ascii="Times New Roman" w:hAnsi="Times New Roman" w:cs="Times New Roman" w:eastAsia="Times New Roman" w:hint="default"/>
          <w:spacing w:val="-2"/>
        </w:rPr>
        <w:t>“</w:t>
      </w:r>
      <w:r>
        <w:rPr>
          <w:spacing w:val="-2"/>
        </w:rPr>
        <w:t>多部门联合管控</w:t>
      </w:r>
      <w:r>
        <w:rPr>
          <w:rFonts w:ascii="Times New Roman" w:hAnsi="Times New Roman" w:cs="Times New Roman" w:eastAsia="Times New Roman" w:hint="default"/>
          <w:spacing w:val="-2"/>
        </w:rPr>
        <w:t>”</w:t>
      </w:r>
      <w:r>
        <w:rPr>
          <w:spacing w:val="-2"/>
        </w:rPr>
        <w:t>采购模式也初见成效，采购成本及风险有所下降，采购效率</w:t>
      </w:r>
      <w:r>
        <w:rPr>
          <w:spacing w:val="-44"/>
        </w:rPr>
        <w:t> </w:t>
      </w:r>
      <w:r>
        <w:rPr>
          <w:spacing w:val="-44"/>
        </w:rPr>
      </w:r>
      <w:r>
        <w:rPr/>
        <w:t>及满意度明显提升。</w:t>
      </w:r>
    </w:p>
    <w:p>
      <w:pPr>
        <w:spacing w:after="0" w:line="307" w:lineRule="auto"/>
        <w:jc w:val="both"/>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4"/>
        <w:spacing w:line="240" w:lineRule="auto" w:before="26"/>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133" w:right="6653"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6"/>
        <w:spacing w:line="240" w:lineRule="auto" w:before="28"/>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5"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437,900,031.09</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368,328,787.20</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18.89%</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食品流通追溯系统 </w:t>
            </w:r>
            <w:r>
              <w:rPr>
                <w:rFonts w:ascii="宋体" w:hAnsi="宋体" w:cs="宋体" w:eastAsia="宋体" w:hint="default"/>
                <w:spacing w:val="-9"/>
                <w:sz w:val="18"/>
                <w:szCs w:val="18"/>
              </w:rPr>
              <w:t>相关的机关、企事业</w:t>
            </w:r>
            <w:r>
              <w:rPr>
                <w:rFonts w:ascii="宋体" w:hAnsi="宋体" w:cs="宋体" w:eastAsia="宋体" w:hint="default"/>
                <w:sz w:val="18"/>
                <w:szCs w:val="18"/>
              </w:rPr>
              <w:t> 单位</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145,851,833.81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33.31%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98,308,821.24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26.69%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48.36%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档案局（馆）</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92,687,166.31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21.17%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76,560,292.85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20.79%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21.06%</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0"/>
                <w:sz w:val="18"/>
                <w:szCs w:val="18"/>
              </w:rPr>
              <w:t>政法（司法）等其他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政府部门</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151,508,565.22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34.60%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151,394,253.65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41.10%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其他企事业单位</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47,852,465.75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42,065,419.46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11.42%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13.76%</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195,059,916.10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44.54%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163,841,940.76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44.48%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技术支持与服务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165,227,075.52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37.73%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116,516,200.62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31.63%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41.81%</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应用软件开发与销 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77,613,039.47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17.72%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87,970,645.82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23.88%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-11.77%</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303,010,649.68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69.20%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245,343,437.20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66.61%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71,958,894.35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73,972,001.23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20.08%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30,766,859.68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45,685,074.33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12.40%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-32.65%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32,163,627.38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3,328,274.44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0.90%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866.38%</w:t>
            </w:r>
          </w:p>
        </w:tc>
      </w:tr>
    </w:tbl>
    <w:p>
      <w:pPr>
        <w:spacing w:line="240" w:lineRule="auto" w:before="2"/>
        <w:rPr>
          <w:rFonts w:ascii="宋体" w:hAnsi="宋体" w:cs="宋体" w:eastAsia="宋体" w:hint="default"/>
          <w:sz w:val="19"/>
          <w:szCs w:val="19"/>
        </w:rPr>
      </w:pPr>
    </w:p>
    <w:p>
      <w:pPr>
        <w:pStyle w:val="Heading6"/>
        <w:spacing w:line="240" w:lineRule="auto" w:before="35"/>
        <w:ind w:left="1134"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4"/>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50"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食品流通追溯系 统相关的机关、 企事业单位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145,851,833.81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86,478,760.89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32.15%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政法（司法）等 其他政府部门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151,508,565.22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104,864,060.35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档案局（馆）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92,687,166.31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46,294,016.66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其他企事业单位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47,852,465.75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21,524,057.11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5.77%</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195,059,915.78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163,849,708.30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技术支持与服务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165,227,075.46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62,979,831.99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31.24%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应用软件开发与 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77,613,039.86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32,331,354.72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-6.45%</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303,010,649.68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179,631,407.76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71,958,894.35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44,896,578.55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4.97%</w:t>
            </w:r>
          </w:p>
        </w:tc>
      </w:tr>
    </w:tbl>
    <w:p>
      <w:pPr>
        <w:pStyle w:val="BodyText"/>
        <w:spacing w:line="240" w:lineRule="auto" w:before="51"/>
        <w:ind w:left="1134"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1134" w:right="0"/>
        <w:jc w:val="left"/>
      </w:pPr>
      <w:r>
        <w:rPr/>
        <w:t>产品分类</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材料采购成本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128,843,890.19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132,127,296.85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人工成本及费用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35,005,818.11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9,532,752.66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技术支持与服务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材料采购成本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11,121,149.65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5,168,408.30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技术支持与服务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人工成本及费用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51,858,682.34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42,820,221.35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应用软件开发与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材料采购成本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2,135,424.49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2,342,395.44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3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应用软件开发与 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人工成本及费用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30,195,930.23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6" w:right="0"/>
              <w:jc w:val="left"/>
              <w:rPr>
                <w:rFonts w:ascii="Times New Roman" w:hAnsi="Times New Roman" w:cs="Times New Roman" w:eastAsia="Times New Roman" w:hint="default"/>
                <w:sz w:val="18"/>
                <w:szCs w:val="18"/>
              </w:rPr>
            </w:pPr>
            <w:r>
              <w:rPr>
                <w:rFonts w:ascii="Times New Roman"/>
                <w:sz w:val="18"/>
              </w:rPr>
              <w:t>11.65%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28,629,311.15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12.98%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0" w:right="0"/>
              <w:jc w:val="left"/>
              <w:rPr>
                <w:rFonts w:ascii="Times New Roman" w:hAnsi="Times New Roman" w:cs="Times New Roman" w:eastAsia="Times New Roman" w:hint="default"/>
                <w:sz w:val="18"/>
                <w:szCs w:val="18"/>
              </w:rPr>
            </w:pPr>
            <w:r>
              <w:rPr>
                <w:rFonts w:ascii="Times New Roman"/>
                <w:sz w:val="18"/>
              </w:rPr>
              <w:t>-1.33%</w:t>
            </w:r>
          </w:p>
        </w:tc>
      </w:tr>
    </w:tbl>
    <w:p>
      <w:pPr>
        <w:pStyle w:val="BodyText"/>
        <w:spacing w:line="240" w:lineRule="auto" w:before="51"/>
        <w:ind w:left="1134" w:right="0"/>
        <w:jc w:val="left"/>
      </w:pPr>
      <w:r>
        <w:rPr/>
        <w:t>说明</w:t>
      </w:r>
    </w:p>
    <w:p>
      <w:pPr>
        <w:spacing w:line="240" w:lineRule="auto" w:before="11"/>
        <w:rPr>
          <w:rFonts w:ascii="宋体" w:hAnsi="宋体" w:cs="宋体" w:eastAsia="宋体" w:hint="default"/>
          <w:sz w:val="26"/>
          <w:szCs w:val="26"/>
        </w:rPr>
      </w:pPr>
    </w:p>
    <w:p>
      <w:pPr>
        <w:pStyle w:val="Heading6"/>
        <w:spacing w:line="240" w:lineRule="auto"/>
        <w:ind w:left="1134"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146,812,134.81</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33.53%</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37,695,989.36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34,692,858.89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34,446,419.93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25,550,000.00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14,426,866.63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146,812,134.81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33.53%</w:t>
            </w:r>
          </w:p>
        </w:tc>
      </w:tr>
    </w:tbl>
    <w:p>
      <w:pPr>
        <w:pStyle w:val="BodyText"/>
        <w:spacing w:line="240" w:lineRule="auto" w:before="51"/>
        <w:ind w:left="1134" w:right="0"/>
        <w:jc w:val="left"/>
      </w:pPr>
      <w:r>
        <w:rPr/>
        <w:t>公司主要供应商情况</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103,197,587.88</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43.29%</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74,708,578.75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31.34%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9,763,162.79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8,195,551.45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6,586,785.18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3,943,509.71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103,197,587.88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2"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41,245,554.07</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32,269,527.97</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27.82%</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公司销售规模扩大，销售人员人数及</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薪酬增加</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8"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89,857,439.55</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67,915,613.32</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32.31%</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both"/>
              <w:rPr>
                <w:rFonts w:ascii="宋体" w:hAnsi="宋体" w:cs="宋体" w:eastAsia="宋体" w:hint="default"/>
                <w:sz w:val="18"/>
                <w:szCs w:val="18"/>
              </w:rPr>
            </w:pPr>
            <w:r>
              <w:rPr>
                <w:rFonts w:ascii="宋体" w:hAnsi="宋体" w:cs="宋体" w:eastAsia="宋体" w:hint="default"/>
                <w:spacing w:val="-2"/>
                <w:sz w:val="18"/>
                <w:szCs w:val="18"/>
              </w:rPr>
              <w:t>公司加大了研发力度，导致研发费用</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增加；同时因业务增长，相应的人工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及差旅费增加</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653" w:right="0"/>
              <w:jc w:val="left"/>
              <w:rPr>
                <w:rFonts w:ascii="Times New Roman" w:hAnsi="Times New Roman" w:cs="Times New Roman" w:eastAsia="Times New Roman" w:hint="default"/>
                <w:sz w:val="18"/>
                <w:szCs w:val="18"/>
              </w:rPr>
            </w:pPr>
            <w:r>
              <w:rPr>
                <w:rFonts w:ascii="Times New Roman"/>
                <w:sz w:val="18"/>
              </w:rPr>
              <w:t>8,198,116.46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60" w:right="0"/>
              <w:jc w:val="left"/>
              <w:rPr>
                <w:rFonts w:ascii="Times New Roman" w:hAnsi="Times New Roman" w:cs="Times New Roman" w:eastAsia="Times New Roman" w:hint="default"/>
                <w:sz w:val="18"/>
                <w:szCs w:val="18"/>
              </w:rPr>
            </w:pPr>
            <w:r>
              <w:rPr>
                <w:rFonts w:ascii="Times New Roman"/>
                <w:sz w:val="18"/>
              </w:rPr>
              <w:t>7,455,177.82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63" w:right="0"/>
              <w:jc w:val="left"/>
              <w:rPr>
                <w:rFonts w:ascii="Times New Roman" w:hAnsi="Times New Roman" w:cs="Times New Roman" w:eastAsia="Times New Roman" w:hint="default"/>
                <w:sz w:val="18"/>
                <w:szCs w:val="18"/>
              </w:rPr>
            </w:pPr>
            <w:r>
              <w:rPr>
                <w:rFonts w:ascii="Times New Roman"/>
                <w:sz w:val="18"/>
              </w:rPr>
              <w:t>9.97%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银行借款增加，导致利息支出增加</w:t>
            </w:r>
          </w:p>
        </w:tc>
      </w:tr>
    </w:tbl>
    <w:p>
      <w:pPr>
        <w:spacing w:line="240" w:lineRule="auto" w:before="2"/>
        <w:rPr>
          <w:rFonts w:ascii="宋体" w:hAnsi="宋体" w:cs="宋体" w:eastAsia="宋体" w:hint="default"/>
          <w:sz w:val="19"/>
          <w:szCs w:val="19"/>
        </w:rPr>
      </w:pPr>
    </w:p>
    <w:p>
      <w:pPr>
        <w:pStyle w:val="Heading6"/>
        <w:spacing w:line="240" w:lineRule="auto" w:before="35"/>
        <w:ind w:left="1134"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19"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科技创新是公司发展的源动力，报告期内，公司持续加大研发投入力度，增强自主创新能力，累计投入研发经费</w:t>
      </w:r>
      <w:r>
        <w:rPr>
          <w:rFonts w:ascii="Times New Roman" w:hAnsi="Times New Roman" w:cs="Times New Roman" w:eastAsia="Times New Roman" w:hint="default"/>
        </w:rPr>
        <w:t>4487.40</w:t>
      </w:r>
      <w:r>
        <w:rPr/>
        <w:t>万</w:t>
      </w:r>
      <w:r>
        <w:rPr>
          <w:spacing w:val="-42"/>
        </w:rPr>
        <w:t> </w:t>
      </w:r>
      <w:r>
        <w:rPr/>
        <w:t>元，约占营业收入的</w:t>
      </w:r>
      <w:r>
        <w:rPr>
          <w:rFonts w:ascii="Times New Roman" w:hAnsi="Times New Roman" w:cs="Times New Roman" w:eastAsia="Times New Roman" w:hint="default"/>
        </w:rPr>
        <w:t>10.25%</w:t>
      </w:r>
      <w:r>
        <w:rPr/>
        <w:t>，较上年同期增长</w:t>
      </w:r>
      <w:r>
        <w:rPr>
          <w:rFonts w:ascii="Times New Roman" w:hAnsi="Times New Roman" w:cs="Times New Roman" w:eastAsia="Times New Roman" w:hint="default"/>
        </w:rPr>
        <w:t>32.11%</w:t>
      </w:r>
      <w:r>
        <w:rPr/>
        <w:t>。公司各项研发及创新工作按计划顺利开展，报告期内，公司及其子</w:t>
      </w:r>
    </w:p>
    <w:p>
      <w:pPr>
        <w:pStyle w:val="BodyText"/>
        <w:spacing w:line="246" w:lineRule="exact" w:before="0"/>
        <w:ind w:right="0"/>
        <w:jc w:val="left"/>
      </w:pPr>
      <w:r>
        <w:rPr/>
        <w:t>公司新获</w:t>
      </w:r>
      <w:r>
        <w:rPr>
          <w:rFonts w:ascii="Times New Roman" w:hAnsi="Times New Roman" w:cs="Times New Roman" w:eastAsia="Times New Roman" w:hint="default"/>
        </w:rPr>
        <w:t>2</w:t>
      </w:r>
      <w:r>
        <w:rPr/>
        <w:t>项发明专利、</w:t>
      </w:r>
      <w:r>
        <w:rPr>
          <w:rFonts w:ascii="Times New Roman" w:hAnsi="Times New Roman" w:cs="Times New Roman" w:eastAsia="Times New Roman" w:hint="default"/>
        </w:rPr>
        <w:t>1</w:t>
      </w:r>
      <w:r>
        <w:rPr/>
        <w:t>项外观专利授权，新增计算机软件著作权</w:t>
      </w:r>
      <w:r>
        <w:rPr>
          <w:rFonts w:ascii="Times New Roman" w:hAnsi="Times New Roman" w:cs="Times New Roman" w:eastAsia="Times New Roman" w:hint="default"/>
        </w:rPr>
        <w:t>52</w:t>
      </w:r>
      <w:r>
        <w:rPr/>
        <w:t>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BodyText"/>
        <w:spacing w:line="240" w:lineRule="auto" w:before="0"/>
        <w:ind w:right="0"/>
        <w:jc w:val="left"/>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44,873,997.75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33,967,732.57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17,326,697.97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研发投入总额占营业收入的比重较上年发生显著变化的原因</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437,489,915.58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424,470,577.39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469,931,437.70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415,105,689.68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13.21%</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-32,441,522.12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9,364,887.71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-446.42%</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15,238,446.54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39,531,826.29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-61.45%</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-15,238,446.54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-39,530,616.29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61.45%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402,138,000.00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136.55%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232,459,669.34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142,916,921.37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62.65%</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169,678,330.66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27,083,078.63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526.51%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121,998,362.00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-3,082,649.95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-4,057.58%</w:t>
            </w:r>
            <w:r>
              <w:rPr>
                <w:rFonts w:ascii="Times New Roman"/>
                <w:sz w:val="18"/>
              </w:rPr>
            </w:r>
          </w:p>
        </w:tc>
      </w:tr>
    </w:tbl>
    <w:p>
      <w:pPr>
        <w:pStyle w:val="BodyText"/>
        <w:spacing w:line="240" w:lineRule="auto" w:before="51"/>
        <w:ind w:left="1134" w:right="0"/>
        <w:jc w:val="left"/>
      </w:pPr>
      <w:r>
        <w:rPr/>
        <w:t>相关数据同比发生重大变动的主要影响因素说明</w:t>
      </w:r>
    </w:p>
    <w:p>
      <w:pPr>
        <w:pStyle w:val="BodyText"/>
        <w:spacing w:line="319" w:lineRule="auto" w:before="117"/>
        <w:ind w:right="1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经营活动产生的现金流量净额较上年同期减少</w:t>
      </w:r>
      <w:r>
        <w:rPr>
          <w:rFonts w:ascii="Times New Roman" w:hAnsi="Times New Roman" w:cs="Times New Roman" w:eastAsia="Times New Roman" w:hint="default"/>
        </w:rPr>
        <w:t>446.42%</w:t>
      </w:r>
      <w:r>
        <w:rPr/>
        <w:t>，主要系公司业务规模扩大，加强了人才队伍建设，加大了新产品 的研发和市场推广的力度，从而增加了经营性现金的流出。 </w:t>
      </w:r>
      <w:r>
        <w:rPr>
          <w:rFonts w:ascii="Times New Roman" w:hAnsi="Times New Roman" w:cs="Times New Roman" w:eastAsia="Times New Roman" w:hint="default"/>
        </w:rPr>
        <w:t>2.</w:t>
      </w:r>
      <w:r>
        <w:rPr/>
        <w:t>投资活动产生的现金流量净额较上年同期增长</w:t>
      </w:r>
      <w:r>
        <w:rPr>
          <w:rFonts w:ascii="Times New Roman" w:hAnsi="Times New Roman" w:cs="Times New Roman" w:eastAsia="Times New Roman" w:hint="default"/>
        </w:rPr>
        <w:t>61.45%</w:t>
      </w:r>
      <w:r>
        <w:rPr/>
        <w:t>，主要系公司前期购置土地所致。</w:t>
      </w:r>
    </w:p>
    <w:p>
      <w:pPr>
        <w:pStyle w:val="BodyText"/>
        <w:spacing w:line="246" w:lineRule="exact" w:before="0"/>
        <w:ind w:left="1134" w:right="0"/>
        <w:jc w:val="left"/>
      </w:pPr>
      <w:r>
        <w:rPr>
          <w:rFonts w:ascii="Times New Roman" w:hAnsi="Times New Roman" w:cs="Times New Roman" w:eastAsia="Times New Roman" w:hint="default"/>
        </w:rPr>
        <w:t>3.</w:t>
      </w:r>
      <w:r>
        <w:rPr/>
        <w:t>筹资活动产生的现金流量净额较上年同期增长</w:t>
      </w:r>
      <w:r>
        <w:rPr>
          <w:rFonts w:ascii="Times New Roman" w:hAnsi="Times New Roman" w:cs="Times New Roman" w:eastAsia="Times New Roman" w:hint="default"/>
        </w:rPr>
        <w:t>526.51%</w:t>
      </w:r>
      <w:r>
        <w:rPr/>
        <w:t>，主要系报告期公司刚上市，新股溢价发行。</w:t>
      </w:r>
    </w:p>
    <w:p>
      <w:pPr>
        <w:pStyle w:val="BodyText"/>
        <w:spacing w:line="340" w:lineRule="auto" w:before="63"/>
        <w:ind w:left="1134" w:right="2862"/>
        <w:jc w:val="left"/>
      </w:pPr>
      <w:r>
        <w:rPr>
          <w:rFonts w:ascii="Times New Roman" w:hAnsi="Times New Roman" w:cs="Times New Roman" w:eastAsia="Times New Roman" w:hint="default"/>
        </w:rPr>
        <w:t>4.</w:t>
      </w:r>
      <w:r>
        <w:rPr/>
        <w:t>现金及现金等价物净增加额较上年同期增长</w:t>
      </w:r>
      <w:r>
        <w:rPr>
          <w:rFonts w:ascii="Times New Roman" w:hAnsi="Times New Roman" w:cs="Times New Roman" w:eastAsia="Times New Roman" w:hint="default"/>
        </w:rPr>
        <w:t>4057.58%</w:t>
      </w:r>
      <w:r>
        <w:rPr/>
        <w:t>，主要系报告期公司刚上市，新股溢价发行。 报告期内公司经营活动产生的现金净流量与本年度净利润存在重大差异的原因说明</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79"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240,140,175.1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34.90%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122,217,029.83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28.81%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6.09%</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本期增加主要系公开发行股票募集 资金到帐</w:t>
            </w:r>
          </w:p>
        </w:tc>
      </w:tr>
      <w:tr>
        <w:trPr>
          <w:trHeight w:val="393"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188,996,520.0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27.46%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112,692,911.66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26.56%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0.90%</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2"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139,785,779.8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87,969,643.88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20.73%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10,626,734.94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5,460,260.53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8,910,316.81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2,293,266.38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本期减少主要系本公司偿还一年内 到期的借款引起</w:t>
            </w:r>
          </w:p>
        </w:tc>
      </w:tr>
    </w:tbl>
    <w:p>
      <w:pPr>
        <w:spacing w:line="240" w:lineRule="auto" w:before="2"/>
        <w:rPr>
          <w:rFonts w:ascii="宋体" w:hAnsi="宋体" w:cs="宋体" w:eastAsia="宋体" w:hint="default"/>
          <w:sz w:val="19"/>
          <w:szCs w:val="19"/>
        </w:rPr>
      </w:pPr>
    </w:p>
    <w:p>
      <w:pPr>
        <w:pStyle w:val="Heading6"/>
        <w:spacing w:line="240" w:lineRule="auto" w:before="35"/>
        <w:ind w:left="1134"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bookmarkStart w:name="五、投资状况分析" w:id="43"/>
      <w:bookmarkEnd w:id="43"/>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总体情况" w:id="44"/>
      <w:bookmarkEnd w:id="4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2、报告期内获取的重大的股权投资情况" w:id="45"/>
      <w:bookmarkEnd w:id="4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4、以公允价值计量的金融资产" w:id="47"/>
      <w:bookmarkEnd w:id="47"/>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5、募集资金使用情况" w:id="48"/>
      <w:bookmarkEnd w:id="48"/>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1）募集资金总体使用情况" w:id="49"/>
      <w:bookmarkEnd w:id="49"/>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4"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首次公开 发行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14,370.57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8,249.02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8,249.02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6,500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6,500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45.23%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6,144.68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15"/>
              <w:jc w:val="left"/>
              <w:rPr>
                <w:rFonts w:ascii="宋体" w:hAnsi="宋体" w:cs="宋体" w:eastAsia="宋体" w:hint="default"/>
                <w:sz w:val="18"/>
                <w:szCs w:val="18"/>
              </w:rPr>
            </w:pPr>
            <w:r>
              <w:rPr>
                <w:rFonts w:ascii="宋体" w:hAnsi="宋体" w:cs="宋体" w:eastAsia="宋体" w:hint="default"/>
                <w:sz w:val="18"/>
                <w:szCs w:val="18"/>
              </w:rPr>
              <w:t>存于募集 资金监管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0"/>
        <w:ind w:left="0" w:right="1145"/>
        <w:jc w:val="right"/>
      </w:pPr>
      <w:r>
        <w:rPr/>
        <w:pict>
          <v:shape style="position:absolute;margin-left:56.459999pt;margin-top:-201.728287pt;width:479pt;height:281.7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362" w:hRule="exact"/>
                    </w:trPr>
                    <w:tc>
                      <w:tcPr>
                        <w:tcW w:w="867"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账户中</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14,370.57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8,249.02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8,249.02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6,500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6,500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1" w:right="0"/>
                          <w:jc w:val="left"/>
                          <w:rPr>
                            <w:rFonts w:ascii="Times New Roman" w:hAnsi="Times New Roman" w:cs="Times New Roman" w:eastAsia="Times New Roman" w:hint="default"/>
                            <w:sz w:val="18"/>
                            <w:szCs w:val="18"/>
                          </w:rPr>
                        </w:pPr>
                        <w:r>
                          <w:rPr>
                            <w:rFonts w:ascii="Times New Roman"/>
                            <w:sz w:val="18"/>
                          </w:rPr>
                          <w:t>45.23%</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6,144.68</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458"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firstLine="360"/>
                          <w:jc w:val="both"/>
                          <w:rPr>
                            <w:rFonts w:ascii="宋体" w:hAnsi="宋体" w:cs="宋体" w:eastAsia="宋体" w:hint="default"/>
                            <w:sz w:val="18"/>
                            <w:szCs w:val="18"/>
                          </w:rPr>
                        </w:pPr>
                        <w:r>
                          <w:rPr>
                            <w:rFonts w:ascii="宋体" w:hAnsi="宋体" w:cs="宋体" w:eastAsia="宋体" w:hint="default"/>
                            <w:spacing w:val="-3"/>
                            <w:sz w:val="18"/>
                            <w:szCs w:val="18"/>
                          </w:rPr>
                          <w:t>经中国证券监督管理委员会《关于核准上海中信信息发展股份有限公司首次公开发行股票的批复》</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证监许可</w:t>
                        </w:r>
                        <w:r>
                          <w:rPr>
                            <w:rFonts w:ascii="Times New Roman" w:hAnsi="Times New Roman" w:cs="Times New Roman" w:eastAsia="Times New Roman" w:hint="default"/>
                            <w:spacing w:val="-3"/>
                            <w:sz w:val="18"/>
                            <w:szCs w:val="18"/>
                          </w:rPr>
                          <w:t>[2015]958</w:t>
                        </w:r>
                        <w:r>
                          <w:rPr>
                            <w:rFonts w:ascii="Times New Roman" w:hAnsi="Times New Roman" w:cs="Times New Roman" w:eastAsia="Times New Roman" w:hint="default"/>
                            <w:sz w:val="18"/>
                            <w:szCs w:val="18"/>
                          </w:rPr>
                          <w:t> </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核准，由主承销商中山证券有限责任公司（以下简称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中山证券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）采用网下询价配售与网上资金申购定价发行相结合的</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方式发行人民币普通股（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16,700,000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股，发行价格为每股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元。截止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日，公司实际已向社会公开</w:t>
                        </w:r>
                      </w:p>
                      <w:p>
                        <w:pPr>
                          <w:pStyle w:val="TableParagraph"/>
                          <w:spacing w:line="240" w:lineRule="auto" w:before="1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16,700,000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股，募集资金总额人民币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169,338,000.00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元，扣除承销保荐费人民币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17,200,000.00</w:t>
                        </w:r>
                      </w:p>
                      <w:p>
                        <w:pPr>
                          <w:pStyle w:val="TableParagraph"/>
                          <w:spacing w:line="300" w:lineRule="auto" w:before="63"/>
                          <w:ind w:left="22" w:right="21"/>
                          <w:jc w:val="left"/>
                          <w:rPr>
                            <w:rFonts w:ascii="宋体" w:hAnsi="宋体" w:cs="宋体" w:eastAsia="宋体" w:hint="default"/>
                            <w:sz w:val="18"/>
                            <w:szCs w:val="18"/>
                          </w:rPr>
                        </w:pPr>
                        <w:r>
                          <w:rPr>
                            <w:rFonts w:ascii="宋体" w:hAnsi="宋体" w:cs="宋体" w:eastAsia="宋体" w:hint="default"/>
                            <w:sz w:val="18"/>
                            <w:szCs w:val="18"/>
                          </w:rPr>
                          <w:t>元后的募集资金为人民币</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152,138,000.00</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元，已由中山证券于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日存入公司开立在南京银行股份有限公司上海 分行（账号</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03010120030011468</w:t>
                        </w:r>
                        <w:r>
                          <w:rPr>
                            <w:rFonts w:ascii="宋体" w:hAnsi="宋体" w:cs="宋体" w:eastAsia="宋体" w:hint="default"/>
                            <w:spacing w:val="-3"/>
                            <w:sz w:val="18"/>
                            <w:szCs w:val="18"/>
                          </w:rPr>
                          <w:t>）、中国民生银行股份有限公司上海分行（账号</w:t>
                        </w:r>
                        <w:r>
                          <w:rPr>
                            <w:rFonts w:ascii="宋体" w:hAnsi="宋体" w:cs="宋体" w:eastAsia="宋体" w:hint="default"/>
                            <w:spacing w:val="-42"/>
                            <w:sz w:val="18"/>
                            <w:szCs w:val="18"/>
                          </w:rPr>
                          <w:t> </w:t>
                        </w:r>
                        <w:r>
                          <w:rPr>
                            <w:rFonts w:ascii="Times New Roman" w:hAnsi="Times New Roman" w:cs="Times New Roman" w:eastAsia="Times New Roman" w:hint="default"/>
                            <w:spacing w:val="-4"/>
                            <w:sz w:val="18"/>
                            <w:szCs w:val="18"/>
                          </w:rPr>
                          <w:t>694268602</w:t>
                        </w:r>
                        <w:r>
                          <w:rPr>
                            <w:rFonts w:ascii="宋体" w:hAnsi="宋体" w:cs="宋体" w:eastAsia="宋体" w:hint="default"/>
                            <w:spacing w:val="-4"/>
                            <w:sz w:val="18"/>
                            <w:szCs w:val="18"/>
                          </w:rPr>
                          <w:t>）、上海银行股份有限公司静安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支行（账号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316188-03002604708</w:t>
                        </w:r>
                        <w:r>
                          <w:rPr>
                            <w:rFonts w:ascii="宋体" w:hAnsi="宋体" w:cs="宋体" w:eastAsia="宋体" w:hint="default"/>
                            <w:sz w:val="18"/>
                            <w:szCs w:val="18"/>
                          </w:rPr>
                          <w:t>）的人民币账户内，扣除已预付的保荐费用人民币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元及其他发行费用人民币 </w:t>
                        </w:r>
                        <w:r>
                          <w:rPr>
                            <w:rFonts w:ascii="Times New Roman" w:hAnsi="Times New Roman" w:cs="Times New Roman" w:eastAsia="Times New Roman" w:hint="default"/>
                            <w:sz w:val="18"/>
                            <w:szCs w:val="18"/>
                          </w:rPr>
                          <w:t>7,632,303.51</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元后，本次募集资金净额为人民币</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143,705,696.49</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元。上述资金到位情况业经立信会计师事务所（特殊普通合</w:t>
                        </w:r>
                      </w:p>
                      <w:p>
                        <w:pPr>
                          <w:pStyle w:val="TableParagraph"/>
                          <w:spacing w:line="240" w:lineRule="auto" w:before="1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伙）验证，并由其出具</w:t>
                        </w:r>
                        <w:r>
                          <w:rPr>
                            <w:rFonts w:ascii="Times New Roman" w:hAnsi="Times New Roman" w:cs="Times New Roman" w:eastAsia="Times New Roman" w:hint="default"/>
                            <w:sz w:val="18"/>
                            <w:szCs w:val="18"/>
                          </w:rPr>
                          <w:t>“</w:t>
                        </w: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114313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验资报告。公司对募集资金采取了专户存储管理制度。截止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日，公司已累计使用募集资金人民币</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82,490,246.49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元，其中：募集资金项目累计支出人民币</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17,490,246.49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归还银行借款人民币</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65,000,000.00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元。公司到位募集资金净额为人民币</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143,705,696.49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元，扣除已使用的募集资金人民币</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82,490,246.49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元，扣除手续费支出人民币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404.32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元，加上收到的存款利息收入人民币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231,764.69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日，公司募集资金余额应为人民币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61,446,810.37 </w:t>
                        </w:r>
                        <w:r>
                          <w:rPr>
                            <w:rFonts w:ascii="宋体" w:hAnsi="宋体" w:cs="宋体" w:eastAsia="宋体" w:hint="default"/>
                            <w:sz w:val="18"/>
                            <w:szCs w:val="18"/>
                          </w:rPr>
                          <w:t>元。截止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日，公司募集资金专户实际余额为人民币</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61,446,810.37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Heading6"/>
        <w:spacing w:line="240" w:lineRule="auto" w:before="35"/>
        <w:ind w:left="1134" w:right="0"/>
        <w:jc w:val="left"/>
        <w:rPr>
          <w:b w:val="0"/>
          <w:bCs w:val="0"/>
        </w:rPr>
      </w:pPr>
      <w:bookmarkStart w:name="（2）募集资金承诺项目情况" w:id="50"/>
      <w:bookmarkEnd w:id="50"/>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50"/>
        <w:gridCol w:w="738"/>
        <w:gridCol w:w="723"/>
        <w:gridCol w:w="717"/>
        <w:gridCol w:w="716"/>
        <w:gridCol w:w="719"/>
        <w:gridCol w:w="718"/>
        <w:gridCol w:w="716"/>
        <w:gridCol w:w="719"/>
        <w:gridCol w:w="718"/>
        <w:gridCol w:w="718"/>
        <w:gridCol w:w="710"/>
      </w:tblGrid>
      <w:tr>
        <w:trPr>
          <w:trHeight w:val="1650"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69" w:right="99"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63" w:right="62"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3" w:right="87"/>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8" w:right="87"/>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86"/>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1" w:right="86"/>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4" w:right="71" w:firstLine="1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25"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8" w:right="86"/>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1" w:right="87"/>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0" w:right="86"/>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86"/>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8" w:right="79"/>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数字档案馆信息资 源管理系统项目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5,456</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2,669</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300</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11.24%</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数字档案室信息资 源管理系统项目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4,899</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2,469</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948.9</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948.9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38.43%</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食品流通安全追溯 档案管理软件项目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4,015.57</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2,712</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500.12</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500.12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18.44%</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偿还银行贷款</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3"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6,500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6,500</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43.33</w:t>
            </w: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7"/>
              <w:jc w:val="right"/>
              <w:rPr>
                <w:rFonts w:ascii="Times New Roman" w:hAnsi="Times New Roman" w:cs="Times New Roman" w:eastAsia="Times New Roman" w:hint="default"/>
                <w:sz w:val="15"/>
                <w:szCs w:val="15"/>
              </w:rPr>
            </w:pPr>
            <w:r>
              <w:rPr>
                <w:rFonts w:ascii="Times New Roman"/>
                <w:spacing w:val="-1"/>
                <w:sz w:val="15"/>
              </w:rPr>
              <w:t>14,370.57</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14,350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8,249.02</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8,249.02</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43.33</w:t>
            </w: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650"/>
        <w:gridCol w:w="738"/>
        <w:gridCol w:w="719"/>
        <w:gridCol w:w="718"/>
        <w:gridCol w:w="715"/>
        <w:gridCol w:w="670"/>
        <w:gridCol w:w="768"/>
        <w:gridCol w:w="716"/>
        <w:gridCol w:w="719"/>
        <w:gridCol w:w="718"/>
        <w:gridCol w:w="718"/>
        <w:gridCol w:w="714"/>
      </w:tblGrid>
      <w:tr>
        <w:trPr>
          <w:trHeight w:val="402"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38"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left="78" w:right="0"/>
              <w:jc w:val="left"/>
              <w:rPr>
                <w:rFonts w:ascii="Times New Roman" w:hAnsi="Times New Roman" w:cs="Times New Roman" w:eastAsia="Times New Roman" w:hint="default"/>
                <w:sz w:val="15"/>
                <w:szCs w:val="15"/>
              </w:rPr>
            </w:pPr>
            <w:r>
              <w:rPr>
                <w:rFonts w:ascii="Times New Roman"/>
                <w:sz w:val="15"/>
              </w:rPr>
              <w:t>14,370.57</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14,350</w:t>
            </w:r>
          </w:p>
        </w:tc>
        <w:tc>
          <w:tcPr>
            <w:tcW w:w="71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8,249.02</w:t>
            </w:r>
          </w:p>
        </w:tc>
        <w:tc>
          <w:tcPr>
            <w:tcW w:w="67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8,249.0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7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1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43.33</w:t>
            </w:r>
          </w:p>
        </w:tc>
        <w:tc>
          <w:tcPr>
            <w:tcW w:w="718" w:type="dxa"/>
            <w:vMerge w:val="restart"/>
            <w:tcBorders>
              <w:top w:val="single" w:sz="4" w:space="0" w:color="000000"/>
              <w:left w:val="single" w:sz="4" w:space="0" w:color="000000"/>
              <w:right w:val="single" w:sz="4" w:space="0" w:color="000000"/>
            </w:tcBorders>
          </w:tcPr>
          <w:p>
            <w:pPr/>
          </w:p>
        </w:tc>
        <w:tc>
          <w:tcPr>
            <w:tcW w:w="7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670" w:type="dxa"/>
            <w:vMerge/>
            <w:tcBorders>
              <w:left w:val="single" w:sz="4" w:space="0" w:color="000000"/>
              <w:right w:val="single" w:sz="4" w:space="0" w:color="000000"/>
            </w:tcBorders>
          </w:tcPr>
          <w:p>
            <w:pPr/>
          </w:p>
        </w:tc>
        <w:tc>
          <w:tcPr>
            <w:tcW w:w="768" w:type="dxa"/>
            <w:vMerge/>
            <w:tcBorders>
              <w:left w:val="single" w:sz="4" w:space="0" w:color="000000"/>
              <w:right w:val="single" w:sz="4" w:space="0" w:color="000000"/>
            </w:tcBorders>
            <w:shd w:val="clear" w:color="auto" w:fill="D2D2D2"/>
          </w:tcPr>
          <w:p>
            <w:pPr/>
          </w:p>
        </w:tc>
        <w:tc>
          <w:tcPr>
            <w:tcW w:w="716" w:type="dxa"/>
            <w:vMerge/>
            <w:tcBorders>
              <w:left w:val="single" w:sz="4" w:space="0" w:color="000000"/>
              <w:right w:val="single" w:sz="4" w:space="0" w:color="000000"/>
            </w:tcBorders>
            <w:shd w:val="clear" w:color="auto" w:fill="D2D2D2"/>
          </w:tcPr>
          <w:p>
            <w:pPr/>
          </w:p>
        </w:tc>
        <w:tc>
          <w:tcPr>
            <w:tcW w:w="719"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shd w:val="clear" w:color="auto" w:fill="D2D2D2"/>
          </w:tcPr>
          <w:p>
            <w:pPr/>
          </w:p>
        </w:tc>
        <w:tc>
          <w:tcPr>
            <w:tcW w:w="714" w:type="dxa"/>
            <w:vMerge/>
            <w:tcBorders>
              <w:left w:val="single" w:sz="4" w:space="0" w:color="000000"/>
              <w:right w:val="single" w:sz="4" w:space="0" w:color="000000"/>
            </w:tcBorders>
            <w:shd w:val="clear" w:color="auto" w:fill="D2D2D2"/>
          </w:tcPr>
          <w:p>
            <w:pPr/>
          </w:p>
        </w:tc>
      </w:tr>
      <w:tr>
        <w:trPr>
          <w:trHeight w:val="161"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670" w:type="dxa"/>
            <w:vMerge/>
            <w:tcBorders>
              <w:left w:val="single" w:sz="4" w:space="0" w:color="000000"/>
              <w:bottom w:val="single" w:sz="4" w:space="0" w:color="000000"/>
              <w:right w:val="single" w:sz="4" w:space="0" w:color="000000"/>
            </w:tcBorders>
          </w:tcPr>
          <w:p>
            <w:pPr/>
          </w:p>
        </w:tc>
        <w:tc>
          <w:tcPr>
            <w:tcW w:w="768" w:type="dxa"/>
            <w:vMerge/>
            <w:tcBorders>
              <w:left w:val="single" w:sz="4" w:space="0" w:color="000000"/>
              <w:bottom w:val="single" w:sz="4" w:space="0" w:color="000000"/>
              <w:right w:val="single" w:sz="4" w:space="0" w:color="000000"/>
            </w:tcBorders>
            <w:shd w:val="clear" w:color="auto" w:fill="D2D2D2"/>
          </w:tcPr>
          <w:p>
            <w:pPr/>
          </w:p>
        </w:tc>
        <w:tc>
          <w:tcPr>
            <w:tcW w:w="716" w:type="dxa"/>
            <w:vMerge/>
            <w:tcBorders>
              <w:left w:val="single" w:sz="4" w:space="0" w:color="000000"/>
              <w:bottom w:val="single" w:sz="4" w:space="0" w:color="000000"/>
              <w:right w:val="single" w:sz="4" w:space="0" w:color="000000"/>
            </w:tcBorders>
            <w:shd w:val="clear" w:color="auto" w:fill="D2D2D2"/>
          </w:tcPr>
          <w:p>
            <w:pPr/>
          </w:p>
        </w:tc>
        <w:tc>
          <w:tcPr>
            <w:tcW w:w="719"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shd w:val="clear" w:color="auto" w:fill="D2D2D2"/>
          </w:tcPr>
          <w:p>
            <w:pPr/>
          </w:p>
        </w:tc>
        <w:tc>
          <w:tcPr>
            <w:tcW w:w="714"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截止报告期末募投项目可行性未发生重大变化。</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22"/>
              <w:jc w:val="left"/>
              <w:rPr>
                <w:rFonts w:ascii="宋体" w:hAnsi="宋体" w:cs="宋体" w:eastAsia="宋体" w:hint="default"/>
                <w:sz w:val="18"/>
                <w:szCs w:val="18"/>
              </w:rPr>
            </w:pPr>
            <w:r>
              <w:rPr>
                <w:rFonts w:ascii="宋体" w:hAnsi="宋体" w:cs="宋体" w:eastAsia="宋体" w:hint="default"/>
                <w:spacing w:val="-3"/>
                <w:sz w:val="18"/>
                <w:szCs w:val="18"/>
              </w:rPr>
              <w:t>超募资金的金额、用</w:t>
            </w:r>
            <w:r>
              <w:rPr>
                <w:rFonts w:ascii="宋体" w:hAnsi="宋体" w:cs="宋体" w:eastAsia="宋体" w:hint="default"/>
                <w:sz w:val="18"/>
                <w:szCs w:val="18"/>
              </w:rPr>
              <w:t> 途及使用进展情况</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gridSpan w:val="11"/>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37" w:hRule="exact"/>
        </w:trPr>
        <w:tc>
          <w:tcPr>
            <w:tcW w:w="1650" w:type="dxa"/>
            <w:vMerge/>
            <w:tcBorders>
              <w:left w:val="single" w:sz="4" w:space="0" w:color="000000"/>
              <w:bottom w:val="nil" w:sz="6" w:space="0" w:color="auto"/>
              <w:right w:val="single" w:sz="4" w:space="0" w:color="000000"/>
            </w:tcBorders>
            <w:shd w:val="clear" w:color="auto" w:fill="D2D2D2"/>
          </w:tcPr>
          <w:p>
            <w:pP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740"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86"/>
              <w:ind w:left="22" w:right="177"/>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12" w:type="dxa"/>
            <w:gridSpan w:val="11"/>
            <w:vMerge w:val="restart"/>
            <w:tcBorders>
              <w:top w:val="single" w:sz="4" w:space="0" w:color="000000"/>
              <w:left w:val="single" w:sz="9" w:space="0" w:color="D2D2D2"/>
              <w:right w:val="single" w:sz="4" w:space="0" w:color="000000"/>
            </w:tcBorders>
          </w:tcPr>
          <w:p>
            <w:pPr>
              <w:pStyle w:val="TableParagraph"/>
              <w:spacing w:line="307" w:lineRule="auto" w:before="16"/>
              <w:ind w:left="16"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日公司第三届董事会第六次会议审议通过了《关于调整公司募投项目的募集资金使 </w:t>
            </w:r>
            <w:r>
              <w:rPr>
                <w:rFonts w:ascii="宋体" w:hAnsi="宋体" w:cs="宋体" w:eastAsia="宋体" w:hint="default"/>
                <w:spacing w:val="-3"/>
                <w:sz w:val="18"/>
                <w:szCs w:val="18"/>
              </w:rPr>
              <w:t>用金额的议案》，募投项目由原计划以租赁的方式在上海市青浦区出口加工区功能区</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C-3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栋进行建设</w:t>
            </w:r>
            <w:r>
              <w:rPr>
                <w:rFonts w:ascii="宋体" w:hAnsi="宋体" w:cs="宋体" w:eastAsia="宋体" w:hint="default"/>
                <w:spacing w:val="-83"/>
                <w:sz w:val="18"/>
                <w:szCs w:val="18"/>
              </w:rPr>
              <w:t> </w:t>
            </w:r>
            <w:r>
              <w:rPr>
                <w:rFonts w:ascii="宋体" w:hAnsi="宋体" w:cs="宋体" w:eastAsia="宋体" w:hint="default"/>
                <w:spacing w:val="-2"/>
                <w:sz w:val="18"/>
                <w:szCs w:val="18"/>
              </w:rPr>
              <w:t>改为在公司的全资子公司的自有土地上实施，该自有土地的取得和土建工程均以自有资金投入。该事</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项公司保荐机构、监事会、独立董事均发表了明确同意意见，该事项已于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w:t>
            </w:r>
          </w:p>
          <w:p>
            <w:pPr>
              <w:pStyle w:val="TableParagraph"/>
              <w:spacing w:line="240" w:lineRule="auto" w:before="8"/>
              <w:ind w:left="1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年第三次临时股东大会审议通过。</w:t>
            </w:r>
          </w:p>
        </w:tc>
      </w:tr>
      <w:tr>
        <w:trPr>
          <w:trHeight w:val="875"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2" w:type="dxa"/>
            <w:gridSpan w:val="11"/>
            <w:vMerge/>
            <w:tcBorders>
              <w:left w:val="single" w:sz="9" w:space="0" w:color="D2D2D2"/>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1" w:hRule="exact"/>
        </w:trPr>
        <w:tc>
          <w:tcPr>
            <w:tcW w:w="1650" w:type="dxa"/>
            <w:vMerge/>
            <w:tcBorders>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241" w:hRule="exact"/>
        </w:trPr>
        <w:tc>
          <w:tcPr>
            <w:tcW w:w="165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12" w:type="dxa"/>
            <w:gridSpan w:val="11"/>
            <w:vMerge/>
            <w:tcBorders>
              <w:left w:val="single" w:sz="9" w:space="0" w:color="D2D2D2"/>
              <w:bottom w:val="single" w:sz="4" w:space="0" w:color="000000"/>
              <w:right w:val="single" w:sz="4" w:space="0" w:color="000000"/>
            </w:tcBorders>
          </w:tcPr>
          <w:p>
            <w:pPr/>
          </w:p>
        </w:tc>
      </w:tr>
      <w:tr>
        <w:trPr>
          <w:trHeight w:val="463" w:hRule="exact"/>
        </w:trPr>
        <w:tc>
          <w:tcPr>
            <w:tcW w:w="1650" w:type="dxa"/>
            <w:vMerge/>
            <w:tcBorders>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将数字档案馆信息资源管理系统项目投资总额从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5,456.00 </w:t>
            </w:r>
            <w:r>
              <w:rPr>
                <w:rFonts w:ascii="宋体" w:hAnsi="宋体" w:cs="宋体" w:eastAsia="宋体" w:hint="default"/>
                <w:sz w:val="18"/>
                <w:szCs w:val="18"/>
              </w:rPr>
              <w:t>万元调减至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2,669.00 </w:t>
            </w:r>
            <w:r>
              <w:rPr>
                <w:rFonts w:ascii="宋体" w:hAnsi="宋体" w:cs="宋体" w:eastAsia="宋体" w:hint="default"/>
                <w:spacing w:val="-7"/>
                <w:sz w:val="18"/>
                <w:szCs w:val="18"/>
              </w:rPr>
              <w:t>万元；将数字档案室信</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息资源管理系统项目的投资总额从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4,899.00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万元调减至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2,469.00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万元；将食品流通安全追溯档案管理</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软件项目的投资总额从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4,015.57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万元调减至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2,712.00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万元；另新增偿还银行贷款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563"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2" w:type="dxa"/>
            <w:gridSpan w:val="11"/>
            <w:vMerge/>
            <w:tcBorders>
              <w:left w:val="single" w:sz="9" w:space="0" w:color="D2D2D2"/>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gridSpan w:val="11"/>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gridSpan w:val="11"/>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gridSpan w:val="11"/>
            <w:tcBorders>
              <w:top w:val="single" w:sz="4" w:space="0" w:color="000000"/>
              <w:left w:val="single" w:sz="9" w:space="0" w:color="D2D2D2"/>
              <w:bottom w:val="single" w:sz="4" w:space="0" w:color="000000"/>
              <w:right w:val="single" w:sz="4" w:space="0" w:color="000000"/>
            </w:tcBorders>
          </w:tcPr>
          <w:p>
            <w:pP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存于募集资金监管账户中</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 公司已及时、真实、准确、完整地披露了募集资金使用情况相关信息。</w:t>
            </w:r>
          </w:p>
          <w:p>
            <w:pPr>
              <w:pStyle w:val="TableParagraph"/>
              <w:spacing w:line="240" w:lineRule="auto" w:before="10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、公司募集资金存放、使用、管理及披露不存在违规情形。</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2"/>
        <w:rPr>
          <w:rFonts w:ascii="Times New Roman" w:hAnsi="Times New Roman" w:cs="Times New Roman" w:eastAsia="Times New Roman" w:hint="default"/>
          <w:sz w:val="28"/>
          <w:szCs w:val="28"/>
        </w:rPr>
      </w:pPr>
    </w:p>
    <w:p>
      <w:pPr>
        <w:pStyle w:val="Heading6"/>
        <w:spacing w:line="240" w:lineRule="auto" w:before="35"/>
        <w:ind w:right="0"/>
        <w:jc w:val="left"/>
        <w:rPr>
          <w:b w:val="0"/>
          <w:bCs w:val="0"/>
        </w:rPr>
      </w:pPr>
      <w:bookmarkStart w:name="（3）募集资金变更项目情况" w:id="51"/>
      <w:bookmarkEnd w:id="51"/>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2"/>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3" w:right="21"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数字档案馆 信息资源管 理系统项目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数字档案馆 信息资源管 理系统项目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2,669</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11.24%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数字档案室 信息资源管 理系统项目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数字档案室 信息资源管 理系统项目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2,469</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948.9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948.9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38.43%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食品流通安 全追溯档案 管理软件项 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食品流通安 全追溯档案 管理软件项 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2,712</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500.12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500.12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偿还银行贷 款</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43.33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14,350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8,249.02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8,249.02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43.33</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5122"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6"/>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日公司第三届董事会第六次会议审议通过了《关于调整公司募投 </w:t>
            </w:r>
            <w:r>
              <w:rPr>
                <w:rFonts w:ascii="宋体" w:hAnsi="宋体" w:cs="宋体" w:eastAsia="宋体" w:hint="default"/>
                <w:spacing w:val="-1"/>
                <w:sz w:val="18"/>
                <w:szCs w:val="18"/>
              </w:rPr>
              <w:t>项目的募集资金使用金额的议案》，募投项目数字档案室信息资源管理系统项目、数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字档案馆信息资源管理系统项目、食品流通安全追溯档案管理软件项目由原计划以租</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赁的方式在上海市青浦区出口加工区功能区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C-3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栋进行建设改为在公司的全资子公司 </w:t>
            </w:r>
            <w:r>
              <w:rPr>
                <w:rFonts w:ascii="宋体" w:hAnsi="宋体" w:cs="宋体" w:eastAsia="宋体" w:hint="default"/>
                <w:spacing w:val="-1"/>
                <w:sz w:val="18"/>
                <w:szCs w:val="18"/>
              </w:rPr>
              <w:t>的自有土地上实施，该自有土地的取得和土建工程均以自有资金投入。该事项公司保</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荐机构、监事会、独立董事均发表了明确同意意见，该事项已于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日经</w:t>
            </w:r>
          </w:p>
          <w:p>
            <w:pPr>
              <w:pStyle w:val="TableParagraph"/>
              <w:spacing w:line="240" w:lineRule="auto" w:before="6"/>
              <w:ind w:left="23" w:right="0"/>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年第三次临时股东大会审议通过。</w:t>
            </w:r>
          </w:p>
          <w:p>
            <w:pPr>
              <w:pStyle w:val="TableParagraph"/>
              <w:spacing w:line="307" w:lineRule="auto" w:before="102"/>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日公司第三届董事会第六次会议审议通过了《关于新增公司募集 </w:t>
            </w:r>
            <w:r>
              <w:rPr>
                <w:rFonts w:ascii="宋体" w:hAnsi="宋体" w:cs="宋体" w:eastAsia="宋体" w:hint="default"/>
                <w:spacing w:val="-1"/>
                <w:sz w:val="18"/>
                <w:szCs w:val="18"/>
              </w:rPr>
              <w:t>资金投资项目的议案》，结合数字档案馆信息资源管理系统项目、数字档案室信息资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源管理系统项目、食品流通安全追溯档案管理软件项目建设进展情况，使用募集资金</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投入的金额将减少约 </w:t>
            </w:r>
            <w:r>
              <w:rPr>
                <w:rFonts w:ascii="Times New Roman" w:hAnsi="Times New Roman" w:cs="Times New Roman" w:eastAsia="Times New Roman" w:hint="default"/>
                <w:sz w:val="18"/>
                <w:szCs w:val="18"/>
              </w:rPr>
              <w:t>6,500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万元。为进一步提高募集资金的使用效率，提升公司经营 </w:t>
            </w:r>
            <w:r>
              <w:rPr>
                <w:rFonts w:ascii="宋体" w:hAnsi="宋体" w:cs="宋体" w:eastAsia="宋体" w:hint="default"/>
                <w:spacing w:val="-1"/>
                <w:sz w:val="18"/>
                <w:szCs w:val="18"/>
              </w:rPr>
              <w:t>业绩，减少费用支出，本着有利于全体股东利益的原则，公司董事会决定在保证建设</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完成以上三个募投资金项目外，将募集资金结余的 </w:t>
            </w:r>
            <w:r>
              <w:rPr>
                <w:rFonts w:ascii="Times New Roman" w:hAnsi="Times New Roman" w:cs="Times New Roman" w:eastAsia="Times New Roman" w:hint="default"/>
                <w:sz w:val="18"/>
                <w:szCs w:val="18"/>
              </w:rPr>
              <w:t>6,500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万元用于偿还银行贷款（占 总募集资金的比例为</w:t>
            </w:r>
            <w:r>
              <w:rPr>
                <w:rFonts w:ascii="宋体" w:hAnsi="宋体" w:cs="宋体" w:eastAsia="宋体" w:hint="default"/>
                <w:spacing w:val="-31"/>
                <w:sz w:val="18"/>
                <w:szCs w:val="18"/>
              </w:rPr>
              <w:t> </w:t>
            </w:r>
            <w:r>
              <w:rPr>
                <w:rFonts w:ascii="Times New Roman" w:hAnsi="Times New Roman" w:cs="Times New Roman" w:eastAsia="Times New Roman" w:hint="default"/>
                <w:spacing w:val="-3"/>
                <w:sz w:val="18"/>
                <w:szCs w:val="18"/>
              </w:rPr>
              <w:t>45.23%</w:t>
            </w:r>
            <w:r>
              <w:rPr>
                <w:rFonts w:ascii="宋体" w:hAnsi="宋体" w:cs="宋体" w:eastAsia="宋体" w:hint="default"/>
                <w:spacing w:val="-3"/>
                <w:sz w:val="18"/>
                <w:szCs w:val="18"/>
              </w:rPr>
              <w:t>），减少公司的财务费用支出，更好地回报股东。该事项</w:t>
            </w:r>
            <w:r>
              <w:rPr>
                <w:rFonts w:ascii="宋体" w:hAnsi="宋体" w:cs="宋体" w:eastAsia="宋体" w:hint="default"/>
                <w:sz w:val="18"/>
                <w:szCs w:val="18"/>
              </w:rPr>
              <w:t> 公司保荐机构、监事会、独立董事均发表了明确同意意见，该事项已于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8"/>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年第三次临时股东大会审议通过。</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截止报告期末募投项目可行性未发生重大变化。</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4"/>
        <w:spacing w:line="240" w:lineRule="auto" w:before="26"/>
        <w:ind w:right="0"/>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出售重大资产情况" w:id="53"/>
      <w:bookmarkEnd w:id="53"/>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6"/>
        <w:spacing w:line="240" w:lineRule="auto"/>
        <w:ind w:right="0"/>
        <w:jc w:val="left"/>
        <w:rPr>
          <w:b w:val="0"/>
          <w:bCs w:val="0"/>
        </w:rPr>
      </w:pPr>
      <w:bookmarkStart w:name="2、出售重大股权情况" w:id="54"/>
      <w:bookmarkEnd w:id="54"/>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left="1113" w:right="1112"/>
        <w:jc w:val="center"/>
      </w:pPr>
      <w:r>
        <w:rPr/>
        <w:t>单位：元</w:t>
      </w:r>
    </w:p>
    <w:p>
      <w:pPr>
        <w:spacing w:after="0" w:line="240" w:lineRule="auto"/>
        <w:jc w:val="center"/>
        <w:sectPr>
          <w:type w:val="continuous"/>
          <w:pgSz w:w="11910" w:h="16840"/>
          <w:pgMar w:top="1060" w:bottom="1160" w:left="0" w:right="0"/>
          <w:cols w:num="2" w:equalWidth="0">
            <w:col w:w="5829" w:space="3090"/>
            <w:col w:w="2991"/>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上海金档信 息技术有限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z w:val="18"/>
                <w:szCs w:val="18"/>
              </w:rPr>
              <w:t>数据服务、 软件开发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43,052,195.4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37,099,956.5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61,237,841.7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1,946,477.15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2,058,174.23</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19"/>
              <w:jc w:val="left"/>
              <w:rPr>
                <w:rFonts w:ascii="宋体" w:hAnsi="宋体" w:cs="宋体" w:eastAsia="宋体" w:hint="default"/>
                <w:sz w:val="18"/>
                <w:szCs w:val="18"/>
              </w:rPr>
            </w:pPr>
            <w:r>
              <w:rPr>
                <w:rFonts w:ascii="宋体" w:hAnsi="宋体" w:cs="宋体" w:eastAsia="宋体" w:hint="default"/>
                <w:sz w:val="18"/>
                <w:szCs w:val="18"/>
              </w:rPr>
              <w:t>光典信息发 展有限公司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现阶段主要 从事部分食 品追溯的项 目实施</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202,891,949.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113,234,529.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83,540,532.5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3,482,980.44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11,254,429.5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上海追索信 息科技有限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食品流通追 溯相关的软 硬件产品的 开发与销售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14,334,977.2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13,390,134.8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8,948,150.59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1,851,783.19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1,786,385.82</w:t>
            </w:r>
          </w:p>
        </w:tc>
      </w:tr>
    </w:tbl>
    <w:p>
      <w:pPr>
        <w:pStyle w:val="BodyText"/>
        <w:spacing w:line="240" w:lineRule="auto" w:before="51"/>
        <w:ind w:left="1134" w:right="0"/>
        <w:jc w:val="left"/>
      </w:pPr>
      <w:r>
        <w:rPr/>
        <w:t>报告期内取得和处置子公司的情况</w:t>
      </w:r>
    </w:p>
    <w:p>
      <w:pPr>
        <w:pStyle w:val="BodyText"/>
        <w:spacing w:line="338" w:lineRule="auto" w:before="117"/>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主要控股参股公司情况说明</w:t>
      </w:r>
    </w:p>
    <w:p>
      <w:pPr>
        <w:spacing w:line="240" w:lineRule="auto" w:before="4"/>
        <w:rPr>
          <w:rFonts w:ascii="宋体" w:hAnsi="宋体" w:cs="宋体" w:eastAsia="宋体" w:hint="default"/>
          <w:sz w:val="19"/>
          <w:szCs w:val="19"/>
        </w:rPr>
      </w:pPr>
    </w:p>
    <w:p>
      <w:pPr>
        <w:pStyle w:val="Heading4"/>
        <w:spacing w:line="240" w:lineRule="auto"/>
        <w:ind w:right="0"/>
        <w:jc w:val="left"/>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496" w:right="0"/>
        <w:jc w:val="left"/>
      </w:pPr>
      <w:r>
        <w:rPr>
          <w:rFonts w:ascii="Times New Roman" w:hAnsi="Times New Roman" w:cs="Times New Roman" w:eastAsia="Times New Roman" w:hint="default"/>
        </w:rPr>
        <w:t>1</w:t>
      </w:r>
      <w:r>
        <w:rPr/>
        <w:t>、行业格局和趋势</w:t>
      </w:r>
    </w:p>
    <w:p>
      <w:pPr>
        <w:pStyle w:val="BodyText"/>
        <w:spacing w:line="240" w:lineRule="auto" w:before="63"/>
        <w:ind w:left="1424" w:right="0"/>
        <w:jc w:val="left"/>
      </w:pPr>
      <w:r>
        <w:rPr/>
        <w:t>（</w:t>
      </w:r>
      <w:r>
        <w:rPr>
          <w:rFonts w:ascii="Times New Roman" w:hAnsi="Times New Roman" w:cs="Times New Roman" w:eastAsia="Times New Roman" w:hint="default"/>
        </w:rPr>
        <w:t>1</w:t>
      </w:r>
      <w:r>
        <w:rPr/>
        <w:t>）食品追溯行业迎来窗口期</w:t>
      </w:r>
    </w:p>
    <w:p>
      <w:pPr>
        <w:pStyle w:val="BodyText"/>
        <w:spacing w:line="300" w:lineRule="auto" w:before="63"/>
        <w:ind w:right="0" w:firstLine="300"/>
        <w:jc w:val="left"/>
      </w:pPr>
      <w:r>
        <w:rPr/>
        <w:t>《中华人民共和国食品安全法》已由中华人民共和国第十二届全国人民代表大会常务委员会第十四次会议于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 </w:t>
      </w:r>
      <w:r>
        <w:rPr>
          <w:rFonts w:ascii="Times New Roman" w:hAnsi="Times New Roman" w:cs="Times New Roman" w:eastAsia="Times New Roman" w:hint="default"/>
          <w:spacing w:val="-2"/>
        </w:rPr>
        <w:t>24</w:t>
      </w:r>
      <w:r>
        <w:rPr>
          <w:spacing w:val="-2"/>
        </w:rPr>
        <w:t>日修订通过，并于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w:t>
      </w:r>
      <w:r>
        <w:rPr>
          <w:spacing w:val="-2"/>
        </w:rPr>
        <w:t>日起施行。新法明确提出：食品生产经营者应当依照本法的规定，建立食品安全追溯体系，</w:t>
      </w:r>
      <w:r>
        <w:rPr>
          <w:spacing w:val="-56"/>
        </w:rPr>
        <w:t> </w:t>
      </w:r>
      <w:r>
        <w:rPr>
          <w:spacing w:val="-56"/>
        </w:rPr>
      </w:r>
      <w:r>
        <w:rPr>
          <w:spacing w:val="-2"/>
        </w:rPr>
        <w:t>保证食品可追溯。并鼓励食品生产经营者采用信息化手段采集、留存生产经营信息，建立食品安全追溯体系。在国家政策的</w:t>
      </w:r>
    </w:p>
    <w:p>
      <w:pPr>
        <w:spacing w:after="0" w:line="300" w:lineRule="auto"/>
        <w:jc w:val="left"/>
        <w:sectPr>
          <w:type w:val="continuous"/>
          <w:pgSz w:w="11910" w:h="16840"/>
          <w:pgMar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ind w:left="1553" w:right="0" w:hanging="420"/>
        <w:jc w:val="left"/>
      </w:pPr>
      <w:r>
        <w:rPr/>
        <w:t>推动下，食品安全领域的信息化建设投入将迎来高速增长。 政府市场上，商务部主推的试点城市流通追溯体系建设项目实施落地，产生了良好的示范效应，各省市纷纷开始自行</w:t>
      </w:r>
    </w:p>
    <w:p>
      <w:pPr>
        <w:pStyle w:val="BodyText"/>
        <w:spacing w:line="319" w:lineRule="auto" w:before="19"/>
        <w:ind w:right="0"/>
        <w:jc w:val="left"/>
      </w:pPr>
      <w:r>
        <w:rPr>
          <w:spacing w:val="-2"/>
        </w:rPr>
        <w:t>推动流通追溯体系的建设工作。追溯品类也逐渐由肉类蔬菜向包括牛羊肉、南北货、酒类、中药材、粮食、乳业、禽类、水</w:t>
      </w:r>
      <w:r>
        <w:rPr>
          <w:spacing w:val="-68"/>
        </w:rPr>
        <w:t> </w:t>
      </w:r>
      <w:r>
        <w:rPr>
          <w:spacing w:val="-68"/>
        </w:rPr>
      </w:r>
      <w:r>
        <w:rPr>
          <w:spacing w:val="-4"/>
        </w:rPr>
        <w:t>产品等多品类拓展。另一方面，食品追溯开始向种养殖、消费环节拓展，实现全程追溯成为未来政府食品安全工作的新目标。</w:t>
      </w:r>
      <w:r>
        <w:rPr>
          <w:spacing w:val="-46"/>
        </w:rPr>
        <w:t> </w:t>
      </w:r>
      <w:r>
        <w:rPr>
          <w:spacing w:val="-46"/>
        </w:rPr>
      </w:r>
      <w:r>
        <w:rPr>
          <w:spacing w:val="-2"/>
        </w:rPr>
        <w:t>近几年在追溯体系建设的过程中，产业周期逐步发生变化，从投入期向快速增长期过渡，项目运营和运维等新盈利点的产生</w:t>
      </w:r>
      <w:r>
        <w:rPr>
          <w:spacing w:val="-66"/>
        </w:rPr>
        <w:t> </w:t>
      </w:r>
      <w:r>
        <w:rPr>
          <w:spacing w:val="-66"/>
        </w:rPr>
      </w:r>
      <w:r>
        <w:rPr/>
        <w:t>孕育着巨大的市场机会。</w:t>
      </w:r>
    </w:p>
    <w:p>
      <w:pPr>
        <w:pStyle w:val="BodyText"/>
        <w:spacing w:line="316" w:lineRule="auto" w:before="17"/>
        <w:ind w:right="1020" w:firstLine="373"/>
        <w:jc w:val="left"/>
      </w:pPr>
      <w:r>
        <w:rPr/>
        <w:t>企业市场上，国家新食品安全法的颁布与实施，以及企业防伪溯源和品牌意识的不断增强，渐渐影响着企业追溯市场。 </w:t>
      </w:r>
      <w:r>
        <w:rPr>
          <w:spacing w:val="-2"/>
        </w:rPr>
        <w:t>企业对于追溯体系建设需求开始显现，自主性开始加强。与此同时，全产业链内的食品企业纷纷开始行动，启动追溯建设计</w:t>
      </w:r>
      <w:r>
        <w:rPr>
          <w:spacing w:val="-66"/>
        </w:rPr>
        <w:t> </w:t>
      </w:r>
      <w:r>
        <w:rPr>
          <w:spacing w:val="-66"/>
        </w:rPr>
      </w:r>
      <w:r>
        <w:rPr/>
        <w:t>划，企业市场未来将发展成为追溯行业的主体。</w:t>
      </w:r>
    </w:p>
    <w:p>
      <w:pPr>
        <w:pStyle w:val="BodyText"/>
        <w:spacing w:line="316" w:lineRule="auto" w:before="19"/>
        <w:ind w:right="0" w:firstLine="373"/>
        <w:jc w:val="left"/>
      </w:pPr>
      <w:r>
        <w:rPr/>
        <w:t>技术应用上，随着物联网、云计算、大数据和移动互联等新技术的快速发展和持续融合，新技术的产生推动了追溯行 业原有体系的更新和升级换代需求。追溯领域企业的业务及盈利模式也将突破原有的界限。</w:t>
      </w:r>
    </w:p>
    <w:p>
      <w:pPr>
        <w:pStyle w:val="BodyText"/>
        <w:spacing w:line="300" w:lineRule="auto" w:before="19"/>
        <w:ind w:left="1554" w:right="1024" w:hanging="58"/>
        <w:jc w:val="left"/>
      </w:pPr>
      <w:r>
        <w:rPr/>
        <w:t>（</w:t>
      </w:r>
      <w:r>
        <w:rPr>
          <w:rFonts w:ascii="Times New Roman" w:hAnsi="Times New Roman" w:cs="Times New Roman" w:eastAsia="Times New Roman" w:hint="default"/>
        </w:rPr>
        <w:t>2</w:t>
      </w:r>
      <w:r>
        <w:rPr/>
        <w:t>）档案信息化行业加速发展 </w:t>
      </w:r>
      <w:r>
        <w:rPr>
          <w:spacing w:val="-1"/>
        </w:rPr>
        <w:t>随着政府和企业对档案管理意识的逐步增强和市场的多元化发展，对档案信息化提出了全生命周期管理与服务的要求。</w:t>
      </w:r>
    </w:p>
    <w:p>
      <w:pPr>
        <w:pStyle w:val="BodyText"/>
        <w:spacing w:line="316" w:lineRule="auto" w:before="31"/>
        <w:ind w:left="1553" w:right="0" w:hanging="420"/>
        <w:jc w:val="left"/>
      </w:pPr>
      <w:r>
        <w:rPr/>
        <w:t>档案管理需求开始由软硬件开发与集成向业务咨询、数据服务、档案托管和档案资源利用等全生命周期管理方向转变。 另一方面，随着新技术应用在档案信息化行业的逐渐增加，档案管理行业迎来升级换代期。新建馆、室以及旧馆改造</w:t>
      </w:r>
    </w:p>
    <w:p>
      <w:pPr>
        <w:pStyle w:val="BodyText"/>
        <w:spacing w:line="309" w:lineRule="auto" w:before="19"/>
        <w:ind w:right="1033"/>
        <w:jc w:val="left"/>
      </w:pPr>
      <w:r>
        <w:rPr>
          <w:spacing w:val="-4"/>
        </w:rPr>
        <w:t>项目目标逐渐向智能馆、室方向转变，智能馆、室逐渐发展成为市场热点；随着物联网和云计算技术的发展，档案云、</w:t>
      </w:r>
      <w:r>
        <w:rPr>
          <w:rFonts w:ascii="Times New Roman" w:hAnsi="Times New Roman" w:cs="Times New Roman" w:eastAsia="Times New Roman" w:hint="default"/>
          <w:spacing w:val="-4"/>
        </w:rPr>
        <w:t>SAAS</w:t>
      </w:r>
      <w:r>
        <w:rPr>
          <w:rFonts w:ascii="Times New Roman" w:hAnsi="Times New Roman" w:cs="Times New Roman" w:eastAsia="Times New Roman" w:hint="default"/>
          <w:spacing w:val="-10"/>
        </w:rPr>
        <w:t> </w:t>
      </w:r>
      <w:r>
        <w:rPr/>
        <w:t>服务等应用在行业内得到广泛应用；此外，高端档案修复、声像抢救、安全存储、缩微等高附加值数据服务需求逐渐增大， 未来有望成为新的市场增长点。</w:t>
      </w:r>
    </w:p>
    <w:p>
      <w:pPr>
        <w:pStyle w:val="BodyText"/>
        <w:spacing w:line="240" w:lineRule="auto" w:before="24"/>
        <w:ind w:left="1553" w:right="0"/>
        <w:jc w:val="left"/>
      </w:pPr>
      <w:r>
        <w:rPr/>
        <w:t>此外，档案信息化行业市场集中度较低的情况也逐渐发生转变，各细分市场和产业链各环节出现行业整合趋势。</w:t>
      </w:r>
    </w:p>
    <w:p>
      <w:pPr>
        <w:pStyle w:val="BodyText"/>
        <w:spacing w:line="240" w:lineRule="auto" w:before="76"/>
        <w:ind w:left="1424" w:right="0"/>
        <w:jc w:val="left"/>
      </w:pPr>
      <w:r>
        <w:rPr/>
        <w:t>（</w:t>
      </w:r>
      <w:r>
        <w:rPr>
          <w:rFonts w:ascii="Times New Roman" w:hAnsi="Times New Roman" w:cs="Times New Roman" w:eastAsia="Times New Roman" w:hint="default"/>
        </w:rPr>
        <w:t>3</w:t>
      </w:r>
      <w:r>
        <w:rPr/>
        <w:t>）政法行业信息化投入持续增加</w:t>
      </w:r>
    </w:p>
    <w:p>
      <w:pPr>
        <w:pStyle w:val="BodyText"/>
        <w:spacing w:line="309" w:lineRule="auto" w:before="63"/>
        <w:ind w:left="1134" w:right="1133" w:firstLine="420"/>
        <w:jc w:val="both"/>
      </w:pPr>
      <w:r>
        <w:rPr>
          <w:rFonts w:ascii="Times New Roman" w:hAnsi="Times New Roman" w:cs="Times New Roman" w:eastAsia="Times New Roman" w:hint="default"/>
        </w:rPr>
        <w:t>2015</w:t>
      </w:r>
      <w:r>
        <w:rPr/>
        <w:t>年，国家各部委、省市相关部门积极推动监狱、法院、检察院等政法行业信息化工作，先后编制颁布并出台行业 </w:t>
      </w:r>
      <w:r>
        <w:rPr>
          <w:spacing w:val="-2"/>
        </w:rPr>
        <w:t>政策类文件，要求不断利用信息化手段推动政务公开，推动政法事业狱务公开、检务公开、司法公开，并强调加快各业务平</w:t>
      </w:r>
      <w:r>
        <w:rPr>
          <w:spacing w:val="-66"/>
        </w:rPr>
        <w:t> </w:t>
      </w:r>
      <w:r>
        <w:rPr>
          <w:spacing w:val="-66"/>
        </w:rPr>
      </w:r>
      <w:r>
        <w:rPr/>
        <w:t>台的互联互通、整合共享工作。随着国家政策导向和产业布局的调整，行业发展迎来良好的政策环境和市场前景。</w:t>
      </w:r>
    </w:p>
    <w:p>
      <w:pPr>
        <w:pStyle w:val="BodyText"/>
        <w:spacing w:line="316" w:lineRule="auto" w:before="24"/>
        <w:ind w:right="1133" w:firstLine="420"/>
        <w:jc w:val="both"/>
      </w:pPr>
      <w:r>
        <w:rPr/>
        <w:t>一方面，伴随物联网等等技术的应用，智慧监狱、智慧戒毒所、智慧社区矫正、智慧政务大楼等新兴解决方案成为新 的市场需求；另外一方面，大平台类产品需求成为监狱、法院、检察院等政法行业的市场快速增长点。</w:t>
      </w:r>
    </w:p>
    <w:p>
      <w:pPr>
        <w:pStyle w:val="BodyText"/>
        <w:spacing w:line="300" w:lineRule="auto" w:before="19"/>
        <w:ind w:left="1553" w:right="0" w:firstLine="14"/>
        <w:jc w:val="left"/>
      </w:pPr>
      <w:r>
        <w:rPr>
          <w:rFonts w:ascii="Times New Roman" w:hAnsi="Times New Roman" w:cs="Times New Roman" w:eastAsia="Times New Roman" w:hint="default"/>
        </w:rPr>
        <w:t>2</w:t>
      </w:r>
      <w:r>
        <w:rPr/>
        <w:t>、公司的发展战略 公司未来仍将以</w:t>
      </w:r>
      <w:r>
        <w:rPr>
          <w:rFonts w:ascii="Times New Roman" w:hAnsi="Times New Roman" w:cs="Times New Roman" w:eastAsia="Times New Roman" w:hint="default"/>
        </w:rPr>
        <w:t>“</w:t>
      </w:r>
      <w:r>
        <w:rPr/>
        <w:t>食品流通追溯、档案、政法</w:t>
      </w:r>
      <w:r>
        <w:rPr>
          <w:rFonts w:ascii="Times New Roman" w:hAnsi="Times New Roman" w:cs="Times New Roman" w:eastAsia="Times New Roman" w:hint="default"/>
        </w:rPr>
        <w:t>”</w:t>
      </w:r>
      <w:r>
        <w:rPr/>
        <w:t>三驾马车为主线，加快细分区域、细分行业市场的复制与拓展，加大力</w:t>
      </w:r>
    </w:p>
    <w:p>
      <w:pPr>
        <w:pStyle w:val="BodyText"/>
        <w:spacing w:line="316" w:lineRule="auto" w:before="13"/>
        <w:ind w:right="1130"/>
        <w:jc w:val="both"/>
      </w:pPr>
      <w:r>
        <w:rPr>
          <w:spacing w:val="-2"/>
        </w:rPr>
        <w:t>度推动行业整合，保持市场领先地位。食品追溯领域，以打造实现多品类、全流程、政企市场并重、项目实施与服务运营全</w:t>
      </w:r>
      <w:r>
        <w:rPr>
          <w:spacing w:val="-68"/>
        </w:rPr>
        <w:t> </w:t>
      </w:r>
      <w:r>
        <w:rPr>
          <w:spacing w:val="-68"/>
        </w:rPr>
      </w:r>
      <w:r>
        <w:rPr>
          <w:spacing w:val="-2"/>
        </w:rPr>
        <w:t>覆盖的食品安全业务为发展目标；档案业务领域，继续档案业务在更多行业的复制与市场深耕，扩大市场占有率，并向档案</w:t>
      </w:r>
      <w:r>
        <w:rPr>
          <w:spacing w:val="-66"/>
        </w:rPr>
        <w:t> </w:t>
      </w:r>
      <w:r>
        <w:rPr>
          <w:spacing w:val="-66"/>
        </w:rPr>
      </w:r>
      <w:r>
        <w:rPr>
          <w:spacing w:val="-2"/>
        </w:rPr>
        <w:t>全生命周期管理方向发展；政法业务领域，通过优势资源整合，以司法监狱为主要方向进行业务布局，逐步推动其他政法行</w:t>
      </w:r>
      <w:r>
        <w:rPr>
          <w:spacing w:val="-65"/>
        </w:rPr>
        <w:t> </w:t>
      </w:r>
      <w:r>
        <w:rPr>
          <w:spacing w:val="-65"/>
        </w:rPr>
      </w:r>
      <w:r>
        <w:rPr/>
        <w:t>业孵化与做大做强。</w:t>
      </w:r>
    </w:p>
    <w:p>
      <w:pPr>
        <w:pStyle w:val="BodyText"/>
        <w:spacing w:line="240" w:lineRule="auto" w:before="19"/>
        <w:ind w:left="1568"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2016</w:t>
      </w:r>
      <w:r>
        <w:rPr/>
        <w:t>年度公司的经营计划</w:t>
      </w:r>
    </w:p>
    <w:p>
      <w:pPr>
        <w:pStyle w:val="BodyText"/>
        <w:spacing w:line="309" w:lineRule="auto" w:before="63"/>
        <w:ind w:right="1043" w:firstLine="373"/>
        <w:jc w:val="both"/>
      </w:pPr>
      <w:r>
        <w:rPr>
          <w:rFonts w:ascii="Times New Roman" w:hAnsi="Times New Roman" w:cs="Times New Roman" w:eastAsia="Times New Roman" w:hint="default"/>
          <w:spacing w:val="-1"/>
        </w:rPr>
        <w:t>2016</w:t>
      </w:r>
      <w:r>
        <w:rPr>
          <w:spacing w:val="-1"/>
        </w:rPr>
        <w:t>年，公司将强化各业务领域核心技术方面的投入，增强核心竞争能力，完善战略布局。继续发挥行业领头羊优势，</w:t>
      </w:r>
      <w:r>
        <w:rPr/>
        <w:t> 快速抢占食品追溯、档案和政法行业市场，培养新的利润增长点。推动品牌建设和内部管理制度建设，深化公司市场形象， 增强公司综合实力：</w:t>
      </w:r>
    </w:p>
    <w:p>
      <w:pPr>
        <w:pStyle w:val="BodyText"/>
        <w:spacing w:line="300" w:lineRule="auto" w:before="24"/>
        <w:ind w:left="1134" w:right="0" w:firstLine="290"/>
        <w:jc w:val="left"/>
      </w:pPr>
      <w:r>
        <w:rPr/>
        <w:t>（</w:t>
      </w:r>
      <w:r>
        <w:rPr>
          <w:rFonts w:ascii="Times New Roman" w:hAnsi="Times New Roman" w:cs="Times New Roman" w:eastAsia="Times New Roman" w:hint="default"/>
        </w:rPr>
        <w:t>1</w:t>
      </w:r>
      <w:r>
        <w:rPr/>
        <w:t>）加大研发和创新力度，探索新的发展模式，强化在物联网、云计算和大数据等核心技术方面的投入，提升企业核</w:t>
      </w:r>
      <w:r>
        <w:rPr>
          <w:spacing w:val="1"/>
        </w:rPr>
        <w:t> </w:t>
      </w:r>
      <w:r>
        <w:rPr/>
        <w:t>心竞争力，不断培育新的利润增长点。</w:t>
      </w:r>
    </w:p>
    <w:p>
      <w:pPr>
        <w:pStyle w:val="BodyText"/>
        <w:spacing w:line="240" w:lineRule="auto" w:before="31"/>
        <w:ind w:left="1424" w:right="0"/>
        <w:jc w:val="left"/>
      </w:pPr>
      <w:r>
        <w:rPr/>
        <w:t>（</w:t>
      </w:r>
      <w:r>
        <w:rPr>
          <w:rFonts w:ascii="Times New Roman" w:hAnsi="Times New Roman" w:cs="Times New Roman" w:eastAsia="Times New Roman" w:hint="default"/>
        </w:rPr>
        <w:t>2</w:t>
      </w:r>
      <w:r>
        <w:rPr/>
        <w:t>）加强公司品牌建设，扩大品牌影响力。</w:t>
      </w:r>
    </w:p>
    <w:p>
      <w:pPr>
        <w:pStyle w:val="BodyText"/>
        <w:spacing w:line="240" w:lineRule="auto" w:before="103"/>
        <w:ind w:left="1424" w:right="0"/>
        <w:jc w:val="left"/>
      </w:pPr>
      <w:r>
        <w:rPr/>
        <w:t>（</w:t>
      </w:r>
      <w:r>
        <w:rPr>
          <w:rFonts w:ascii="Times New Roman" w:hAnsi="Times New Roman" w:cs="Times New Roman" w:eastAsia="Times New Roman" w:hint="default"/>
        </w:rPr>
        <w:t>3</w:t>
      </w:r>
      <w:r>
        <w:rPr/>
        <w:t>）优化内部管理，加强团队建设。</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4"/>
        <w:spacing w:line="240" w:lineRule="auto" w:before="26"/>
        <w:ind w:right="0"/>
        <w:jc w:val="left"/>
        <w:rPr>
          <w:b w:val="0"/>
          <w:bCs w:val="0"/>
        </w:rPr>
      </w:pPr>
      <w:bookmarkStart w:name="十、接待调研、沟通、采访等活动情况" w:id="58"/>
      <w:bookmarkEnd w:id="58"/>
      <w:r>
        <w:rPr>
          <w:b w:val="0"/>
          <w:bCs w:val="0"/>
        </w:rPr>
      </w:r>
      <w:r>
        <w:rPr/>
        <w:t>十、接待调研、沟通、采访等活动情况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报告期内接待调研、沟通、采访等活动登记表" w:id="59"/>
      <w:bookmarkEnd w:id="59"/>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19"/>
              <w:jc w:val="left"/>
              <w:rPr>
                <w:rFonts w:ascii="宋体" w:hAnsi="宋体" w:cs="宋体" w:eastAsia="宋体" w:hint="default"/>
                <w:sz w:val="18"/>
                <w:szCs w:val="18"/>
              </w:rPr>
            </w:pPr>
            <w:r>
              <w:rPr>
                <w:rFonts w:ascii="宋体" w:hAnsi="宋体" w:cs="宋体" w:eastAsia="宋体" w:hint="default"/>
                <w:spacing w:val="-4"/>
                <w:sz w:val="18"/>
                <w:szCs w:val="18"/>
              </w:rPr>
              <w:t>巨潮资讯网（</w:t>
            </w:r>
            <w:hyperlink r:id="rId11">
              <w:r>
                <w:rPr>
                  <w:rFonts w:ascii="Times New Roman" w:hAnsi="Times New Roman" w:cs="Times New Roman" w:eastAsia="Times New Roman" w:hint="default"/>
                  <w:spacing w:val="-4"/>
                  <w:sz w:val="18"/>
                  <w:szCs w:val="18"/>
                </w:rPr>
                <w:t>www.cninfo.com.cn</w:t>
              </w:r>
            </w:hyperlink>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2015</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19"/>
              <w:jc w:val="left"/>
              <w:rPr>
                <w:rFonts w:ascii="宋体" w:hAnsi="宋体" w:cs="宋体" w:eastAsia="宋体" w:hint="default"/>
                <w:sz w:val="18"/>
                <w:szCs w:val="18"/>
              </w:rPr>
            </w:pPr>
            <w:r>
              <w:rPr>
                <w:rFonts w:ascii="宋体" w:hAnsi="宋体" w:cs="宋体" w:eastAsia="宋体" w:hint="default"/>
                <w:spacing w:val="-4"/>
                <w:sz w:val="18"/>
                <w:szCs w:val="18"/>
              </w:rPr>
              <w:t>巨潮资讯网（</w:t>
            </w:r>
            <w:hyperlink r:id="rId11">
              <w:r>
                <w:rPr>
                  <w:rFonts w:ascii="Times New Roman" w:hAnsi="Times New Roman" w:cs="Times New Roman" w:eastAsia="Times New Roman" w:hint="default"/>
                  <w:spacing w:val="-4"/>
                  <w:sz w:val="18"/>
                  <w:szCs w:val="18"/>
                </w:rPr>
                <w:t>www.cninfo.com.cn</w:t>
              </w:r>
            </w:hyperlink>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2015</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715"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19"/>
              <w:jc w:val="left"/>
              <w:rPr>
                <w:rFonts w:ascii="宋体" w:hAnsi="宋体" w:cs="宋体" w:eastAsia="宋体" w:hint="default"/>
                <w:sz w:val="18"/>
                <w:szCs w:val="18"/>
              </w:rPr>
            </w:pPr>
            <w:r>
              <w:rPr>
                <w:rFonts w:ascii="宋体" w:hAnsi="宋体" w:cs="宋体" w:eastAsia="宋体" w:hint="default"/>
                <w:spacing w:val="-4"/>
                <w:sz w:val="18"/>
                <w:szCs w:val="18"/>
              </w:rPr>
              <w:t>巨潮资讯网（</w:t>
            </w:r>
            <w:hyperlink r:id="rId11">
              <w:r>
                <w:rPr>
                  <w:rFonts w:ascii="Times New Roman" w:hAnsi="Times New Roman" w:cs="Times New Roman" w:eastAsia="Times New Roman" w:hint="default"/>
                  <w:spacing w:val="-4"/>
                  <w:sz w:val="18"/>
                  <w:szCs w:val="18"/>
                </w:rPr>
                <w:t>www.cninfo.com.cn</w:t>
              </w:r>
            </w:hyperlink>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2015</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bl>
    <w:p>
      <w:pPr>
        <w:spacing w:after="0" w:line="30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_TOC_250006" w:id="60"/>
      <w:bookmarkStart w:name="第五节 重要事项" w:id="61"/>
      <w:r>
        <w:rPr>
          <w:b w:val="0"/>
          <w:bCs w:val="0"/>
        </w:rPr>
      </w:r>
      <w:r>
        <w:rPr/>
        <w:t>第五节</w:t>
      </w:r>
      <w:r>
        <w:rPr>
          <w:spacing w:val="-5"/>
        </w:rPr>
        <w:t> </w:t>
      </w:r>
      <w:r>
        <w:rPr/>
        <w:t>重要事项</w:t>
      </w:r>
      <w:bookmarkEnd w:id="60"/>
      <w:r>
        <w:rPr>
          <w:b w:val="0"/>
          <w:bCs w:val="0"/>
        </w:rPr>
      </w:r>
    </w:p>
    <w:p>
      <w:pPr>
        <w:spacing w:line="240" w:lineRule="auto" w:before="12"/>
        <w:rPr>
          <w:rFonts w:ascii="宋体" w:hAnsi="宋体" w:cs="宋体" w:eastAsia="宋体" w:hint="default"/>
          <w:b/>
          <w:bCs/>
          <w:sz w:val="38"/>
          <w:szCs w:val="38"/>
        </w:rPr>
      </w:pPr>
    </w:p>
    <w:p>
      <w:pPr>
        <w:pStyle w:val="Heading4"/>
        <w:spacing w:line="240" w:lineRule="auto"/>
        <w:ind w:right="0"/>
        <w:jc w:val="left"/>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报告期内普通股利润分配政策，特别是现金分红政策的制定、执行或调整情况</w:t>
      </w:r>
    </w:p>
    <w:p>
      <w:pPr>
        <w:pStyle w:val="BodyText"/>
        <w:spacing w:line="338" w:lineRule="auto" w:before="117"/>
        <w:ind w:right="30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公司报告期利润分配预案及资本公积金转增股本预案与公司章程和分红管理办法等的相关规定一致</w:t>
      </w:r>
    </w:p>
    <w:p>
      <w:pPr>
        <w:pStyle w:val="BodyText"/>
        <w:spacing w:line="348" w:lineRule="auto" w:before="42"/>
        <w:ind w:right="4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本年度利润分配及资本公积金转增股本预案</w:t>
      </w:r>
    </w:p>
    <w:tbl>
      <w:tblPr>
        <w:tblW w:w="0" w:type="auto"/>
        <w:jc w:val="left"/>
        <w:tblInd w:w="1140" w:type="dxa"/>
        <w:tblLayout w:type="fixed"/>
        <w:tblCellMar>
          <w:top w:w="0" w:type="dxa"/>
          <w:left w:w="0" w:type="dxa"/>
          <w:bottom w:w="0" w:type="dxa"/>
          <w:right w:w="0" w:type="dxa"/>
        </w:tblCellMar>
        <w:tblLook w:val="01E0"/>
      </w:tblPr>
      <w:tblGrid>
        <w:gridCol w:w="3695"/>
        <w:gridCol w:w="5863"/>
      </w:tblGrid>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66,800,000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13,360,000.00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132,257,902.60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5"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董事会拟定如下分配预案：以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66,800,000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股派发现金红利</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税</w:t>
            </w:r>
            <w:r>
              <w:rPr>
                <w:rFonts w:ascii="宋体" w:hAnsi="宋体" w:cs="宋体" w:eastAsia="宋体" w:hint="default"/>
                <w:spacing w:val="-90"/>
                <w:sz w:val="18"/>
                <w:szCs w:val="18"/>
              </w:rPr>
              <w:t>）</w:t>
            </w:r>
            <w:r>
              <w:rPr>
                <w:rFonts w:ascii="宋体" w:hAnsi="宋体" w:cs="宋体" w:eastAsia="宋体" w:hint="default"/>
                <w:sz w:val="18"/>
                <w:szCs w:val="18"/>
              </w:rPr>
              <w:t>，共计派发现金红利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13,360,000.00 </w:t>
            </w:r>
            <w:r>
              <w:rPr>
                <w:rFonts w:ascii="宋体" w:hAnsi="宋体" w:cs="宋体" w:eastAsia="宋体" w:hint="default"/>
                <w:sz w:val="18"/>
                <w:szCs w:val="18"/>
              </w:rPr>
              <w:t>元（</w:t>
            </w:r>
            <w:r>
              <w:rPr>
                <w:rFonts w:ascii="宋体" w:hAnsi="宋体" w:cs="宋体" w:eastAsia="宋体" w:hint="default"/>
                <w:spacing w:val="-2"/>
                <w:sz w:val="18"/>
                <w:szCs w:val="18"/>
              </w:rPr>
              <w:t>含</w:t>
            </w:r>
            <w:r>
              <w:rPr>
                <w:rFonts w:ascii="宋体" w:hAnsi="宋体" w:cs="宋体" w:eastAsia="宋体" w:hint="default"/>
                <w:sz w:val="18"/>
                <w:szCs w:val="18"/>
              </w:rPr>
              <w:t>税</w:t>
            </w:r>
            <w:r>
              <w:rPr>
                <w:rFonts w:ascii="宋体" w:hAnsi="宋体" w:cs="宋体" w:eastAsia="宋体" w:hint="default"/>
                <w:spacing w:val="-90"/>
                <w:sz w:val="18"/>
                <w:szCs w:val="18"/>
              </w:rPr>
              <w:t>）</w:t>
            </w:r>
            <w:r>
              <w:rPr>
                <w:rFonts w:ascii="宋体" w:hAnsi="宋体" w:cs="宋体" w:eastAsia="宋体" w:hint="default"/>
                <w:sz w:val="18"/>
                <w:szCs w:val="18"/>
              </w:rPr>
              <w:t>。本预案尚需提交公司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年年度股东大会审议。</w:t>
            </w:r>
          </w:p>
        </w:tc>
      </w:tr>
    </w:tbl>
    <w:p>
      <w:pPr>
        <w:pStyle w:val="BodyText"/>
        <w:spacing w:line="319" w:lineRule="auto" w:before="74"/>
        <w:ind w:right="1123"/>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58"/>
        </w:rPr>
        <w:t> </w:t>
      </w:r>
      <w:r>
        <w:rPr>
          <w:spacing w:val="-58"/>
        </w:rPr>
      </w:r>
      <w:r>
        <w:rPr/>
        <w:t>公司</w:t>
      </w:r>
      <w:r>
        <w:rPr>
          <w:rFonts w:ascii="Times New Roman" w:hAnsi="Times New Roman" w:cs="Times New Roman" w:eastAsia="Times New Roman" w:hint="default"/>
        </w:rPr>
        <w:t>2013</w:t>
      </w:r>
      <w:r>
        <w:rPr/>
        <w:t>年度、</w:t>
      </w:r>
      <w:r>
        <w:rPr>
          <w:rFonts w:ascii="Times New Roman" w:hAnsi="Times New Roman" w:cs="Times New Roman" w:eastAsia="Times New Roman" w:hint="default"/>
        </w:rPr>
        <w:t>2014</w:t>
      </w:r>
      <w:r>
        <w:rPr/>
        <w:t>年度未进行股利分配； </w:t>
      </w:r>
      <w:r>
        <w:rPr>
          <w:rFonts w:ascii="Times New Roman" w:hAnsi="Times New Roman" w:cs="Times New Roman" w:eastAsia="Times New Roman" w:hint="default"/>
        </w:rPr>
        <w:t>2015</w:t>
      </w:r>
      <w:r>
        <w:rPr/>
        <w:t>年度利润分配及资本公积金转增股本预案情况：经</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日召开的第三届董事会第七次会议审议通过，拟定的公</w:t>
      </w:r>
    </w:p>
    <w:p>
      <w:pPr>
        <w:pStyle w:val="BodyText"/>
        <w:spacing w:line="300" w:lineRule="auto" w:before="0"/>
        <w:ind w:right="1125"/>
        <w:jc w:val="left"/>
      </w:pPr>
      <w:r>
        <w:rPr>
          <w:spacing w:val="-4"/>
        </w:rPr>
        <w:t>司</w:t>
      </w:r>
      <w:r>
        <w:rPr>
          <w:rFonts w:ascii="Times New Roman" w:hAnsi="Times New Roman" w:cs="Times New Roman" w:eastAsia="Times New Roman" w:hint="default"/>
          <w:spacing w:val="-4"/>
        </w:rPr>
        <w:t>2015</w:t>
      </w:r>
      <w:r>
        <w:rPr>
          <w:spacing w:val="-4"/>
        </w:rPr>
        <w:t>年度利润分配预案为：以截止</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日公司总股本</w:t>
      </w:r>
      <w:r>
        <w:rPr>
          <w:rFonts w:ascii="Times New Roman" w:hAnsi="Times New Roman" w:cs="Times New Roman" w:eastAsia="Times New Roman" w:hint="default"/>
          <w:spacing w:val="-4"/>
        </w:rPr>
        <w:t>66,800,000</w:t>
      </w:r>
      <w:r>
        <w:rPr>
          <w:spacing w:val="-4"/>
        </w:rPr>
        <w:t>股为基数，向全体股东每</w:t>
      </w:r>
      <w:r>
        <w:rPr>
          <w:rFonts w:ascii="Times New Roman" w:hAnsi="Times New Roman" w:cs="Times New Roman" w:eastAsia="Times New Roman" w:hint="default"/>
          <w:spacing w:val="-4"/>
        </w:rPr>
        <w:t>10</w:t>
      </w:r>
      <w:r>
        <w:rPr>
          <w:spacing w:val="-4"/>
        </w:rPr>
        <w:t>股派发现金红利</w:t>
      </w:r>
      <w:r>
        <w:rPr>
          <w:rFonts w:ascii="Times New Roman" w:hAnsi="Times New Roman" w:cs="Times New Roman" w:eastAsia="Times New Roman" w:hint="default"/>
          <w:spacing w:val="-4"/>
        </w:rPr>
        <w:t>2</w:t>
      </w:r>
      <w:r>
        <w:rPr>
          <w:spacing w:val="-4"/>
        </w:rPr>
        <w:t>元（含</w:t>
      </w:r>
      <w:r>
        <w:rPr>
          <w:spacing w:val="-83"/>
        </w:rPr>
        <w:t> </w:t>
      </w:r>
      <w:r>
        <w:rPr>
          <w:spacing w:val="-83"/>
        </w:rPr>
      </w:r>
      <w:r>
        <w:rPr/>
        <w:t>税），共分配利润</w:t>
      </w:r>
      <w:r>
        <w:rPr>
          <w:rFonts w:ascii="Times New Roman" w:hAnsi="Times New Roman" w:cs="Times New Roman" w:eastAsia="Times New Roman" w:hint="default"/>
        </w:rPr>
        <w:t>13360000.00</w:t>
      </w:r>
      <w:r>
        <w:rPr/>
        <w:t>元。本分配预案尚需提交公司</w:t>
      </w:r>
      <w:r>
        <w:rPr>
          <w:rFonts w:ascii="Times New Roman" w:hAnsi="Times New Roman" w:cs="Times New Roman" w:eastAsia="Times New Roman" w:hint="default"/>
        </w:rPr>
        <w:t>2015</w:t>
      </w:r>
      <w:r>
        <w:rPr/>
        <w:t>年度股东大会审议。</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spacing w:line="240" w:lineRule="auto"/>
        <w:ind w:right="0"/>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606"/>
        <w:gridCol w:w="1583"/>
        <w:gridCol w:w="1583"/>
        <w:gridCol w:w="1605"/>
        <w:gridCol w:w="1595"/>
      </w:tblGrid>
      <w:tr>
        <w:trPr>
          <w:trHeight w:val="318"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6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61" w:right="69"/>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72" w:right="58"/>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6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60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83"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83" w:type="dxa"/>
            <w:vMerge/>
            <w:tcBorders>
              <w:left w:val="single" w:sz="4" w:space="0" w:color="000000"/>
              <w:right w:val="single" w:sz="4" w:space="0" w:color="000000"/>
            </w:tcBorders>
            <w:shd w:val="clear" w:color="auto" w:fill="D2D2D2"/>
          </w:tcPr>
          <w:p>
            <w:pPr/>
          </w:p>
        </w:tc>
        <w:tc>
          <w:tcPr>
            <w:tcW w:w="1583" w:type="dxa"/>
            <w:vMerge/>
            <w:tcBorders>
              <w:left w:val="single" w:sz="4" w:space="0" w:color="000000"/>
              <w:right w:val="single" w:sz="4" w:space="0" w:color="000000"/>
            </w:tcBorders>
            <w:shd w:val="clear" w:color="auto" w:fill="D2D2D2"/>
          </w:tcPr>
          <w:p>
            <w:pPr/>
          </w:p>
        </w:tc>
        <w:tc>
          <w:tcPr>
            <w:tcW w:w="160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43"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606" w:type="dxa"/>
            <w:vMerge/>
            <w:tcBorders>
              <w:left w:val="single" w:sz="4" w:space="0" w:color="000000"/>
              <w:right w:val="single" w:sz="4" w:space="0" w:color="000000"/>
            </w:tcBorders>
            <w:shd w:val="clear" w:color="auto" w:fill="D2D2D2"/>
          </w:tcPr>
          <w:p>
            <w:pPr/>
          </w:p>
        </w:tc>
        <w:tc>
          <w:tcPr>
            <w:tcW w:w="1583" w:type="dxa"/>
            <w:vMerge/>
            <w:tcBorders>
              <w:left w:val="single" w:sz="4" w:space="0" w:color="000000"/>
              <w:right w:val="single" w:sz="4" w:space="0" w:color="000000"/>
            </w:tcBorders>
            <w:shd w:val="clear" w:color="auto" w:fill="D2D2D2"/>
          </w:tcPr>
          <w:p>
            <w:pPr/>
          </w:p>
        </w:tc>
        <w:tc>
          <w:tcPr>
            <w:tcW w:w="1583" w:type="dxa"/>
            <w:vMerge/>
            <w:tcBorders>
              <w:left w:val="single" w:sz="4" w:space="0" w:color="000000"/>
              <w:right w:val="single" w:sz="4" w:space="0" w:color="000000"/>
            </w:tcBorders>
            <w:shd w:val="clear" w:color="auto" w:fill="D2D2D2"/>
          </w:tcPr>
          <w:p>
            <w:pPr/>
          </w:p>
        </w:tc>
        <w:tc>
          <w:tcPr>
            <w:tcW w:w="1605"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606" w:type="dxa"/>
            <w:vMerge/>
            <w:tcBorders>
              <w:left w:val="single" w:sz="4" w:space="0" w:color="000000"/>
              <w:bottom w:val="nil" w:sz="6" w:space="0" w:color="auto"/>
              <w:right w:val="single" w:sz="4" w:space="0" w:color="000000"/>
            </w:tcBorders>
            <w:shd w:val="clear" w:color="auto" w:fill="D2D2D2"/>
          </w:tcPr>
          <w:p>
            <w:pPr/>
          </w:p>
        </w:tc>
        <w:tc>
          <w:tcPr>
            <w:tcW w:w="1583" w:type="dxa"/>
            <w:vMerge/>
            <w:tcBorders>
              <w:left w:val="single" w:sz="4" w:space="0" w:color="000000"/>
              <w:right w:val="single" w:sz="4" w:space="0" w:color="000000"/>
            </w:tcBorders>
            <w:shd w:val="clear" w:color="auto" w:fill="D2D2D2"/>
          </w:tcPr>
          <w:p>
            <w:pPr/>
          </w:p>
        </w:tc>
        <w:tc>
          <w:tcPr>
            <w:tcW w:w="1583" w:type="dxa"/>
            <w:vMerge/>
            <w:tcBorders>
              <w:left w:val="single" w:sz="4" w:space="0" w:color="000000"/>
              <w:right w:val="single" w:sz="4" w:space="0" w:color="000000"/>
            </w:tcBorders>
            <w:shd w:val="clear" w:color="auto" w:fill="D2D2D2"/>
          </w:tcPr>
          <w:p>
            <w:pPr/>
          </w:p>
        </w:tc>
        <w:tc>
          <w:tcPr>
            <w:tcW w:w="1605"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6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15" w:right="0"/>
              <w:jc w:val="left"/>
              <w:rPr>
                <w:rFonts w:ascii="Times New Roman" w:hAnsi="Times New Roman" w:cs="Times New Roman" w:eastAsia="Times New Roman" w:hint="default"/>
                <w:sz w:val="18"/>
                <w:szCs w:val="18"/>
              </w:rPr>
            </w:pPr>
            <w:r>
              <w:rPr>
                <w:rFonts w:ascii="Times New Roman"/>
                <w:sz w:val="18"/>
              </w:rPr>
              <w:t>13,360,000.00</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6" w:right="0"/>
              <w:jc w:val="left"/>
              <w:rPr>
                <w:rFonts w:ascii="Times New Roman" w:hAnsi="Times New Roman" w:cs="Times New Roman" w:eastAsia="Times New Roman" w:hint="default"/>
                <w:sz w:val="18"/>
                <w:szCs w:val="18"/>
              </w:rPr>
            </w:pPr>
            <w:r>
              <w:rPr>
                <w:rFonts w:ascii="Times New Roman"/>
                <w:sz w:val="18"/>
              </w:rPr>
              <w:t>38,242,426.34</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34.94%</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35,339,310.97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33,095,138.62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bookmarkStart w:name="二、承诺事项履行情况" w:id="63"/>
      <w:bookmarkEnd w:id="63"/>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6"/>
        <w:spacing w:line="259" w:lineRule="auto"/>
        <w:ind w:right="0"/>
        <w:jc w:val="left"/>
        <w:rPr>
          <w:b w:val="0"/>
          <w:bCs w:val="0"/>
        </w:rPr>
      </w:pPr>
      <w:bookmarkStart w:name="1、公司、股东、实际控制人、收购人、董事、监事、高级管理人员或其他关联方在报告期" w:id="64"/>
      <w:bookmarkEnd w:id="64"/>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41"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2" w:lineRule="auto"/>
              <w:ind w:left="17"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、控股股东 中信电子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 实际控制人 张曙华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、股 东苏州国嘉 创投、深创 投、上海红土 创投、上海统 易财务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、股 东张志红、杨 安荣、刘理 洲、李志卿、 刘赣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、担任 发行人董事、 监事、高级管 理人员的股 东杨安荣、刘 理洲、李志卿</w:t>
            </w:r>
          </w:p>
        </w:tc>
        <w:tc>
          <w:tcPr>
            <w:tcW w:w="1126" w:type="dxa"/>
            <w:vMerge w:val="restart"/>
            <w:tcBorders>
              <w:top w:val="single" w:sz="4" w:space="0" w:color="000000"/>
              <w:left w:val="single" w:sz="4" w:space="0" w:color="000000"/>
              <w:right w:val="single" w:sz="4" w:space="0" w:color="000000"/>
            </w:tcBorders>
          </w:tcPr>
          <w:p>
            <w:pPr/>
          </w:p>
        </w:tc>
        <w:tc>
          <w:tcPr>
            <w:tcW w:w="1127" w:type="dxa"/>
            <w:vMerge w:val="restart"/>
            <w:tcBorders>
              <w:top w:val="single" w:sz="4" w:space="0" w:color="000000"/>
              <w:left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、发行人控 股股东中信 </w:t>
            </w:r>
            <w:r>
              <w:rPr>
                <w:rFonts w:ascii="宋体" w:hAnsi="宋体" w:cs="宋体" w:eastAsia="宋体" w:hint="default"/>
                <w:spacing w:val="-2"/>
                <w:sz w:val="18"/>
                <w:szCs w:val="18"/>
              </w:rPr>
              <w:t>电子、实际控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制人张曙华 </w:t>
            </w:r>
            <w:r>
              <w:rPr>
                <w:rFonts w:ascii="宋体" w:hAnsi="宋体" w:cs="宋体" w:eastAsia="宋体" w:hint="default"/>
                <w:spacing w:val="-13"/>
                <w:w w:val="100"/>
                <w:sz w:val="18"/>
                <w:szCs w:val="18"/>
              </w:rPr>
              <w:t>承诺：</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自信息</w:t>
            </w:r>
            <w:r>
              <w:rPr>
                <w:rFonts w:ascii="宋体" w:hAnsi="宋体" w:cs="宋体" w:eastAsia="宋体" w:hint="default"/>
                <w:sz w:val="18"/>
                <w:szCs w:val="18"/>
              </w:rPr>
              <w:t> 发展股票在 深圳证券交 易所创业板 上市之日起 三十六个月 内，本公司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本人将不通 过包括但不 限于签署转 </w:t>
            </w:r>
            <w:r>
              <w:rPr>
                <w:rFonts w:ascii="宋体" w:hAnsi="宋体" w:cs="宋体" w:eastAsia="宋体" w:hint="default"/>
                <w:spacing w:val="-2"/>
                <w:sz w:val="18"/>
                <w:szCs w:val="18"/>
              </w:rPr>
              <w:t>让协议、进行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股权托管等 </w:t>
            </w:r>
            <w:r>
              <w:rPr>
                <w:rFonts w:ascii="宋体" w:hAnsi="宋体" w:cs="宋体" w:eastAsia="宋体" w:hint="default"/>
                <w:spacing w:val="-2"/>
                <w:sz w:val="18"/>
                <w:szCs w:val="18"/>
              </w:rPr>
              <w:t>任何方式，减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少本公司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 人所持有或 者实际持有 的信息发展 本次发行前 已发行的股 </w:t>
            </w:r>
            <w:r>
              <w:rPr>
                <w:rFonts w:ascii="宋体" w:hAnsi="宋体" w:cs="宋体" w:eastAsia="宋体" w:hint="default"/>
                <w:spacing w:val="-2"/>
                <w:sz w:val="18"/>
                <w:szCs w:val="18"/>
              </w:rPr>
              <w:t>份（包括由该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部分股份派 生的股份如 </w:t>
            </w:r>
            <w:r>
              <w:rPr>
                <w:rFonts w:ascii="宋体" w:hAnsi="宋体" w:cs="宋体" w:eastAsia="宋体" w:hint="default"/>
                <w:spacing w:val="-2"/>
                <w:sz w:val="18"/>
                <w:szCs w:val="18"/>
              </w:rPr>
              <w:t>送红股、资本</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14" w:lineRule="auto"/>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、控股股东 </w:t>
            </w:r>
            <w:r>
              <w:rPr>
                <w:rFonts w:ascii="宋体" w:hAnsi="宋体" w:cs="宋体" w:eastAsia="宋体" w:hint="default"/>
                <w:spacing w:val="-3"/>
                <w:sz w:val="18"/>
                <w:szCs w:val="18"/>
              </w:rPr>
              <w:t>中信电子、实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际控制人张 曙华承诺期 限至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14" w:lineRule="auto" w:before="63"/>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、股东苏州 </w:t>
            </w:r>
            <w:r>
              <w:rPr>
                <w:rFonts w:ascii="宋体" w:hAnsi="宋体" w:cs="宋体" w:eastAsia="宋体" w:hint="default"/>
                <w:spacing w:val="-3"/>
                <w:sz w:val="18"/>
                <w:szCs w:val="18"/>
              </w:rPr>
              <w:t>国嘉创投、深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创投、上海红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土创投、上海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统易财务、张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志红、刘赣承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诺期限至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14" w:lineRule="auto" w:before="63"/>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、董监高杨 安荣、刘理 </w:t>
            </w:r>
            <w:r>
              <w:rPr>
                <w:rFonts w:ascii="宋体" w:hAnsi="宋体" w:cs="宋体" w:eastAsia="宋体" w:hint="default"/>
                <w:spacing w:val="-3"/>
                <w:sz w:val="18"/>
                <w:szCs w:val="18"/>
              </w:rPr>
              <w:t>洲、李志卿承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诺期限至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2"/>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9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041"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公积金转增</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w:t>
            </w:r>
            <w:r>
              <w:rPr>
                <w:rFonts w:ascii="宋体" w:hAnsi="宋体" w:cs="宋体" w:eastAsia="宋体" w:hint="default"/>
                <w:spacing w:val="-90"/>
                <w:sz w:val="18"/>
                <w:szCs w:val="18"/>
              </w:rPr>
              <w:t>）</w:t>
            </w:r>
            <w:r>
              <w:rPr>
                <w:rFonts w:ascii="宋体" w:hAnsi="宋体" w:cs="宋体" w:eastAsia="宋体" w:hint="default"/>
                <w:sz w:val="18"/>
                <w:szCs w:val="18"/>
              </w:rPr>
              <w:t>；亦不通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过由信息发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展回购本公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本人所直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接或间接持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有股份等方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式，减少本公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本人所持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有或者实际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持有的信息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发展本次发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行前已发行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的股份。</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发行人实际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控制人张曙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华承诺</w:t>
            </w:r>
            <w:r>
              <w:rPr>
                <w:rFonts w:ascii="宋体" w:hAnsi="宋体" w:cs="宋体" w:eastAsia="宋体" w:hint="default"/>
                <w:spacing w:val="-9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三十六个月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期满后，本人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在担任公司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的董事、高管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期间，每年转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让的股份不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超过本人所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持有信息发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展股份总数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25%</w:t>
            </w:r>
            <w:r>
              <w:rPr>
                <w:rFonts w:ascii="宋体" w:hAnsi="宋体" w:cs="宋体" w:eastAsia="宋体" w:hint="default"/>
                <w:spacing w:val="-5"/>
                <w:sz w:val="18"/>
                <w:szCs w:val="18"/>
              </w:rPr>
              <w:t>；离职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后半年内，不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转让本人所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持有的信息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发展股份。发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行人上市后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六个月内如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连续二十个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交易日的收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盘价（指复权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后的价格，下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同）均低于发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行价，或者上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市后六个月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期末收盘价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低于发行价，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本人持有的</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发行人公开</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发行股份前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已发行的股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份的锁定期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限将自动延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长六个月。在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延长锁定期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内，不转让或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者委托他人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管理其直接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或者间接持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有的发行人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票前已发行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的股份，也不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由发行人回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购其直接或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者间接持有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的发行人公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开发行股票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前已发行的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股份。本人不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因职务变更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或离职等主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观原因而放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弃履行此承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w:t>
            </w:r>
            <w:r>
              <w:rPr>
                <w:rFonts w:ascii="Times New Roman" w:hAnsi="Times New Roman" w:cs="Times New Roman" w:eastAsia="Times New Roman" w:hint="default"/>
                <w:sz w:val="18"/>
                <w:szCs w:val="18"/>
              </w:rPr>
              <w:t>”3</w:t>
            </w:r>
            <w:r>
              <w:rPr>
                <w:rFonts w:ascii="宋体" w:hAnsi="宋体" w:cs="宋体" w:eastAsia="宋体" w:hint="default"/>
                <w:sz w:val="18"/>
                <w:szCs w:val="18"/>
              </w:rPr>
              <w:t>、发行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中信电子承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w:t>
            </w:r>
            <w:r>
              <w:rPr>
                <w:rFonts w:ascii="宋体" w:hAnsi="宋体" w:cs="宋体" w:eastAsia="宋体" w:hint="default"/>
                <w:spacing w:val="-9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上述三十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六个月期满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后，在张曙华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持有中信电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子的股份期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间且担任公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司的董事或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高管期间，中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信电子每年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不超过其所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持有信息发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展股份总数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25%</w:t>
            </w:r>
            <w:r>
              <w:rPr>
                <w:rFonts w:ascii="宋体" w:hAnsi="宋体" w:cs="宋体" w:eastAsia="宋体" w:hint="default"/>
                <w:spacing w:val="-5"/>
                <w:sz w:val="18"/>
                <w:szCs w:val="18"/>
              </w:rPr>
              <w:t>；离职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后半年内，中</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信电子不转</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让其所持有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的信息发展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上市后六个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月内如发行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人股票连续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二十个交易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日的收盘价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（指复权后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的价格，下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同）均低于发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行价，或者上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市后六个月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期末收盘价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低于发行价，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的发行人公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开发行股份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前已发行的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股份的锁定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期限将自动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延长六个月。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在延长锁定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期内，不转让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或者委托他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人管理其直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接或者间接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人公开发行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股票前已发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行的股份，也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不由发行人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回购其直接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或者间接持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有的发行人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票前已发行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的股份。</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发行人股东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苏州国嘉创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投、深创投、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上海红土创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投、上海统易</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财务分别承</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w:t>
            </w:r>
            <w:r>
              <w:rPr>
                <w:rFonts w:ascii="宋体" w:hAnsi="宋体" w:cs="宋体" w:eastAsia="宋体" w:hint="default"/>
                <w:spacing w:val="-9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自信息发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展股票在深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圳证券交易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所创业板上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市之日起十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二个月内，本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公司将不通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过包括但不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限于签署转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让协议、进行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股权托管等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任何方式，减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少本公司所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持有或者实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际持有的信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息发展本次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发行前已发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行的股份（包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括由该部分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股份派生的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股份如送红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股、资本公积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金转增等</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亦不通过由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信息发展回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购本公司所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持有股份等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方式，减少本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公司所持有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或者实际持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有的信息发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展本次发行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前已发行的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w:t>
            </w:r>
            <w:r>
              <w:rPr>
                <w:rFonts w:ascii="Times New Roman" w:hAnsi="Times New Roman" w:cs="Times New Roman" w:eastAsia="Times New Roman" w:hint="default"/>
                <w:sz w:val="18"/>
                <w:szCs w:val="18"/>
              </w:rPr>
              <w:t>”5</w:t>
            </w:r>
            <w:r>
              <w:rPr>
                <w:rFonts w:ascii="宋体" w:hAnsi="宋体" w:cs="宋体" w:eastAsia="宋体" w:hint="default"/>
                <w:sz w:val="18"/>
                <w:szCs w:val="18"/>
              </w:rPr>
              <w:t>、发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行人股东张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志红、杨安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荣、刘理洲、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李志卿、刘赣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分别承诺</w:t>
            </w:r>
            <w:r>
              <w:rPr>
                <w:rFonts w:ascii="宋体" w:hAnsi="宋体" w:cs="宋体" w:eastAsia="宋体" w:hint="default"/>
                <w:spacing w:val="-9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信息发展股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票在深圳证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券交易所创</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业板上市之</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日起十二个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月内，本人将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不通过包括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但不限于签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署转让协议、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进行股权托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管等任何方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式，减少本人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所持有或者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信息发展本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次发行前已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（包括由该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部分股份派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生的股份如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送红股、资本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公积金转增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w:t>
            </w:r>
            <w:r>
              <w:rPr>
                <w:rFonts w:ascii="宋体" w:hAnsi="宋体" w:cs="宋体" w:eastAsia="宋体" w:hint="default"/>
                <w:spacing w:val="-90"/>
                <w:sz w:val="18"/>
                <w:szCs w:val="18"/>
              </w:rPr>
              <w:t>）</w:t>
            </w:r>
            <w:r>
              <w:rPr>
                <w:rFonts w:ascii="宋体" w:hAnsi="宋体" w:cs="宋体" w:eastAsia="宋体" w:hint="default"/>
                <w:sz w:val="18"/>
                <w:szCs w:val="18"/>
              </w:rPr>
              <w:t>；亦不通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过由信息发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展回购本人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所直接或间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接持有股份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等方式，减少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本人所持有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或者实际持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有的信息发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展本次发行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前已发行的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w:t>
            </w:r>
            <w:r>
              <w:rPr>
                <w:rFonts w:ascii="Times New Roman" w:hAnsi="Times New Roman" w:cs="Times New Roman" w:eastAsia="Times New Roman" w:hint="default"/>
                <w:sz w:val="18"/>
                <w:szCs w:val="18"/>
              </w:rPr>
              <w:t>”6</w:t>
            </w:r>
            <w:r>
              <w:rPr>
                <w:rFonts w:ascii="宋体" w:hAnsi="宋体" w:cs="宋体" w:eastAsia="宋体" w:hint="default"/>
                <w:sz w:val="18"/>
                <w:szCs w:val="18"/>
              </w:rPr>
              <w:t>、担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任发行人董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事、监事、高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的股东杨安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荣、刘理洲、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李志卿分别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w:t>
            </w:r>
            <w:r>
              <w:rPr>
                <w:rFonts w:ascii="宋体" w:hAnsi="宋体" w:cs="宋体" w:eastAsia="宋体" w:hint="default"/>
                <w:spacing w:val="-9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上述十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二个月期满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后，本人在担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任公司的董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事、监事、高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期间，每年转</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让的股份不</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超过本人所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持有信息发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展股份总数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25%</w:t>
            </w:r>
            <w:r>
              <w:rPr>
                <w:rFonts w:ascii="宋体" w:hAnsi="宋体" w:cs="宋体" w:eastAsia="宋体" w:hint="default"/>
                <w:spacing w:val="-5"/>
                <w:sz w:val="18"/>
                <w:szCs w:val="18"/>
              </w:rPr>
              <w:t>；离职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后半年内，不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转让本人所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持有的信息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发展股份；本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人在信息发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展首次公开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发行股票上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市之日起六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个月内申报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离职的，自申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报离职之日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起十八个月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内不转让本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人直接持有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的信息发展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股份；在信息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发展首次公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开发行股票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第七个月至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第十二个月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之间申报离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职的，自申报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离职之日起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十二个月内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不转让本人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信息发展股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份。发行人上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市后六个月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内如发行人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股票连续二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十个交易日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的收盘价（指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复权后的价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格，下同）均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低于发行价，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或者上市后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六个月期末</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收盘价低于</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发行价，本人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人公开发行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股份前已发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行的股份的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锁定期限将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自动延长六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个月。在延长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锁定期内，不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转让或者委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托他人管理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其直接或者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间接持有的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发行股票前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已发行的股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份，也不由发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行人回购其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直接或者间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接持有的发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行人公开发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行股票前已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本人不因职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务变更或离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职等主观原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因而放弃履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行此承诺。本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人所持发行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人公开发行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股份前已发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行的股份在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上述锁定期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期满后两年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内减持，本人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承诺减持价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格（指复权后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的价格）不低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于发行价，若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低于发行价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的，本人的减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持所得收入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归发行人所</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480pt;margin-top:447.849976pt;width:53.7pt;height:20.8pt;mso-position-horizontal-relative:page;mso-position-vertical-relative:page;z-index:-1032784" coordorigin="9600,8957" coordsize="1074,416">
            <v:group style="position:absolute;left:9611;top:8968;width:2;height:393" coordorigin="9611,8968" coordsize="2,393">
              <v:shape style="position:absolute;left:9611;top:8968;width:2;height:393" coordorigin="9611,8968" coordsize="0,393" path="m9611,8968l9611,9361e" filled="false" stroked="true" strokeweight="1.140pt" strokecolor="#ffffff">
                <v:path arrowok="t"/>
              </v:shape>
            </v:group>
            <v:group style="position:absolute;left:9623;top:8968;width:1052;height:393" coordorigin="9623,8968" coordsize="1052,393">
              <v:shape style="position:absolute;left:9623;top:8968;width:1052;height:393" coordorigin="9623,8968" coordsize="1052,393" path="m9623,9361l10674,9361,10674,8968,9623,8968,9623,936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有。本人不因</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职务变更或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离职等主观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原因而放弃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履行此承诺</w:t>
            </w:r>
            <w:r>
              <w:rPr>
                <w:rFonts w:ascii="宋体" w:hAnsi="宋体" w:cs="宋体" w:eastAsia="宋体" w:hint="default"/>
                <w:spacing w:val="-90"/>
                <w:sz w:val="18"/>
                <w:szCs w:val="18"/>
              </w:rPr>
              <w:t>。</w:t>
            </w:r>
            <w:r>
              <w:rPr>
                <w:rFonts w:ascii="Times New Roman" w:hAnsi="Times New Roman" w:cs="Times New Roman" w:eastAsia="Times New Roman" w:hint="default"/>
                <w:w w:val="100"/>
                <w:sz w:val="18"/>
                <w:szCs w:val="18"/>
              </w:rPr>
              <w:t>”</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62"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、控股股东</w:t>
            </w:r>
          </w:p>
        </w:tc>
        <w:tc>
          <w:tcPr>
            <w:tcW w:w="1127"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中信电子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7"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1127"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tabs>
                <w:tab w:pos="862" w:val="left" w:leader="none"/>
              </w:tabs>
              <w:spacing w:line="240" w:lineRule="auto" w:before="10"/>
              <w:ind w:left="22" w:right="-17"/>
              <w:jc w:val="left"/>
              <w:rPr>
                <w:rFonts w:ascii="宋体" w:hAnsi="宋体" w:cs="宋体" w:eastAsia="宋体" w:hint="default"/>
                <w:sz w:val="18"/>
                <w:szCs w:val="18"/>
              </w:rPr>
            </w:pPr>
            <w:r>
              <w:rPr>
                <w:rFonts w:ascii="宋体" w:hAnsi="宋体" w:cs="宋体" w:eastAsia="宋体" w:hint="default"/>
                <w:sz w:val="18"/>
                <w:szCs w:val="18"/>
              </w:rPr>
              <w:t>张曙华</w:t>
              <w:tab/>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7"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中信电子承</w:t>
            </w:r>
          </w:p>
        </w:tc>
        <w:tc>
          <w:tcPr>
            <w:tcW w:w="1127"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w:t>
            </w:r>
            <w:r>
              <w:rPr>
                <w:rFonts w:ascii="宋体" w:hAnsi="宋体" w:cs="宋体" w:eastAsia="宋体" w:hint="default"/>
                <w:spacing w:val="-9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本公司所</w:t>
            </w:r>
          </w:p>
        </w:tc>
        <w:tc>
          <w:tcPr>
            <w:tcW w:w="1127"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持发行人公</w:t>
            </w:r>
          </w:p>
        </w:tc>
        <w:tc>
          <w:tcPr>
            <w:tcW w:w="1127"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开发行股份</w:t>
            </w:r>
          </w:p>
        </w:tc>
        <w:tc>
          <w:tcPr>
            <w:tcW w:w="1127"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前已发行的</w:t>
            </w:r>
          </w:p>
        </w:tc>
        <w:tc>
          <w:tcPr>
            <w:tcW w:w="1127"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股份在锁定</w:t>
            </w:r>
          </w:p>
        </w:tc>
        <w:tc>
          <w:tcPr>
            <w:tcW w:w="1127"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期期满后两</w:t>
            </w:r>
          </w:p>
        </w:tc>
        <w:tc>
          <w:tcPr>
            <w:tcW w:w="1127"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年内将进行</w:t>
            </w:r>
          </w:p>
        </w:tc>
        <w:tc>
          <w:tcPr>
            <w:tcW w:w="1127"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股份减持，减</w:t>
            </w:r>
          </w:p>
        </w:tc>
        <w:tc>
          <w:tcPr>
            <w:tcW w:w="1127"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持股份数量</w:t>
            </w:r>
          </w:p>
        </w:tc>
        <w:tc>
          <w:tcPr>
            <w:tcW w:w="1127"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为不超过本</w:t>
            </w:r>
          </w:p>
        </w:tc>
        <w:tc>
          <w:tcPr>
            <w:tcW w:w="1127"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、控股股东</w:t>
            </w: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公司所持股</w:t>
            </w:r>
          </w:p>
        </w:tc>
        <w:tc>
          <w:tcPr>
            <w:tcW w:w="1127"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pacing w:val="-3"/>
                <w:sz w:val="18"/>
                <w:szCs w:val="18"/>
              </w:rPr>
              <w:t>中信电子、实</w:t>
            </w: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2"/>
              <w:jc w:val="left"/>
              <w:rPr>
                <w:rFonts w:ascii="宋体" w:hAnsi="宋体" w:cs="宋体" w:eastAsia="宋体" w:hint="default"/>
                <w:sz w:val="18"/>
                <w:szCs w:val="18"/>
              </w:rPr>
            </w:pPr>
            <w:r>
              <w:rPr>
                <w:rFonts w:ascii="宋体" w:hAnsi="宋体" w:cs="宋体" w:eastAsia="宋体" w:hint="default"/>
                <w:sz w:val="18"/>
                <w:szCs w:val="18"/>
              </w:rPr>
              <w:t>份数的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c>
          <w:tcPr>
            <w:tcW w:w="1127"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际控制人张</w:t>
            </w:r>
          </w:p>
        </w:tc>
        <w:tc>
          <w:tcPr>
            <w:tcW w:w="1108" w:type="dxa"/>
            <w:tcBorders>
              <w:top w:val="nil" w:sz="6" w:space="0" w:color="auto"/>
              <w:left w:val="single" w:sz="4" w:space="0" w:color="000000"/>
              <w:bottom w:val="nil" w:sz="6" w:space="0" w:color="auto"/>
              <w:right w:val="single" w:sz="4" w:space="0" w:color="000000"/>
            </w:tcBorders>
          </w:tcPr>
          <w:p>
            <w:pPr/>
          </w:p>
        </w:tc>
      </w:tr>
      <w:tr>
        <w:trPr>
          <w:trHeight w:val="1555"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07" w:lineRule="auto" w:before="152"/>
              <w:ind w:left="23"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、控股股东 中信电子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 实际控制人 张曙华</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5"/>
              <w:ind w:left="22" w:right="20"/>
              <w:jc w:val="left"/>
              <w:rPr>
                <w:rFonts w:ascii="宋体" w:hAnsi="宋体" w:cs="宋体" w:eastAsia="宋体" w:hint="default"/>
                <w:sz w:val="18"/>
                <w:szCs w:val="18"/>
              </w:rPr>
            </w:pPr>
            <w:r>
              <w:rPr>
                <w:rFonts w:ascii="宋体" w:hAnsi="宋体" w:cs="宋体" w:eastAsia="宋体" w:hint="default"/>
                <w:sz w:val="18"/>
                <w:szCs w:val="18"/>
              </w:rPr>
              <w:t>本公司在减 </w:t>
            </w:r>
            <w:r>
              <w:rPr>
                <w:rFonts w:ascii="宋体" w:hAnsi="宋体" w:cs="宋体" w:eastAsia="宋体" w:hint="default"/>
                <w:spacing w:val="-2"/>
                <w:sz w:val="18"/>
                <w:szCs w:val="18"/>
              </w:rPr>
              <w:t>持股份时，将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提前五个交 易日向发行 人提交减持</w:t>
            </w:r>
          </w:p>
        </w:tc>
        <w:tc>
          <w:tcPr>
            <w:tcW w:w="1127"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97"/>
              <w:jc w:val="left"/>
              <w:rPr>
                <w:rFonts w:ascii="宋体" w:hAnsi="宋体" w:cs="宋体" w:eastAsia="宋体" w:hint="default"/>
                <w:sz w:val="18"/>
                <w:szCs w:val="18"/>
              </w:rPr>
            </w:pPr>
            <w:r>
              <w:rPr>
                <w:rFonts w:ascii="宋体" w:hAnsi="宋体" w:cs="宋体" w:eastAsia="宋体" w:hint="default"/>
                <w:sz w:val="18"/>
                <w:szCs w:val="18"/>
              </w:rPr>
              <w:t>曙华承诺期 限至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9" w:lineRule="auto"/>
              <w:ind w:left="22" w:right="-33"/>
              <w:jc w:val="both"/>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宋体" w:hAnsi="宋体" w:cs="宋体" w:eastAsia="宋体" w:hint="default"/>
                <w:spacing w:val="-47"/>
                <w:sz w:val="18"/>
                <w:szCs w:val="18"/>
              </w:rPr>
              <w:t> </w:t>
            </w:r>
            <w:r>
              <w:rPr>
                <w:rFonts w:ascii="Times New Roman" w:hAnsi="Times New Roman" w:cs="Times New Roman" w:eastAsia="Times New Roman" w:hint="default"/>
                <w:spacing w:val="-18"/>
                <w:sz w:val="18"/>
                <w:szCs w:val="18"/>
              </w:rPr>
              <w:t>2</w:t>
            </w:r>
            <w:r>
              <w:rPr>
                <w:rFonts w:ascii="宋体" w:hAnsi="宋体" w:cs="宋体" w:eastAsia="宋体" w:hint="default"/>
                <w:spacing w:val="-18"/>
                <w:sz w:val="18"/>
                <w:szCs w:val="18"/>
              </w:rPr>
              <w:t>、</w:t>
            </w:r>
            <w:r>
              <w:rPr>
                <w:rFonts w:ascii="宋体" w:hAnsi="宋体" w:cs="宋体" w:eastAsia="宋体" w:hint="default"/>
                <w:spacing w:val="-35"/>
                <w:sz w:val="18"/>
                <w:szCs w:val="18"/>
              </w:rPr>
              <w:t> </w:t>
            </w:r>
            <w:r>
              <w:rPr>
                <w:rFonts w:ascii="宋体" w:hAnsi="宋体" w:cs="宋体" w:eastAsia="宋体" w:hint="default"/>
                <w:spacing w:val="-3"/>
                <w:sz w:val="18"/>
                <w:szCs w:val="18"/>
              </w:rPr>
              <w:t>深创投、上海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红土、苏国嘉</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原因、减持数</w:t>
            </w:r>
          </w:p>
        </w:tc>
        <w:tc>
          <w:tcPr>
            <w:tcW w:w="1127"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承诺期限至</w:t>
            </w:r>
          </w:p>
        </w:tc>
        <w:tc>
          <w:tcPr>
            <w:tcW w:w="110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量、未来减持</w:t>
            </w:r>
          </w:p>
        </w:tc>
        <w:tc>
          <w:tcPr>
            <w:tcW w:w="1127"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08" w:type="dxa"/>
            <w:tcBorders>
              <w:top w:val="nil" w:sz="6" w:space="0" w:color="auto"/>
              <w:left w:val="single" w:sz="4" w:space="0" w:color="000000"/>
              <w:bottom w:val="nil" w:sz="6" w:space="0" w:color="auto"/>
              <w:right w:val="single" w:sz="4" w:space="0" w:color="000000"/>
            </w:tcBorders>
          </w:tcPr>
          <w:p>
            <w:pPr/>
          </w:p>
        </w:tc>
      </w:tr>
      <w:tr>
        <w:trPr>
          <w:trHeight w:val="321"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计划、减持对</w:t>
            </w:r>
          </w:p>
        </w:tc>
        <w:tc>
          <w:tcPr>
            <w:tcW w:w="1127"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发行人治理</w:t>
            </w:r>
          </w:p>
        </w:tc>
        <w:tc>
          <w:tcPr>
            <w:tcW w:w="1127"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结构及持续</w:t>
            </w:r>
          </w:p>
        </w:tc>
        <w:tc>
          <w:tcPr>
            <w:tcW w:w="1127"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经营影响的</w:t>
            </w:r>
          </w:p>
        </w:tc>
        <w:tc>
          <w:tcPr>
            <w:tcW w:w="1127"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说明，并由发</w:t>
            </w:r>
          </w:p>
        </w:tc>
        <w:tc>
          <w:tcPr>
            <w:tcW w:w="1127"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行人在减持</w:t>
            </w:r>
          </w:p>
        </w:tc>
        <w:tc>
          <w:tcPr>
            <w:tcW w:w="1127"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前三个交易</w:t>
            </w:r>
          </w:p>
        </w:tc>
        <w:tc>
          <w:tcPr>
            <w:tcW w:w="1127"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日予以公告；</w:t>
            </w:r>
          </w:p>
        </w:tc>
        <w:tc>
          <w:tcPr>
            <w:tcW w:w="1127"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减持将通过</w:t>
            </w:r>
          </w:p>
        </w:tc>
        <w:tc>
          <w:tcPr>
            <w:tcW w:w="1127"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证券交易所</w:t>
            </w:r>
          </w:p>
        </w:tc>
        <w:tc>
          <w:tcPr>
            <w:tcW w:w="1127"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集中竞价交</w:t>
            </w:r>
          </w:p>
        </w:tc>
        <w:tc>
          <w:tcPr>
            <w:tcW w:w="1127"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易系统、大宗</w:t>
            </w:r>
          </w:p>
        </w:tc>
        <w:tc>
          <w:tcPr>
            <w:tcW w:w="1127"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交易系统等</w:t>
            </w:r>
          </w:p>
        </w:tc>
        <w:tc>
          <w:tcPr>
            <w:tcW w:w="1127"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方式进行，并</w:t>
            </w:r>
          </w:p>
        </w:tc>
        <w:tc>
          <w:tcPr>
            <w:tcW w:w="1127"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且本公司承</w:t>
            </w:r>
          </w:p>
        </w:tc>
        <w:tc>
          <w:tcPr>
            <w:tcW w:w="1127"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诺减持价格</w:t>
            </w:r>
          </w:p>
        </w:tc>
        <w:tc>
          <w:tcPr>
            <w:tcW w:w="1127"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（指复权后</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的价格）不低</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于发行价，若</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低于发行价</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的，本公司的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减持所得收</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入归发行人</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所有。</w:t>
            </w:r>
            <w:r>
              <w:rPr>
                <w:rFonts w:ascii="Times New Roman" w:hAnsi="Times New Roman" w:cs="Times New Roman" w:eastAsia="Times New Roman" w:hint="default"/>
                <w:sz w:val="18"/>
                <w:szCs w:val="18"/>
              </w:rPr>
              <w:t>”2</w:t>
            </w:r>
            <w:r>
              <w:rPr>
                <w:rFonts w:ascii="宋体" w:hAnsi="宋体" w:cs="宋体" w:eastAsia="宋体" w:hint="default"/>
                <w:sz w:val="18"/>
                <w:szCs w:val="18"/>
              </w:rPr>
              <w:t>、张</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曙华承诺</w:t>
            </w:r>
            <w:r>
              <w:rPr>
                <w:rFonts w:ascii="宋体" w:hAnsi="宋体" w:cs="宋体" w:eastAsia="宋体" w:hint="default"/>
                <w:spacing w:val="-9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本</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人所持发行</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人公开发行</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股份前已发</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行的股份在</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锁定期期满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后两年内减</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持不超过本</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人所持股份</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数的</w:t>
            </w:r>
            <w:r>
              <w:rPr>
                <w:rFonts w:ascii="宋体" w:hAnsi="宋体" w:cs="宋体" w:eastAsia="宋体" w:hint="default"/>
                <w:spacing w:val="-43"/>
                <w:sz w:val="18"/>
                <w:szCs w:val="18"/>
              </w:rPr>
              <w:t> </w:t>
            </w:r>
            <w:r>
              <w:rPr>
                <w:rFonts w:ascii="Times New Roman" w:hAnsi="Times New Roman" w:cs="Times New Roman" w:eastAsia="Times New Roman" w:hint="default"/>
                <w:spacing w:val="-11"/>
                <w:sz w:val="18"/>
                <w:szCs w:val="18"/>
              </w:rPr>
              <w:t>40%</w:t>
            </w:r>
            <w:r>
              <w:rPr>
                <w:rFonts w:ascii="宋体" w:hAnsi="宋体" w:cs="宋体" w:eastAsia="宋体" w:hint="default"/>
                <w:spacing w:val="-11"/>
                <w:sz w:val="18"/>
                <w:szCs w:val="18"/>
              </w:rPr>
              <w:t>；本</w:t>
            </w:r>
            <w:r>
              <w:rPr>
                <w:rFonts w:ascii="宋体" w:hAnsi="宋体" w:cs="宋体" w:eastAsia="宋体" w:hint="default"/>
                <w:sz w:val="18"/>
                <w:szCs w:val="18"/>
              </w:rPr>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人减持时，将</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提前五个交</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易日向发行</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人提交减持</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原因、减持数</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量、未来减持</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计划、减持对</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发行人治理</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结构及持续</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经营影响的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说明，并由发</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行人在减持</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前三个交易</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日予以公告；</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减持将通过</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证券交易所</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集中竞价交</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易系统、大宗</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交易系统等</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方式进行并</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且本人承诺</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减持价格（指</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复权后的价</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w:t>
            </w:r>
            <w:r>
              <w:rPr>
                <w:rFonts w:ascii="Times New Roman" w:hAnsi="Times New Roman" w:cs="Times New Roman" w:eastAsia="Times New Roman" w:hint="default"/>
                <w:sz w:val="18"/>
                <w:szCs w:val="18"/>
              </w:rPr>
              <w:t>)</w:t>
            </w:r>
            <w:r>
              <w:rPr>
                <w:rFonts w:ascii="宋体" w:hAnsi="宋体" w:cs="宋体" w:eastAsia="宋体" w:hint="default"/>
                <w:sz w:val="18"/>
                <w:szCs w:val="18"/>
              </w:rPr>
              <w:t>不低于发</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行价，若低于</w:t>
            </w: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发行价的，本</w:t>
            </w:r>
          </w:p>
        </w:tc>
        <w:tc>
          <w:tcPr>
            <w:tcW w:w="1127"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人的减持所</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得收入归发</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行人所有。本</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人不因职务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变更或离职</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等主观原因</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而放弃履行</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此承诺。</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深创投、上海</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红土、苏国嘉</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w:t>
            </w:r>
            <w:r>
              <w:rPr>
                <w:rFonts w:ascii="宋体" w:hAnsi="宋体" w:cs="宋体" w:eastAsia="宋体" w:hint="default"/>
                <w:spacing w:val="-9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本公司</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所持股票在</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锁定期满后</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两年内将进</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行股份减持，</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减持股份数</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量为不超过</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本公司所持</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股份数的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100%</w:t>
            </w:r>
            <w:r>
              <w:rPr>
                <w:rFonts w:ascii="宋体" w:hAnsi="宋体" w:cs="宋体" w:eastAsia="宋体" w:hint="default"/>
                <w:spacing w:val="-9"/>
                <w:sz w:val="18"/>
                <w:szCs w:val="18"/>
              </w:rPr>
              <w:t>；本公司</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在减持股份</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时，将提前五</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个交易日向</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发行人提交</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减持原因、减</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持数量、未来</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减持计划、减</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持对发行人</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治理结构及</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持续经营影</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响的说明，并</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由发行人在</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减持前三个</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交易日予以</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公告；减持将</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通过证券交</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易所集中竞</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价交易系统、</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大宗交易系</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统等方式进</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行，且减持价</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格（指复权后</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的价格）不低</w:t>
            </w: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66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于发行价；若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所持股票在 锁定期满后 两年内减持 价格低于发 </w:t>
            </w:r>
            <w:r>
              <w:rPr>
                <w:rFonts w:ascii="宋体" w:hAnsi="宋体" w:cs="宋体" w:eastAsia="宋体" w:hint="default"/>
                <w:spacing w:val="-2"/>
                <w:sz w:val="18"/>
                <w:szCs w:val="18"/>
              </w:rPr>
              <w:t>行价的，则减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持价格与发 行价之间的 差额由发行 人在现金分 红时从分配 当年及以后 年度的现金 分红中予以 </w:t>
            </w:r>
            <w:r>
              <w:rPr>
                <w:rFonts w:ascii="宋体" w:hAnsi="宋体" w:cs="宋体" w:eastAsia="宋体" w:hint="default"/>
                <w:spacing w:val="-2"/>
                <w:sz w:val="18"/>
                <w:szCs w:val="18"/>
              </w:rPr>
              <w:t>先行扣除，且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扣除的现金 分红归发行 人所有。</w:t>
            </w:r>
            <w:r>
              <w:rPr>
                <w:rFonts w:ascii="Times New Roman" w:hAnsi="Times New Roman" w:cs="Times New Roman" w:eastAsia="Times New Roman" w:hint="default"/>
                <w:sz w:val="18"/>
                <w:szCs w:val="18"/>
              </w:rPr>
              <w:t>”</w:t>
            </w: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816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、信息发展</w:t>
            </w:r>
          </w:p>
          <w:p>
            <w:pPr>
              <w:pStyle w:val="TableParagraph"/>
              <w:spacing w:line="312" w:lineRule="auto" w:before="63"/>
              <w:ind w:left="23"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、控股股东 中信电子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 实际控制人 张曙华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、董 事张曙华、杨 安荣、李志 卿、张颖、张 元利、尹於舜 </w:t>
            </w:r>
            <w:r>
              <w:rPr>
                <w:rFonts w:ascii="Times New Roman" w:hAnsi="Times New Roman" w:cs="Times New Roman" w:eastAsia="Times New Roman" w:hint="default"/>
                <w:sz w:val="18"/>
                <w:szCs w:val="18"/>
              </w:rPr>
              <w:t>5</w:t>
            </w:r>
            <w:r>
              <w:rPr>
                <w:rFonts w:ascii="宋体" w:hAnsi="宋体" w:cs="宋体" w:eastAsia="宋体" w:hint="default"/>
                <w:sz w:val="18"/>
                <w:szCs w:val="18"/>
              </w:rPr>
              <w:t>、高级管理 人员张曙华、 杨安荣、石富 义、张颖</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发行人及其 </w:t>
            </w:r>
            <w:r>
              <w:rPr>
                <w:rFonts w:ascii="宋体" w:hAnsi="宋体" w:cs="宋体" w:eastAsia="宋体" w:hint="default"/>
                <w:spacing w:val="-2"/>
                <w:sz w:val="18"/>
                <w:szCs w:val="18"/>
              </w:rPr>
              <w:t>控股股东、实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际控制人、董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事及高级管 理人员就上 市后三年内 可能出现连 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 日收盘价低 于最近一期 末每股净资 产情形时出 </w:t>
            </w:r>
            <w:r>
              <w:rPr>
                <w:rFonts w:ascii="宋体" w:hAnsi="宋体" w:cs="宋体" w:eastAsia="宋体" w:hint="default"/>
                <w:spacing w:val="-2"/>
                <w:sz w:val="18"/>
                <w:szCs w:val="18"/>
              </w:rPr>
              <w:t>具了《关于修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订公司首次 公开发行股 票并在创业 板上市后股 价稳定预案 </w:t>
            </w:r>
            <w:r>
              <w:rPr>
                <w:rFonts w:ascii="宋体" w:hAnsi="宋体" w:cs="宋体" w:eastAsia="宋体" w:hint="default"/>
                <w:spacing w:val="-15"/>
                <w:sz w:val="18"/>
                <w:szCs w:val="18"/>
              </w:rPr>
              <w:t>的议案》。该</w:t>
            </w:r>
            <w:r>
              <w:rPr>
                <w:rFonts w:ascii="宋体" w:hAnsi="宋体" w:cs="宋体" w:eastAsia="宋体" w:hint="default"/>
                <w:sz w:val="18"/>
                <w:szCs w:val="18"/>
              </w:rPr>
              <w:t> 预案在发行 人完成首次 公开发行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股股票并上 市之日起生 </w:t>
            </w:r>
            <w:r>
              <w:rPr>
                <w:rFonts w:ascii="宋体" w:hAnsi="宋体" w:cs="宋体" w:eastAsia="宋体" w:hint="default"/>
                <w:spacing w:val="-2"/>
                <w:sz w:val="18"/>
                <w:szCs w:val="18"/>
              </w:rPr>
              <w:t>效，有效期三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年。对于在本</w:t>
            </w: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预案有效期</w:t>
            </w:r>
          </w:p>
        </w:tc>
        <w:tc>
          <w:tcPr>
            <w:tcW w:w="1127"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内新聘任的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董事（独立董</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事除外</w:t>
            </w:r>
            <w:r>
              <w:rPr>
                <w:rFonts w:ascii="宋体" w:hAnsi="宋体" w:cs="宋体" w:eastAsia="宋体" w:hint="default"/>
                <w:spacing w:val="-90"/>
                <w:sz w:val="18"/>
                <w:szCs w:val="18"/>
              </w:rPr>
              <w:t>）</w:t>
            </w:r>
            <w:r>
              <w:rPr>
                <w:rFonts w:ascii="宋体" w:hAnsi="宋体" w:cs="宋体" w:eastAsia="宋体" w:hint="default"/>
                <w:sz w:val="18"/>
                <w:szCs w:val="18"/>
              </w:rPr>
              <w:t>、高</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发行人也要</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求其履行发</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行上市时董</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事（独立董事</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除外</w:t>
            </w:r>
            <w:r>
              <w:rPr>
                <w:rFonts w:ascii="宋体" w:hAnsi="宋体" w:cs="宋体" w:eastAsia="宋体" w:hint="default"/>
                <w:spacing w:val="-90"/>
                <w:sz w:val="18"/>
                <w:szCs w:val="18"/>
              </w:rPr>
              <w:t>）</w:t>
            </w:r>
            <w:r>
              <w:rPr>
                <w:rFonts w:ascii="宋体" w:hAnsi="宋体" w:cs="宋体" w:eastAsia="宋体" w:hint="default"/>
                <w:sz w:val="18"/>
                <w:szCs w:val="18"/>
              </w:rPr>
              <w:t>、高级</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管理人员已</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作出的稳定</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股价预案的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承诺。预案具</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体内容如下：</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发行人采取</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的稳定股价</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的措施包括：</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由公司回购</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股票；由控股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股东及实际</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控制人增持</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公司股票；由</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公司董事（独</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立董事除</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w:t>
            </w:r>
            <w:r>
              <w:rPr>
                <w:rFonts w:ascii="宋体" w:hAnsi="宋体" w:cs="宋体" w:eastAsia="宋体" w:hint="default"/>
                <w:spacing w:val="-90"/>
                <w:sz w:val="18"/>
                <w:szCs w:val="18"/>
              </w:rPr>
              <w:t>）</w:t>
            </w:r>
            <w:r>
              <w:rPr>
                <w:rFonts w:ascii="宋体" w:hAnsi="宋体" w:cs="宋体" w:eastAsia="宋体" w:hint="default"/>
                <w:sz w:val="18"/>
                <w:szCs w:val="18"/>
              </w:rPr>
              <w:t>、高级管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理人员增持</w:t>
            </w:r>
            <w:r>
              <w:rPr>
                <w:rFonts w:ascii="Times New Roman" w:hAnsi="Times New Roman" w:cs="Times New Roman" w:eastAsia="Times New Roman" w:hint="default"/>
                <w:sz w:val="18"/>
                <w:szCs w:val="18"/>
              </w:rPr>
              <w:t>/</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买入公司股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票；以及公司</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董事会、股东</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大会通过的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其他稳定股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价的措施。上</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述措施的实</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施须符合相</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关法律法规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及监管部门</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的规定，在不</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会导致发行</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人股权结构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不符合上市</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公司条件的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基础上，可综</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合考虑单独</w:t>
            </w: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或合并实施</w:t>
            </w:r>
          </w:p>
        </w:tc>
        <w:tc>
          <w:tcPr>
            <w:tcW w:w="1127"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上述措施。在</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前述事项发</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生之日起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交易日内，发</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行人应当综</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合考虑公司</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经营发展实</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际情况、财务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状况、公司所</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处行业及股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价二级市场</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表现等状况，</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提出稳定公</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司股价的具</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体方案（包括</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w:t>
            </w:r>
            <w:r>
              <w:rPr>
                <w:rFonts w:ascii="Times New Roman" w:hAnsi="Times New Roman" w:cs="Times New Roman" w:eastAsia="Times New Roman" w:hint="default"/>
                <w:sz w:val="18"/>
                <w:szCs w:val="18"/>
              </w:rPr>
              <w:t>/</w:t>
            </w:r>
            <w:r>
              <w:rPr>
                <w:rFonts w:ascii="宋体" w:hAnsi="宋体" w:cs="宋体" w:eastAsia="宋体" w:hint="default"/>
                <w:sz w:val="18"/>
                <w:szCs w:val="18"/>
              </w:rPr>
              <w:t>增持</w:t>
            </w:r>
            <w:r>
              <w:rPr>
                <w:rFonts w:ascii="Times New Roman" w:hAnsi="Times New Roman" w:cs="Times New Roman" w:eastAsia="Times New Roman" w:hint="default"/>
                <w:sz w:val="18"/>
                <w:szCs w:val="18"/>
              </w:rPr>
              <w:t>/</w:t>
            </w:r>
            <w:r>
              <w:rPr>
                <w:rFonts w:ascii="宋体" w:hAnsi="宋体" w:cs="宋体" w:eastAsia="宋体" w:hint="default"/>
                <w:sz w:val="18"/>
                <w:szCs w:val="18"/>
              </w:rPr>
              <w:t>买</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入股份金额、</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数量等</w:t>
            </w:r>
            <w:r>
              <w:rPr>
                <w:rFonts w:ascii="宋体" w:hAnsi="宋体" w:cs="宋体" w:eastAsia="宋体" w:hint="default"/>
                <w:spacing w:val="-90"/>
                <w:sz w:val="18"/>
                <w:szCs w:val="18"/>
              </w:rPr>
              <w:t>）</w:t>
            </w:r>
            <w:r>
              <w:rPr>
                <w:rFonts w:ascii="宋体" w:hAnsi="宋体" w:cs="宋体" w:eastAsia="宋体" w:hint="default"/>
                <w:sz w:val="18"/>
                <w:szCs w:val="18"/>
              </w:rPr>
              <w:t>。具</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体股价稳定</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措施及承诺</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如下：</w:t>
            </w:r>
            <w:r>
              <w:rPr>
                <w:rFonts w:ascii="Times New Roman" w:hAnsi="Times New Roman" w:cs="Times New Roman" w:eastAsia="Times New Roman" w:hint="default"/>
                <w:sz w:val="18"/>
                <w:szCs w:val="18"/>
              </w:rPr>
              <w:t>1</w:t>
            </w:r>
            <w:r>
              <w:rPr>
                <w:rFonts w:ascii="宋体" w:hAnsi="宋体" w:cs="宋体" w:eastAsia="宋体" w:hint="default"/>
                <w:sz w:val="18"/>
                <w:szCs w:val="18"/>
              </w:rPr>
              <w:t>、发</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行人回购股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票措施：公司</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回购股份的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资金为自有</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资金，回购股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份的方式以</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证券交易所</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集中竞价交</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易方式、要约</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方式或中国</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证监会认可</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的其他方式</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向社会公众</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股东回购股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份。在达到启</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动股价稳定</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措施的条件</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后，若公司决</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定采取回购</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股份方式稳</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定股价，公司</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董事会应在</w:t>
            </w: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05.200012pt;margin-top:72.47998pt;width:61.95pt;height:686.5pt;mso-position-horizontal-relative:page;mso-position-vertical-relative:page;z-index:-10327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5"/>
                      <w:szCs w:val="15"/>
                    </w:rPr>
                  </w:pPr>
                </w:p>
                <w:p>
                  <w:pPr>
                    <w:pStyle w:val="BodyText"/>
                    <w:spacing w:line="240" w:lineRule="auto" w:before="0"/>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w:t>
            </w:r>
          </w:p>
        </w:tc>
        <w:tc>
          <w:tcPr>
            <w:tcW w:w="1127" w:type="dxa"/>
            <w:vMerge w:val="restart"/>
            <w:tcBorders>
              <w:top w:val="single" w:sz="4" w:space="0" w:color="000000"/>
              <w:left w:val="single" w:sz="4" w:space="0" w:color="000000"/>
              <w:right w:val="single" w:sz="4" w:space="0" w:color="000000"/>
            </w:tcBorders>
          </w:tcPr>
          <w:p>
            <w:pPr>
              <w:pStyle w:val="TableParagraph"/>
              <w:spacing w:line="13729"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pt;mso-position-horizontal-relative:char;mso-position-vertical-relative:line" coordorigin="0,0" coordsize="1116,13730">
                  <v:group style="position:absolute;left:0;top:0;width:1116;height:13730" coordorigin="0,0" coordsize="1116,13730">
                    <v:shape style="position:absolute;left:0;top:0;width:1116;height:13730" coordorigin="0,0" coordsize="1116,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内做出回购</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股份的决议，</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并在做出回</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购股份决议</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个工作</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日内公告董</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事会决议、回</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购股份预案，</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发布召开股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东大会的通</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知。公司单次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用于回购公</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司股票的金</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额不低于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万元；且单次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及或连续十</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二个月回购</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公司股份数</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量不超过公</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司股本总额</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。公司</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回购应在公</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司股东大会</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决议做出之</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日起次日开</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始启动回购，</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并应在履行</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相关法定手</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续后的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内实施完毕。</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公司回购方</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案实施完毕</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后，应在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个</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工作日内公</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告公司股份</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变动报告，并</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日内依</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法注销所回</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购的股份，办</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理工商变更</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登记手续。</w:t>
            </w:r>
            <w:r>
              <w:rPr>
                <w:rFonts w:ascii="Times New Roman" w:hAnsi="Times New Roman" w:cs="Times New Roman" w:eastAsia="Times New Roman" w:hint="default"/>
                <w:sz w:val="18"/>
                <w:szCs w:val="18"/>
              </w:rPr>
              <w:t>2</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控股股东、实</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际控制人增</w:t>
            </w: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持股票：在达</w:t>
            </w:r>
          </w:p>
        </w:tc>
        <w:tc>
          <w:tcPr>
            <w:tcW w:w="1127"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到启动股价</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稳定措施的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条件后，若公</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司决定采取</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由控股股东、</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增持公司股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票方式稳定</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股价，控股股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东、实际控制</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人通过深圳</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证券交易所</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证券交易系</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统在二级市</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场以买入的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方式，增持公</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司股份，资金</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来源为自筹</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取得。并且在</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增持期间及</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法定期限内</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不减持其所</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持有的公司</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股份。控股股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东、实际控制</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人单次用于</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增持公司股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票的金额不</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元；且单次及</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或连续十二</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个月增持公</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司股份数量</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不超过公司</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股本总额的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。控股股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东、实际控制</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人应在增持</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公告做出之</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日起次日开</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始启动增持，</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并应在履行</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相关法定手</w:t>
            </w: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续后的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7"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内实施完毕。</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如未履行上</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述承诺事项，</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公司有权责</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令控股股东、</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在限期内履</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行增持股票</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义务，控股股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东、实际控制</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人仍不履行</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的，公司有权</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扣减归属于</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控股股东和</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的当年上市</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公司现金分</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红收益。</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发行人董事</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除外</w:t>
            </w:r>
            <w:r>
              <w:rPr>
                <w:rFonts w:ascii="宋体" w:hAnsi="宋体" w:cs="宋体" w:eastAsia="宋体" w:hint="default"/>
                <w:spacing w:val="-90"/>
                <w:sz w:val="18"/>
                <w:szCs w:val="18"/>
              </w:rPr>
              <w:t>）</w:t>
            </w:r>
            <w:r>
              <w:rPr>
                <w:rFonts w:ascii="宋体" w:hAnsi="宋体" w:cs="宋体" w:eastAsia="宋体" w:hint="default"/>
                <w:sz w:val="18"/>
                <w:szCs w:val="18"/>
              </w:rPr>
              <w:t>、高级</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管理人员增</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w:t>
            </w:r>
            <w:r>
              <w:rPr>
                <w:rFonts w:ascii="Times New Roman" w:hAnsi="Times New Roman" w:cs="Times New Roman" w:eastAsia="Times New Roman" w:hint="default"/>
                <w:sz w:val="18"/>
                <w:szCs w:val="18"/>
              </w:rPr>
              <w:t>/</w:t>
            </w:r>
            <w:r>
              <w:rPr>
                <w:rFonts w:ascii="宋体" w:hAnsi="宋体" w:cs="宋体" w:eastAsia="宋体" w:hint="default"/>
                <w:sz w:val="18"/>
                <w:szCs w:val="18"/>
              </w:rPr>
              <w:t>买入公司</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股票：在达到</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启动股价稳</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定措施的条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件后，若公司</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决定采取由</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董事（独立董</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事除外</w:t>
            </w:r>
            <w:r>
              <w:rPr>
                <w:rFonts w:ascii="宋体" w:hAnsi="宋体" w:cs="宋体" w:eastAsia="宋体" w:hint="default"/>
                <w:spacing w:val="-90"/>
                <w:sz w:val="18"/>
                <w:szCs w:val="18"/>
              </w:rPr>
              <w:t>）</w:t>
            </w:r>
            <w:r>
              <w:rPr>
                <w:rFonts w:ascii="宋体" w:hAnsi="宋体" w:cs="宋体" w:eastAsia="宋体" w:hint="default"/>
                <w:sz w:val="18"/>
                <w:szCs w:val="18"/>
              </w:rPr>
              <w:t>、高</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w:t>
            </w:r>
            <w:r>
              <w:rPr>
                <w:rFonts w:ascii="Times New Roman" w:hAnsi="Times New Roman" w:cs="Times New Roman" w:eastAsia="Times New Roman" w:hint="default"/>
                <w:sz w:val="18"/>
                <w:szCs w:val="18"/>
              </w:rPr>
              <w:t>/</w:t>
            </w:r>
            <w:r>
              <w:rPr>
                <w:rFonts w:ascii="宋体" w:hAnsi="宋体" w:cs="宋体" w:eastAsia="宋体" w:hint="default"/>
                <w:sz w:val="18"/>
                <w:szCs w:val="18"/>
              </w:rPr>
              <w:t>买入公</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司股票方式</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稳定股价，公</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司董事（独立</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董事除外</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员通过深圳</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证券交易所</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证券交易系</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统在二级市</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场以买入的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方式，增持</w:t>
            </w:r>
            <w:r>
              <w:rPr>
                <w:rFonts w:ascii="Times New Roman" w:hAnsi="Times New Roman" w:cs="Times New Roman" w:eastAsia="Times New Roman" w:hint="default"/>
                <w:sz w:val="18"/>
                <w:szCs w:val="18"/>
              </w:rPr>
              <w:t>/</w:t>
            </w: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买入公司股</w:t>
            </w:r>
          </w:p>
        </w:tc>
        <w:tc>
          <w:tcPr>
            <w:tcW w:w="1127"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份，资金来源</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为自筹取得。</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并且在增持</w:t>
            </w:r>
            <w:r>
              <w:rPr>
                <w:rFonts w:ascii="Times New Roman" w:hAnsi="Times New Roman" w:cs="Times New Roman" w:eastAsia="Times New Roman" w:hint="default"/>
                <w:sz w:val="18"/>
                <w:szCs w:val="18"/>
              </w:rPr>
              <w:t>/</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买入期间及</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法定期限内</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不减持其所</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持有的公司</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股份。公司董</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事（独立董事</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除外</w:t>
            </w:r>
            <w:r>
              <w:rPr>
                <w:rFonts w:ascii="宋体" w:hAnsi="宋体" w:cs="宋体" w:eastAsia="宋体" w:hint="default"/>
                <w:spacing w:val="-90"/>
                <w:sz w:val="18"/>
                <w:szCs w:val="18"/>
              </w:rPr>
              <w:t>）</w:t>
            </w:r>
            <w:r>
              <w:rPr>
                <w:rFonts w:ascii="宋体" w:hAnsi="宋体" w:cs="宋体" w:eastAsia="宋体" w:hint="default"/>
                <w:sz w:val="18"/>
                <w:szCs w:val="18"/>
              </w:rPr>
              <w:t>、高级</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管理人员增</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w:t>
            </w:r>
            <w:r>
              <w:rPr>
                <w:rFonts w:ascii="Times New Roman" w:hAnsi="Times New Roman" w:cs="Times New Roman" w:eastAsia="Times New Roman" w:hint="default"/>
                <w:sz w:val="18"/>
                <w:szCs w:val="18"/>
              </w:rPr>
              <w:t>/</w:t>
            </w:r>
            <w:r>
              <w:rPr>
                <w:rFonts w:ascii="宋体" w:hAnsi="宋体" w:cs="宋体" w:eastAsia="宋体" w:hint="default"/>
                <w:sz w:val="18"/>
                <w:szCs w:val="18"/>
              </w:rPr>
              <w:t>买入公司</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股份的总金</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额不少于上</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一年从公司</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领取税后薪</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酬总额的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20%</w:t>
            </w:r>
            <w:r>
              <w:rPr>
                <w:rFonts w:ascii="宋体" w:hAnsi="宋体" w:cs="宋体" w:eastAsia="宋体" w:hint="default"/>
                <w:spacing w:val="-81"/>
                <w:w w:val="99"/>
                <w:sz w:val="18"/>
                <w:szCs w:val="18"/>
              </w:rPr>
              <w:t>。</w:t>
            </w:r>
            <w:r>
              <w:rPr>
                <w:rFonts w:ascii="宋体" w:hAnsi="宋体" w:cs="宋体" w:eastAsia="宋体" w:hint="default"/>
                <w:w w:val="99"/>
                <w:sz w:val="18"/>
                <w:szCs w:val="18"/>
              </w:rPr>
              <w:t>董</w:t>
            </w:r>
            <w:r>
              <w:rPr>
                <w:rFonts w:ascii="宋体" w:hAnsi="宋体" w:cs="宋体" w:eastAsia="宋体" w:hint="default"/>
                <w:spacing w:val="-81"/>
                <w:w w:val="99"/>
                <w:sz w:val="18"/>
                <w:szCs w:val="18"/>
              </w:rPr>
              <w:t>事</w:t>
            </w:r>
            <w:r>
              <w:rPr>
                <w:rFonts w:ascii="宋体" w:hAnsi="宋体" w:cs="宋体" w:eastAsia="宋体" w:hint="default"/>
                <w:w w:val="99"/>
                <w:sz w:val="18"/>
                <w:szCs w:val="18"/>
              </w:rPr>
              <w:t>（独</w:t>
            </w:r>
            <w:r>
              <w:rPr>
                <w:rFonts w:ascii="宋体" w:hAnsi="宋体" w:cs="宋体" w:eastAsia="宋体" w:hint="default"/>
                <w:sz w:val="18"/>
                <w:szCs w:val="18"/>
              </w:rPr>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立董事除</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w:t>
            </w:r>
            <w:r>
              <w:rPr>
                <w:rFonts w:ascii="宋体" w:hAnsi="宋体" w:cs="宋体" w:eastAsia="宋体" w:hint="default"/>
                <w:spacing w:val="-90"/>
                <w:sz w:val="18"/>
                <w:szCs w:val="18"/>
              </w:rPr>
              <w:t>）</w:t>
            </w:r>
            <w:r>
              <w:rPr>
                <w:rFonts w:ascii="宋体" w:hAnsi="宋体" w:cs="宋体" w:eastAsia="宋体" w:hint="default"/>
                <w:sz w:val="18"/>
                <w:szCs w:val="18"/>
              </w:rPr>
              <w:t>、高级管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理人员应在</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w:t>
            </w:r>
            <w:r>
              <w:rPr>
                <w:rFonts w:ascii="Times New Roman" w:hAnsi="Times New Roman" w:cs="Times New Roman" w:eastAsia="Times New Roman" w:hint="default"/>
                <w:sz w:val="18"/>
                <w:szCs w:val="18"/>
              </w:rPr>
              <w:t>/</w:t>
            </w:r>
            <w:r>
              <w:rPr>
                <w:rFonts w:ascii="宋体" w:hAnsi="宋体" w:cs="宋体" w:eastAsia="宋体" w:hint="default"/>
                <w:sz w:val="18"/>
                <w:szCs w:val="18"/>
              </w:rPr>
              <w:t>买入公</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告做出之日</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起次日开始</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启动增持</w:t>
            </w:r>
            <w:r>
              <w:rPr>
                <w:rFonts w:ascii="Times New Roman" w:hAnsi="Times New Roman" w:cs="Times New Roman" w:eastAsia="Times New Roman" w:hint="default"/>
                <w:sz w:val="18"/>
                <w:szCs w:val="18"/>
              </w:rPr>
              <w:t>/</w:t>
            </w:r>
            <w:r>
              <w:rPr>
                <w:rFonts w:ascii="宋体" w:hAnsi="宋体" w:cs="宋体" w:eastAsia="宋体" w:hint="default"/>
                <w:sz w:val="18"/>
                <w:szCs w:val="18"/>
              </w:rPr>
              <w:t>买</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入，并应在履</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行相关法定</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手续后的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日内实施完</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毕。如未履行</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上述承诺事</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项，公司有权</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责令董事（独</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立董事除</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w:t>
            </w:r>
            <w:r>
              <w:rPr>
                <w:rFonts w:ascii="宋体" w:hAnsi="宋体" w:cs="宋体" w:eastAsia="宋体" w:hint="default"/>
                <w:spacing w:val="-90"/>
                <w:sz w:val="18"/>
                <w:szCs w:val="18"/>
              </w:rPr>
              <w:t>）</w:t>
            </w:r>
            <w:r>
              <w:rPr>
                <w:rFonts w:ascii="宋体" w:hAnsi="宋体" w:cs="宋体" w:eastAsia="宋体" w:hint="default"/>
                <w:sz w:val="18"/>
                <w:szCs w:val="18"/>
              </w:rPr>
              <w:t>、高级管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理人员在限</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期内履行增</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w:t>
            </w:r>
            <w:r>
              <w:rPr>
                <w:rFonts w:ascii="Times New Roman" w:hAnsi="Times New Roman" w:cs="Times New Roman" w:eastAsia="Times New Roman" w:hint="default"/>
                <w:sz w:val="18"/>
                <w:szCs w:val="18"/>
              </w:rPr>
              <w:t>/</w:t>
            </w:r>
            <w:r>
              <w:rPr>
                <w:rFonts w:ascii="宋体" w:hAnsi="宋体" w:cs="宋体" w:eastAsia="宋体" w:hint="default"/>
                <w:sz w:val="18"/>
                <w:szCs w:val="18"/>
              </w:rPr>
              <w:t>买入股票</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义务。董事</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除外</w:t>
            </w:r>
            <w:r>
              <w:rPr>
                <w:rFonts w:ascii="宋体" w:hAnsi="宋体" w:cs="宋体" w:eastAsia="宋体" w:hint="default"/>
                <w:spacing w:val="-90"/>
                <w:sz w:val="18"/>
                <w:szCs w:val="18"/>
              </w:rPr>
              <w:t>）</w:t>
            </w:r>
            <w:r>
              <w:rPr>
                <w:rFonts w:ascii="宋体" w:hAnsi="宋体" w:cs="宋体" w:eastAsia="宋体" w:hint="default"/>
                <w:sz w:val="18"/>
                <w:szCs w:val="18"/>
              </w:rPr>
              <w:t>、高级</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管理人员仍</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不履行的，公</w:t>
            </w: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468"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91"/>
              <w:jc w:val="left"/>
              <w:rPr>
                <w:rFonts w:ascii="宋体" w:hAnsi="宋体" w:cs="宋体" w:eastAsia="宋体" w:hint="default"/>
                <w:sz w:val="18"/>
                <w:szCs w:val="18"/>
              </w:rPr>
            </w:pPr>
            <w:r>
              <w:rPr>
                <w:rFonts w:ascii="宋体" w:hAnsi="宋体" w:cs="宋体" w:eastAsia="宋体" w:hint="default"/>
                <w:sz w:val="18"/>
                <w:szCs w:val="18"/>
              </w:rPr>
              <w:t>司有权扣减 归属于董事</w:t>
            </w:r>
          </w:p>
          <w:p>
            <w:pPr>
              <w:pStyle w:val="TableParagraph"/>
              <w:spacing w:line="316" w:lineRule="auto" w:before="19"/>
              <w:ind w:left="22" w:right="11"/>
              <w:jc w:val="left"/>
              <w:rPr>
                <w:rFonts w:ascii="宋体" w:hAnsi="宋体" w:cs="宋体" w:eastAsia="宋体" w:hint="default"/>
                <w:sz w:val="18"/>
                <w:szCs w:val="18"/>
              </w:rPr>
            </w:pPr>
            <w:r>
              <w:rPr>
                <w:rFonts w:ascii="宋体" w:hAnsi="宋体" w:cs="宋体" w:eastAsia="宋体" w:hint="default"/>
                <w:sz w:val="18"/>
                <w:szCs w:val="18"/>
              </w:rPr>
              <w:t>（独立董事 除外）和高级 管理人员的 当年上市公 司现金分红 收益。情节严 重的，经股东 大会同意，公 司有权更换 相关董事；公 司董事会有 权解聘相关 高级管理人 员。在达到启 动股价稳定 措施的条件 后，若公司决 定采取由董 事（独立董事 </w:t>
            </w:r>
            <w:r>
              <w:rPr>
                <w:rFonts w:ascii="宋体" w:hAnsi="宋体" w:cs="宋体" w:eastAsia="宋体" w:hint="default"/>
                <w:spacing w:val="-15"/>
                <w:sz w:val="18"/>
                <w:szCs w:val="18"/>
              </w:rPr>
              <w:t>除外）、高级</w:t>
            </w:r>
            <w:r>
              <w:rPr>
                <w:rFonts w:ascii="宋体" w:hAnsi="宋体" w:cs="宋体" w:eastAsia="宋体" w:hint="default"/>
                <w:sz w:val="18"/>
                <w:szCs w:val="18"/>
              </w:rPr>
              <w:t> 管理人员增 持</w:t>
            </w:r>
            <w:r>
              <w:rPr>
                <w:rFonts w:ascii="Times New Roman" w:hAnsi="Times New Roman" w:cs="Times New Roman" w:eastAsia="Times New Roman" w:hint="default"/>
                <w:sz w:val="18"/>
                <w:szCs w:val="18"/>
              </w:rPr>
              <w:t>/</w:t>
            </w:r>
            <w:r>
              <w:rPr>
                <w:rFonts w:ascii="宋体" w:hAnsi="宋体" w:cs="宋体" w:eastAsia="宋体" w:hint="default"/>
                <w:sz w:val="18"/>
                <w:szCs w:val="18"/>
              </w:rPr>
              <w:t>买入公司 股票方式稳 定股价，公司 董事（独立董 </w:t>
            </w:r>
            <w:r>
              <w:rPr>
                <w:rFonts w:ascii="宋体" w:hAnsi="宋体" w:cs="宋体" w:eastAsia="宋体" w:hint="default"/>
                <w:spacing w:val="-15"/>
                <w:sz w:val="18"/>
                <w:szCs w:val="18"/>
              </w:rPr>
              <w:t>事除外）、高</w:t>
            </w:r>
            <w:r>
              <w:rPr>
                <w:rFonts w:ascii="宋体" w:hAnsi="宋体" w:cs="宋体" w:eastAsia="宋体" w:hint="default"/>
                <w:sz w:val="18"/>
                <w:szCs w:val="18"/>
              </w:rPr>
              <w:t> 级管理人员 通过深圳证 券交易所证 券交易系统 在二级市场 以买入的方 </w:t>
            </w:r>
            <w:r>
              <w:rPr>
                <w:rFonts w:ascii="宋体" w:hAnsi="宋体" w:cs="宋体" w:eastAsia="宋体" w:hint="default"/>
                <w:spacing w:val="-9"/>
                <w:sz w:val="18"/>
                <w:szCs w:val="18"/>
              </w:rPr>
              <w:t>式，增持</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买入</w:t>
            </w:r>
            <w:r>
              <w:rPr>
                <w:rFonts w:ascii="宋体" w:hAnsi="宋体" w:cs="宋体" w:eastAsia="宋体" w:hint="default"/>
                <w:spacing w:val="-88"/>
                <w:sz w:val="18"/>
                <w:szCs w:val="18"/>
              </w:rPr>
              <w:t> </w:t>
            </w:r>
            <w:r>
              <w:rPr>
                <w:rFonts w:ascii="宋体" w:hAnsi="宋体" w:cs="宋体" w:eastAsia="宋体" w:hint="default"/>
                <w:sz w:val="18"/>
                <w:szCs w:val="18"/>
              </w:rPr>
              <w:t>公司股份，资</w:t>
            </w:r>
            <w:r>
              <w:rPr>
                <w:rFonts w:ascii="宋体" w:hAnsi="宋体" w:cs="宋体" w:eastAsia="宋体" w:hint="default"/>
                <w:sz w:val="18"/>
                <w:szCs w:val="18"/>
              </w:rPr>
              <w:t> 金来源为自 筹取得。并且 在增持</w:t>
            </w:r>
            <w:r>
              <w:rPr>
                <w:rFonts w:ascii="Times New Roman" w:hAnsi="Times New Roman" w:cs="Times New Roman" w:eastAsia="Times New Roman" w:hint="default"/>
                <w:sz w:val="18"/>
                <w:szCs w:val="18"/>
              </w:rPr>
              <w:t>/</w:t>
            </w:r>
            <w:r>
              <w:rPr>
                <w:rFonts w:ascii="宋体" w:hAnsi="宋体" w:cs="宋体" w:eastAsia="宋体" w:hint="default"/>
                <w:sz w:val="18"/>
                <w:szCs w:val="18"/>
              </w:rPr>
              <w:t>买入 期间及法定 期限内不减 持其所持有 的公司股份。</w:t>
            </w: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6"/>
        <w:spacing w:line="259" w:lineRule="auto" w:before="35"/>
        <w:ind w:left="1134" w:right="0"/>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bookmarkStart w:name="三、控股股东及其关联方对上市公司的非经营性占用资金情况" w:id="66"/>
      <w:bookmarkEnd w:id="66"/>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4"/>
        <w:spacing w:line="240" w:lineRule="auto"/>
        <w:ind w:right="0"/>
        <w:jc w:val="left"/>
        <w:rPr>
          <w:b w:val="0"/>
          <w:bCs w:val="0"/>
        </w:rPr>
      </w:pPr>
      <w:bookmarkStart w:name="四、董事会对最近一期“非标准审计报告”相关情况的说明" w:id="67"/>
      <w:bookmarkEnd w:id="67"/>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bookmarkStart w:name="五、董事会、监事会、独立董事（如有）对会计师事务所本报告期“非标准审计报告”的说" w:id="68"/>
      <w:bookmarkEnd w:id="68"/>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bookmarkStart w:name="六、董事会关于报告期会计政策、会计估计变更或重大会计差错更正的说明" w:id="69"/>
      <w:bookmarkEnd w:id="69"/>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bookmarkStart w:name="七、与上年度财务报告相比，合并报表范围发生变化的情况说明" w:id="70"/>
      <w:bookmarkEnd w:id="70"/>
      <w:r>
        <w:rPr>
          <w:b w:val="0"/>
          <w:bCs w:val="0"/>
        </w:rPr>
      </w:r>
      <w:r>
        <w:rPr/>
        <w:t>七、与上年度财务报告相比，合并报表范围发生变化的情况说明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40" w:lineRule="auto" w:before="0"/>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公司报告期无合并报表范围发生变化的情况。</w:t>
      </w:r>
    </w:p>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bookmarkStart w:name="八、聘任、解聘会计师事务所情况" w:id="71"/>
      <w:bookmarkEnd w:id="71"/>
      <w:r>
        <w:rPr>
          <w:b w:val="0"/>
          <w:bCs w:val="0"/>
        </w:rPr>
      </w:r>
      <w:r>
        <w:rPr/>
        <w:t>八、聘任、解聘会计师事务所情况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立信会计事务所（特殊普通合伙）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48</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赵焕琪、宋斌</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90"/>
                <w:sz w:val="18"/>
                <w:szCs w:val="18"/>
              </w:rPr>
              <w:t>）</w:t>
            </w:r>
            <w:r>
              <w:rPr>
                <w:rFonts w:ascii="宋体" w:hAnsi="宋体" w:cs="宋体" w:eastAsia="宋体" w:hint="default"/>
                <w:sz w:val="18"/>
                <w:szCs w:val="18"/>
              </w:rPr>
              <w:t>（如有）</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是否改聘会计师事务所</w:t>
      </w:r>
    </w:p>
    <w:p>
      <w:pPr>
        <w:pStyle w:val="BodyText"/>
        <w:spacing w:line="340" w:lineRule="auto" w:before="116"/>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4"/>
        <w:spacing w:line="240" w:lineRule="auto"/>
        <w:ind w:right="0"/>
        <w:jc w:val="left"/>
        <w:rPr>
          <w:b w:val="0"/>
          <w:bCs w:val="0"/>
        </w:rPr>
      </w:pPr>
      <w:bookmarkStart w:name="九、年度报告披露后面临暂停上市和终止上市情况" w:id="72"/>
      <w:bookmarkEnd w:id="72"/>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bookmarkStart w:name="十、破产重整相关事项" w:id="73"/>
      <w:bookmarkEnd w:id="73"/>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4"/>
        <w:spacing w:line="240" w:lineRule="auto"/>
        <w:ind w:right="0"/>
        <w:jc w:val="left"/>
        <w:rPr>
          <w:b w:val="0"/>
          <w:bCs w:val="0"/>
        </w:rPr>
      </w:pPr>
      <w:bookmarkStart w:name="十一、重大诉讼、仲裁事项" w:id="74"/>
      <w:bookmarkEnd w:id="74"/>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4"/>
        <w:rPr>
          <w:rFonts w:ascii="宋体" w:hAnsi="宋体" w:cs="宋体" w:eastAsia="宋体" w:hint="default"/>
          <w:sz w:val="19"/>
          <w:szCs w:val="19"/>
        </w:rPr>
      </w:pPr>
    </w:p>
    <w:p>
      <w:pPr>
        <w:pStyle w:val="Heading4"/>
        <w:spacing w:line="240" w:lineRule="auto"/>
        <w:ind w:right="0"/>
        <w:jc w:val="left"/>
        <w:rPr>
          <w:b w:val="0"/>
          <w:bCs w:val="0"/>
        </w:rPr>
      </w:pPr>
      <w:bookmarkStart w:name="十二、处罚及整改情况" w:id="75"/>
      <w:bookmarkEnd w:id="75"/>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4"/>
        <w:spacing w:line="240" w:lineRule="auto"/>
        <w:ind w:right="0"/>
        <w:jc w:val="left"/>
        <w:rPr>
          <w:b w:val="0"/>
          <w:bCs w:val="0"/>
        </w:rPr>
      </w:pPr>
      <w:bookmarkStart w:name="十三、公司及其控股股东、实际控制人的诚信状况" w:id="76"/>
      <w:bookmarkEnd w:id="76"/>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bookmarkStart w:name="十四、公司股权激励计划、员工持股计划或其他员工激励措施的实施情况" w:id="77"/>
      <w:bookmarkEnd w:id="77"/>
      <w:r>
        <w:rPr>
          <w:b w:val="0"/>
          <w:bCs w:val="0"/>
        </w:rPr>
      </w: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before="0"/>
        <w:ind w:right="4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bookmarkStart w:name="十五、重大关联交易" w:id="78"/>
      <w:bookmarkEnd w:id="78"/>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60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3"/>
        <w:rPr>
          <w:rFonts w:ascii="宋体" w:hAnsi="宋体" w:cs="宋体" w:eastAsia="宋体" w:hint="default"/>
          <w:sz w:val="21"/>
          <w:szCs w:val="21"/>
        </w:rPr>
      </w:pPr>
    </w:p>
    <w:p>
      <w:pPr>
        <w:pStyle w:val="Heading6"/>
        <w:spacing w:line="240" w:lineRule="auto"/>
        <w:ind w:right="0"/>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after="0" w:line="3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3"/>
        <w:rPr>
          <w:rFonts w:ascii="宋体" w:hAnsi="宋体" w:cs="宋体" w:eastAsia="宋体" w:hint="default"/>
          <w:sz w:val="21"/>
          <w:szCs w:val="21"/>
        </w:rPr>
      </w:pPr>
    </w:p>
    <w:p>
      <w:pPr>
        <w:pStyle w:val="Heading6"/>
        <w:spacing w:line="240" w:lineRule="auto"/>
        <w:ind w:right="0"/>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2"/>
        <w:rPr>
          <w:rFonts w:ascii="宋体" w:hAnsi="宋体" w:cs="宋体" w:eastAsia="宋体" w:hint="default"/>
          <w:sz w:val="20"/>
          <w:szCs w:val="20"/>
        </w:rPr>
      </w:pPr>
    </w:p>
    <w:p>
      <w:pPr>
        <w:pStyle w:val="Heading6"/>
        <w:spacing w:line="240" w:lineRule="auto"/>
        <w:ind w:right="0"/>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6"/>
        <w:rPr>
          <w:rFonts w:ascii="宋体" w:hAnsi="宋体" w:cs="宋体" w:eastAsia="宋体" w:hint="default"/>
          <w:sz w:val="19"/>
          <w:szCs w:val="19"/>
        </w:rPr>
      </w:pPr>
    </w:p>
    <w:p>
      <w:pPr>
        <w:pStyle w:val="Heading4"/>
        <w:spacing w:line="240" w:lineRule="auto"/>
        <w:ind w:right="0"/>
        <w:jc w:val="left"/>
        <w:rPr>
          <w:b w:val="0"/>
          <w:bCs w:val="0"/>
        </w:rPr>
      </w:pPr>
      <w:bookmarkStart w:name="十六、重大合同及其履行情况" w:id="84"/>
      <w:bookmarkEnd w:id="84"/>
      <w:r>
        <w:rPr>
          <w:b w:val="0"/>
          <w:bCs w:val="0"/>
        </w:rPr>
      </w:r>
      <w:r>
        <w:rPr/>
        <w:t>十六、重大合同及其履行情况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6"/>
        <w:spacing w:line="240" w:lineRule="auto"/>
        <w:ind w:right="0"/>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2"/>
        <w:rPr>
          <w:rFonts w:ascii="宋体" w:hAnsi="宋体" w:cs="宋体" w:eastAsia="宋体" w:hint="default"/>
          <w:sz w:val="21"/>
          <w:szCs w:val="21"/>
        </w:rPr>
      </w:pPr>
    </w:p>
    <w:p>
      <w:pPr>
        <w:pStyle w:val="Heading6"/>
        <w:spacing w:line="240" w:lineRule="auto"/>
        <w:ind w:right="0"/>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12"/>
        <w:rPr>
          <w:rFonts w:ascii="宋体" w:hAnsi="宋体" w:cs="宋体" w:eastAsia="宋体" w:hint="default"/>
          <w:sz w:val="20"/>
          <w:szCs w:val="20"/>
        </w:rPr>
      </w:pPr>
    </w:p>
    <w:p>
      <w:pPr>
        <w:pStyle w:val="Heading6"/>
        <w:spacing w:line="240" w:lineRule="auto"/>
        <w:ind w:right="0"/>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1）担保情况" w:id="90"/>
      <w:bookmarkEnd w:id="90"/>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709"/>
        <w:gridCol w:w="930"/>
        <w:gridCol w:w="920"/>
        <w:gridCol w:w="1296"/>
        <w:gridCol w:w="1063"/>
        <w:gridCol w:w="1034"/>
        <w:gridCol w:w="1053"/>
        <w:gridCol w:w="788"/>
        <w:gridCol w:w="779"/>
      </w:tblGrid>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402"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9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5" w:right="0"/>
              <w:jc w:val="left"/>
              <w:rPr>
                <w:rFonts w:ascii="宋体" w:hAnsi="宋体" w:cs="宋体" w:eastAsia="宋体" w:hint="default"/>
                <w:sz w:val="18"/>
                <w:szCs w:val="18"/>
              </w:rPr>
            </w:pPr>
            <w:r>
              <w:rPr>
                <w:rFonts w:ascii="宋体" w:hAnsi="宋体" w:cs="宋体" w:eastAsia="宋体" w:hint="default"/>
                <w:sz w:val="18"/>
                <w:szCs w:val="18"/>
              </w:rPr>
              <w:t>实际担保金</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8" w:right="0"/>
              <w:jc w:val="left"/>
              <w:rPr>
                <w:rFonts w:ascii="宋体" w:hAnsi="宋体" w:cs="宋体" w:eastAsia="宋体" w:hint="default"/>
                <w:sz w:val="18"/>
                <w:szCs w:val="18"/>
              </w:rPr>
            </w:pPr>
            <w:r>
              <w:rPr>
                <w:rFonts w:ascii="宋体" w:hAnsi="宋体" w:cs="宋体" w:eastAsia="宋体" w:hint="default"/>
                <w:sz w:val="18"/>
                <w:szCs w:val="18"/>
              </w:rPr>
              <w:t>是否履行</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5" w:right="0"/>
              <w:jc w:val="left"/>
              <w:rPr>
                <w:rFonts w:ascii="宋体" w:hAnsi="宋体" w:cs="宋体" w:eastAsia="宋体" w:hint="default"/>
                <w:sz w:val="18"/>
                <w:szCs w:val="18"/>
              </w:rPr>
            </w:pPr>
            <w:r>
              <w:rPr>
                <w:rFonts w:ascii="宋体" w:hAnsi="宋体" w:cs="宋体" w:eastAsia="宋体" w:hint="default"/>
                <w:sz w:val="18"/>
                <w:szCs w:val="18"/>
              </w:rPr>
              <w:t>是否为关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713"/>
        <w:gridCol w:w="913"/>
        <w:gridCol w:w="931"/>
        <w:gridCol w:w="1301"/>
        <w:gridCol w:w="1054"/>
        <w:gridCol w:w="1038"/>
        <w:gridCol w:w="1055"/>
        <w:gridCol w:w="786"/>
        <w:gridCol w:w="783"/>
      </w:tblGrid>
      <w:tr>
        <w:trPr>
          <w:trHeight w:val="674" w:hRule="exact"/>
        </w:trPr>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5" w:right="86"/>
              <w:jc w:val="left"/>
              <w:rPr>
                <w:rFonts w:ascii="宋体" w:hAnsi="宋体" w:cs="宋体" w:eastAsia="宋体" w:hint="default"/>
                <w:sz w:val="18"/>
                <w:szCs w:val="18"/>
              </w:rPr>
            </w:pPr>
            <w:r>
              <w:rPr>
                <w:rFonts w:ascii="宋体" w:hAnsi="宋体" w:cs="宋体" w:eastAsia="宋体" w:hint="default"/>
                <w:sz w:val="18"/>
                <w:szCs w:val="18"/>
              </w:rPr>
              <w:t>相关公告 披露日期</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9" w:right="0"/>
              <w:jc w:val="left"/>
              <w:rPr>
                <w:rFonts w:ascii="宋体" w:hAnsi="宋体" w:cs="宋体" w:eastAsia="宋体" w:hint="default"/>
                <w:sz w:val="18"/>
                <w:szCs w:val="18"/>
              </w:rPr>
            </w:pPr>
            <w:r>
              <w:rPr>
                <w:rFonts w:ascii="宋体" w:hAnsi="宋体" w:cs="宋体" w:eastAsia="宋体" w:hint="default"/>
                <w:sz w:val="18"/>
                <w:szCs w:val="18"/>
              </w:rPr>
              <w:t>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联方担保</w:t>
            </w:r>
          </w:p>
        </w:tc>
      </w:tr>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1026" w:hRule="exact"/>
        </w:trPr>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8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2"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6"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8"/>
              <w:jc w:val="left"/>
              <w:rPr>
                <w:rFonts w:ascii="宋体" w:hAnsi="宋体" w:cs="宋体" w:eastAsia="宋体" w:hint="default"/>
                <w:sz w:val="18"/>
                <w:szCs w:val="18"/>
              </w:rPr>
            </w:pPr>
            <w:r>
              <w:rPr>
                <w:rFonts w:ascii="宋体" w:hAnsi="宋体" w:cs="宋体" w:eastAsia="宋体" w:hint="default"/>
                <w:sz w:val="18"/>
                <w:szCs w:val="18"/>
              </w:rPr>
              <w:t>光典信息发展有限公 司</w:t>
            </w:r>
          </w:p>
        </w:tc>
        <w:tc>
          <w:tcPr>
            <w:tcW w:w="913"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2" w:right="0"/>
              <w:jc w:val="left"/>
              <w:rPr>
                <w:rFonts w:ascii="Times New Roman" w:hAnsi="Times New Roman" w:cs="Times New Roman" w:eastAsia="Times New Roman" w:hint="default"/>
                <w:sz w:val="18"/>
                <w:szCs w:val="18"/>
              </w:rPr>
            </w:pPr>
            <w:r>
              <w:rPr>
                <w:rFonts w:ascii="Times New Roman"/>
                <w:sz w:val="18"/>
              </w:rPr>
              <w:t>1,500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9"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2015.5.25-20</w:t>
            </w:r>
          </w:p>
          <w:p>
            <w:pPr>
              <w:pStyle w:val="TableParagraph"/>
              <w:spacing w:line="240" w:lineRule="auto" w:before="105"/>
              <w:ind w:left="25" w:right="0"/>
              <w:jc w:val="left"/>
              <w:rPr>
                <w:rFonts w:ascii="Times New Roman" w:hAnsi="Times New Roman" w:cs="Times New Roman" w:eastAsia="Times New Roman" w:hint="default"/>
                <w:sz w:val="18"/>
                <w:szCs w:val="18"/>
              </w:rPr>
            </w:pPr>
            <w:r>
              <w:rPr>
                <w:rFonts w:ascii="Times New Roman"/>
                <w:sz w:val="18"/>
              </w:rPr>
              <w:t>16.5.25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13" w:space="0" w:color="D2D2D2"/>
            </w:tcBorders>
          </w:tcPr>
          <w:p>
            <w:pP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 w:right="80"/>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r>
      <w:tr>
        <w:trPr>
          <w:trHeight w:val="719"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13" w:space="0" w:color="D2D2D2"/>
            </w:tcBorders>
          </w:tcPr>
          <w:p>
            <w:pP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 w:right="80"/>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13" w:type="dxa"/>
            <w:vMerge w:val="restart"/>
            <w:tcBorders>
              <w:top w:val="single" w:sz="4" w:space="0" w:color="000000"/>
              <w:left w:val="single" w:sz="4" w:space="0" w:color="000000"/>
              <w:right w:val="single" w:sz="4" w:space="0" w:color="000000"/>
            </w:tcBorders>
            <w:shd w:val="clear" w:color="auto" w:fill="D2D2D2"/>
          </w:tcPr>
          <w:p>
            <w:pPr/>
          </w:p>
        </w:tc>
        <w:tc>
          <w:tcPr>
            <w:tcW w:w="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88" w:right="9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1" w:type="dxa"/>
            <w:vMerge w:val="restart"/>
            <w:tcBorders>
              <w:top w:val="single" w:sz="4" w:space="0" w:color="000000"/>
              <w:left w:val="single" w:sz="4" w:space="0" w:color="000000"/>
              <w:right w:val="single" w:sz="4" w:space="0" w:color="000000"/>
            </w:tcBorders>
            <w:shd w:val="clear" w:color="auto" w:fill="D2D2D2"/>
          </w:tcPr>
          <w:p>
            <w:pPr/>
          </w:p>
        </w:tc>
        <w:tc>
          <w:tcPr>
            <w:tcW w:w="13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8" w:type="dxa"/>
            <w:vMerge w:val="restart"/>
            <w:tcBorders>
              <w:top w:val="single" w:sz="4" w:space="0" w:color="000000"/>
              <w:left w:val="single" w:sz="4" w:space="0" w:color="000000"/>
              <w:right w:val="single" w:sz="4" w:space="0" w:color="000000"/>
            </w:tcBorders>
            <w:shd w:val="clear" w:color="auto" w:fill="D2D2D2"/>
          </w:tcPr>
          <w:p>
            <w:pPr/>
          </w:p>
        </w:tc>
        <w:tc>
          <w:tcPr>
            <w:tcW w:w="1055" w:type="dxa"/>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3" w:type="dxa"/>
            <w:vMerge/>
            <w:tcBorders>
              <w:left w:val="single" w:sz="4" w:space="0" w:color="000000"/>
              <w:bottom w:val="nil" w:sz="6" w:space="0" w:color="auto"/>
              <w:right w:val="single" w:sz="4" w:space="0" w:color="000000"/>
            </w:tcBorders>
            <w:shd w:val="clear" w:color="auto" w:fill="D2D2D2"/>
          </w:tcPr>
          <w:p>
            <w:pPr/>
          </w:p>
        </w:tc>
        <w:tc>
          <w:tcPr>
            <w:tcW w:w="913" w:type="dxa"/>
            <w:vMerge/>
            <w:tcBorders>
              <w:left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c>
          <w:tcPr>
            <w:tcW w:w="13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23" w:right="80"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vMerge/>
            <w:tcBorders>
              <w:left w:val="single" w:sz="4" w:space="0" w:color="000000"/>
              <w:bottom w:val="nil" w:sz="6" w:space="0" w:color="auto"/>
              <w:right w:val="single" w:sz="4" w:space="0" w:color="000000"/>
            </w:tcBorders>
            <w:shd w:val="clear" w:color="auto" w:fill="D2D2D2"/>
          </w:tcPr>
          <w:p>
            <w:pPr/>
          </w:p>
        </w:tc>
        <w:tc>
          <w:tcPr>
            <w:tcW w:w="1055" w:type="dxa"/>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1"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3" w:type="dxa"/>
            <w:vMerge/>
            <w:tcBorders>
              <w:left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1" w:type="dxa"/>
            <w:vMerge/>
            <w:tcBorders>
              <w:left w:val="single" w:sz="4" w:space="0" w:color="000000"/>
              <w:right w:val="single" w:sz="4" w:space="0" w:color="000000"/>
            </w:tcBorders>
            <w:shd w:val="clear" w:color="auto" w:fill="D2D2D2"/>
          </w:tcPr>
          <w:p>
            <w:pPr/>
          </w:p>
        </w:tc>
        <w:tc>
          <w:tcPr>
            <w:tcW w:w="1054" w:type="dxa"/>
            <w:vMerge/>
            <w:tcBorders>
              <w:left w:val="single" w:sz="4" w:space="0" w:color="000000"/>
              <w:right w:val="single" w:sz="4" w:space="0" w:color="000000"/>
            </w:tcBorders>
            <w:shd w:val="clear" w:color="auto" w:fill="D2D2D2"/>
          </w:tcPr>
          <w:p>
            <w:pPr/>
          </w:p>
        </w:tc>
        <w:tc>
          <w:tcPr>
            <w:tcW w:w="10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6"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13" w:type="dxa"/>
            <w:vMerge w:val="restart"/>
            <w:tcBorders>
              <w:top w:val="nil" w:sz="6" w:space="0" w:color="auto"/>
              <w:left w:val="single" w:sz="4" w:space="0" w:color="000000"/>
              <w:right w:val="single" w:sz="4" w:space="0" w:color="000000"/>
            </w:tcBorders>
            <w:shd w:val="clear" w:color="auto" w:fill="D2D2D2"/>
          </w:tcPr>
          <w:p>
            <w:pPr/>
          </w:p>
        </w:tc>
        <w:tc>
          <w:tcPr>
            <w:tcW w:w="913" w:type="dxa"/>
            <w:vMerge/>
            <w:tcBorders>
              <w:left w:val="single" w:sz="4" w:space="0" w:color="000000"/>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c>
          <w:tcPr>
            <w:tcW w:w="1301" w:type="dxa"/>
            <w:vMerge/>
            <w:tcBorders>
              <w:left w:val="single" w:sz="4" w:space="0" w:color="000000"/>
              <w:bottom w:val="nil" w:sz="6" w:space="0" w:color="auto"/>
              <w:right w:val="single" w:sz="4" w:space="0" w:color="000000"/>
            </w:tcBorders>
            <w:shd w:val="clear" w:color="auto" w:fill="D2D2D2"/>
          </w:tcPr>
          <w:p>
            <w:pPr/>
          </w:p>
        </w:tc>
        <w:tc>
          <w:tcPr>
            <w:tcW w:w="1054" w:type="dxa"/>
            <w:vMerge/>
            <w:tcBorders>
              <w:left w:val="single" w:sz="4" w:space="0" w:color="000000"/>
              <w:bottom w:val="nil" w:sz="6" w:space="0" w:color="auto"/>
              <w:right w:val="single" w:sz="4" w:space="0" w:color="000000"/>
            </w:tcBorders>
            <w:shd w:val="clear" w:color="auto" w:fill="D2D2D2"/>
          </w:tcPr>
          <w:p>
            <w:pPr/>
          </w:p>
        </w:tc>
        <w:tc>
          <w:tcPr>
            <w:tcW w:w="1038" w:type="dxa"/>
            <w:vMerge w:val="restart"/>
            <w:tcBorders>
              <w:top w:val="nil" w:sz="6" w:space="0" w:color="auto"/>
              <w:left w:val="single" w:sz="4" w:space="0" w:color="000000"/>
              <w:right w:val="single" w:sz="4" w:space="0" w:color="000000"/>
            </w:tcBorders>
            <w:shd w:val="clear" w:color="auto" w:fill="D2D2D2"/>
          </w:tcPr>
          <w:p>
            <w:pPr/>
          </w:p>
        </w:tc>
        <w:tc>
          <w:tcPr>
            <w:tcW w:w="1055" w:type="dxa"/>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13" w:type="dxa"/>
            <w:vMerge/>
            <w:tcBorders>
              <w:left w:val="single" w:sz="4" w:space="0" w:color="000000"/>
              <w:bottom w:val="single" w:sz="4" w:space="0" w:color="000000"/>
              <w:right w:val="single" w:sz="4" w:space="0" w:color="000000"/>
            </w:tcBorders>
            <w:shd w:val="clear" w:color="auto" w:fill="D2D2D2"/>
          </w:tcPr>
          <w:p>
            <w:pPr/>
          </w:p>
        </w:tc>
        <w:tc>
          <w:tcPr>
            <w:tcW w:w="913"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3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8"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13" w:space="0" w:color="D2D2D2"/>
            </w:tcBorders>
          </w:tcPr>
          <w:p>
            <w:pP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9" w:right="80"/>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r>
      <w:tr>
        <w:trPr>
          <w:trHeight w:val="714"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13" w:space="0" w:color="D2D2D2"/>
            </w:tcBorders>
          </w:tcPr>
          <w:p>
            <w:pP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 w:right="80"/>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r>
      <w:tr>
        <w:trPr>
          <w:trHeight w:val="407" w:hRule="exact"/>
        </w:trPr>
        <w:tc>
          <w:tcPr>
            <w:tcW w:w="4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4.39%</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pStyle w:val="BodyText"/>
        <w:spacing w:line="240" w:lineRule="auto" w:before="51"/>
        <w:ind w:left="1134" w:right="0"/>
        <w:jc w:val="left"/>
      </w:pPr>
      <w:r>
        <w:rPr/>
        <w:t>采用复合方式担保的具体情况说明</w:t>
      </w:r>
    </w:p>
    <w:p>
      <w:pPr>
        <w:spacing w:line="240" w:lineRule="auto" w:before="11"/>
        <w:rPr>
          <w:rFonts w:ascii="宋体" w:hAnsi="宋体" w:cs="宋体" w:eastAsia="宋体" w:hint="default"/>
          <w:sz w:val="26"/>
          <w:szCs w:val="26"/>
        </w:rPr>
      </w:pPr>
    </w:p>
    <w:p>
      <w:pPr>
        <w:pStyle w:val="Heading6"/>
        <w:spacing w:line="240" w:lineRule="auto"/>
        <w:ind w:left="1134" w:right="0"/>
        <w:jc w:val="left"/>
        <w:rPr>
          <w:b w:val="0"/>
          <w:bCs w:val="0"/>
        </w:rPr>
      </w:pPr>
      <w:bookmarkStart w:name="（2）违规对外担保情况" w:id="91"/>
      <w:bookmarkEnd w:id="91"/>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12"/>
        <w:rPr>
          <w:rFonts w:ascii="宋体" w:hAnsi="宋体" w:cs="宋体" w:eastAsia="宋体" w:hint="default"/>
          <w:sz w:val="20"/>
          <w:szCs w:val="20"/>
        </w:rPr>
      </w:pPr>
    </w:p>
    <w:p>
      <w:pPr>
        <w:pStyle w:val="Heading6"/>
        <w:spacing w:line="240" w:lineRule="auto"/>
        <w:ind w:right="0"/>
        <w:jc w:val="left"/>
        <w:rPr>
          <w:b w:val="0"/>
          <w:bCs w:val="0"/>
        </w:rPr>
      </w:pPr>
      <w:bookmarkStart w:name="3、委托他人进行现金资产管理情况" w:id="92"/>
      <w:bookmarkEnd w:id="92"/>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委托理财情况" w:id="93"/>
      <w:bookmarkEnd w:id="93"/>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3"/>
        <w:rPr>
          <w:rFonts w:ascii="宋体" w:hAnsi="宋体" w:cs="宋体" w:eastAsia="宋体" w:hint="default"/>
          <w:sz w:val="21"/>
          <w:szCs w:val="21"/>
        </w:rPr>
      </w:pPr>
    </w:p>
    <w:p>
      <w:pPr>
        <w:pStyle w:val="Heading6"/>
        <w:spacing w:line="240" w:lineRule="auto"/>
        <w:ind w:left="1134" w:right="0"/>
        <w:jc w:val="left"/>
        <w:rPr>
          <w:b w:val="0"/>
          <w:bCs w:val="0"/>
        </w:rPr>
      </w:pPr>
      <w:bookmarkStart w:name="（2）委托贷款情况" w:id="94"/>
      <w:bookmarkEnd w:id="94"/>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公司报告期不存在委托贷款。</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4、其他重大合同" w:id="95"/>
      <w:bookmarkEnd w:id="95"/>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6"/>
        <w:rPr>
          <w:rFonts w:ascii="宋体" w:hAnsi="宋体" w:cs="宋体" w:eastAsia="宋体" w:hint="default"/>
          <w:sz w:val="19"/>
          <w:szCs w:val="19"/>
        </w:rPr>
      </w:pPr>
    </w:p>
    <w:p>
      <w:pPr>
        <w:pStyle w:val="Heading4"/>
        <w:spacing w:line="240" w:lineRule="auto"/>
        <w:ind w:right="0"/>
        <w:jc w:val="left"/>
        <w:rPr>
          <w:b w:val="0"/>
          <w:bCs w:val="0"/>
        </w:rPr>
      </w:pPr>
      <w:bookmarkStart w:name="十七、其他重大事项的说明" w:id="96"/>
      <w:bookmarkEnd w:id="96"/>
      <w:r>
        <w:rPr>
          <w:b w:val="0"/>
          <w:bCs w:val="0"/>
        </w:rPr>
      </w:r>
      <w:r>
        <w:rPr/>
        <w:t>十七、其他重大事项的说明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40" w:lineRule="auto" w:before="0"/>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bookmarkStart w:name="十八、公司子公司重大事项" w:id="97"/>
      <w:bookmarkEnd w:id="97"/>
      <w:r>
        <w:rPr>
          <w:b w:val="0"/>
          <w:bCs w:val="0"/>
        </w:rPr>
      </w:r>
      <w:r>
        <w:rPr/>
        <w:t>十八、公司子公司重大事项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bookmarkStart w:name="十九、社会责任情况" w:id="98"/>
      <w:bookmarkEnd w:id="98"/>
      <w:r>
        <w:rPr>
          <w:b w:val="0"/>
          <w:bCs w:val="0"/>
        </w:rPr>
      </w:r>
      <w:r>
        <w:rPr/>
        <w:t>十九、社会责任情况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bookmarkStart w:name="二十、公司债券相关情况" w:id="99"/>
      <w:bookmarkEnd w:id="99"/>
      <w:r>
        <w:rPr>
          <w:b w:val="0"/>
          <w:bCs w:val="0"/>
        </w:rPr>
      </w:r>
      <w:r>
        <w:rPr/>
        <w:t>二十、公司债券相关情况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945" w:right="0"/>
        <w:jc w:val="left"/>
        <w:rPr>
          <w:b w:val="0"/>
          <w:bCs w:val="0"/>
        </w:rPr>
      </w:pPr>
      <w:bookmarkStart w:name="_TOC_250005" w:id="100"/>
      <w:bookmarkStart w:name="第六节 股份变动及股东情况" w:id="101"/>
      <w:r>
        <w:rPr>
          <w:b w:val="0"/>
          <w:bCs w:val="0"/>
        </w:rPr>
      </w:r>
      <w:r>
        <w:rPr/>
        <w:t>第六节</w:t>
      </w:r>
      <w:r>
        <w:rPr>
          <w:spacing w:val="-10"/>
        </w:rPr>
        <w:t> </w:t>
      </w:r>
      <w:r>
        <w:rPr/>
        <w:t>股份变动及股东情况</w:t>
      </w:r>
      <w:bookmarkEnd w:id="10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0"/>
        <w:jc w:val="left"/>
        <w:rPr>
          <w:b w:val="0"/>
          <w:bCs w:val="0"/>
        </w:rPr>
      </w:pPr>
      <w:bookmarkStart w:name="一、股份变动情况" w:id="102"/>
      <w:bookmarkEnd w:id="102"/>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股份变动情况" w:id="103"/>
      <w:bookmarkEnd w:id="103"/>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50,100,00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75.00%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50,100,00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75.00%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30,895,00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61.67%</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30,895,00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46.25%</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19,205,00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38.33%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19,205,00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28.75%</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25.00%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25.00%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13" w:space="0" w:color="D2D2D2"/>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13" w:space="0" w:color="D2D2D2"/>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50,100,00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66,800,00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股份变动的原因</w:t>
      </w:r>
    </w:p>
    <w:p>
      <w:pPr>
        <w:pStyle w:val="BodyText"/>
        <w:spacing w:line="338" w:lineRule="auto" w:before="117"/>
        <w:ind w:right="42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报告期内，股份变动的原因是因为公司公开发行人民币普通股（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1,670</w:t>
      </w:r>
      <w:r>
        <w:rPr/>
        <w:t>万股。 股份变动的批准情况</w:t>
      </w:r>
    </w:p>
    <w:p>
      <w:pPr>
        <w:pStyle w:val="BodyText"/>
        <w:spacing w:line="319" w:lineRule="auto" w:before="43"/>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公司经中国证券监督委员会《关于核准上海中信信息发展股份有限公司首次公开发行股票的批复》（证监许可（</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958 </w:t>
      </w:r>
      <w:r>
        <w:rPr/>
        <w:t>号）核准，共发行人民币普通股（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1,670</w:t>
      </w:r>
      <w:r>
        <w:rPr/>
        <w:t>万股，并与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日在深圳证券交易所创业板上市。</w:t>
      </w:r>
    </w:p>
    <w:p>
      <w:pPr>
        <w:spacing w:after="0" w:line="319"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0"/>
        <w:ind w:right="0"/>
        <w:jc w:val="left"/>
      </w:pPr>
      <w:r>
        <w:rPr/>
        <w:t>股份变动的过户情况</w:t>
      </w:r>
    </w:p>
    <w:p>
      <w:pPr>
        <w:pStyle w:val="BodyText"/>
        <w:spacing w:line="338" w:lineRule="auto" w:before="117"/>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24"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11</w:t>
      </w:r>
      <w:r>
        <w:rPr>
          <w:spacing w:val="-2"/>
        </w:rPr>
        <w:t>日发行新股，总股本由</w:t>
      </w:r>
      <w:r>
        <w:rPr>
          <w:rFonts w:ascii="Times New Roman" w:hAnsi="Times New Roman" w:cs="Times New Roman" w:eastAsia="Times New Roman" w:hint="default"/>
          <w:spacing w:val="-2"/>
        </w:rPr>
        <w:t>5,010</w:t>
      </w:r>
      <w:r>
        <w:rPr>
          <w:spacing w:val="-2"/>
        </w:rPr>
        <w:t>万股增加至</w:t>
      </w:r>
      <w:r>
        <w:rPr>
          <w:rFonts w:ascii="Times New Roman" w:hAnsi="Times New Roman" w:cs="Times New Roman" w:eastAsia="Times New Roman" w:hint="default"/>
          <w:spacing w:val="-2"/>
        </w:rPr>
        <w:t>6,680</w:t>
      </w:r>
      <w:r>
        <w:rPr>
          <w:spacing w:val="-2"/>
        </w:rPr>
        <w:t>万股。本次股份变动，对公司最近一期的基本每股收益、稀</w:t>
      </w:r>
      <w:r>
        <w:rPr>
          <w:spacing w:val="-52"/>
        </w:rPr>
        <w:t> </w:t>
      </w:r>
      <w:r>
        <w:rPr>
          <w:spacing w:val="-52"/>
        </w:rPr>
      </w:r>
      <w:r>
        <w:rPr>
          <w:spacing w:val="-2"/>
        </w:rPr>
        <w:t>释每股收益及归属于公司普通股股东的每股净资产等财务指标的影响情况下：报告期公司基本每股收益、稀释每股收益均为</w:t>
      </w:r>
      <w:r>
        <w:rPr>
          <w:spacing w:val="-64"/>
        </w:rPr>
        <w:t> </w:t>
      </w:r>
      <w:r>
        <w:rPr>
          <w:spacing w:val="-64"/>
        </w:rPr>
      </w:r>
      <w:r>
        <w:rPr>
          <w:rFonts w:ascii="Times New Roman" w:hAnsi="Times New Roman" w:cs="Times New Roman" w:eastAsia="Times New Roman" w:hint="default"/>
        </w:rPr>
        <w:t>0.654</w:t>
      </w:r>
      <w:r>
        <w:rPr/>
        <w:t>元</w:t>
      </w:r>
      <w:r>
        <w:rPr>
          <w:rFonts w:ascii="Times New Roman" w:hAnsi="Times New Roman" w:cs="Times New Roman" w:eastAsia="Times New Roman" w:hint="default"/>
        </w:rPr>
        <w:t>/</w:t>
      </w:r>
      <w:r>
        <w:rPr/>
        <w:t>股，比去年减少</w:t>
      </w:r>
      <w:r>
        <w:rPr>
          <w:rFonts w:ascii="Times New Roman" w:hAnsi="Times New Roman" w:cs="Times New Roman" w:eastAsia="Times New Roman" w:hint="default"/>
        </w:rPr>
        <w:t>7.23%</w:t>
      </w:r>
      <w:r>
        <w:rPr/>
        <w:t>，归属于公司普通股股东的每股净资产</w:t>
      </w:r>
      <w:r>
        <w:rPr>
          <w:rFonts w:ascii="Times New Roman" w:hAnsi="Times New Roman" w:cs="Times New Roman" w:eastAsia="Times New Roman" w:hint="default"/>
        </w:rPr>
        <w:t>5.11</w:t>
      </w:r>
      <w:r>
        <w:rPr/>
        <w:t>元</w:t>
      </w:r>
      <w:r>
        <w:rPr>
          <w:rFonts w:ascii="Times New Roman" w:hAnsi="Times New Roman" w:cs="Times New Roman" w:eastAsia="Times New Roman" w:hint="default"/>
        </w:rPr>
        <w:t>/</w:t>
      </w:r>
      <w:r>
        <w:rPr/>
        <w:t>股，比去年增长</w:t>
      </w:r>
      <w:r>
        <w:rPr>
          <w:rFonts w:ascii="Times New Roman" w:hAnsi="Times New Roman" w:cs="Times New Roman" w:eastAsia="Times New Roman" w:hint="default"/>
        </w:rPr>
        <w:t>60.59%</w:t>
      </w:r>
      <w:r>
        <w:rPr/>
        <w:t>。 公司认为必要或证券监管机构要求披露的其他内容</w:t>
      </w:r>
    </w:p>
    <w:p>
      <w:pPr>
        <w:pStyle w:val="BodyText"/>
        <w:spacing w:line="240" w:lineRule="auto" w:before="5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bookmarkStart w:name="2、限售股份变动情况" w:id="104"/>
      <w:bookmarkEnd w:id="104"/>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bookmarkStart w:name="二、证券发行与上市情况" w:id="105"/>
      <w:bookmarkEnd w:id="105"/>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报告期内证券发行（不含优先股）情况" w:id="106"/>
      <w:bookmarkEnd w:id="106"/>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62"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240" w:lineRule="auto" w:before="51"/>
        <w:ind w:left="1134" w:right="0"/>
        <w:jc w:val="left"/>
      </w:pPr>
      <w:r>
        <w:rPr/>
        <w:t>报告期内证券发行（不含优先股）情况的说明</w:t>
      </w:r>
    </w:p>
    <w:p>
      <w:pPr>
        <w:pStyle w:val="BodyText"/>
        <w:spacing w:line="300" w:lineRule="auto" w:before="116"/>
        <w:ind w:right="1123"/>
        <w:jc w:val="left"/>
      </w:pPr>
      <w:r>
        <w:rPr/>
        <w:t>公司经中国证券监督委员会《关于核准上海中信信息发展股份有限公司首次公开发行股票的批复》（证监许可（</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958 </w:t>
      </w:r>
      <w:r>
        <w:rPr/>
        <w:t>号）核准，共发行人民币普通股（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1,670</w:t>
      </w:r>
      <w:r>
        <w:rPr/>
        <w:t>万股，并与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日在深圳证券交易所创业板上市。</w:t>
      </w:r>
    </w:p>
    <w:p>
      <w:pPr>
        <w:spacing w:line="240" w:lineRule="auto" w:before="1"/>
        <w:rPr>
          <w:rFonts w:ascii="宋体" w:hAnsi="宋体" w:cs="宋体" w:eastAsia="宋体" w:hint="default"/>
          <w:sz w:val="22"/>
          <w:szCs w:val="22"/>
        </w:rPr>
      </w:pPr>
    </w:p>
    <w:p>
      <w:pPr>
        <w:pStyle w:val="Heading6"/>
        <w:spacing w:line="240" w:lineRule="auto"/>
        <w:ind w:right="0"/>
        <w:jc w:val="left"/>
        <w:rPr>
          <w:b w:val="0"/>
          <w:bCs w:val="0"/>
        </w:rPr>
      </w:pPr>
      <w:bookmarkStart w:name="2、公司股份总数及股东结构的变动、公司资产和负债结构的变动情况说明" w:id="107"/>
      <w:bookmarkEnd w:id="107"/>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7"/>
        <w:spacing w:line="264" w:lineRule="auto" w:before="75"/>
        <w:ind w:right="1132" w:firstLine="168"/>
        <w:jc w:val="both"/>
      </w:pPr>
      <w:r>
        <w:rPr>
          <w:spacing w:val="-5"/>
        </w:rPr>
        <w:t>①公司经中国证券监督委员会《关于核准上海中信信息发展股份有限公司首次公开发行股票的批复》（证</w:t>
      </w:r>
      <w:r>
        <w:rPr/>
        <w:t> </w:t>
      </w:r>
      <w:r>
        <w:rPr>
          <w:spacing w:val="-1"/>
        </w:rPr>
        <w:t>监许可（</w:t>
      </w:r>
      <w:r>
        <w:rPr>
          <w:rFonts w:ascii="Times New Roman" w:hAnsi="Times New Roman" w:cs="Times New Roman" w:eastAsia="Times New Roman" w:hint="default"/>
          <w:spacing w:val="-1"/>
        </w:rPr>
        <w:t>2015</w:t>
      </w:r>
      <w:r>
        <w:rPr>
          <w:spacing w:val="-1"/>
        </w:rPr>
        <w:t>）</w:t>
      </w:r>
      <w:r>
        <w:rPr>
          <w:rFonts w:ascii="Times New Roman" w:hAnsi="Times New Roman" w:cs="Times New Roman" w:eastAsia="Times New Roman" w:hint="default"/>
          <w:spacing w:val="-1"/>
        </w:rPr>
        <w:t>958</w:t>
      </w:r>
      <w:r>
        <w:rPr>
          <w:spacing w:val="-1"/>
        </w:rPr>
        <w:t>号）核准，共发行人民币普通股（</w:t>
      </w:r>
      <w:r>
        <w:rPr>
          <w:rFonts w:ascii="Times New Roman" w:hAnsi="Times New Roman" w:cs="Times New Roman" w:eastAsia="Times New Roman" w:hint="default"/>
          <w:spacing w:val="-1"/>
        </w:rPr>
        <w:t>A</w:t>
      </w:r>
      <w:r>
        <w:rPr>
          <w:spacing w:val="-1"/>
        </w:rPr>
        <w:t>股）</w:t>
      </w:r>
      <w:r>
        <w:rPr>
          <w:rFonts w:ascii="Times New Roman" w:hAnsi="Times New Roman" w:cs="Times New Roman" w:eastAsia="Times New Roman" w:hint="default"/>
          <w:spacing w:val="-1"/>
        </w:rPr>
        <w:t>1,670</w:t>
      </w:r>
      <w:r>
        <w:rPr>
          <w:spacing w:val="-1"/>
        </w:rPr>
        <w:t>万股，并与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11</w:t>
      </w:r>
      <w:r>
        <w:rPr>
          <w:spacing w:val="-1"/>
        </w:rPr>
        <w:t>日在深圳证券交</w:t>
      </w:r>
      <w:r>
        <w:rPr>
          <w:spacing w:val="-76"/>
        </w:rPr>
        <w:t> </w:t>
      </w:r>
      <w:r>
        <w:rPr>
          <w:spacing w:val="-76"/>
        </w:rPr>
      </w:r>
      <w:r>
        <w:rPr/>
        <w:t>易所创业板上市。公司股本由公开发行前的</w:t>
      </w:r>
      <w:r>
        <w:rPr>
          <w:rFonts w:ascii="Times New Roman" w:hAnsi="Times New Roman" w:cs="Times New Roman" w:eastAsia="Times New Roman" w:hint="default"/>
        </w:rPr>
        <w:t>5,010</w:t>
      </w:r>
      <w:r>
        <w:rPr/>
        <w:t>万元变为</w:t>
      </w:r>
      <w:r>
        <w:rPr>
          <w:rFonts w:ascii="Times New Roman" w:hAnsi="Times New Roman" w:cs="Times New Roman" w:eastAsia="Times New Roman" w:hint="default"/>
        </w:rPr>
        <w:t>6,680</w:t>
      </w:r>
      <w:r>
        <w:rPr/>
        <w:t>万元，公司股权结构变动如下：</w:t>
      </w:r>
    </w:p>
    <w:p>
      <w:pPr>
        <w:spacing w:after="0" w:line="264" w:lineRule="auto"/>
        <w:jc w:val="both"/>
        <w:sectPr>
          <w:pgSz w:w="11910" w:h="16840"/>
          <w:pgMar w:header="747" w:footer="979" w:top="1060" w:bottom="1160" w:left="0" w:right="0"/>
        </w:sectPr>
      </w:pPr>
    </w:p>
    <w:p>
      <w:pPr>
        <w:spacing w:line="240" w:lineRule="auto" w:before="10"/>
        <w:rPr>
          <w:rFonts w:ascii="宋体" w:hAnsi="宋体" w:cs="宋体" w:eastAsia="宋体" w:hint="default"/>
          <w:sz w:val="28"/>
          <w:szCs w:val="28"/>
        </w:rPr>
      </w:pPr>
    </w:p>
    <w:p>
      <w:pPr>
        <w:spacing w:line="2175" w:lineRule="exact"/>
        <w:ind w:left="1134" w:right="0" w:firstLine="0"/>
        <w:rPr>
          <w:rFonts w:ascii="宋体" w:hAnsi="宋体" w:cs="宋体" w:eastAsia="宋体" w:hint="default"/>
          <w:sz w:val="20"/>
          <w:szCs w:val="20"/>
        </w:rPr>
      </w:pPr>
      <w:r>
        <w:rPr>
          <w:rFonts w:ascii="宋体" w:hAnsi="宋体" w:cs="宋体" w:eastAsia="宋体" w:hint="default"/>
          <w:position w:val="-43"/>
          <w:sz w:val="20"/>
          <w:szCs w:val="20"/>
        </w:rPr>
        <w:drawing>
          <wp:inline distT="0" distB="0" distL="0" distR="0">
            <wp:extent cx="5687060" cy="1381125"/>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4" cstate="print"/>
                    <a:stretch>
                      <a:fillRect/>
                    </a:stretch>
                  </pic:blipFill>
                  <pic:spPr>
                    <a:xfrm>
                      <a:off x="0" y="0"/>
                      <a:ext cx="5687060" cy="1381125"/>
                    </a:xfrm>
                    <a:prstGeom prst="rect">
                      <a:avLst/>
                    </a:prstGeom>
                  </pic:spPr>
                </pic:pic>
              </a:graphicData>
            </a:graphic>
          </wp:inline>
        </w:drawing>
      </w:r>
      <w:r>
        <w:rPr>
          <w:rFonts w:ascii="宋体" w:hAnsi="宋体" w:cs="宋体" w:eastAsia="宋体" w:hint="default"/>
          <w:position w:val="-43"/>
          <w:sz w:val="20"/>
          <w:szCs w:val="20"/>
        </w:rPr>
      </w:r>
    </w:p>
    <w:p>
      <w:pPr>
        <w:spacing w:line="240" w:lineRule="auto" w:before="6"/>
        <w:rPr>
          <w:rFonts w:ascii="宋体" w:hAnsi="宋体" w:cs="宋体" w:eastAsia="宋体" w:hint="default"/>
          <w:sz w:val="20"/>
          <w:szCs w:val="20"/>
        </w:rPr>
      </w:pPr>
    </w:p>
    <w:p>
      <w:pPr>
        <w:pStyle w:val="Heading7"/>
        <w:spacing w:line="240" w:lineRule="auto" w:before="35"/>
        <w:ind w:left="1134" w:right="0"/>
        <w:jc w:val="left"/>
      </w:pPr>
      <w:r>
        <w:rPr/>
        <w:t>②公司公开发行新股后，所有者权益增加，资产负债率明显降低，由上年末的</w:t>
      </w:r>
      <w:r>
        <w:rPr>
          <w:rFonts w:ascii="Times New Roman" w:hAnsi="Times New Roman" w:cs="Times New Roman" w:eastAsia="Times New Roman" w:hint="default"/>
        </w:rPr>
        <w:t>60.75%</w:t>
      </w:r>
      <w:r>
        <w:rPr/>
        <w:t>下降至本报告期末的</w:t>
      </w:r>
    </w:p>
    <w:p>
      <w:pPr>
        <w:pStyle w:val="Heading7"/>
        <w:spacing w:line="240" w:lineRule="auto" w:before="21"/>
        <w:ind w:right="0"/>
        <w:jc w:val="left"/>
      </w:pPr>
      <w:r>
        <w:rPr>
          <w:rFonts w:ascii="Times New Roman" w:hAnsi="Times New Roman" w:cs="Times New Roman" w:eastAsia="Times New Roman" w:hint="default"/>
        </w:rPr>
        <w:t>49.37%</w:t>
      </w:r>
      <w:r>
        <w:rPr/>
        <w:t>。</w:t>
      </w:r>
    </w:p>
    <w:p>
      <w:pPr>
        <w:spacing w:line="240" w:lineRule="auto" w:before="8"/>
        <w:rPr>
          <w:rFonts w:ascii="宋体" w:hAnsi="宋体" w:cs="宋体" w:eastAsia="宋体" w:hint="default"/>
          <w:sz w:val="24"/>
          <w:szCs w:val="24"/>
        </w:rPr>
      </w:pPr>
    </w:p>
    <w:p>
      <w:pPr>
        <w:pStyle w:val="Heading6"/>
        <w:spacing w:line="240" w:lineRule="auto"/>
        <w:ind w:right="0"/>
        <w:jc w:val="left"/>
        <w:rPr>
          <w:b w:val="0"/>
          <w:bCs w:val="0"/>
        </w:rPr>
      </w:pPr>
      <w:bookmarkStart w:name="3、现存的内部职工股情况" w:id="108"/>
      <w:bookmarkEnd w:id="108"/>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bookmarkStart w:name="三、股东和实际控制人情况" w:id="109"/>
      <w:bookmarkEnd w:id="109"/>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公司股东数量及持股情况" w:id="110"/>
      <w:bookmarkEnd w:id="110"/>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pict>
          <v:shape style="position:absolute;margin-left:449.277008pt;margin-top:68.371719pt;width:85.6pt;height:31.2pt;mso-position-horizontal-relative:page;mso-position-vertical-relative:paragraph;z-index:-1032712" type="#_x0000_t202" filled="false" stroked="false">
            <v:textbox inset="0,0,0,0">
              <w:txbxContent>
                <w:p>
                  <w:pPr>
                    <w:pStyle w:val="BodyText"/>
                    <w:spacing w:line="205" w:lineRule="exact" w:before="0"/>
                    <w:ind w:left="0" w:right="0"/>
                    <w:jc w:val="left"/>
                  </w:pPr>
                  <w:r>
                    <w:rPr/>
                    <w:t>（如有）</w:t>
                  </w:r>
                </w:p>
              </w:txbxContent>
            </v:textbox>
            <w10:wrap type="none"/>
          </v:shape>
        </w:pict>
      </w:r>
      <w:r>
        <w:rPr/>
        <w:pict>
          <v:group style="position:absolute;margin-left:482.399994pt;margin-top:68.371719pt;width:52.45pt;height:31.2pt;mso-position-horizontal-relative:page;mso-position-vertical-relative:paragraph;z-index:-1032688" coordorigin="9648,1367" coordsize="1049,624">
            <v:shape style="position:absolute;left:9648;top:1367;width:1049;height:624" coordorigin="9648,1367" coordsize="1049,624" path="m9648,1991l10697,1991,10697,1367,9648,1367,9648,1991xe" filled="true" fillcolor="#ffffff" stroked="false">
              <v:path arrowok="t"/>
              <v:fill type="solid"/>
            </v:shape>
            <w10:wrap type="none"/>
          </v:group>
        </w:pict>
      </w:r>
      <w:r>
        <w:rPr/>
        <w:t>单位：股</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35"/>
        <w:gridCol w:w="134"/>
        <w:gridCol w:w="673"/>
        <w:gridCol w:w="739"/>
        <w:gridCol w:w="744"/>
        <w:gridCol w:w="831"/>
        <w:gridCol w:w="344"/>
        <w:gridCol w:w="445"/>
        <w:gridCol w:w="824"/>
        <w:gridCol w:w="802"/>
        <w:gridCol w:w="323"/>
        <w:gridCol w:w="1027"/>
        <w:gridCol w:w="279"/>
        <w:gridCol w:w="513"/>
        <w:gridCol w:w="558"/>
      </w:tblGrid>
      <w:tr>
        <w:trPr>
          <w:trHeight w:val="161"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9,964</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10,205</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3" w:type="dxa"/>
            <w:tcBorders>
              <w:top w:val="single" w:sz="4" w:space="0" w:color="000000"/>
              <w:left w:val="single" w:sz="13" w:space="0" w:color="D2D2D2"/>
              <w:bottom w:val="nil" w:sz="6" w:space="0" w:color="auto"/>
              <w:right w:val="nil" w:sz="6" w:space="0" w:color="auto"/>
            </w:tcBorders>
          </w:tcPr>
          <w:p>
            <w:pPr/>
          </w:p>
        </w:tc>
        <w:tc>
          <w:tcPr>
            <w:tcW w:w="558"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val="restart"/>
            <w:tcBorders>
              <w:top w:val="nil" w:sz="6" w:space="0" w:color="auto"/>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705"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bottom w:val="nil" w:sz="6" w:space="0" w:color="auto"/>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4" w:type="dxa"/>
            <w:gridSpan w:val="2"/>
            <w:vMerge/>
            <w:tcBorders>
              <w:left w:val="single" w:sz="9" w:space="0" w:color="D2D2D2"/>
              <w:bottom w:val="single" w:sz="4" w:space="0" w:color="000000"/>
              <w:right w:val="single" w:sz="9" w:space="0" w:color="D2D2D2"/>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3" w:space="0" w:color="D2D2D2"/>
              <w:bottom w:val="single" w:sz="4" w:space="0" w:color="000000"/>
              <w:right w:val="nil" w:sz="6" w:space="0" w:color="auto"/>
            </w:tcBorders>
          </w:tcPr>
          <w:p>
            <w:pPr/>
          </w:p>
        </w:tc>
        <w:tc>
          <w:tcPr>
            <w:tcW w:w="558"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83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7" w:right="6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6"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71"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1"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831"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50"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3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3"/>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上海中信电子发 展有限公司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31.80%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21,242,40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21,242,40</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50" w:type="dxa"/>
            <w:gridSpan w:val="3"/>
            <w:tcBorders>
              <w:top w:val="single" w:sz="48" w:space="0" w:color="D2D2D2"/>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21,242,400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22.56%</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15,070,08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15,070,08</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15,070,080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苏州国嘉创业投 资有限公司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5.70%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3,807,600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3,807,600</w:t>
            </w:r>
          </w:p>
        </w:tc>
        <w:tc>
          <w:tcPr>
            <w:tcW w:w="80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6" w:right="0"/>
              <w:jc w:val="left"/>
              <w:rPr>
                <w:rFonts w:ascii="Times New Roman" w:hAnsi="Times New Roman" w:cs="Times New Roman" w:eastAsia="Times New Roman" w:hint="default"/>
                <w:sz w:val="18"/>
                <w:szCs w:val="18"/>
              </w:rPr>
            </w:pPr>
            <w:r>
              <w:rPr>
                <w:rFonts w:ascii="Times New Roman"/>
                <w:sz w:val="18"/>
              </w:rPr>
              <w:t>3,807,600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深圳市创新投资 集团有限公司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4.50%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3,006,000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3,006,000</w:t>
            </w:r>
          </w:p>
        </w:tc>
        <w:tc>
          <w:tcPr>
            <w:tcW w:w="80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6" w:right="0"/>
              <w:jc w:val="left"/>
              <w:rPr>
                <w:rFonts w:ascii="Times New Roman" w:hAnsi="Times New Roman" w:cs="Times New Roman" w:eastAsia="Times New Roman" w:hint="default"/>
                <w:sz w:val="18"/>
                <w:szCs w:val="18"/>
              </w:rPr>
            </w:pPr>
            <w:r>
              <w:rPr>
                <w:rFonts w:ascii="Times New Roman"/>
                <w:sz w:val="18"/>
              </w:rPr>
              <w:t>3,006,000</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上海红土创业投 资有限公司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2,004,000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2,004,000</w:t>
            </w:r>
          </w:p>
        </w:tc>
        <w:tc>
          <w:tcPr>
            <w:tcW w:w="80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6" w:right="0"/>
              <w:jc w:val="left"/>
              <w:rPr>
                <w:rFonts w:ascii="Times New Roman" w:hAnsi="Times New Roman" w:cs="Times New Roman" w:eastAsia="Times New Roman" w:hint="default"/>
                <w:sz w:val="18"/>
                <w:szCs w:val="18"/>
              </w:rPr>
            </w:pPr>
            <w:r>
              <w:rPr>
                <w:rFonts w:ascii="Times New Roman"/>
                <w:sz w:val="18"/>
              </w:rPr>
              <w:t>2,004,000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张志红</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1.89%</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1,262,520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1,262,520</w:t>
            </w:r>
          </w:p>
        </w:tc>
        <w:tc>
          <w:tcPr>
            <w:tcW w:w="80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6" w:right="0"/>
              <w:jc w:val="left"/>
              <w:rPr>
                <w:rFonts w:ascii="Times New Roman" w:hAnsi="Times New Roman" w:cs="Times New Roman" w:eastAsia="Times New Roman" w:hint="default"/>
                <w:sz w:val="18"/>
                <w:szCs w:val="18"/>
              </w:rPr>
            </w:pPr>
            <w:r>
              <w:rPr>
                <w:rFonts w:ascii="Times New Roman"/>
                <w:sz w:val="18"/>
              </w:rPr>
              <w:t>1,262,520</w:t>
            </w: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杨安荣</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1.74%</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1,162,320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1,162,320</w:t>
            </w:r>
          </w:p>
        </w:tc>
        <w:tc>
          <w:tcPr>
            <w:tcW w:w="80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6" w:right="0"/>
              <w:jc w:val="left"/>
              <w:rPr>
                <w:rFonts w:ascii="Times New Roman" w:hAnsi="Times New Roman" w:cs="Times New Roman" w:eastAsia="Times New Roman" w:hint="default"/>
                <w:sz w:val="18"/>
                <w:szCs w:val="18"/>
              </w:rPr>
            </w:pPr>
            <w:r>
              <w:rPr>
                <w:rFonts w:ascii="Times New Roman"/>
                <w:sz w:val="18"/>
              </w:rPr>
              <w:t>1,162,320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69"/>
        <w:gridCol w:w="1411"/>
        <w:gridCol w:w="788"/>
        <w:gridCol w:w="786"/>
        <w:gridCol w:w="788"/>
        <w:gridCol w:w="786"/>
        <w:gridCol w:w="840"/>
        <w:gridCol w:w="1349"/>
        <w:gridCol w:w="1350"/>
      </w:tblGrid>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中央汇金资产管 理有限责任公司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1,107,600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刘理洲</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941,880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941,880</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941,880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上海统易财务顾 问有限公司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835,000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835,000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835,000</w:t>
            </w: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8" w:type="dxa"/>
            <w:gridSpan w:val="7"/>
            <w:vMerge w:val="restart"/>
            <w:tcBorders>
              <w:top w:val="single" w:sz="4" w:space="0" w:color="000000"/>
              <w:left w:val="single" w:sz="9" w:space="0" w:color="D2D2D2"/>
              <w:right w:val="single" w:sz="4" w:space="0" w:color="000000"/>
            </w:tcBorders>
          </w:tcPr>
          <w:p>
            <w:pPr>
              <w:pStyle w:val="TableParagraph"/>
              <w:spacing w:line="319" w:lineRule="auto" w:before="51"/>
              <w:ind w:left="16" w:right="22"/>
              <w:jc w:val="both"/>
              <w:rPr>
                <w:rFonts w:ascii="宋体" w:hAnsi="宋体" w:cs="宋体" w:eastAsia="宋体" w:hint="default"/>
                <w:sz w:val="18"/>
                <w:szCs w:val="18"/>
              </w:rPr>
            </w:pPr>
            <w:r>
              <w:rPr>
                <w:rFonts w:ascii="宋体" w:hAnsi="宋体" w:cs="宋体" w:eastAsia="宋体" w:hint="default"/>
                <w:spacing w:val="-1"/>
                <w:sz w:val="18"/>
                <w:szCs w:val="18"/>
              </w:rPr>
              <w:t>除上海中信电子发展有限公司和张曙华属一致行动人，深圳市创新投资集团有限公司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和上海红土创业投资有限公司属一致行动人，公司未曾知悉其他股东间是否存在关联</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关系或属于《上市公司股东持股变动信息披露管理办法》规定的一致行动人。</w:t>
            </w:r>
          </w:p>
        </w:tc>
      </w:tr>
      <w:tr>
        <w:trPr>
          <w:trHeight w:val="704" w:hRule="exact"/>
        </w:trPr>
        <w:tc>
          <w:tcPr>
            <w:tcW w:w="288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7"/>
            <w:vMerge/>
            <w:tcBorders>
              <w:left w:val="single" w:sz="9" w:space="0" w:color="D2D2D2"/>
              <w:right w:val="single" w:sz="4" w:space="0" w:color="000000"/>
            </w:tcBorders>
          </w:tcPr>
          <w:p>
            <w:pPr/>
          </w:p>
        </w:tc>
      </w:tr>
      <w:tr>
        <w:trPr>
          <w:trHeight w:val="161"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8" w:type="dxa"/>
            <w:gridSpan w:val="7"/>
            <w:vMerge/>
            <w:tcBorders>
              <w:left w:val="single" w:sz="9" w:space="0" w:color="D2D2D2"/>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0"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1,107,600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1,107,600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刘月明</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225,372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225,372</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甄玉芳</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204,930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204,930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张华英</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201,000</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中国工商银行股份有限公司－嘉实 企业变革股票型证券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126,000</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平安信托有限责任公司－金蕴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（季胜）集合资金信托</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金春斌</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108,112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108,112</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任艳萍</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108,100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李宝玲</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田玉连</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103,376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103,376</w:t>
            </w:r>
          </w:p>
        </w:tc>
      </w:tr>
      <w:tr>
        <w:trPr>
          <w:trHeight w:val="1338"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16" w:right="22"/>
              <w:jc w:val="left"/>
              <w:rPr>
                <w:rFonts w:ascii="宋体" w:hAnsi="宋体" w:cs="宋体" w:eastAsia="宋体" w:hint="default"/>
                <w:sz w:val="18"/>
                <w:szCs w:val="18"/>
              </w:rPr>
            </w:pPr>
            <w:r>
              <w:rPr>
                <w:rFonts w:ascii="宋体" w:hAnsi="宋体" w:cs="宋体" w:eastAsia="宋体" w:hint="default"/>
                <w:sz w:val="18"/>
                <w:szCs w:val="18"/>
              </w:rPr>
              <w:t>公司未曾知悉前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 </w:t>
            </w:r>
            <w:r>
              <w:rPr>
                <w:rFonts w:ascii="宋体" w:hAnsi="宋体" w:cs="宋体" w:eastAsia="宋体" w:hint="default"/>
                <w:spacing w:val="-1"/>
                <w:sz w:val="18"/>
                <w:szCs w:val="18"/>
              </w:rPr>
              <w:t>股东之间是否存在关联关系或属于《上市公司股东持股变动信息披露管理办法》规定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的一致行动人。</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公司股东金春斌除通过普通证券账户持有</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股外</w:t>
            </w:r>
            <w:r>
              <w:rPr>
                <w:rFonts w:ascii="宋体" w:hAnsi="宋体" w:cs="宋体" w:eastAsia="宋体" w:hint="default"/>
                <w:spacing w:val="-90"/>
                <w:sz w:val="18"/>
                <w:szCs w:val="18"/>
              </w:rPr>
              <w:t>，</w:t>
            </w:r>
            <w:r>
              <w:rPr>
                <w:rFonts w:ascii="宋体" w:hAnsi="宋体" w:cs="宋体" w:eastAsia="宋体" w:hint="default"/>
                <w:sz w:val="18"/>
                <w:szCs w:val="18"/>
              </w:rPr>
              <w:t>还通过投资者信用账户持有</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108,</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12</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股，实际合计持有</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108,112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股。中央汇金投资有限责任公司代表国家持有股份。</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3"/>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2、公司控股股东情况" w:id="111"/>
      <w:bookmarkEnd w:id="111"/>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8593"/>
        <w:jc w:val="left"/>
      </w:pPr>
      <w:r>
        <w:rPr/>
        <w:t>控股股东性质：自然人控股 控股股东类型：法人</w:t>
      </w:r>
    </w:p>
    <w:tbl>
      <w:tblPr>
        <w:tblW w:w="0" w:type="auto"/>
        <w:jc w:val="left"/>
        <w:tblInd w:w="1129" w:type="dxa"/>
        <w:tblLayout w:type="fixed"/>
        <w:tblCellMar>
          <w:top w:w="0" w:type="dxa"/>
          <w:left w:w="0" w:type="dxa"/>
          <w:bottom w:w="0" w:type="dxa"/>
          <w:right w:w="0" w:type="dxa"/>
        </w:tblCellMar>
        <w:tblLook w:val="01E0"/>
      </w:tblPr>
      <w:tblGrid>
        <w:gridCol w:w="2265"/>
        <w:gridCol w:w="1616"/>
        <w:gridCol w:w="1423"/>
        <w:gridCol w:w="2067"/>
        <w:gridCol w:w="2198"/>
      </w:tblGrid>
      <w:tr>
        <w:trPr>
          <w:trHeight w:val="714"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控股股东名称</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621" w:right="57" w:hanging="56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2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上海中信电子发展有限公司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06000000201411240073</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持有信息发展股权，无具体</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实际经营业务</w:t>
            </w:r>
          </w:p>
        </w:tc>
      </w:tr>
      <w:tr>
        <w:trPr>
          <w:trHeight w:val="1026"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0"/>
              <w:jc w:val="both"/>
              <w:rPr>
                <w:rFonts w:ascii="宋体" w:hAnsi="宋体" w:cs="宋体" w:eastAsia="宋体" w:hint="default"/>
                <w:sz w:val="18"/>
                <w:szCs w:val="18"/>
              </w:rPr>
            </w:pPr>
            <w:r>
              <w:rPr>
                <w:rFonts w:ascii="宋体" w:hAnsi="宋体" w:cs="宋体" w:eastAsia="宋体" w:hint="default"/>
                <w:sz w:val="18"/>
                <w:szCs w:val="18"/>
              </w:rPr>
              <w:t>控股股东报告期内控股和参 股的其他境内外上市公司的 股权情况</w:t>
            </w:r>
          </w:p>
        </w:tc>
        <w:tc>
          <w:tcPr>
            <w:tcW w:w="730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left="1134" w:right="0"/>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bookmarkStart w:name="3、公司实际控制人情况" w:id="112"/>
      <w:bookmarkEnd w:id="112"/>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8413"/>
        <w:jc w:val="left"/>
      </w:pPr>
      <w:r>
        <w:rPr/>
        <w:t>实际控制人性质：境内自然人 实际控制人类型：自然人</w:t>
      </w:r>
    </w:p>
    <w:tbl>
      <w:tblPr>
        <w:tblW w:w="0" w:type="auto"/>
        <w:jc w:val="left"/>
        <w:tblInd w:w="1129" w:type="dxa"/>
        <w:tblLayout w:type="fixed"/>
        <w:tblCellMar>
          <w:top w:w="0" w:type="dxa"/>
          <w:left w:w="0" w:type="dxa"/>
          <w:bottom w:w="0" w:type="dxa"/>
          <w:right w:w="0" w:type="dxa"/>
        </w:tblCellMar>
        <w:tblLook w:val="01E0"/>
      </w:tblPr>
      <w:tblGrid>
        <w:gridCol w:w="3328"/>
        <w:gridCol w:w="2121"/>
        <w:gridCol w:w="4120"/>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8"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董事长、总裁</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left="1134" w:right="0"/>
        <w:jc w:val="left"/>
      </w:pPr>
      <w:r>
        <w:rPr/>
        <w:t>实际控制人报告期内变更</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3"/>
        <w:rPr>
          <w:rFonts w:ascii="宋体" w:hAnsi="宋体" w:cs="宋体" w:eastAsia="宋体" w:hint="default"/>
          <w:sz w:val="15"/>
          <w:szCs w:val="15"/>
        </w:rPr>
      </w:pPr>
    </w:p>
    <w:p>
      <w:pPr>
        <w:spacing w:line="2775" w:lineRule="exact"/>
        <w:ind w:left="2336" w:right="0" w:firstLine="0"/>
        <w:rPr>
          <w:rFonts w:ascii="宋体" w:hAnsi="宋体" w:cs="宋体" w:eastAsia="宋体" w:hint="default"/>
          <w:sz w:val="20"/>
          <w:szCs w:val="20"/>
        </w:rPr>
      </w:pPr>
      <w:r>
        <w:rPr>
          <w:rFonts w:ascii="宋体" w:hAnsi="宋体" w:cs="宋体" w:eastAsia="宋体" w:hint="default"/>
          <w:position w:val="-55"/>
          <w:sz w:val="20"/>
          <w:szCs w:val="20"/>
        </w:rPr>
        <w:drawing>
          <wp:inline distT="0" distB="0" distL="0" distR="0">
            <wp:extent cx="4591935" cy="1762125"/>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15" cstate="print"/>
                    <a:stretch>
                      <a:fillRect/>
                    </a:stretch>
                  </pic:blipFill>
                  <pic:spPr>
                    <a:xfrm>
                      <a:off x="0" y="0"/>
                      <a:ext cx="4591935" cy="1762125"/>
                    </a:xfrm>
                    <a:prstGeom prst="rect">
                      <a:avLst/>
                    </a:prstGeom>
                  </pic:spPr>
                </pic:pic>
              </a:graphicData>
            </a:graphic>
          </wp:inline>
        </w:drawing>
      </w:r>
      <w:r>
        <w:rPr>
          <w:rFonts w:ascii="宋体" w:hAnsi="宋体" w:cs="宋体" w:eastAsia="宋体" w:hint="default"/>
          <w:position w:val="-55"/>
          <w:sz w:val="20"/>
          <w:szCs w:val="20"/>
        </w:rPr>
      </w:r>
    </w:p>
    <w:p>
      <w:pPr>
        <w:spacing w:line="240" w:lineRule="auto" w:before="10"/>
        <w:rPr>
          <w:rFonts w:ascii="宋体" w:hAnsi="宋体" w:cs="宋体" w:eastAsia="宋体" w:hint="default"/>
          <w:sz w:val="13"/>
          <w:szCs w:val="13"/>
        </w:rPr>
      </w:pPr>
    </w:p>
    <w:p>
      <w:pPr>
        <w:pStyle w:val="Heading5"/>
        <w:spacing w:line="240" w:lineRule="auto"/>
        <w:ind w:right="0"/>
        <w:jc w:val="left"/>
      </w:pPr>
      <w:r>
        <w:rPr/>
        <w:t>实际控制人通过信托或其他资产管理方式控制公司</w:t>
      </w:r>
    </w:p>
    <w:p>
      <w:pPr>
        <w:spacing w:line="240" w:lineRule="auto" w:before="12"/>
        <w:rPr>
          <w:rFonts w:ascii="宋体" w:hAnsi="宋体" w:cs="宋体" w:eastAsia="宋体" w:hint="default"/>
          <w:sz w:val="18"/>
          <w:szCs w:val="18"/>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4、其他持股在10%以上的法人股东" w:id="113"/>
      <w:bookmarkEnd w:id="113"/>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5、控股股东、实际控制人、重组方及其他承诺主体股份限制减持情况" w:id="114"/>
      <w:bookmarkEnd w:id="114"/>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319" w:lineRule="auto" w:before="0"/>
        <w:ind w:right="103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3"/>
        </w:rPr>
        <w:t>1</w:t>
      </w:r>
      <w:r>
        <w:rPr>
          <w:spacing w:val="-3"/>
        </w:rPr>
        <w:t>、发行人控股股东中信电子、实际控制人张曙华承诺：</w:t>
      </w:r>
      <w:r>
        <w:rPr>
          <w:rFonts w:ascii="Times New Roman" w:hAnsi="Times New Roman" w:cs="Times New Roman" w:eastAsia="Times New Roman" w:hint="default"/>
          <w:spacing w:val="-3"/>
        </w:rPr>
        <w:t>“</w:t>
      </w:r>
      <w:r>
        <w:rPr>
          <w:spacing w:val="-3"/>
        </w:rPr>
        <w:t>自信息发展股票在深圳证券交易所创业板上市之日起三十六个月内，</w:t>
      </w:r>
      <w:r>
        <w:rPr>
          <w:spacing w:val="-84"/>
        </w:rPr>
        <w:t> </w:t>
      </w:r>
      <w:r>
        <w:rPr>
          <w:spacing w:val="-84"/>
        </w:rPr>
      </w:r>
      <w:r>
        <w:rPr/>
        <w:t>本公司</w:t>
      </w:r>
      <w:r>
        <w:rPr>
          <w:rFonts w:ascii="Times New Roman" w:hAnsi="Times New Roman" w:cs="Times New Roman" w:eastAsia="Times New Roman" w:hint="default"/>
        </w:rPr>
        <w:t>/</w:t>
      </w:r>
      <w:r>
        <w:rPr/>
        <w:t>本人将不通过包括但不限于签署转让协议、进行股权托管等任何方式，减少本公司</w:t>
      </w:r>
      <w:r>
        <w:rPr>
          <w:rFonts w:ascii="Times New Roman" w:hAnsi="Times New Roman" w:cs="Times New Roman" w:eastAsia="Times New Roman" w:hint="default"/>
        </w:rPr>
        <w:t>/</w:t>
      </w:r>
      <w:r>
        <w:rPr/>
        <w:t>本人所持有或者实际持有的信息</w:t>
      </w:r>
    </w:p>
    <w:p>
      <w:pPr>
        <w:pStyle w:val="BodyText"/>
        <w:spacing w:line="312" w:lineRule="auto" w:before="0"/>
        <w:ind w:right="0"/>
        <w:jc w:val="left"/>
      </w:pPr>
      <w:r>
        <w:rPr>
          <w:spacing w:val="-2"/>
        </w:rPr>
        <w:t>发展本次发行前已发行的股份（包括由该部分股份派生的股份如送红股、资本公积金转增等）；亦不通过由信息发展回购本</w:t>
      </w:r>
      <w:r>
        <w:rPr>
          <w:spacing w:val="-66"/>
        </w:rPr>
        <w:t> </w:t>
      </w:r>
      <w:r>
        <w:rPr>
          <w:spacing w:val="-66"/>
        </w:rPr>
      </w:r>
      <w:r>
        <w:rPr/>
        <w:t>公司</w:t>
      </w:r>
      <w:r>
        <w:rPr>
          <w:rFonts w:ascii="Times New Roman" w:hAnsi="Times New Roman" w:cs="Times New Roman" w:eastAsia="Times New Roman" w:hint="default"/>
        </w:rPr>
        <w:t>/</w:t>
      </w:r>
      <w:r>
        <w:rPr/>
        <w:t>本人所直接或间接持有股份等方式，减少本公司</w:t>
      </w:r>
      <w:r>
        <w:rPr>
          <w:rFonts w:ascii="Times New Roman" w:hAnsi="Times New Roman" w:cs="Times New Roman" w:eastAsia="Times New Roman" w:hint="default"/>
        </w:rPr>
        <w:t>/</w:t>
      </w:r>
      <w:r>
        <w:rPr/>
        <w:t>本人所持有或者实际持有的信息发展本次发行前已发行的股份。</w:t>
      </w:r>
      <w:r>
        <w:rPr>
          <w:rFonts w:ascii="Times New Roman" w:hAnsi="Times New Roman" w:cs="Times New Roman" w:eastAsia="Times New Roman" w:hint="default"/>
        </w:rPr>
        <w:t>”2</w:t>
      </w:r>
      <w:r>
        <w:rPr/>
        <w:t>、 发行人实际控制人张曙华承诺：</w:t>
      </w:r>
      <w:r>
        <w:rPr>
          <w:rFonts w:ascii="Times New Roman" w:hAnsi="Times New Roman" w:cs="Times New Roman" w:eastAsia="Times New Roman" w:hint="default"/>
        </w:rPr>
        <w:t>“</w:t>
      </w:r>
      <w:r>
        <w:rPr/>
        <w:t>上述三十六个月期满后，本人在担任公司的董事、高管期间，每年转让的股份不超过本人 所持有信息发展股份总数的</w:t>
      </w:r>
      <w:r>
        <w:rPr>
          <w:rFonts w:ascii="Times New Roman" w:hAnsi="Times New Roman" w:cs="Times New Roman" w:eastAsia="Times New Roman" w:hint="default"/>
        </w:rPr>
        <w:t>25%</w:t>
      </w:r>
      <w:r>
        <w:rPr/>
        <w:t>；离职后半年内，不转让本人所持有的信息发展股份。发行人上市后六个月内如发行人股票 </w:t>
      </w:r>
      <w:r>
        <w:rPr>
          <w:spacing w:val="-2"/>
        </w:rPr>
        <w:t>连续二十个交易日的收盘价（指复权后的价格，下同）均低于发行价，或者上市后六个月期末收盘价低于发行价，本人持有</w:t>
      </w:r>
      <w:r>
        <w:rPr>
          <w:spacing w:val="-66"/>
        </w:rPr>
        <w:t> </w:t>
      </w:r>
      <w:r>
        <w:rPr>
          <w:spacing w:val="-66"/>
        </w:rPr>
      </w:r>
      <w:r>
        <w:rPr>
          <w:spacing w:val="-2"/>
        </w:rPr>
        <w:t>的发行人公开发行股份前已发行的股份的锁定期限将自动延长六个月。在延长锁定期内，不转让或者委托他人管理其直接或</w:t>
      </w:r>
      <w:r>
        <w:rPr>
          <w:spacing w:val="-64"/>
        </w:rPr>
        <w:t> </w:t>
      </w:r>
      <w:r>
        <w:rPr>
          <w:spacing w:val="-64"/>
        </w:rPr>
      </w:r>
      <w:r>
        <w:rPr>
          <w:spacing w:val="-2"/>
        </w:rPr>
        <w:t>者间接持有的发行人公开发行股票前已发行的股份，也不由发行人回购其直接或者间接持有的发行人公开发行股票前已发行</w:t>
      </w:r>
      <w:r>
        <w:rPr>
          <w:spacing w:val="-64"/>
        </w:rPr>
        <w:t> </w:t>
      </w:r>
      <w:r>
        <w:rPr>
          <w:spacing w:val="-64"/>
        </w:rPr>
      </w:r>
      <w:r>
        <w:rPr/>
        <w:t>的股份。本人不因职务变更或离职等主观原因而放弃履行此承诺。</w:t>
      </w:r>
      <w:r>
        <w:rPr>
          <w:rFonts w:ascii="Times New Roman" w:hAnsi="Times New Roman" w:cs="Times New Roman" w:eastAsia="Times New Roman" w:hint="default"/>
        </w:rPr>
        <w:t>”3</w:t>
      </w:r>
      <w:r>
        <w:rPr/>
        <w:t>、发行人控股股东中信电子承诺：</w:t>
      </w:r>
      <w:r>
        <w:rPr>
          <w:rFonts w:ascii="Times New Roman" w:hAnsi="Times New Roman" w:cs="Times New Roman" w:eastAsia="Times New Roman" w:hint="default"/>
        </w:rPr>
        <w:t>“</w:t>
      </w:r>
      <w:r>
        <w:rPr/>
        <w:t>上述三十六个月期 </w:t>
      </w:r>
      <w:r>
        <w:rPr>
          <w:spacing w:val="-2"/>
        </w:rPr>
        <w:t>满后，在张曙华持有中信电子的股份期间且担任公司的董事或高管期间，中信电子每年转让的股份不超过其所持有信息发展</w:t>
      </w:r>
      <w:r>
        <w:rPr>
          <w:spacing w:val="-64"/>
        </w:rPr>
        <w:t> </w:t>
      </w:r>
      <w:r>
        <w:rPr>
          <w:spacing w:val="-64"/>
        </w:rPr>
      </w:r>
      <w:r>
        <w:rPr/>
        <w:t>股份总数的</w:t>
      </w:r>
      <w:r>
        <w:rPr>
          <w:rFonts w:ascii="Times New Roman" w:hAnsi="Times New Roman" w:cs="Times New Roman" w:eastAsia="Times New Roman" w:hint="default"/>
        </w:rPr>
        <w:t>25%</w:t>
      </w:r>
      <w:r>
        <w:rPr/>
        <w:t>；离职后半年内，中信电子不转让其所持有的信息发展股份。发行人上市后六个月内如发行人股票连续二十 </w:t>
      </w:r>
      <w:r>
        <w:rPr>
          <w:spacing w:val="-2"/>
        </w:rPr>
        <w:t>个交易日的收盘价（指复权后的价格，下同）均低于发行价，或者上市后六个月期末收盘价低于发行价，本公司持有的发行</w:t>
      </w:r>
      <w:r>
        <w:rPr>
          <w:spacing w:val="-66"/>
        </w:rPr>
        <w:t> </w:t>
      </w:r>
      <w:r>
        <w:rPr>
          <w:spacing w:val="-66"/>
        </w:rPr>
      </w:r>
      <w:r>
        <w:rPr>
          <w:spacing w:val="-2"/>
        </w:rPr>
        <w:t>人公开发行股份前已发行的股份的锁定期限将自动延长六个月。在延长锁定期内，不转让或者委托他人管理其直接或者间接</w:t>
      </w:r>
      <w:r>
        <w:rPr>
          <w:spacing w:val="-64"/>
        </w:rPr>
        <w:t> </w:t>
      </w:r>
      <w:r>
        <w:rPr>
          <w:spacing w:val="-64"/>
        </w:rPr>
      </w:r>
      <w:r>
        <w:rPr/>
        <w:t>持有的发行人公开发行股票前已发行的股份，也不由发行人回购其直接或者间接持有的发行人公开发行股票前已发行的股 份。</w:t>
      </w:r>
      <w:r>
        <w:rPr>
          <w:rFonts w:ascii="Times New Roman" w:hAnsi="Times New Roman" w:cs="Times New Roman" w:eastAsia="Times New Roman" w:hint="default"/>
        </w:rPr>
        <w:t>”4</w:t>
      </w:r>
      <w:r>
        <w:rPr/>
        <w:t>、发行人股东苏州国嘉创投、深创投、上海红土创投、上海统易财务分别承诺：</w:t>
      </w:r>
      <w:r>
        <w:rPr>
          <w:rFonts w:ascii="Times New Roman" w:hAnsi="Times New Roman" w:cs="Times New Roman" w:eastAsia="Times New Roman" w:hint="default"/>
        </w:rPr>
        <w:t>“</w:t>
      </w:r>
      <w:r>
        <w:rPr/>
        <w:t>自信息发展股票在深圳证券交易所 </w:t>
      </w:r>
      <w:r>
        <w:rPr>
          <w:spacing w:val="-2"/>
        </w:rPr>
        <w:t>创业板上市之日起十二个月内，本公司将不通过包括但不限于签署转让协议、进行股权托管等任何方式，减少本公司所持有</w:t>
      </w:r>
      <w:r>
        <w:rPr>
          <w:spacing w:val="-66"/>
        </w:rPr>
        <w:t> </w:t>
      </w:r>
      <w:r>
        <w:rPr>
          <w:spacing w:val="-66"/>
        </w:rPr>
      </w:r>
      <w:r>
        <w:rPr>
          <w:spacing w:val="-2"/>
        </w:rPr>
        <w:t>或者实际持有的信息发展本次发行前已发行的股份（包括由该部分股份派生的股份如送红股、资本公积金转增等）；亦不通</w:t>
      </w:r>
      <w:r>
        <w:rPr>
          <w:spacing w:val="-66"/>
        </w:rPr>
        <w:t> </w:t>
      </w:r>
      <w:r>
        <w:rPr>
          <w:spacing w:val="-66"/>
        </w:rPr>
      </w:r>
      <w:r>
        <w:rPr>
          <w:spacing w:val="-2"/>
        </w:rPr>
        <w:t>过由信息发展回购本公司所直接或间接持有股份等方式，减少本公司所持有或者实际持有的信息发展本次发行前已发行的股</w:t>
      </w:r>
      <w:r>
        <w:rPr>
          <w:spacing w:val="-64"/>
        </w:rPr>
        <w:t> </w:t>
      </w:r>
      <w:r>
        <w:rPr>
          <w:spacing w:val="-64"/>
        </w:rPr>
      </w:r>
      <w:r>
        <w:rPr/>
        <w:t>份。</w:t>
      </w:r>
      <w:r>
        <w:rPr>
          <w:rFonts w:ascii="Times New Roman" w:hAnsi="Times New Roman" w:cs="Times New Roman" w:eastAsia="Times New Roman" w:hint="default"/>
        </w:rPr>
        <w:t>”5</w:t>
      </w:r>
      <w:r>
        <w:rPr/>
        <w:t>、发行人股东张志红、杨安荣、刘理洲、李志卿、刘赣分别承诺：</w:t>
      </w:r>
      <w:r>
        <w:rPr>
          <w:rFonts w:ascii="Times New Roman" w:hAnsi="Times New Roman" w:cs="Times New Roman" w:eastAsia="Times New Roman" w:hint="default"/>
        </w:rPr>
        <w:t>“</w:t>
      </w:r>
      <w:r>
        <w:rPr/>
        <w:t>自信息发展股票在深圳证券交易所创业板上市之 </w:t>
      </w:r>
      <w:r>
        <w:rPr>
          <w:spacing w:val="-2"/>
        </w:rPr>
        <w:t>日起十二个月内，本人将不通过包括但不限于签署转让协议、进行股权托管等任何方式，减少本人所持有或者实际持有的信</w:t>
      </w:r>
      <w:r>
        <w:rPr>
          <w:spacing w:val="-66"/>
        </w:rPr>
        <w:t> </w:t>
      </w:r>
      <w:r>
        <w:rPr>
          <w:spacing w:val="-66"/>
        </w:rPr>
      </w:r>
      <w:r>
        <w:rPr>
          <w:spacing w:val="-2"/>
        </w:rPr>
        <w:t>息发展本次发行前已发行的股份（包括由该部分股份派生的股份如送红股、资本公积金转增等）；亦不通过由信息发展回购</w:t>
      </w:r>
      <w:r>
        <w:rPr>
          <w:spacing w:val="-66"/>
        </w:rPr>
        <w:t> </w:t>
      </w:r>
      <w:r>
        <w:rPr>
          <w:spacing w:val="-66"/>
        </w:rPr>
      </w:r>
      <w:r>
        <w:rPr>
          <w:spacing w:val="-2"/>
        </w:rPr>
        <w:t>本人所直接或间接持有股份等方式，减少本人所持有或者实际持有的信息发展本次发行前已发行的股份。</w:t>
      </w:r>
      <w:r>
        <w:rPr>
          <w:rFonts w:ascii="Times New Roman" w:hAnsi="Times New Roman" w:cs="Times New Roman" w:eastAsia="Times New Roman" w:hint="default"/>
          <w:spacing w:val="-2"/>
        </w:rPr>
        <w:t>”6</w:t>
      </w:r>
      <w:r>
        <w:rPr>
          <w:spacing w:val="-2"/>
        </w:rPr>
        <w:t>、担任发行人董</w:t>
      </w:r>
      <w:r>
        <w:rPr>
          <w:spacing w:val="-51"/>
        </w:rPr>
        <w:t> </w:t>
      </w:r>
      <w:r>
        <w:rPr>
          <w:spacing w:val="-51"/>
        </w:rPr>
      </w:r>
      <w:r>
        <w:rPr>
          <w:spacing w:val="-2"/>
        </w:rPr>
        <w:t>事、监事、高级管理人员的股东杨安荣、刘理洲、李志卿分别承诺：</w:t>
      </w:r>
      <w:r>
        <w:rPr>
          <w:rFonts w:ascii="Times New Roman" w:hAnsi="Times New Roman" w:cs="Times New Roman" w:eastAsia="Times New Roman" w:hint="default"/>
          <w:spacing w:val="-2"/>
        </w:rPr>
        <w:t>“</w:t>
      </w:r>
      <w:r>
        <w:rPr>
          <w:spacing w:val="-2"/>
        </w:rPr>
        <w:t>上述十二个月期满后，本人在担任公司的董事、监事、</w:t>
      </w:r>
      <w:r>
        <w:rPr>
          <w:spacing w:val="-54"/>
        </w:rPr>
        <w:t> </w:t>
      </w:r>
      <w:r>
        <w:rPr>
          <w:spacing w:val="-54"/>
        </w:rPr>
      </w:r>
      <w:r>
        <w:rPr/>
        <w:t>高级管理人员期间，每年转让的股份不超过本人所持有信息发展股份总数的</w:t>
      </w:r>
      <w:r>
        <w:rPr>
          <w:rFonts w:ascii="Times New Roman" w:hAnsi="Times New Roman" w:cs="Times New Roman" w:eastAsia="Times New Roman" w:hint="default"/>
        </w:rPr>
        <w:t>25%</w:t>
      </w:r>
      <w:r>
        <w:rPr/>
        <w:t>；离职后半年内，不转让本人所持有的信息 </w:t>
      </w:r>
      <w:r>
        <w:rPr>
          <w:spacing w:val="-2"/>
        </w:rPr>
        <w:t>发展股份；本人在信息发展首次公开发行股票上市之日起六个月内申报离职的，自申报离职之日起十八个月内不转让本人直</w:t>
      </w:r>
      <w:r>
        <w:rPr>
          <w:spacing w:val="-64"/>
        </w:rPr>
        <w:t> </w:t>
      </w:r>
      <w:r>
        <w:rPr>
          <w:spacing w:val="-64"/>
        </w:rPr>
      </w:r>
      <w:r>
        <w:rPr>
          <w:spacing w:val="-2"/>
        </w:rPr>
        <w:t>接持有的信息发展股份；在信息发展首次公开发行股票上市之日起第七个月至第十二个月之间申报离职的，自申报离职之日</w:t>
      </w:r>
      <w:r>
        <w:rPr>
          <w:spacing w:val="-64"/>
        </w:rPr>
        <w:t> </w:t>
      </w:r>
      <w:r>
        <w:rPr>
          <w:spacing w:val="-64"/>
        </w:rPr>
      </w:r>
      <w:r>
        <w:rPr>
          <w:spacing w:val="-2"/>
        </w:rPr>
        <w:t>起十二个月内不转让本人直接持有的信息发展股份。发行人上市后六个月内如发行人股票连续二十个交易日的收盘价（指复</w:t>
      </w:r>
      <w:r>
        <w:rPr>
          <w:spacing w:val="-64"/>
        </w:rPr>
        <w:t> </w:t>
      </w:r>
      <w:r>
        <w:rPr>
          <w:spacing w:val="-64"/>
        </w:rPr>
      </w:r>
      <w:r>
        <w:rPr>
          <w:spacing w:val="-2"/>
        </w:rPr>
        <w:t>权后的价格，下同）均低于发行价，或者上市后六个月期末收盘价低于发行价，本人持有的发行人公开发行股份前已发行的</w:t>
      </w:r>
      <w:r>
        <w:rPr>
          <w:spacing w:val="-66"/>
        </w:rPr>
        <w:t> </w:t>
      </w:r>
      <w:r>
        <w:rPr>
          <w:spacing w:val="-66"/>
        </w:rPr>
      </w:r>
      <w:r>
        <w:rPr>
          <w:spacing w:val="-2"/>
        </w:rPr>
        <w:t>股份的锁定期限将自动延长六个月。在延长锁定期内，不转让或者委托他人管理其直接或者间接持有的发行人公开发行股票</w:t>
      </w:r>
      <w:r>
        <w:rPr>
          <w:spacing w:val="-64"/>
        </w:rPr>
        <w:t> </w:t>
      </w:r>
      <w:r>
        <w:rPr>
          <w:spacing w:val="-64"/>
        </w:rPr>
      </w:r>
      <w:r>
        <w:rPr>
          <w:spacing w:val="-2"/>
        </w:rPr>
        <w:t>前已发行的股份，也不由发行人回购其直接或者间接持有的发行人公开发行股票前已发行的股份。本人不因职务变更或离职</w:t>
      </w:r>
      <w:r>
        <w:rPr>
          <w:spacing w:val="-64"/>
        </w:rPr>
        <w:t> </w:t>
      </w:r>
      <w:r>
        <w:rPr>
          <w:spacing w:val="-64"/>
        </w:rPr>
      </w:r>
      <w:r>
        <w:rPr>
          <w:spacing w:val="-2"/>
        </w:rPr>
        <w:t>等主观原因而放弃履行此承诺。本人所持发行人公开发行股份前已发行的股份在上述锁定期期满后两年内减持，本人承诺减</w:t>
      </w:r>
      <w:r>
        <w:rPr>
          <w:spacing w:val="-64"/>
        </w:rPr>
        <w:t> </w:t>
      </w:r>
      <w:r>
        <w:rPr>
          <w:spacing w:val="-64"/>
        </w:rPr>
      </w:r>
      <w:r>
        <w:rPr>
          <w:spacing w:val="-2"/>
        </w:rPr>
        <w:t>持价格（指复权后的价格）不低于发行价，若低于发行价的，本人的减持所得收入归发行人所有。本人不因职务变更或离职</w:t>
      </w:r>
      <w:r>
        <w:rPr>
          <w:spacing w:val="-66"/>
        </w:rPr>
        <w:t> </w:t>
      </w:r>
      <w:r>
        <w:rPr>
          <w:spacing w:val="-66"/>
        </w:rPr>
      </w:r>
      <w:r>
        <w:rPr/>
        <w:t>等主观原因而放弃履行此承诺。</w:t>
      </w:r>
      <w:r>
        <w:rPr>
          <w:rFonts w:ascii="Times New Roman" w:hAnsi="Times New Roman" w:cs="Times New Roman" w:eastAsia="Times New Roman" w:hint="default"/>
        </w:rPr>
        <w:t>”7</w:t>
      </w:r>
      <w:r>
        <w:rPr/>
        <w:t>、中信电子承诺：</w:t>
      </w:r>
      <w:r>
        <w:rPr>
          <w:rFonts w:ascii="Times New Roman" w:hAnsi="Times New Roman" w:cs="Times New Roman" w:eastAsia="Times New Roman" w:hint="default"/>
        </w:rPr>
        <w:t>“</w:t>
      </w:r>
      <w:r>
        <w:rPr/>
        <w:t>本公司所持发行人公开发行股份前已发行的股份在锁定期期满后两年 内将进行股份减持，减持股份数量为不超过本公司所持股份数的</w:t>
      </w:r>
      <w:r>
        <w:rPr>
          <w:rFonts w:ascii="Times New Roman" w:hAnsi="Times New Roman" w:cs="Times New Roman" w:eastAsia="Times New Roman" w:hint="default"/>
        </w:rPr>
        <w:t>40%</w:t>
      </w:r>
      <w:r>
        <w:rPr/>
        <w:t>；本公司在减持股份时，将提前五个交易日向发行人提 </w:t>
      </w:r>
      <w:r>
        <w:rPr>
          <w:spacing w:val="-2"/>
        </w:rPr>
        <w:t>交减持原因、减持数量、未来减持计划、减持对发行人治理结构及持续经营影响的说明，并由发行人在减持前三个交易日予</w:t>
      </w:r>
      <w:r>
        <w:rPr>
          <w:spacing w:val="-66"/>
        </w:rPr>
        <w:t> </w:t>
      </w:r>
      <w:r>
        <w:rPr>
          <w:spacing w:val="-66"/>
        </w:rPr>
      </w:r>
      <w:r>
        <w:rPr>
          <w:spacing w:val="-4"/>
        </w:rPr>
        <w:t>以公告；减持将通过证券交易所集中竞价交易系统、大宗交易系统等方式进行，并且本公司承诺减持价格（指复权后的价格）</w:t>
      </w:r>
    </w:p>
    <w:p>
      <w:pPr>
        <w:spacing w:after="0" w:line="312"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7" w:lineRule="auto"/>
        <w:ind w:right="1031"/>
        <w:jc w:val="left"/>
        <w:rPr>
          <w:rFonts w:ascii="Times New Roman" w:hAnsi="Times New Roman" w:cs="Times New Roman" w:eastAsia="Times New Roman" w:hint="default"/>
        </w:rPr>
      </w:pPr>
      <w:r>
        <w:rPr/>
        <w:t>不低于发行价，若低于发行价的，本公司的减持所得收入归发行人所有。</w:t>
      </w:r>
      <w:r>
        <w:rPr>
          <w:rFonts w:ascii="Times New Roman" w:hAnsi="Times New Roman" w:cs="Times New Roman" w:eastAsia="Times New Roman" w:hint="default"/>
        </w:rPr>
        <w:t>”8</w:t>
      </w:r>
      <w:r>
        <w:rPr/>
        <w:t>、张曙华承诺：</w:t>
      </w:r>
      <w:r>
        <w:rPr>
          <w:rFonts w:ascii="Times New Roman" w:hAnsi="Times New Roman" w:cs="Times New Roman" w:eastAsia="Times New Roman" w:hint="default"/>
        </w:rPr>
        <w:t>“</w:t>
      </w:r>
      <w:r>
        <w:rPr/>
        <w:t>本人所持发行人公开发行股份 前已发行的股份在锁定期期满后两年内减持不超过本人所持股份数的</w:t>
      </w:r>
      <w:r>
        <w:rPr>
          <w:rFonts w:ascii="Times New Roman" w:hAnsi="Times New Roman" w:cs="Times New Roman" w:eastAsia="Times New Roman" w:hint="default"/>
        </w:rPr>
        <w:t>40%</w:t>
      </w:r>
      <w:r>
        <w:rPr/>
        <w:t>；本人减持时，将提前五个交易日向发行人提交减 </w:t>
      </w:r>
      <w:r>
        <w:rPr>
          <w:spacing w:val="-2"/>
        </w:rPr>
        <w:t>持原因、减持数量、未来减持计划、减持对发行人治理结构及持续经营影响的说明，并由发行人在减持前三个交易日予以公</w:t>
      </w:r>
      <w:r>
        <w:rPr>
          <w:spacing w:val="-66"/>
        </w:rPr>
        <w:t> </w:t>
      </w:r>
      <w:r>
        <w:rPr>
          <w:spacing w:val="-66"/>
        </w:rPr>
      </w:r>
      <w:r>
        <w:rPr/>
        <w:t>告；减持将通过证券交易所集中竞价交易系统、大宗交易系统等方式进行并且本人承诺减持价格（指复权后的价格</w:t>
      </w:r>
      <w:r>
        <w:rPr>
          <w:rFonts w:ascii="Times New Roman" w:hAnsi="Times New Roman" w:cs="Times New Roman" w:eastAsia="Times New Roman" w:hint="default"/>
        </w:rPr>
        <w:t>)</w:t>
      </w:r>
      <w:r>
        <w:rPr/>
        <w:t>不低于 </w:t>
      </w:r>
      <w:r>
        <w:rPr>
          <w:spacing w:val="-3"/>
        </w:rPr>
        <w:t>发行价，若低于发行价的，本人的减持所得收入归发行人所有。本人不因职务变更或离职等主观原因而放弃履行此承诺。</w:t>
      </w:r>
      <w:r>
        <w:rPr>
          <w:rFonts w:ascii="Times New Roman" w:hAnsi="Times New Roman" w:cs="Times New Roman" w:eastAsia="Times New Roman" w:hint="default"/>
          <w:spacing w:val="-3"/>
        </w:rPr>
        <w:t>”9</w:t>
      </w:r>
      <w:r>
        <w:rPr>
          <w:spacing w:val="-3"/>
        </w:rPr>
        <w:t>、</w:t>
      </w:r>
      <w:r>
        <w:rPr>
          <w:spacing w:val="-85"/>
        </w:rPr>
        <w:t> </w:t>
      </w:r>
      <w:r>
        <w:rPr/>
        <w:t>深创投、上海红土、苏国嘉承诺：</w:t>
      </w:r>
      <w:r>
        <w:rPr>
          <w:rFonts w:ascii="Times New Roman" w:hAnsi="Times New Roman" w:cs="Times New Roman" w:eastAsia="Times New Roman" w:hint="default"/>
        </w:rPr>
        <w:t>“</w:t>
      </w:r>
      <w:r>
        <w:rPr/>
        <w:t>本公司所持股票在锁定期满后两年内将进行股份减持，减持股份数量为不超过本公司所 持股份数的</w:t>
      </w:r>
      <w:r>
        <w:rPr>
          <w:rFonts w:ascii="Times New Roman" w:hAnsi="Times New Roman" w:cs="Times New Roman" w:eastAsia="Times New Roman" w:hint="default"/>
        </w:rPr>
        <w:t>100%</w:t>
      </w:r>
      <w:r>
        <w:rPr/>
        <w:t>；本公司在减持股份时，将提前五个交易日向发行人提交减持原因、减持数量、未来减持计划、减持对发 </w:t>
      </w:r>
      <w:r>
        <w:rPr>
          <w:spacing w:val="-4"/>
        </w:rPr>
        <w:t>行人治理结构及持续经营影响的说明，并由发行人在减持前三个交易日予以公告；减持将通过证券交易所集中竞价交易系统、</w:t>
      </w:r>
      <w:r>
        <w:rPr>
          <w:spacing w:val="-44"/>
        </w:rPr>
        <w:t> </w:t>
      </w:r>
      <w:r>
        <w:rPr>
          <w:spacing w:val="-44"/>
        </w:rPr>
      </w:r>
      <w:r>
        <w:rPr>
          <w:spacing w:val="-2"/>
        </w:rPr>
        <w:t>大宗交易系统等方式进行，且减持价格（指复权后的价格）不低于发行价；若所持股票在锁定期满后两年内减持价格低于发</w:t>
      </w:r>
      <w:r>
        <w:rPr>
          <w:spacing w:val="-66"/>
        </w:rPr>
        <w:t> </w:t>
      </w:r>
      <w:r>
        <w:rPr>
          <w:spacing w:val="-66"/>
        </w:rPr>
      </w:r>
      <w:r>
        <w:rPr>
          <w:spacing w:val="-2"/>
        </w:rPr>
        <w:t>行价的，则减持价格与发行价之间的差额由发行人在现金分红时从分配当年及以后年度的现金分红中予以先行扣除，且扣除</w:t>
      </w:r>
      <w:r>
        <w:rPr>
          <w:spacing w:val="-64"/>
        </w:rPr>
        <w:t> </w:t>
      </w:r>
      <w:r>
        <w:rPr>
          <w:spacing w:val="-64"/>
        </w:rPr>
      </w:r>
      <w:r>
        <w:rPr/>
        <w:t>的现金分红归发行人所有。</w:t>
      </w:r>
      <w:r>
        <w:rPr>
          <w:rFonts w:ascii="Times New Roman" w:hAnsi="Times New Roman" w:cs="Times New Roman" w:eastAsia="Times New Roman" w:hint="default"/>
        </w:rPr>
        <w:t>”</w:t>
      </w:r>
    </w:p>
    <w:p>
      <w:pPr>
        <w:spacing w:after="0" w:line="307" w:lineRule="auto"/>
        <w:jc w:val="left"/>
        <w:rPr>
          <w:rFonts w:ascii="Times New Roman" w:hAnsi="Times New Roman" w:cs="Times New Roman" w:eastAsia="Times New Roman" w:hint="default"/>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9"/>
        <w:ind w:right="3403"/>
        <w:jc w:val="center"/>
        <w:rPr>
          <w:b w:val="0"/>
          <w:bCs w:val="0"/>
        </w:rPr>
      </w:pPr>
      <w:bookmarkStart w:name="_TOC_250004" w:id="115"/>
      <w:bookmarkStart w:name="第七节 优先股相关情况" w:id="116"/>
      <w:r>
        <w:rPr>
          <w:b w:val="0"/>
          <w:bCs w:val="0"/>
        </w:rPr>
      </w:r>
      <w:r>
        <w:rPr/>
        <w:t>第七节</w:t>
      </w:r>
      <w:r>
        <w:rPr>
          <w:spacing w:val="-8"/>
        </w:rPr>
        <w:t> </w:t>
      </w:r>
      <w:r>
        <w:rPr/>
        <w:t>优先股相关情况</w:t>
      </w:r>
      <w:bookmarkEnd w:id="115"/>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40" w:lineRule="auto"/>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60" w:right="0"/>
        <w:jc w:val="left"/>
        <w:rPr>
          <w:b w:val="0"/>
          <w:bCs w:val="0"/>
        </w:rPr>
      </w:pPr>
      <w:bookmarkStart w:name="_TOC_250003" w:id="117"/>
      <w:bookmarkStart w:name="第八节 董事、监事、高级管理人员和员工情况" w:id="118"/>
      <w:r>
        <w:rPr>
          <w:b w:val="0"/>
          <w:bCs w:val="0"/>
        </w:rPr>
      </w:r>
      <w:r>
        <w:rPr/>
        <w:t>第八节</w:t>
      </w:r>
      <w:r>
        <w:rPr>
          <w:spacing w:val="-16"/>
        </w:rPr>
        <w:t> </w:t>
      </w:r>
      <w:r>
        <w:rPr/>
        <w:t>董事、监事、高级管理人员和员工情况</w:t>
      </w:r>
      <w:bookmarkEnd w:id="117"/>
      <w:r>
        <w:rPr>
          <w:b w:val="0"/>
          <w:bCs w:val="0"/>
        </w:rPr>
      </w:r>
    </w:p>
    <w:p>
      <w:pPr>
        <w:spacing w:line="240" w:lineRule="auto" w:before="12"/>
        <w:rPr>
          <w:rFonts w:ascii="宋体" w:hAnsi="宋体" w:cs="宋体" w:eastAsia="宋体" w:hint="default"/>
          <w:b/>
          <w:bCs/>
          <w:sz w:val="38"/>
          <w:szCs w:val="38"/>
        </w:rPr>
      </w:pPr>
    </w:p>
    <w:p>
      <w:pPr>
        <w:pStyle w:val="Heading4"/>
        <w:spacing w:line="240" w:lineRule="auto"/>
        <w:ind w:right="0"/>
        <w:jc w:val="left"/>
        <w:rPr>
          <w:b w:val="0"/>
          <w:bCs w:val="0"/>
        </w:rPr>
      </w:pPr>
      <w:bookmarkStart w:name="一、董事、监事和高级管理人员持股变动" w:id="119"/>
      <w:bookmarkEnd w:id="119"/>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15,070,08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15,070,08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杨安荣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1,162,320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1,162,320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李志卿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741,480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741,480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张颖</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张元利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尹於舜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黄亚钧</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刘红梅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刘运宏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陈若初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刘理洲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941,880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941,880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时泂</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402"/>
              <w:jc w:val="righ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石富义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31"/>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17,915,760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17,915,760</w:t>
            </w:r>
          </w:p>
        </w:tc>
      </w:tr>
    </w:tbl>
    <w:p>
      <w:pPr>
        <w:spacing w:line="240" w:lineRule="auto" w:before="2"/>
        <w:rPr>
          <w:rFonts w:ascii="宋体" w:hAnsi="宋体" w:cs="宋体" w:eastAsia="宋体" w:hint="default"/>
          <w:b/>
          <w:bCs/>
          <w:sz w:val="18"/>
          <w:szCs w:val="18"/>
        </w:rPr>
      </w:pPr>
    </w:p>
    <w:p>
      <w:pPr>
        <w:pStyle w:val="Heading4"/>
        <w:spacing w:line="240" w:lineRule="auto" w:before="26"/>
        <w:ind w:left="1134" w:right="0"/>
        <w:jc w:val="left"/>
        <w:rPr>
          <w:b w:val="0"/>
          <w:bCs w:val="0"/>
        </w:rPr>
      </w:pPr>
      <w:bookmarkStart w:name="二、公司董事、监事、高级管理人员变动情况" w:id="120"/>
      <w:bookmarkEnd w:id="120"/>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刘运宏</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主动离职</w:t>
            </w:r>
          </w:p>
        </w:tc>
      </w:tr>
    </w:tbl>
    <w:p>
      <w:pPr>
        <w:spacing w:line="240" w:lineRule="auto" w:before="2"/>
        <w:rPr>
          <w:rFonts w:ascii="宋体" w:hAnsi="宋体" w:cs="宋体" w:eastAsia="宋体" w:hint="default"/>
          <w:b/>
          <w:bCs/>
          <w:sz w:val="18"/>
          <w:szCs w:val="18"/>
        </w:rPr>
      </w:pPr>
    </w:p>
    <w:p>
      <w:pPr>
        <w:pStyle w:val="Heading4"/>
        <w:spacing w:line="240" w:lineRule="auto" w:before="26"/>
        <w:ind w:left="1134" w:right="0"/>
        <w:jc w:val="left"/>
        <w:rPr>
          <w:b w:val="0"/>
          <w:bCs w:val="0"/>
        </w:rPr>
      </w:pPr>
      <w:bookmarkStart w:name="三、任职情况" w:id="121"/>
      <w:bookmarkEnd w:id="121"/>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公司现任董事、监事、高级管理人员专业背景、主要工作经历以及目前在公司的主要职责</w:t>
      </w:r>
    </w:p>
    <w:p>
      <w:pPr>
        <w:spacing w:line="240" w:lineRule="auto" w:before="0"/>
        <w:rPr>
          <w:rFonts w:ascii="宋体" w:hAnsi="宋体" w:cs="宋体" w:eastAsia="宋体" w:hint="default"/>
          <w:sz w:val="15"/>
          <w:szCs w:val="15"/>
        </w:rPr>
      </w:pPr>
    </w:p>
    <w:p>
      <w:pPr>
        <w:pStyle w:val="Heading8"/>
        <w:spacing w:line="240" w:lineRule="auto"/>
        <w:ind w:left="1133" w:right="0"/>
        <w:jc w:val="left"/>
        <w:rPr>
          <w:b w:val="0"/>
          <w:bCs w:val="0"/>
        </w:rPr>
      </w:pPr>
      <w:r>
        <w:rPr/>
        <w:t>（一）董事</w:t>
      </w:r>
      <w:r>
        <w:rPr>
          <w:b w:val="0"/>
          <w:bCs w:val="0"/>
        </w:rPr>
      </w:r>
    </w:p>
    <w:p>
      <w:pPr>
        <w:spacing w:line="240" w:lineRule="auto" w:before="12"/>
        <w:rPr>
          <w:rFonts w:ascii="宋体" w:hAnsi="宋体" w:cs="宋体" w:eastAsia="宋体" w:hint="default"/>
          <w:b/>
          <w:bCs/>
          <w:sz w:val="14"/>
          <w:szCs w:val="14"/>
        </w:rPr>
      </w:pPr>
    </w:p>
    <w:p>
      <w:pPr>
        <w:pStyle w:val="BodyText"/>
        <w:spacing w:line="300" w:lineRule="auto" w:before="0"/>
        <w:ind w:right="1040" w:firstLine="308"/>
        <w:jc w:val="both"/>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1"/>
        </w:rPr>
        <w:t> </w:t>
      </w:r>
      <w:r>
        <w:rPr>
          <w:rFonts w:ascii="宋体" w:hAnsi="宋体" w:cs="宋体" w:eastAsia="宋体" w:hint="default"/>
          <w:b/>
          <w:bCs/>
        </w:rPr>
        <w:t>张曙华先生</w:t>
      </w:r>
      <w:r>
        <w:rPr/>
        <w:t>，中国国籍，无境外永久居留权，</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12</w:t>
      </w:r>
      <w:r>
        <w:rPr/>
        <w:t>月出生，本科学历。</w:t>
      </w:r>
      <w:r>
        <w:rPr>
          <w:rFonts w:ascii="Times New Roman" w:hAnsi="Times New Roman" w:cs="Times New Roman" w:eastAsia="Times New Roman" w:hint="default"/>
        </w:rPr>
        <w:t>1993</w:t>
      </w:r>
      <w:r>
        <w:rPr/>
        <w:t>年至</w:t>
      </w:r>
      <w:r>
        <w:rPr>
          <w:rFonts w:ascii="Times New Roman" w:hAnsi="Times New Roman" w:cs="Times New Roman" w:eastAsia="Times New Roman" w:hint="default"/>
        </w:rPr>
        <w:t>1997</w:t>
      </w:r>
      <w:r>
        <w:rPr/>
        <w:t>年任上海中信电子发展公司 副总经</w:t>
      </w:r>
      <w:r>
        <w:rPr>
          <w:spacing w:val="75"/>
        </w:rPr>
        <w:t> </w:t>
      </w:r>
      <w:r>
        <w:rPr>
          <w:spacing w:val="-3"/>
        </w:rPr>
        <w:t>理；</w:t>
      </w:r>
      <w:r>
        <w:rPr>
          <w:rFonts w:ascii="Times New Roman" w:hAnsi="Times New Roman" w:cs="Times New Roman" w:eastAsia="Times New Roman" w:hint="default"/>
          <w:spacing w:val="-3"/>
        </w:rPr>
        <w:t>1997</w:t>
      </w:r>
      <w:r>
        <w:rPr>
          <w:spacing w:val="-3"/>
        </w:rPr>
        <w:t>年</w:t>
      </w:r>
      <w:r>
        <w:rPr>
          <w:rFonts w:ascii="Times New Roman" w:hAnsi="Times New Roman" w:cs="Times New Roman" w:eastAsia="Times New Roman" w:hint="default"/>
          <w:spacing w:val="-3"/>
        </w:rPr>
        <w:t>10</w:t>
      </w:r>
      <w:r>
        <w:rPr>
          <w:spacing w:val="-3"/>
        </w:rPr>
        <w:t>月创办本公司，现任公司董事长、总裁，并兼任中信电子、金档信息、光典信息、追索信息执行董事。</w:t>
      </w:r>
    </w:p>
    <w:p>
      <w:pPr>
        <w:pStyle w:val="BodyText"/>
        <w:spacing w:line="300" w:lineRule="auto" w:before="133"/>
        <w:ind w:right="1128" w:firstLine="566"/>
        <w:jc w:val="both"/>
      </w:pPr>
      <w:r>
        <w:rPr/>
        <w:t>张曙华先生曾荣获</w:t>
      </w:r>
      <w:r>
        <w:rPr>
          <w:rFonts w:ascii="Times New Roman" w:hAnsi="Times New Roman" w:cs="Times New Roman" w:eastAsia="Times New Roman" w:hint="default"/>
        </w:rPr>
        <w:t>2015</w:t>
      </w:r>
      <w:r>
        <w:rPr/>
        <w:t>年静安区杰出人才奖；</w:t>
      </w:r>
      <w:r>
        <w:rPr>
          <w:rFonts w:ascii="Times New Roman" w:hAnsi="Times New Roman" w:cs="Times New Roman" w:eastAsia="Times New Roman" w:hint="default"/>
        </w:rPr>
        <w:t>2003</w:t>
      </w:r>
      <w:r>
        <w:rPr/>
        <w:t>年上海市科学技术进步奖二等奖，</w:t>
      </w:r>
      <w:r>
        <w:rPr>
          <w:rFonts w:ascii="Times New Roman" w:hAnsi="Times New Roman" w:cs="Times New Roman" w:eastAsia="Times New Roman" w:hint="default"/>
        </w:rPr>
        <w:t>2009</w:t>
      </w:r>
      <w:r>
        <w:rPr/>
        <w:t>年度上海市科技进步奖， </w:t>
      </w:r>
      <w:r>
        <w:rPr>
          <w:rFonts w:ascii="Times New Roman" w:hAnsi="Times New Roman" w:cs="Times New Roman" w:eastAsia="Times New Roman" w:hint="default"/>
        </w:rPr>
        <w:t>“2009</w:t>
      </w:r>
      <w:r>
        <w:rPr/>
        <w:t>年度上海市软件行业标兵</w:t>
      </w:r>
      <w:r>
        <w:rPr>
          <w:rFonts w:ascii="Times New Roman" w:hAnsi="Times New Roman" w:cs="Times New Roman" w:eastAsia="Times New Roman" w:hint="default"/>
        </w:rPr>
        <w:t>”</w:t>
      </w:r>
      <w:r>
        <w:rPr/>
        <w:t>称号，</w:t>
      </w:r>
      <w:r>
        <w:rPr>
          <w:rFonts w:ascii="Times New Roman" w:hAnsi="Times New Roman" w:cs="Times New Roman" w:eastAsia="Times New Roman" w:hint="default"/>
        </w:rPr>
        <w:t>“2009</w:t>
      </w:r>
      <w:r>
        <w:rPr/>
        <w:t>年度上海软件行业优秀企业家</w:t>
      </w:r>
      <w:r>
        <w:rPr>
          <w:rFonts w:ascii="Times New Roman" w:hAnsi="Times New Roman" w:cs="Times New Roman" w:eastAsia="Times New Roman" w:hint="default"/>
        </w:rPr>
        <w:t>”</w:t>
      </w:r>
      <w:r>
        <w:rPr/>
        <w:t>称号，</w:t>
      </w:r>
      <w:r>
        <w:rPr>
          <w:rFonts w:ascii="Times New Roman" w:hAnsi="Times New Roman" w:cs="Times New Roman" w:eastAsia="Times New Roman" w:hint="default"/>
        </w:rPr>
        <w:t>2010</w:t>
      </w:r>
      <w:r>
        <w:rPr/>
        <w:t>年度第三届</w:t>
      </w:r>
      <w:r>
        <w:rPr>
          <w:rFonts w:ascii="Times New Roman" w:hAnsi="Times New Roman" w:cs="Times New Roman" w:eastAsia="Times New Roman" w:hint="default"/>
        </w:rPr>
        <w:t>“</w:t>
      </w:r>
      <w:r>
        <w:rPr/>
        <w:t>上海市静安区优秀中国</w:t>
      </w:r>
      <w:r>
        <w:rPr>
          <w:spacing w:val="-44"/>
        </w:rPr>
        <w:t> </w:t>
      </w:r>
      <w:r>
        <w:rPr/>
        <w:t>特色社会主义事业建设者</w:t>
      </w:r>
      <w:r>
        <w:rPr>
          <w:rFonts w:ascii="Times New Roman" w:hAnsi="Times New Roman" w:cs="Times New Roman" w:eastAsia="Times New Roman" w:hint="default"/>
        </w:rPr>
        <w:t>”</w:t>
      </w:r>
      <w:r>
        <w:rPr/>
        <w:t>称号，</w:t>
      </w:r>
      <w:r>
        <w:rPr>
          <w:rFonts w:ascii="Times New Roman" w:hAnsi="Times New Roman" w:cs="Times New Roman" w:eastAsia="Times New Roman" w:hint="default"/>
        </w:rPr>
        <w:t>2011</w:t>
      </w:r>
      <w:r>
        <w:rPr/>
        <w:t>年度上海市档案科技研究成果奖三等奖，</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w:t>
      </w:r>
      <w:r>
        <w:rPr/>
        <w:t>静安区第三批领军人才</w:t>
      </w:r>
      <w:r>
        <w:rPr>
          <w:rFonts w:ascii="Times New Roman" w:hAnsi="Times New Roman" w:cs="Times New Roman" w:eastAsia="Times New Roman" w:hint="default"/>
        </w:rPr>
        <w:t>”</w:t>
      </w:r>
      <w:r>
        <w:rPr/>
        <w:t>。目前张曙</w:t>
      </w:r>
      <w:r>
        <w:rPr>
          <w:spacing w:val="-55"/>
        </w:rPr>
        <w:t> </w:t>
      </w:r>
      <w:r>
        <w:rPr>
          <w:spacing w:val="-55"/>
        </w:rPr>
      </w:r>
      <w:r>
        <w:rPr/>
        <w:t>华担任的社会职务：上海市静安区政协委员，上海市静安区工商业联合会（商会）副会长。</w:t>
      </w:r>
    </w:p>
    <w:p>
      <w:pPr>
        <w:pStyle w:val="BodyText"/>
        <w:spacing w:line="300" w:lineRule="auto" w:before="151"/>
        <w:ind w:right="1130" w:firstLine="385"/>
        <w:jc w:val="both"/>
      </w:pPr>
      <w:r>
        <w:rPr>
          <w:rFonts w:ascii="Times New Roman" w:hAnsi="Times New Roman" w:cs="Times New Roman" w:eastAsia="Times New Roman" w:hint="default"/>
          <w:b/>
          <w:bCs/>
        </w:rPr>
        <w:t>2.</w:t>
      </w:r>
      <w:r>
        <w:rPr>
          <w:rFonts w:ascii="宋体" w:hAnsi="宋体" w:cs="宋体" w:eastAsia="宋体" w:hint="default"/>
          <w:b/>
          <w:bCs/>
        </w:rPr>
        <w:t>杨安荣先生</w:t>
      </w:r>
      <w:r>
        <w:rPr/>
        <w:t>，中国国籍，无境外永久居留权，</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10</w:t>
      </w:r>
      <w:r>
        <w:rPr/>
        <w:t>月出生，工学博士，教授级高级工程师。</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3</w:t>
      </w:r>
      <w:r>
        <w:rPr/>
        <w:t>月起就职于 中信有限，历任公司项目经理、产品部经理、软件部经理、技术总监、副总经理等职，现任公司董事，副总裁。</w:t>
      </w:r>
    </w:p>
    <w:p>
      <w:pPr>
        <w:pStyle w:val="BodyText"/>
        <w:spacing w:line="300" w:lineRule="auto" w:before="31"/>
        <w:ind w:right="1118" w:firstLine="362"/>
        <w:jc w:val="both"/>
      </w:pPr>
      <w:r>
        <w:rPr/>
        <w:t>杨安荣先生曾荣获</w:t>
      </w:r>
      <w:r>
        <w:rPr>
          <w:rFonts w:ascii="Times New Roman" w:hAnsi="Times New Roman" w:cs="Times New Roman" w:eastAsia="Times New Roman" w:hint="default"/>
        </w:rPr>
        <w:t>2001-2003</w:t>
      </w:r>
      <w:r>
        <w:rPr/>
        <w:t>年度</w:t>
      </w:r>
      <w:r>
        <w:rPr>
          <w:rFonts w:ascii="Times New Roman" w:hAnsi="Times New Roman" w:cs="Times New Roman" w:eastAsia="Times New Roman" w:hint="default"/>
        </w:rPr>
        <w:t>“</w:t>
      </w:r>
      <w:r>
        <w:rPr/>
        <w:t>静安区先进生产（工作）者</w:t>
      </w:r>
      <w:r>
        <w:rPr>
          <w:rFonts w:ascii="Times New Roman" w:hAnsi="Times New Roman" w:cs="Times New Roman" w:eastAsia="Times New Roman" w:hint="default"/>
        </w:rPr>
        <w:t>”</w:t>
      </w:r>
      <w:r>
        <w:rPr/>
        <w:t>称号，</w:t>
      </w:r>
      <w:r>
        <w:rPr>
          <w:rFonts w:ascii="Times New Roman" w:hAnsi="Times New Roman" w:cs="Times New Roman" w:eastAsia="Times New Roman" w:hint="default"/>
        </w:rPr>
        <w:t>2003</w:t>
      </w:r>
      <w:r>
        <w:rPr/>
        <w:t>年上海市科技进步二等奖，</w:t>
      </w:r>
      <w:r>
        <w:rPr>
          <w:rFonts w:ascii="Times New Roman" w:hAnsi="Times New Roman" w:cs="Times New Roman" w:eastAsia="Times New Roman" w:hint="default"/>
        </w:rPr>
        <w:t>2005</w:t>
      </w:r>
      <w:r>
        <w:rPr/>
        <w:t>年上海市优</w:t>
      </w:r>
      <w:r>
        <w:rPr>
          <w:spacing w:val="1"/>
        </w:rPr>
        <w:t> </w:t>
      </w:r>
      <w:r>
        <w:rPr/>
        <w:t>秀</w:t>
      </w:r>
      <w:r>
        <w:rPr>
          <w:rFonts w:ascii="Times New Roman" w:hAnsi="Times New Roman" w:cs="Times New Roman" w:eastAsia="Times New Roman" w:hint="default"/>
        </w:rPr>
        <w:t>CIO</w:t>
      </w:r>
      <w:r>
        <w:rPr/>
        <w:t>（信息主管、信息中心主任）提名奖，</w:t>
      </w:r>
      <w:r>
        <w:rPr>
          <w:rFonts w:ascii="Times New Roman" w:hAnsi="Times New Roman" w:cs="Times New Roman" w:eastAsia="Times New Roman" w:hint="default"/>
        </w:rPr>
        <w:t>2006</w:t>
      </w:r>
      <w:r>
        <w:rPr/>
        <w:t>年度</w:t>
      </w:r>
      <w:r>
        <w:rPr>
          <w:rFonts w:ascii="Times New Roman" w:hAnsi="Times New Roman" w:cs="Times New Roman" w:eastAsia="Times New Roman" w:hint="default"/>
        </w:rPr>
        <w:t>“</w:t>
      </w:r>
      <w:r>
        <w:rPr/>
        <w:t>静安区科技创新标兵</w:t>
      </w:r>
      <w:r>
        <w:rPr>
          <w:rFonts w:ascii="Times New Roman" w:hAnsi="Times New Roman" w:cs="Times New Roman" w:eastAsia="Times New Roman" w:hint="default"/>
        </w:rPr>
        <w:t>”</w:t>
      </w:r>
      <w:r>
        <w:rPr/>
        <w:t>称号，</w:t>
      </w:r>
      <w:r>
        <w:rPr>
          <w:rFonts w:ascii="Times New Roman" w:hAnsi="Times New Roman" w:cs="Times New Roman" w:eastAsia="Times New Roman" w:hint="default"/>
        </w:rPr>
        <w:t>2009</w:t>
      </w:r>
      <w:r>
        <w:rPr/>
        <w:t>年上海市科技进步三等奖，</w:t>
      </w:r>
      <w:r>
        <w:rPr>
          <w:rFonts w:ascii="Times New Roman" w:hAnsi="Times New Roman" w:cs="Times New Roman" w:eastAsia="Times New Roman" w:hint="default"/>
        </w:rPr>
        <w:t>2009</w:t>
      </w:r>
      <w:r>
        <w:rPr/>
        <w:t>、 </w:t>
      </w:r>
      <w:r>
        <w:rPr>
          <w:rFonts w:ascii="Times New Roman" w:hAnsi="Times New Roman" w:cs="Times New Roman" w:eastAsia="Times New Roman" w:hint="default"/>
          <w:spacing w:val="-2"/>
        </w:rPr>
        <w:t>2013</w:t>
      </w:r>
      <w:r>
        <w:rPr>
          <w:spacing w:val="-2"/>
        </w:rPr>
        <w:t>年度</w:t>
      </w:r>
      <w:r>
        <w:rPr>
          <w:rFonts w:ascii="Times New Roman" w:hAnsi="Times New Roman" w:cs="Times New Roman" w:eastAsia="Times New Roman" w:hint="default"/>
          <w:spacing w:val="-2"/>
        </w:rPr>
        <w:t>“</w:t>
      </w:r>
      <w:r>
        <w:rPr>
          <w:spacing w:val="-2"/>
        </w:rPr>
        <w:t>上海市软件行业标兵</w:t>
      </w:r>
      <w:r>
        <w:rPr>
          <w:rFonts w:ascii="Times New Roman" w:hAnsi="Times New Roman" w:cs="Times New Roman" w:eastAsia="Times New Roman" w:hint="default"/>
          <w:spacing w:val="-2"/>
        </w:rPr>
        <w:t>”</w:t>
      </w:r>
      <w:r>
        <w:rPr>
          <w:spacing w:val="-2"/>
        </w:rPr>
        <w:t>称号，</w:t>
      </w:r>
      <w:r>
        <w:rPr>
          <w:rFonts w:ascii="Times New Roman" w:hAnsi="Times New Roman" w:cs="Times New Roman" w:eastAsia="Times New Roman" w:hint="default"/>
          <w:spacing w:val="-2"/>
        </w:rPr>
        <w:t>2011</w:t>
      </w:r>
      <w:r>
        <w:rPr>
          <w:spacing w:val="-2"/>
        </w:rPr>
        <w:t>年中国技术市场协会第五届金桥奖先进个人，</w:t>
      </w:r>
      <w:r>
        <w:rPr>
          <w:rFonts w:ascii="Times New Roman" w:hAnsi="Times New Roman" w:cs="Times New Roman" w:eastAsia="Times New Roman" w:hint="default"/>
          <w:spacing w:val="-2"/>
        </w:rPr>
        <w:t>2012</w:t>
      </w:r>
      <w:r>
        <w:rPr>
          <w:spacing w:val="-2"/>
        </w:rPr>
        <w:t>年静安区第七批优秀中青年拔</w:t>
      </w:r>
      <w:r>
        <w:rPr>
          <w:spacing w:val="-31"/>
        </w:rPr>
        <w:t> </w:t>
      </w:r>
      <w:r>
        <w:rPr>
          <w:spacing w:val="-2"/>
        </w:rPr>
        <w:t>尖人才。</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w:t>
      </w:r>
      <w:r>
        <w:rPr>
          <w:spacing w:val="-2"/>
        </w:rPr>
        <w:t>月起至今被上海市财政局聘为上海市政府采购评审专家。</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月起至今被上海市经信委聘为专项资金评</w:t>
      </w:r>
      <w:r>
        <w:rPr>
          <w:spacing w:val="-54"/>
        </w:rPr>
        <w:t> </w:t>
      </w:r>
      <w:r>
        <w:rPr/>
        <w:t>审专家。</w:t>
      </w:r>
    </w:p>
    <w:p>
      <w:pPr>
        <w:pStyle w:val="BodyText"/>
        <w:spacing w:line="300" w:lineRule="auto" w:before="151"/>
        <w:ind w:right="1131" w:firstLine="385"/>
        <w:jc w:val="both"/>
      </w:pPr>
      <w:r>
        <w:rPr>
          <w:rFonts w:ascii="Times New Roman" w:hAnsi="Times New Roman" w:cs="Times New Roman" w:eastAsia="Times New Roman" w:hint="default"/>
          <w:b/>
          <w:bCs/>
        </w:rPr>
        <w:t>3.</w:t>
      </w:r>
      <w:r>
        <w:rPr>
          <w:rFonts w:ascii="宋体" w:hAnsi="宋体" w:cs="宋体" w:eastAsia="宋体" w:hint="default"/>
          <w:b/>
          <w:bCs/>
        </w:rPr>
        <w:t>李志卿先生</w:t>
      </w:r>
      <w:r>
        <w:rPr/>
        <w:t>，中国国籍，无境外永久居留权，</w:t>
      </w:r>
      <w:r>
        <w:rPr>
          <w:rFonts w:ascii="Times New Roman" w:hAnsi="Times New Roman" w:cs="Times New Roman" w:eastAsia="Times New Roman" w:hint="default"/>
        </w:rPr>
        <w:t>1973</w:t>
      </w:r>
      <w:r>
        <w:rPr/>
        <w:t>年</w:t>
      </w:r>
      <w:r>
        <w:rPr>
          <w:rFonts w:ascii="Times New Roman" w:hAnsi="Times New Roman" w:cs="Times New Roman" w:eastAsia="Times New Roman" w:hint="default"/>
        </w:rPr>
        <w:t>4</w:t>
      </w:r>
      <w:r>
        <w:rPr/>
        <w:t>月出生，本科学历，高级项目经理，信息系统项目管理师（高 </w:t>
      </w:r>
      <w:r>
        <w:rPr>
          <w:spacing w:val="-2"/>
        </w:rPr>
        <w:t>级）。</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2</w:t>
      </w:r>
      <w:r>
        <w:rPr>
          <w:spacing w:val="-2"/>
        </w:rPr>
        <w:t>月至</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2</w:t>
      </w:r>
      <w:r>
        <w:rPr>
          <w:spacing w:val="-2"/>
        </w:rPr>
        <w:t>月任江苏兰德软件有限公司产品经理；</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9</w:t>
      </w:r>
      <w:r>
        <w:rPr>
          <w:spacing w:val="-2"/>
        </w:rPr>
        <w:t>月任上海启明软件股份有限公司产品</w:t>
      </w:r>
      <w:r>
        <w:rPr>
          <w:spacing w:val="-46"/>
        </w:rPr>
        <w:t> </w:t>
      </w:r>
      <w:r>
        <w:rPr>
          <w:spacing w:val="-2"/>
        </w:rPr>
        <w:t>经理；</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7</w:t>
      </w:r>
      <w:r>
        <w:rPr>
          <w:spacing w:val="-2"/>
        </w:rPr>
        <w:t>月任上海仲尼软件有限公司技术总监；</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8</w:t>
      </w:r>
      <w:r>
        <w:rPr>
          <w:spacing w:val="-2"/>
        </w:rPr>
        <w:t>月起就职于中信有限，历任技术总监、档案事业</w:t>
      </w:r>
      <w:r>
        <w:rPr>
          <w:spacing w:val="-48"/>
        </w:rPr>
        <w:t> </w:t>
      </w:r>
      <w:r>
        <w:rPr>
          <w:spacing w:val="-48"/>
        </w:rPr>
      </w:r>
      <w:r>
        <w:rPr/>
        <w:t>部总经理、产品技术中心副总经理，现任公司董事、数字档案室事业部总经理。</w:t>
      </w:r>
    </w:p>
    <w:p>
      <w:pPr>
        <w:pStyle w:val="BodyText"/>
        <w:spacing w:line="300" w:lineRule="auto" w:before="32"/>
        <w:ind w:right="1132" w:firstLine="290"/>
        <w:jc w:val="both"/>
      </w:pPr>
      <w:r>
        <w:rPr/>
        <w:t>李志卿先生曾荣获</w:t>
      </w:r>
      <w:r>
        <w:rPr>
          <w:rFonts w:ascii="Times New Roman" w:hAnsi="Times New Roman" w:cs="Times New Roman" w:eastAsia="Times New Roman" w:hint="default"/>
        </w:rPr>
        <w:t>“2009</w:t>
      </w:r>
      <w:r>
        <w:rPr/>
        <w:t>年度上海市软件行业标兵</w:t>
      </w:r>
      <w:r>
        <w:rPr>
          <w:rFonts w:ascii="Times New Roman" w:hAnsi="Times New Roman" w:cs="Times New Roman" w:eastAsia="Times New Roman" w:hint="default"/>
        </w:rPr>
        <w:t>”</w:t>
      </w:r>
      <w:r>
        <w:rPr/>
        <w:t>称号，</w:t>
      </w:r>
      <w:r>
        <w:rPr>
          <w:rFonts w:ascii="Times New Roman" w:hAnsi="Times New Roman" w:cs="Times New Roman" w:eastAsia="Times New Roman" w:hint="default"/>
        </w:rPr>
        <w:t>2009</w:t>
      </w:r>
      <w:r>
        <w:rPr/>
        <w:t>年度上海市科技进步奖，</w:t>
      </w:r>
      <w:r>
        <w:rPr>
          <w:rFonts w:ascii="Times New Roman" w:hAnsi="Times New Roman" w:cs="Times New Roman" w:eastAsia="Times New Roman" w:hint="default"/>
        </w:rPr>
        <w:t>2011</w:t>
      </w:r>
      <w:r>
        <w:rPr/>
        <w:t>年度上海市档案科技研究成 果奖三等奖。</w:t>
      </w:r>
    </w:p>
    <w:p>
      <w:pPr>
        <w:pStyle w:val="BodyText"/>
        <w:spacing w:line="240" w:lineRule="auto" w:before="151"/>
        <w:ind w:left="1442" w:right="0"/>
        <w:jc w:val="left"/>
      </w:pPr>
      <w:r>
        <w:rPr>
          <w:rFonts w:ascii="Times New Roman" w:hAnsi="Times New Roman" w:cs="Times New Roman" w:eastAsia="Times New Roman" w:hint="default"/>
          <w:b/>
          <w:bCs/>
        </w:rPr>
        <w:t>4.</w:t>
      </w:r>
      <w:r>
        <w:rPr>
          <w:rFonts w:ascii="宋体" w:hAnsi="宋体" w:cs="宋体" w:eastAsia="宋体" w:hint="default"/>
          <w:b/>
          <w:bCs/>
        </w:rPr>
        <w:t>张颖女士，</w:t>
      </w:r>
      <w:r>
        <w:rPr/>
        <w:t>中国国籍，无境外永久居留权，</w:t>
      </w:r>
      <w:r>
        <w:rPr>
          <w:rFonts w:ascii="Times New Roman" w:hAnsi="Times New Roman" w:cs="Times New Roman" w:eastAsia="Times New Roman" w:hint="default"/>
        </w:rPr>
        <w:t>1978</w:t>
      </w:r>
      <w:r>
        <w:rPr/>
        <w:t>年</w:t>
      </w:r>
      <w:r>
        <w:rPr>
          <w:rFonts w:ascii="Times New Roman" w:hAnsi="Times New Roman" w:cs="Times New Roman" w:eastAsia="Times New Roman" w:hint="default"/>
        </w:rPr>
        <w:t>12</w:t>
      </w:r>
      <w:r>
        <w:rPr/>
        <w:t>月出生，研究生学历，注册国际财务管理师（高级）。</w:t>
      </w:r>
      <w:r>
        <w:rPr>
          <w:rFonts w:ascii="Times New Roman" w:hAnsi="Times New Roman" w:cs="Times New Roman" w:eastAsia="Times New Roman" w:hint="default"/>
        </w:rPr>
        <w:t>2000</w:t>
      </w:r>
      <w:r>
        <w:rPr/>
        <w:t>年至</w:t>
      </w:r>
    </w:p>
    <w:p>
      <w:pPr>
        <w:pStyle w:val="BodyText"/>
        <w:spacing w:line="240" w:lineRule="auto" w:before="63"/>
        <w:ind w:right="0"/>
        <w:jc w:val="left"/>
      </w:pPr>
      <w:r>
        <w:rPr>
          <w:rFonts w:ascii="Times New Roman" w:hAnsi="Times New Roman" w:cs="Times New Roman" w:eastAsia="Times New Roman" w:hint="default"/>
        </w:rPr>
        <w:t>2002</w:t>
      </w:r>
      <w:r>
        <w:rPr/>
        <w:t>年任上海台丰食品有限公司成本会计；</w:t>
      </w:r>
      <w:r>
        <w:rPr>
          <w:rFonts w:ascii="Times New Roman" w:hAnsi="Times New Roman" w:cs="Times New Roman" w:eastAsia="Times New Roman" w:hint="default"/>
        </w:rPr>
        <w:t>2002</w:t>
      </w:r>
      <w:r>
        <w:rPr/>
        <w:t>年至</w:t>
      </w:r>
      <w:r>
        <w:rPr>
          <w:rFonts w:ascii="Times New Roman" w:hAnsi="Times New Roman" w:cs="Times New Roman" w:eastAsia="Times New Roman" w:hint="default"/>
        </w:rPr>
        <w:t>2005</w:t>
      </w:r>
      <w:r>
        <w:rPr/>
        <w:t>年任上海中纺电子系统有限公司主管会计；</w:t>
      </w:r>
      <w:r>
        <w:rPr>
          <w:rFonts w:ascii="Times New Roman" w:hAnsi="Times New Roman" w:cs="Times New Roman" w:eastAsia="Times New Roman" w:hint="default"/>
        </w:rPr>
        <w:t>2006</w:t>
      </w:r>
      <w:r>
        <w:rPr/>
        <w:t>年起就职于中信有</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439" w:lineRule="auto"/>
        <w:ind w:left="1613" w:right="4633" w:hanging="480"/>
        <w:jc w:val="left"/>
      </w:pPr>
      <w:r>
        <w:rPr/>
        <w:t>限，任公司财务部经理。现任公司董事、财务总监，兼任追索信息财务总监。 目前张颖担任上海市普陀区长征镇人大代表。</w:t>
      </w:r>
    </w:p>
    <w:p>
      <w:pPr>
        <w:pStyle w:val="BodyText"/>
        <w:spacing w:line="300" w:lineRule="auto" w:before="47"/>
        <w:ind w:right="1129" w:firstLine="308"/>
        <w:jc w:val="both"/>
      </w:pPr>
      <w:r>
        <w:rPr>
          <w:rFonts w:ascii="Times New Roman" w:hAnsi="Times New Roman" w:cs="Times New Roman" w:eastAsia="Times New Roman" w:hint="default"/>
          <w:b/>
          <w:bCs/>
        </w:rPr>
        <w:t>5.</w:t>
      </w:r>
      <w:r>
        <w:rPr>
          <w:rFonts w:ascii="宋体" w:hAnsi="宋体" w:cs="宋体" w:eastAsia="宋体" w:hint="default"/>
          <w:b/>
          <w:bCs/>
        </w:rPr>
        <w:t>张元利先生，</w:t>
      </w:r>
      <w:r>
        <w:rPr/>
        <w:t>中国国籍，无境外永久居留权，</w:t>
      </w:r>
      <w:r>
        <w:rPr>
          <w:rFonts w:ascii="Times New Roman" w:hAnsi="Times New Roman" w:cs="Times New Roman" w:eastAsia="Times New Roman" w:hint="default"/>
        </w:rPr>
        <w:t>1973</w:t>
      </w:r>
      <w:r>
        <w:rPr/>
        <w:t>年</w:t>
      </w:r>
      <w:r>
        <w:rPr>
          <w:rFonts w:ascii="Times New Roman" w:hAnsi="Times New Roman" w:cs="Times New Roman" w:eastAsia="Times New Roman" w:hint="default"/>
        </w:rPr>
        <w:t>11</w:t>
      </w:r>
      <w:r>
        <w:rPr/>
        <w:t>月出生，研究生学历。</w:t>
      </w:r>
      <w:r>
        <w:rPr>
          <w:rFonts w:ascii="Times New Roman" w:hAnsi="Times New Roman" w:cs="Times New Roman" w:eastAsia="Times New Roman" w:hint="default"/>
        </w:rPr>
        <w:t>1996</w:t>
      </w:r>
      <w:r>
        <w:rPr/>
        <w:t>年至</w:t>
      </w:r>
      <w:r>
        <w:rPr>
          <w:rFonts w:ascii="Times New Roman" w:hAnsi="Times New Roman" w:cs="Times New Roman" w:eastAsia="Times New Roman" w:hint="default"/>
        </w:rPr>
        <w:t>2003</w:t>
      </w:r>
      <w:r>
        <w:rPr/>
        <w:t>年任泰安市卫生局医学仪 </w:t>
      </w:r>
      <w:r>
        <w:rPr>
          <w:spacing w:val="-5"/>
        </w:rPr>
        <w:t>器研究所（医疗器械维修管理站）副主任；</w:t>
      </w:r>
      <w:r>
        <w:rPr>
          <w:rFonts w:ascii="Times New Roman" w:hAnsi="Times New Roman" w:cs="Times New Roman" w:eastAsia="Times New Roman" w:hint="default"/>
          <w:spacing w:val="-5"/>
        </w:rPr>
        <w:t>2003</w:t>
      </w:r>
      <w:r>
        <w:rPr>
          <w:spacing w:val="-5"/>
        </w:rPr>
        <w:t>年至</w:t>
      </w:r>
      <w:r>
        <w:rPr>
          <w:rFonts w:ascii="Times New Roman" w:hAnsi="Times New Roman" w:cs="Times New Roman" w:eastAsia="Times New Roman" w:hint="default"/>
          <w:spacing w:val="-5"/>
        </w:rPr>
        <w:t>2005</w:t>
      </w:r>
      <w:r>
        <w:rPr>
          <w:spacing w:val="-5"/>
        </w:rPr>
        <w:t>年就职于联合软件，先后任部门经理、项目技术总监；</w:t>
      </w:r>
      <w:r>
        <w:rPr>
          <w:rFonts w:ascii="Times New Roman" w:hAnsi="Times New Roman" w:cs="Times New Roman" w:eastAsia="Times New Roman" w:hint="default"/>
          <w:spacing w:val="-5"/>
        </w:rPr>
        <w:t>2005</w:t>
      </w:r>
      <w:r>
        <w:rPr>
          <w:spacing w:val="-5"/>
        </w:rPr>
        <w:t>年至</w:t>
      </w:r>
      <w:r>
        <w:rPr>
          <w:rFonts w:ascii="Times New Roman" w:hAnsi="Times New Roman" w:cs="Times New Roman" w:eastAsia="Times New Roman" w:hint="default"/>
          <w:spacing w:val="-5"/>
        </w:rPr>
        <w:t>2008</w:t>
      </w:r>
      <w:r>
        <w:rPr>
          <w:rFonts w:ascii="Times New Roman" w:hAnsi="Times New Roman" w:cs="Times New Roman" w:eastAsia="Times New Roman" w:hint="default"/>
          <w:spacing w:val="6"/>
        </w:rPr>
        <w:t> </w:t>
      </w:r>
      <w:r>
        <w:rPr/>
        <w:t>年任山大鲁能易通信息科技有限公司部门经理。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月起就职于中信有限，现任公司董事、项目管理中心总经理。</w:t>
      </w:r>
    </w:p>
    <w:p>
      <w:pPr>
        <w:pStyle w:val="BodyText"/>
        <w:spacing w:line="240" w:lineRule="auto" w:before="133"/>
        <w:ind w:left="1442" w:right="0"/>
        <w:jc w:val="left"/>
      </w:pPr>
      <w:r>
        <w:rPr>
          <w:rFonts w:ascii="Times New Roman" w:hAnsi="Times New Roman" w:cs="Times New Roman" w:eastAsia="Times New Roman" w:hint="default"/>
          <w:b/>
          <w:bCs/>
          <w:spacing w:val="-3"/>
        </w:rPr>
        <w:t>6.</w:t>
      </w:r>
      <w:r>
        <w:rPr>
          <w:rFonts w:ascii="宋体" w:hAnsi="宋体" w:cs="宋体" w:eastAsia="宋体" w:hint="default"/>
          <w:b/>
          <w:bCs/>
          <w:spacing w:val="-3"/>
        </w:rPr>
        <w:t>尹於舜先生</w:t>
      </w:r>
      <w:r>
        <w:rPr>
          <w:spacing w:val="-3"/>
        </w:rPr>
        <w:t>，中国国籍，无境外永久居留权，</w:t>
      </w:r>
      <w:r>
        <w:rPr>
          <w:rFonts w:ascii="Times New Roman" w:hAnsi="Times New Roman" w:cs="Times New Roman" w:eastAsia="Times New Roman" w:hint="default"/>
          <w:spacing w:val="-3"/>
        </w:rPr>
        <w:t>1964</w:t>
      </w:r>
      <w:r>
        <w:rPr>
          <w:spacing w:val="-3"/>
        </w:rPr>
        <w:t>年</w:t>
      </w:r>
      <w:r>
        <w:rPr>
          <w:rFonts w:ascii="Times New Roman" w:hAnsi="Times New Roman" w:cs="Times New Roman" w:eastAsia="Times New Roman" w:hint="default"/>
          <w:spacing w:val="-3"/>
        </w:rPr>
        <w:t>4</w:t>
      </w:r>
      <w:r>
        <w:rPr>
          <w:spacing w:val="-3"/>
        </w:rPr>
        <w:t>月出生，博士学历。</w:t>
      </w:r>
      <w:r>
        <w:rPr>
          <w:rFonts w:ascii="Times New Roman" w:hAnsi="Times New Roman" w:cs="Times New Roman" w:eastAsia="Times New Roman" w:hint="default"/>
          <w:spacing w:val="-3"/>
        </w:rPr>
        <w:t>1988</w:t>
      </w:r>
      <w:r>
        <w:rPr>
          <w:spacing w:val="-3"/>
        </w:rPr>
        <w:t>年至</w:t>
      </w:r>
      <w:r>
        <w:rPr>
          <w:rFonts w:ascii="Times New Roman" w:hAnsi="Times New Roman" w:cs="Times New Roman" w:eastAsia="Times New Roman" w:hint="default"/>
          <w:spacing w:val="-3"/>
        </w:rPr>
        <w:t>1990</w:t>
      </w:r>
      <w:r>
        <w:rPr>
          <w:spacing w:val="-3"/>
        </w:rPr>
        <w:t>年任中央财经大学金融系讲师，</w:t>
      </w:r>
    </w:p>
    <w:p>
      <w:pPr>
        <w:pStyle w:val="BodyText"/>
        <w:spacing w:line="314" w:lineRule="auto" w:before="63"/>
        <w:ind w:right="1033"/>
        <w:jc w:val="left"/>
      </w:pPr>
      <w:r>
        <w:rPr>
          <w:rFonts w:ascii="Times New Roman" w:hAnsi="Times New Roman" w:cs="Times New Roman" w:eastAsia="Times New Roman" w:hint="default"/>
        </w:rPr>
        <w:t>1990</w:t>
      </w:r>
      <w:r>
        <w:rPr/>
        <w:t>年至</w:t>
      </w:r>
      <w:r>
        <w:rPr>
          <w:rFonts w:ascii="Times New Roman" w:hAnsi="Times New Roman" w:cs="Times New Roman" w:eastAsia="Times New Roman" w:hint="default"/>
        </w:rPr>
        <w:t>1992</w:t>
      </w:r>
      <w:r>
        <w:rPr/>
        <w:t>年任中国京安公司金融部经理，</w:t>
      </w:r>
      <w:r>
        <w:rPr>
          <w:rFonts w:ascii="Times New Roman" w:hAnsi="Times New Roman" w:cs="Times New Roman" w:eastAsia="Times New Roman" w:hint="default"/>
        </w:rPr>
        <w:t>1993</w:t>
      </w:r>
      <w:r>
        <w:rPr/>
        <w:t>年至</w:t>
      </w:r>
      <w:r>
        <w:rPr>
          <w:rFonts w:ascii="Times New Roman" w:hAnsi="Times New Roman" w:cs="Times New Roman" w:eastAsia="Times New Roman" w:hint="default"/>
        </w:rPr>
        <w:t>1999</w:t>
      </w:r>
      <w:r>
        <w:rPr/>
        <w:t>年任珠海经济特区金图实业公司董事长兼总经理。</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7</w:t>
      </w:r>
      <w:r>
        <w:rPr/>
        <w:t>月起</w:t>
      </w:r>
      <w:r>
        <w:rPr>
          <w:spacing w:val="-86"/>
        </w:rPr>
        <w:t> </w:t>
      </w:r>
      <w:r>
        <w:rPr>
          <w:spacing w:val="-2"/>
        </w:rPr>
        <w:t>就职于深圳市创新投资集团有限公司，现任深圳市创新投资集团有限公司沪浙区域总经理，并兼任上海创新投资管理有限公</w:t>
      </w:r>
      <w:r>
        <w:rPr>
          <w:spacing w:val="-64"/>
        </w:rPr>
        <w:t> </w:t>
      </w:r>
      <w:r>
        <w:rPr>
          <w:spacing w:val="-64"/>
        </w:rPr>
      </w:r>
      <w:r>
        <w:rPr/>
        <w:t>司总经理，上海红土创业投资有限公司董事，浙江红土创业投资有限公司董事、总经理，杭州红土创业投资有限公司董事、 </w:t>
      </w:r>
      <w:r>
        <w:rPr>
          <w:spacing w:val="-2"/>
        </w:rPr>
        <w:t>总经理，福建华威股份有限公司董事，云南丽都花卉发展有限公司副董事长，博康智能网络科技股份有限公司董事，汉鼎信</w:t>
      </w:r>
      <w:r>
        <w:rPr>
          <w:spacing w:val="-65"/>
        </w:rPr>
        <w:t> </w:t>
      </w:r>
      <w:r>
        <w:rPr>
          <w:spacing w:val="-65"/>
        </w:rPr>
      </w:r>
      <w:r>
        <w:rPr/>
        <w:t>息科技股份有限公司董事。</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月至今任公司董事。</w:t>
      </w:r>
    </w:p>
    <w:p>
      <w:pPr>
        <w:pStyle w:val="BodyText"/>
        <w:spacing w:line="307" w:lineRule="auto" w:before="121"/>
        <w:ind w:right="1130" w:firstLine="308"/>
        <w:jc w:val="both"/>
      </w:pPr>
      <w:r>
        <w:rPr>
          <w:rFonts w:ascii="Times New Roman" w:hAnsi="Times New Roman" w:cs="Times New Roman" w:eastAsia="Times New Roman" w:hint="default"/>
          <w:b/>
          <w:bCs/>
          <w:spacing w:val="-2"/>
        </w:rPr>
        <w:t>7.</w:t>
      </w:r>
      <w:r>
        <w:rPr>
          <w:rFonts w:ascii="宋体" w:hAnsi="宋体" w:cs="宋体" w:eastAsia="宋体" w:hint="default"/>
          <w:b/>
          <w:bCs/>
          <w:spacing w:val="-2"/>
        </w:rPr>
        <w:t>黄亚钧先生，</w:t>
      </w:r>
      <w:r>
        <w:rPr>
          <w:spacing w:val="-2"/>
        </w:rPr>
        <w:t>中国国籍，无境外永久居留权，</w:t>
      </w:r>
      <w:r>
        <w:rPr>
          <w:rFonts w:ascii="Times New Roman" w:hAnsi="Times New Roman" w:cs="Times New Roman" w:eastAsia="Times New Roman" w:hint="default"/>
          <w:spacing w:val="-2"/>
        </w:rPr>
        <w:t>1953</w:t>
      </w:r>
      <w:r>
        <w:rPr>
          <w:spacing w:val="-2"/>
        </w:rPr>
        <w:t>年</w:t>
      </w:r>
      <w:r>
        <w:rPr>
          <w:rFonts w:ascii="Times New Roman" w:hAnsi="Times New Roman" w:cs="Times New Roman" w:eastAsia="Times New Roman" w:hint="default"/>
          <w:spacing w:val="-2"/>
        </w:rPr>
        <w:t>1</w:t>
      </w:r>
      <w:r>
        <w:rPr>
          <w:spacing w:val="-2"/>
        </w:rPr>
        <w:t>月出生，博士学历，教授，博士生导师。历任复旦大学经济学院</w:t>
      </w:r>
      <w:r>
        <w:rPr/>
        <w:t> </w:t>
      </w:r>
      <w:r>
        <w:rPr>
          <w:spacing w:val="-2"/>
        </w:rPr>
        <w:t>副院长、院长，澳门大学副校长等职。现任复旦大学世界经济系主任，复旦大学证券研究所所长，东海证券有限责任公司独</w:t>
      </w:r>
      <w:r>
        <w:rPr>
          <w:spacing w:val="-66"/>
        </w:rPr>
        <w:t> </w:t>
      </w:r>
      <w:r>
        <w:rPr>
          <w:spacing w:val="-66"/>
        </w:rPr>
      </w:r>
      <w:r>
        <w:rPr>
          <w:spacing w:val="-2"/>
        </w:rPr>
        <w:t>立董事，上海欧迪芬内衣精品股份有限公司独立董事，上海紫江企业集团股份有限公司（紫江企业</w:t>
      </w:r>
      <w:r>
        <w:rPr>
          <w:rFonts w:ascii="Times New Roman" w:hAnsi="Times New Roman" w:cs="Times New Roman" w:eastAsia="Times New Roman" w:hint="default"/>
          <w:spacing w:val="-2"/>
        </w:rPr>
        <w:t>600210</w:t>
      </w:r>
      <w:r>
        <w:rPr>
          <w:spacing w:val="-2"/>
        </w:rPr>
        <w:t>）独立董事。现任</w:t>
      </w:r>
      <w:r>
        <w:rPr>
          <w:spacing w:val="-59"/>
        </w:rPr>
        <w:t> </w:t>
      </w:r>
      <w:r>
        <w:rPr>
          <w:spacing w:val="-59"/>
        </w:rPr>
      </w:r>
      <w:r>
        <w:rPr/>
        <w:t>公司独立董事。</w:t>
      </w:r>
    </w:p>
    <w:p>
      <w:pPr>
        <w:pStyle w:val="BodyText"/>
        <w:spacing w:line="312" w:lineRule="auto" w:before="146"/>
        <w:ind w:right="1130" w:firstLine="480"/>
        <w:jc w:val="both"/>
      </w:pPr>
      <w:r>
        <w:rPr>
          <w:spacing w:val="-1"/>
        </w:rPr>
        <w:t>黄亚钧先生曾先后兼任教育部经济学教学指导委员会副主任、中国国际贸易学会常务理事、中国世界经济学会常务理</w:t>
      </w:r>
      <w:r>
        <w:rPr/>
        <w:t> </w:t>
      </w:r>
      <w:r>
        <w:rPr>
          <w:spacing w:val="-2"/>
        </w:rPr>
        <w:t>事、中国美国经济学会副会长、上海证券研究学会副会长、上海证券交易所上证指数委员会委员、深圳证券交易所特聘专家</w:t>
      </w:r>
      <w:r>
        <w:rPr>
          <w:spacing w:val="-66"/>
        </w:rPr>
        <w:t> </w:t>
      </w:r>
      <w:r>
        <w:rPr>
          <w:spacing w:val="-66"/>
        </w:rPr>
      </w:r>
      <w:r>
        <w:rPr/>
        <w:t>等职务。享受国务院政府特殊津贴（</w:t>
      </w:r>
      <w:r>
        <w:rPr>
          <w:rFonts w:ascii="Times New Roman" w:hAnsi="Times New Roman" w:cs="Times New Roman" w:eastAsia="Times New Roman" w:hint="default"/>
        </w:rPr>
        <w:t>1996</w:t>
      </w:r>
      <w:r>
        <w:rPr/>
        <w:t>年），入选教育部首批跨世纪优秀人才（人文社会科学），荣获中宣部</w:t>
      </w:r>
      <w:r>
        <w:rPr>
          <w:rFonts w:ascii="Times New Roman" w:hAnsi="Times New Roman" w:cs="Times New Roman" w:eastAsia="Times New Roman" w:hint="default"/>
        </w:rPr>
        <w:t>“</w:t>
      </w:r>
      <w:r>
        <w:rPr/>
        <w:t>五个一工</w:t>
      </w:r>
      <w:r>
        <w:rPr>
          <w:spacing w:val="-74"/>
        </w:rPr>
        <w:t> </w:t>
      </w:r>
      <w:r>
        <w:rPr>
          <w:spacing w:val="-74"/>
        </w:rPr>
      </w:r>
      <w:r>
        <w:rPr/>
        <w:t>程</w:t>
      </w:r>
      <w:r>
        <w:rPr>
          <w:rFonts w:ascii="Times New Roman" w:hAnsi="Times New Roman" w:cs="Times New Roman" w:eastAsia="Times New Roman" w:hint="default"/>
        </w:rPr>
        <w:t>”</w:t>
      </w:r>
      <w:r>
        <w:rPr/>
        <w:t>奖。</w:t>
      </w:r>
    </w:p>
    <w:p>
      <w:pPr>
        <w:pStyle w:val="BodyText"/>
        <w:spacing w:line="309" w:lineRule="auto" w:before="123"/>
        <w:ind w:left="1134" w:right="1132" w:firstLine="308"/>
        <w:jc w:val="both"/>
      </w:pPr>
      <w:r>
        <w:rPr>
          <w:rFonts w:ascii="Times New Roman" w:hAnsi="Times New Roman" w:cs="Times New Roman" w:eastAsia="Times New Roman" w:hint="default"/>
          <w:b/>
          <w:bCs/>
        </w:rPr>
        <w:t>8.</w:t>
      </w:r>
      <w:r>
        <w:rPr>
          <w:rFonts w:ascii="宋体" w:hAnsi="宋体" w:cs="宋体" w:eastAsia="宋体" w:hint="default"/>
          <w:b/>
          <w:bCs/>
        </w:rPr>
        <w:t>刘红梅女士</w:t>
      </w:r>
      <w:r>
        <w:rPr/>
        <w:t>，中国国籍，无境外永久居留权，</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11</w:t>
      </w:r>
      <w:r>
        <w:rPr/>
        <w:t>月出生，博士学历，教授。历任上海交通大学安泰管理学院会 </w:t>
      </w:r>
      <w:r>
        <w:rPr>
          <w:spacing w:val="-2"/>
        </w:rPr>
        <w:t>计学教研室讲师，上海师范大学商学院财务管理系副教授等职。现任上海师范大学商学院财务管理系教授，并担任公司独立</w:t>
      </w:r>
      <w:r>
        <w:rPr>
          <w:spacing w:val="-65"/>
        </w:rPr>
        <w:t> </w:t>
      </w:r>
      <w:r>
        <w:rPr>
          <w:spacing w:val="-65"/>
        </w:rPr>
      </w:r>
      <w:r>
        <w:rPr/>
        <w:t>董事。</w:t>
      </w:r>
    </w:p>
    <w:p>
      <w:pPr>
        <w:pStyle w:val="BodyText"/>
        <w:spacing w:line="240" w:lineRule="auto" w:before="144"/>
        <w:ind w:left="1614" w:right="0"/>
        <w:jc w:val="left"/>
      </w:pPr>
      <w:r>
        <w:rPr/>
        <w:t>刘红梅女士为上海市政府采购评审专家，并获得上海市曙光学者，上海市教育系统三八红旗手荣誉称号。</w:t>
      </w:r>
    </w:p>
    <w:p>
      <w:pPr>
        <w:spacing w:line="240" w:lineRule="auto" w:before="0"/>
        <w:rPr>
          <w:rFonts w:ascii="宋体" w:hAnsi="宋体" w:cs="宋体" w:eastAsia="宋体" w:hint="default"/>
          <w:sz w:val="15"/>
          <w:szCs w:val="15"/>
        </w:rPr>
      </w:pPr>
    </w:p>
    <w:p>
      <w:pPr>
        <w:pStyle w:val="BodyText"/>
        <w:spacing w:line="304" w:lineRule="auto" w:before="0"/>
        <w:ind w:right="0" w:firstLine="308"/>
        <w:jc w:val="left"/>
      </w:pPr>
      <w:r>
        <w:rPr>
          <w:rFonts w:ascii="Times New Roman" w:hAnsi="Times New Roman" w:cs="Times New Roman" w:eastAsia="Times New Roman" w:hint="default"/>
          <w:b/>
          <w:bCs/>
          <w:spacing w:val="-2"/>
        </w:rPr>
        <w:t>9.</w:t>
      </w:r>
      <w:r>
        <w:rPr>
          <w:rFonts w:ascii="宋体" w:hAnsi="宋体" w:cs="宋体" w:eastAsia="宋体" w:hint="default"/>
          <w:b/>
          <w:bCs/>
          <w:spacing w:val="-2"/>
        </w:rPr>
        <w:t>刘运宏先生</w:t>
      </w:r>
      <w:r>
        <w:rPr>
          <w:spacing w:val="-2"/>
        </w:rPr>
        <w:t>，中国国籍，无境外永久居留权，</w:t>
      </w:r>
      <w:r>
        <w:rPr>
          <w:rFonts w:ascii="Times New Roman" w:hAnsi="Times New Roman" w:cs="Times New Roman" w:eastAsia="Times New Roman" w:hint="default"/>
          <w:spacing w:val="-2"/>
        </w:rPr>
        <w:t>1976</w:t>
      </w:r>
      <w:r>
        <w:rPr>
          <w:spacing w:val="-2"/>
        </w:rPr>
        <w:t>年</w:t>
      </w:r>
      <w:r>
        <w:rPr>
          <w:rFonts w:ascii="Times New Roman" w:hAnsi="Times New Roman" w:cs="Times New Roman" w:eastAsia="Times New Roman" w:hint="default"/>
          <w:spacing w:val="-2"/>
        </w:rPr>
        <w:t>11</w:t>
      </w:r>
      <w:r>
        <w:rPr>
          <w:spacing w:val="-2"/>
        </w:rPr>
        <w:t>月出生，经济学博士后、法学博士后。</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8</w:t>
      </w:r>
      <w:r>
        <w:rPr>
          <w:spacing w:val="-2"/>
        </w:rPr>
        <w:t>月，</w:t>
      </w:r>
      <w:r>
        <w:rPr/>
        <w:t> </w:t>
      </w:r>
      <w:r>
        <w:rPr>
          <w:spacing w:val="-2"/>
        </w:rPr>
        <w:t>任职国泰基金管理有限公司法律合规事务主管；</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月，任职上海证券交易所，从事基金产品开发和上市公</w:t>
      </w:r>
      <w:r>
        <w:rPr>
          <w:spacing w:val="-55"/>
        </w:rPr>
        <w:t> </w:t>
      </w:r>
      <w:r>
        <w:rPr>
          <w:spacing w:val="-55"/>
        </w:rPr>
      </w:r>
      <w:r>
        <w:rPr>
          <w:spacing w:val="-2"/>
        </w:rPr>
        <w:t>司监管工作；</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9</w:t>
      </w:r>
      <w:r>
        <w:rPr>
          <w:spacing w:val="-2"/>
        </w:rPr>
        <w:t>月任职航天证券有限责任公司投资银行总部总经理；</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10</w:t>
      </w:r>
      <w:r>
        <w:rPr>
          <w:spacing w:val="-2"/>
        </w:rPr>
        <w:t>月至今任华宝证券有限责任</w:t>
      </w:r>
      <w:r>
        <w:rPr>
          <w:spacing w:val="-48"/>
        </w:rPr>
        <w:t> </w:t>
      </w:r>
      <w:r>
        <w:rPr>
          <w:spacing w:val="-2"/>
        </w:rPr>
        <w:t>公司机构业务部总经理，并担任凯龙高科技控股股份有限公司、广东东阳光科技控股股份有限公司、上海航天汽车机电股份</w:t>
      </w:r>
      <w:r>
        <w:rPr>
          <w:spacing w:val="-66"/>
        </w:rPr>
        <w:t> </w:t>
      </w:r>
      <w:r>
        <w:rPr>
          <w:spacing w:val="-66"/>
        </w:rPr>
      </w:r>
      <w:r>
        <w:rPr/>
        <w:t>有限公司及本公司独立董事。</w:t>
      </w:r>
    </w:p>
    <w:p>
      <w:pPr>
        <w:pStyle w:val="Heading8"/>
        <w:spacing w:line="240" w:lineRule="auto" w:before="148"/>
        <w:ind w:right="0"/>
        <w:jc w:val="left"/>
        <w:rPr>
          <w:b w:val="0"/>
          <w:bCs w:val="0"/>
        </w:rPr>
      </w:pPr>
      <w:r>
        <w:rPr/>
        <w:t>（二）监事</w:t>
      </w:r>
      <w:r>
        <w:rPr>
          <w:b w:val="0"/>
          <w:bCs w:val="0"/>
        </w:rPr>
      </w:r>
    </w:p>
    <w:p>
      <w:pPr>
        <w:spacing w:line="240" w:lineRule="auto" w:before="0"/>
        <w:rPr>
          <w:rFonts w:ascii="宋体" w:hAnsi="宋体" w:cs="宋体" w:eastAsia="宋体" w:hint="default"/>
          <w:b/>
          <w:bCs/>
          <w:sz w:val="15"/>
          <w:szCs w:val="15"/>
        </w:rPr>
      </w:pPr>
    </w:p>
    <w:p>
      <w:pPr>
        <w:pStyle w:val="BodyText"/>
        <w:spacing w:line="300" w:lineRule="auto" w:before="0"/>
        <w:ind w:right="1130" w:firstLine="308"/>
        <w:jc w:val="both"/>
      </w:pPr>
      <w:r>
        <w:rPr>
          <w:rFonts w:ascii="Times New Roman" w:hAnsi="Times New Roman" w:cs="Times New Roman" w:eastAsia="Times New Roman" w:hint="default"/>
          <w:b/>
          <w:bCs/>
          <w:spacing w:val="-2"/>
        </w:rPr>
        <w:t>1.</w:t>
      </w:r>
      <w:r>
        <w:rPr>
          <w:rFonts w:ascii="宋体" w:hAnsi="宋体" w:cs="宋体" w:eastAsia="宋体" w:hint="default"/>
          <w:b/>
          <w:bCs/>
          <w:spacing w:val="-2"/>
        </w:rPr>
        <w:t>陈若初先生</w:t>
      </w:r>
      <w:r>
        <w:rPr>
          <w:spacing w:val="-2"/>
        </w:rPr>
        <w:t>，中国国籍，无境外永久居留权，</w:t>
      </w:r>
      <w:r>
        <w:rPr>
          <w:rFonts w:ascii="Times New Roman" w:hAnsi="Times New Roman" w:cs="Times New Roman" w:eastAsia="Times New Roman" w:hint="default"/>
          <w:spacing w:val="-2"/>
        </w:rPr>
        <w:t>1960</w:t>
      </w:r>
      <w:r>
        <w:rPr>
          <w:spacing w:val="-2"/>
        </w:rPr>
        <w:t>年</w:t>
      </w:r>
      <w:r>
        <w:rPr>
          <w:rFonts w:ascii="Times New Roman" w:hAnsi="Times New Roman" w:cs="Times New Roman" w:eastAsia="Times New Roman" w:hint="default"/>
          <w:spacing w:val="-2"/>
        </w:rPr>
        <w:t>5</w:t>
      </w:r>
      <w:r>
        <w:rPr>
          <w:spacing w:val="-2"/>
        </w:rPr>
        <w:t>月出生，中专学历。</w:t>
      </w:r>
      <w:r>
        <w:rPr>
          <w:rFonts w:ascii="Times New Roman" w:hAnsi="Times New Roman" w:cs="Times New Roman" w:eastAsia="Times New Roman" w:hint="default"/>
          <w:spacing w:val="-2"/>
        </w:rPr>
        <w:t>1981</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5</w:t>
      </w:r>
      <w:r>
        <w:rPr>
          <w:spacing w:val="-2"/>
        </w:rPr>
        <w:t>月任上海彭浦化工厂助</w:t>
      </w:r>
      <w:r>
        <w:rPr/>
        <w:t> 理工程师、科员；</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5</w:t>
      </w:r>
      <w:r>
        <w:rPr/>
        <w:t>月起就职于中信有限，历任公司项目部经理、商务部经理、金档信息副总经理等职。现任公司监 事会主席、金档信息总经理。</w:t>
      </w:r>
    </w:p>
    <w:p>
      <w:pPr>
        <w:pStyle w:val="BodyText"/>
        <w:spacing w:line="300" w:lineRule="auto" w:before="151"/>
        <w:ind w:right="1129" w:firstLine="308"/>
        <w:jc w:val="both"/>
      </w:pPr>
      <w:r>
        <w:rPr>
          <w:rFonts w:ascii="Times New Roman" w:hAnsi="Times New Roman" w:cs="Times New Roman" w:eastAsia="Times New Roman" w:hint="default"/>
          <w:b/>
          <w:bCs/>
          <w:spacing w:val="-2"/>
        </w:rPr>
        <w:t>2.</w:t>
      </w:r>
      <w:r>
        <w:rPr>
          <w:rFonts w:ascii="宋体" w:hAnsi="宋体" w:cs="宋体" w:eastAsia="宋体" w:hint="default"/>
          <w:b/>
          <w:bCs/>
          <w:spacing w:val="-2"/>
        </w:rPr>
        <w:t>时泂先生</w:t>
      </w:r>
      <w:r>
        <w:rPr>
          <w:spacing w:val="-2"/>
        </w:rPr>
        <w:t>，中国国籍，无境外永久居留权，</w:t>
      </w:r>
      <w:r>
        <w:rPr>
          <w:rFonts w:ascii="Times New Roman" w:hAnsi="Times New Roman" w:cs="Times New Roman" w:eastAsia="Times New Roman" w:hint="default"/>
          <w:spacing w:val="-2"/>
        </w:rPr>
        <w:t>1971</w:t>
      </w:r>
      <w:r>
        <w:rPr>
          <w:spacing w:val="-2"/>
        </w:rPr>
        <w:t>年</w:t>
      </w:r>
      <w:r>
        <w:rPr>
          <w:rFonts w:ascii="Times New Roman" w:hAnsi="Times New Roman" w:cs="Times New Roman" w:eastAsia="Times New Roman" w:hint="default"/>
          <w:spacing w:val="-2"/>
        </w:rPr>
        <w:t>5</w:t>
      </w:r>
      <w:r>
        <w:rPr>
          <w:spacing w:val="-2"/>
        </w:rPr>
        <w:t>月出生，本科学历。</w:t>
      </w:r>
      <w:r>
        <w:rPr>
          <w:rFonts w:ascii="Times New Roman" w:hAnsi="Times New Roman" w:cs="Times New Roman" w:eastAsia="Times New Roman" w:hint="default"/>
          <w:spacing w:val="-2"/>
        </w:rPr>
        <w:t>1993</w:t>
      </w:r>
      <w:r>
        <w:rPr>
          <w:spacing w:val="-2"/>
        </w:rPr>
        <w:t>年至</w:t>
      </w:r>
      <w:r>
        <w:rPr>
          <w:rFonts w:ascii="Times New Roman" w:hAnsi="Times New Roman" w:cs="Times New Roman" w:eastAsia="Times New Roman" w:hint="default"/>
          <w:spacing w:val="-2"/>
        </w:rPr>
        <w:t>1995</w:t>
      </w:r>
      <w:r>
        <w:rPr>
          <w:spacing w:val="-2"/>
        </w:rPr>
        <w:t>年任台湾英协电通集团英业达电</w:t>
      </w:r>
      <w:r>
        <w:rPr/>
        <w:t> </w:t>
      </w:r>
      <w:r>
        <w:rPr>
          <w:spacing w:val="-2"/>
        </w:rPr>
        <w:t>子有限公司程序员；</w:t>
      </w:r>
      <w:r>
        <w:rPr>
          <w:rFonts w:ascii="Times New Roman" w:hAnsi="Times New Roman" w:cs="Times New Roman" w:eastAsia="Times New Roman" w:hint="default"/>
          <w:spacing w:val="-2"/>
        </w:rPr>
        <w:t>1995</w:t>
      </w:r>
      <w:r>
        <w:rPr>
          <w:spacing w:val="-2"/>
        </w:rPr>
        <w:t>年至</w:t>
      </w:r>
      <w:r>
        <w:rPr>
          <w:rFonts w:ascii="Times New Roman" w:hAnsi="Times New Roman" w:cs="Times New Roman" w:eastAsia="Times New Roman" w:hint="default"/>
          <w:spacing w:val="-2"/>
        </w:rPr>
        <w:t>1999</w:t>
      </w:r>
      <w:r>
        <w:rPr>
          <w:spacing w:val="-2"/>
        </w:rPr>
        <w:t>年任上海（香港）霸才数据信息有限公司（上海分公司）工程部开发主管；</w:t>
      </w:r>
      <w:r>
        <w:rPr>
          <w:rFonts w:ascii="Times New Roman" w:hAnsi="Times New Roman" w:cs="Times New Roman" w:eastAsia="Times New Roman" w:hint="default"/>
          <w:spacing w:val="-2"/>
        </w:rPr>
        <w:t>1999</w:t>
      </w:r>
      <w:r>
        <w:rPr>
          <w:spacing w:val="-2"/>
        </w:rPr>
        <w:t>年至</w:t>
      </w:r>
      <w:r>
        <w:rPr>
          <w:rFonts w:ascii="Times New Roman" w:hAnsi="Times New Roman" w:cs="Times New Roman" w:eastAsia="Times New Roman" w:hint="default"/>
          <w:spacing w:val="-2"/>
        </w:rPr>
        <w:t>2000</w:t>
      </w:r>
      <w:r>
        <w:rPr>
          <w:rFonts w:ascii="Times New Roman" w:hAnsi="Times New Roman" w:cs="Times New Roman" w:eastAsia="Times New Roman" w:hint="default"/>
          <w:spacing w:val="-5"/>
        </w:rPr>
        <w:t> </w:t>
      </w:r>
      <w:r>
        <w:rPr>
          <w:spacing w:val="-2"/>
        </w:rPr>
        <w:t>任法国赛特有限公司信息系统开发主管；</w:t>
      </w:r>
      <w:r>
        <w:rPr>
          <w:rFonts w:ascii="Times New Roman" w:hAnsi="Times New Roman" w:cs="Times New Roman" w:eastAsia="Times New Roman" w:hint="default"/>
          <w:spacing w:val="-2"/>
        </w:rPr>
        <w:t>2000</w:t>
      </w:r>
      <w:r>
        <w:rPr>
          <w:spacing w:val="-2"/>
        </w:rPr>
        <w:t>年至</w:t>
      </w:r>
      <w:r>
        <w:rPr>
          <w:rFonts w:ascii="Times New Roman" w:hAnsi="Times New Roman" w:cs="Times New Roman" w:eastAsia="Times New Roman" w:hint="default"/>
          <w:spacing w:val="-2"/>
        </w:rPr>
        <w:t>2007</w:t>
      </w:r>
      <w:r>
        <w:rPr>
          <w:spacing w:val="-2"/>
        </w:rPr>
        <w:t>任万达信息股份有限公司综合业务部部门经理；</w:t>
      </w:r>
      <w:r>
        <w:rPr>
          <w:rFonts w:ascii="Times New Roman" w:hAnsi="Times New Roman" w:cs="Times New Roman" w:eastAsia="Times New Roman" w:hint="default"/>
          <w:spacing w:val="-2"/>
        </w:rPr>
        <w:t>2007</w:t>
      </w:r>
      <w:r>
        <w:rPr>
          <w:spacing w:val="-2"/>
        </w:rPr>
        <w:t>年至</w:t>
      </w:r>
      <w:r>
        <w:rPr>
          <w:rFonts w:ascii="Times New Roman" w:hAnsi="Times New Roman" w:cs="Times New Roman" w:eastAsia="Times New Roman" w:hint="default"/>
          <w:spacing w:val="-2"/>
        </w:rPr>
        <w:t>2011</w:t>
      </w:r>
      <w:r>
        <w:rPr>
          <w:spacing w:val="-2"/>
        </w:rPr>
        <w:t>任上海</w:t>
      </w:r>
      <w:r>
        <w:rPr>
          <w:spacing w:val="-48"/>
        </w:rPr>
        <w:t> </w:t>
      </w:r>
      <w:r>
        <w:rPr/>
        <w:t>易宝软件有限公司总经理；</w:t>
      </w:r>
      <w:r>
        <w:rPr>
          <w:rFonts w:ascii="Times New Roman" w:hAnsi="Times New Roman" w:cs="Times New Roman" w:eastAsia="Times New Roman" w:hint="default"/>
        </w:rPr>
        <w:t>2011</w:t>
      </w:r>
      <w:r>
        <w:rPr/>
        <w:t>年起就职于中信信息，任质量管理中心质量总监，现任公司监事。</w:t>
      </w:r>
    </w:p>
    <w:p>
      <w:pPr>
        <w:pStyle w:val="BodyText"/>
        <w:spacing w:line="300" w:lineRule="auto" w:before="133"/>
        <w:ind w:right="1130" w:firstLine="308"/>
        <w:jc w:val="both"/>
      </w:pPr>
      <w:r>
        <w:rPr>
          <w:rFonts w:ascii="Times New Roman" w:hAnsi="Times New Roman" w:cs="Times New Roman" w:eastAsia="Times New Roman" w:hint="default"/>
          <w:b/>
          <w:bCs/>
          <w:spacing w:val="-1"/>
        </w:rPr>
        <w:t>3.</w:t>
      </w:r>
      <w:r>
        <w:rPr>
          <w:rFonts w:ascii="宋体" w:hAnsi="宋体" w:cs="宋体" w:eastAsia="宋体" w:hint="default"/>
          <w:b/>
          <w:bCs/>
          <w:spacing w:val="-1"/>
        </w:rPr>
        <w:t>刘理洲先生</w:t>
      </w:r>
      <w:r>
        <w:rPr>
          <w:spacing w:val="-1"/>
        </w:rPr>
        <w:t>，中国国籍，无境外永久居留权，</w:t>
      </w:r>
      <w:r>
        <w:rPr>
          <w:rFonts w:ascii="Times New Roman" w:hAnsi="Times New Roman" w:cs="Times New Roman" w:eastAsia="Times New Roman" w:hint="default"/>
          <w:spacing w:val="-1"/>
        </w:rPr>
        <w:t>1977</w:t>
      </w:r>
      <w:r>
        <w:rPr>
          <w:spacing w:val="-1"/>
        </w:rPr>
        <w:t>年</w:t>
      </w:r>
      <w:r>
        <w:rPr>
          <w:rFonts w:ascii="Times New Roman" w:hAnsi="Times New Roman" w:cs="Times New Roman" w:eastAsia="Times New Roman" w:hint="default"/>
          <w:spacing w:val="-1"/>
        </w:rPr>
        <w:t>1</w:t>
      </w:r>
      <w:r>
        <w:rPr>
          <w:spacing w:val="-1"/>
        </w:rPr>
        <w:t>月出生，同济大学</w:t>
      </w:r>
      <w:r>
        <w:rPr>
          <w:rFonts w:ascii="Times New Roman" w:hAnsi="Times New Roman" w:cs="Times New Roman" w:eastAsia="Times New Roman" w:hint="default"/>
          <w:spacing w:val="-1"/>
        </w:rPr>
        <w:t>EMBA</w:t>
      </w:r>
      <w:r>
        <w:rPr>
          <w:spacing w:val="-1"/>
        </w:rPr>
        <w:t>，中级工程师。</w:t>
      </w:r>
      <w:r>
        <w:rPr>
          <w:rFonts w:ascii="Times New Roman" w:hAnsi="Times New Roman" w:cs="Times New Roman" w:eastAsia="Times New Roman" w:hint="default"/>
          <w:spacing w:val="-1"/>
        </w:rPr>
        <w:t>1998</w:t>
      </w:r>
      <w:r>
        <w:rPr>
          <w:spacing w:val="-1"/>
        </w:rPr>
        <w:t>年起就职于中信有</w:t>
      </w:r>
      <w:r>
        <w:rPr/>
        <w:t> 限，历任公司技术部经理、销售部经理、</w:t>
      </w:r>
      <w:r>
        <w:rPr>
          <w:rFonts w:ascii="Times New Roman" w:hAnsi="Times New Roman" w:cs="Times New Roman" w:eastAsia="Times New Roman" w:hint="default"/>
        </w:rPr>
        <w:t>S1</w:t>
      </w:r>
      <w:r>
        <w:rPr/>
        <w:t>集成事业部总经理等职。现任公司监事，光典信息监事。</w:t>
      </w:r>
    </w:p>
    <w:p>
      <w:pPr>
        <w:pStyle w:val="BodyText"/>
        <w:spacing w:line="240" w:lineRule="auto" w:before="133"/>
        <w:ind w:left="1686" w:right="0"/>
        <w:jc w:val="left"/>
      </w:pPr>
      <w:r>
        <w:rPr/>
        <w:t>刘理洲先生曾荣获</w:t>
      </w:r>
      <w:r>
        <w:rPr>
          <w:rFonts w:ascii="Times New Roman" w:hAnsi="Times New Roman" w:cs="Times New Roman" w:eastAsia="Times New Roman" w:hint="default"/>
        </w:rPr>
        <w:t>2009</w:t>
      </w:r>
      <w:r>
        <w:rPr/>
        <w:t>年度上海市科技进步奖。</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Heading8"/>
        <w:spacing w:line="240" w:lineRule="auto" w:before="44"/>
        <w:ind w:right="0"/>
        <w:jc w:val="left"/>
        <w:rPr>
          <w:b w:val="0"/>
          <w:bCs w:val="0"/>
        </w:rPr>
      </w:pPr>
      <w:r>
        <w:rPr/>
        <w:t>（三）高级管理人员</w:t>
      </w:r>
      <w:r>
        <w:rPr>
          <w:b w:val="0"/>
          <w:bCs w:val="0"/>
        </w:rPr>
      </w:r>
    </w:p>
    <w:p>
      <w:pPr>
        <w:spacing w:line="240" w:lineRule="auto" w:before="0"/>
        <w:rPr>
          <w:rFonts w:ascii="宋体" w:hAnsi="宋体" w:cs="宋体" w:eastAsia="宋体" w:hint="default"/>
          <w:b/>
          <w:bCs/>
          <w:sz w:val="15"/>
          <w:szCs w:val="15"/>
        </w:rPr>
      </w:pPr>
    </w:p>
    <w:p>
      <w:pPr>
        <w:spacing w:before="0"/>
        <w:ind w:left="144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张曙华先生</w:t>
      </w:r>
      <w:r>
        <w:rPr>
          <w:rFonts w:ascii="宋体" w:hAnsi="宋体" w:cs="宋体" w:eastAsia="宋体" w:hint="default"/>
          <w:sz w:val="18"/>
          <w:szCs w:val="18"/>
        </w:rPr>
        <w:t>，董事长、总裁，其简历见董事会成员。</w:t>
      </w:r>
    </w:p>
    <w:p>
      <w:pPr>
        <w:spacing w:line="240" w:lineRule="auto" w:before="13"/>
        <w:rPr>
          <w:rFonts w:ascii="宋体" w:hAnsi="宋体" w:cs="宋体" w:eastAsia="宋体" w:hint="default"/>
          <w:sz w:val="13"/>
          <w:szCs w:val="13"/>
        </w:rPr>
      </w:pPr>
    </w:p>
    <w:p>
      <w:pPr>
        <w:spacing w:before="0"/>
        <w:ind w:left="144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杨安荣先生</w:t>
      </w:r>
      <w:r>
        <w:rPr>
          <w:rFonts w:ascii="宋体" w:hAnsi="宋体" w:cs="宋体" w:eastAsia="宋体" w:hint="default"/>
          <w:sz w:val="18"/>
          <w:szCs w:val="18"/>
        </w:rPr>
        <w:t>，董事、副总裁，其简历见董事会成员。</w:t>
      </w:r>
    </w:p>
    <w:p>
      <w:pPr>
        <w:spacing w:line="240" w:lineRule="auto" w:before="0"/>
        <w:rPr>
          <w:rFonts w:ascii="宋体" w:hAnsi="宋体" w:cs="宋体" w:eastAsia="宋体" w:hint="default"/>
          <w:sz w:val="14"/>
          <w:szCs w:val="14"/>
        </w:rPr>
      </w:pPr>
    </w:p>
    <w:p>
      <w:pPr>
        <w:pStyle w:val="BodyText"/>
        <w:spacing w:line="300" w:lineRule="auto" w:before="0"/>
        <w:ind w:right="1036" w:firstLine="308"/>
        <w:jc w:val="left"/>
      </w:pPr>
      <w:r>
        <w:rPr>
          <w:rFonts w:ascii="Times New Roman" w:hAnsi="Times New Roman" w:cs="Times New Roman" w:eastAsia="Times New Roman" w:hint="default"/>
          <w:b/>
          <w:bCs/>
          <w:spacing w:val="-3"/>
        </w:rPr>
        <w:t>3.</w:t>
      </w:r>
      <w:r>
        <w:rPr>
          <w:rFonts w:ascii="宋体" w:hAnsi="宋体" w:cs="宋体" w:eastAsia="宋体" w:hint="default"/>
          <w:b/>
          <w:bCs/>
          <w:spacing w:val="-3"/>
        </w:rPr>
        <w:t>石富义先生</w:t>
      </w:r>
      <w:r>
        <w:rPr>
          <w:spacing w:val="-3"/>
        </w:rPr>
        <w:t>，中国国籍，无境外永久居留权，</w:t>
      </w:r>
      <w:r>
        <w:rPr>
          <w:rFonts w:ascii="Times New Roman" w:hAnsi="Times New Roman" w:cs="Times New Roman" w:eastAsia="Times New Roman" w:hint="default"/>
          <w:spacing w:val="-3"/>
        </w:rPr>
        <w:t>1980</w:t>
      </w:r>
      <w:r>
        <w:rPr>
          <w:spacing w:val="-3"/>
        </w:rPr>
        <w:t>年</w:t>
      </w:r>
      <w:r>
        <w:rPr>
          <w:rFonts w:ascii="Times New Roman" w:hAnsi="Times New Roman" w:cs="Times New Roman" w:eastAsia="Times New Roman" w:hint="default"/>
          <w:spacing w:val="-3"/>
        </w:rPr>
        <w:t>7</w:t>
      </w:r>
      <w:r>
        <w:rPr>
          <w:spacing w:val="-3"/>
        </w:rPr>
        <w:t>月出生，本科学历，中级工程师。</w:t>
      </w:r>
      <w:r>
        <w:rPr>
          <w:rFonts w:ascii="Times New Roman" w:hAnsi="Times New Roman" w:cs="Times New Roman" w:eastAsia="Times New Roman" w:hint="default"/>
          <w:spacing w:val="-3"/>
        </w:rPr>
        <w:t>2003</w:t>
      </w:r>
      <w:r>
        <w:rPr>
          <w:spacing w:val="-3"/>
        </w:rPr>
        <w:t>年</w:t>
      </w:r>
      <w:r>
        <w:rPr>
          <w:rFonts w:ascii="Times New Roman" w:hAnsi="Times New Roman" w:cs="Times New Roman" w:eastAsia="Times New Roman" w:hint="default"/>
          <w:spacing w:val="-3"/>
        </w:rPr>
        <w:t>10</w:t>
      </w:r>
      <w:r>
        <w:rPr>
          <w:spacing w:val="-3"/>
        </w:rPr>
        <w:t>月起就职于中信有限，</w:t>
      </w:r>
      <w:r>
        <w:rPr/>
        <w:t> </w:t>
      </w:r>
      <w:r>
        <w:rPr>
          <w:spacing w:val="-4"/>
        </w:rPr>
        <w:t>历任公司政法行业事业部经理，销售部经理，浙江分公司销售总监，浙江分公司总经理等职。现任公司副总裁、董事会秘书。</w:t>
      </w:r>
    </w:p>
    <w:p>
      <w:pPr>
        <w:pStyle w:val="BodyText"/>
        <w:spacing w:line="300" w:lineRule="auto" w:before="151"/>
        <w:ind w:left="1134" w:right="1128" w:firstLine="422"/>
        <w:jc w:val="both"/>
      </w:pPr>
      <w:r>
        <w:rPr/>
        <w:t>石富义先生曾荣获</w:t>
      </w:r>
      <w:r>
        <w:rPr>
          <w:rFonts w:ascii="Times New Roman" w:hAnsi="Times New Roman" w:cs="Times New Roman" w:eastAsia="Times New Roman" w:hint="default"/>
        </w:rPr>
        <w:t>2009</w:t>
      </w:r>
      <w:r>
        <w:rPr/>
        <w:t>年度上海市档案科技研究成果奖二等奖，</w:t>
      </w:r>
      <w:r>
        <w:rPr>
          <w:rFonts w:ascii="Times New Roman" w:hAnsi="Times New Roman" w:cs="Times New Roman" w:eastAsia="Times New Roman" w:hint="default"/>
        </w:rPr>
        <w:t>2012</w:t>
      </w:r>
      <w:r>
        <w:rPr/>
        <w:t>年度上海市软件行业标兵。并于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月被浙</w:t>
      </w:r>
      <w:r>
        <w:rPr>
          <w:spacing w:val="1"/>
        </w:rPr>
        <w:t> </w:t>
      </w:r>
      <w:r>
        <w:rPr/>
        <w:t>江省档案学会聘为第七届理事会档案信息科学技术委员会委员。</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月被广东省档案学会聘为第七届理事会副理事长。</w:t>
      </w:r>
      <w:r>
        <w:rPr>
          <w:spacing w:val="-82"/>
        </w:rPr>
        <w:t> </w:t>
      </w:r>
      <w:r>
        <w:rPr>
          <w:spacing w:val="-82"/>
        </w:rPr>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月被山东省档案学会第七届六次常务理事会聘为副秘书长。</w:t>
      </w:r>
    </w:p>
    <w:p>
      <w:pPr>
        <w:spacing w:before="133"/>
        <w:ind w:left="144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张颖女士</w:t>
      </w:r>
      <w:r>
        <w:rPr>
          <w:rFonts w:ascii="宋体" w:hAnsi="宋体" w:cs="宋体" w:eastAsia="宋体" w:hint="default"/>
          <w:sz w:val="18"/>
          <w:szCs w:val="18"/>
        </w:rPr>
        <w:t>，董事、财务总监，其简历见董事会成员。</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6"/>
          <w:szCs w:val="16"/>
        </w:rPr>
      </w:pPr>
    </w:p>
    <w:p>
      <w:pPr>
        <w:pStyle w:val="BodyText"/>
        <w:spacing w:line="240" w:lineRule="auto" w:before="0"/>
        <w:ind w:right="0"/>
        <w:jc w:val="left"/>
      </w:pPr>
      <w:r>
        <w:rPr/>
        <w:t>在股东单位任职情况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尹於舜</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深圳市创新投资集团有限公司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沪浙区域总 经理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134" w:right="0"/>
        <w:jc w:val="left"/>
      </w:pPr>
      <w:r>
        <w:rPr/>
        <w:t>在其他单位任职情况</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黄亚钧</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复旦大学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刘红梅</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上海师范大学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刘运宏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华宝证券有限责任公司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56"/>
              <w:jc w:val="left"/>
              <w:rPr>
                <w:rFonts w:ascii="宋体" w:hAnsi="宋体" w:cs="宋体" w:eastAsia="宋体" w:hint="default"/>
                <w:sz w:val="18"/>
                <w:szCs w:val="18"/>
              </w:rPr>
            </w:pPr>
            <w:r>
              <w:rPr>
                <w:rFonts w:ascii="宋体" w:hAnsi="宋体" w:cs="宋体" w:eastAsia="宋体" w:hint="default"/>
                <w:sz w:val="18"/>
                <w:szCs w:val="18"/>
              </w:rPr>
              <w:t>投资银行部 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134" w:right="0"/>
        <w:jc w:val="left"/>
      </w:pPr>
      <w:r>
        <w:rPr/>
        <w:t>公司现任及报告期内离任董事、监事和高级管理人员近三年证券监管机构处罚的情况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bookmarkStart w:name="四、董事、监事、高级管理人员报酬情况" w:id="122"/>
      <w:bookmarkEnd w:id="122"/>
      <w:r>
        <w:rPr>
          <w:b w:val="0"/>
          <w:bCs w:val="0"/>
        </w:rPr>
      </w:r>
      <w:r>
        <w:rPr/>
        <w:t>四、董事、监事、高级管理人员报酬情况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before="0"/>
        <w:ind w:right="0"/>
        <w:jc w:val="left"/>
      </w:pPr>
      <w:r>
        <w:rPr/>
        <w:t>董事、监事、高级管理人员报酬的决策程序、确定依据、实际支付情况 </w:t>
      </w:r>
      <w:r>
        <w:rPr>
          <w:spacing w:val="-2"/>
        </w:rPr>
        <w:t>公司董事、监事、高级管理人员报酬由基本薪酬、绩效奖励两部分组成。基本薪酬主要考虑职位、责任、能力、市场薪资行</w:t>
      </w:r>
      <w:r>
        <w:rPr>
          <w:spacing w:val="-71"/>
        </w:rPr>
        <w:t> </w:t>
      </w:r>
      <w:r>
        <w:rPr>
          <w:spacing w:val="-71"/>
        </w:rPr>
      </w:r>
      <w:r>
        <w:rPr>
          <w:spacing w:val="-2"/>
        </w:rPr>
        <w:t>情等因素确定，按月发放，公司董事、监事及高级管理人员基本薪酬由薪酬与考核委员会拟订，董事和监事的薪酬由股东大</w:t>
      </w:r>
    </w:p>
    <w:p>
      <w:pPr>
        <w:pStyle w:val="BodyText"/>
        <w:spacing w:line="316" w:lineRule="auto" w:before="2"/>
        <w:ind w:right="1131"/>
        <w:jc w:val="both"/>
      </w:pPr>
      <w:r>
        <w:rPr>
          <w:spacing w:val="-2"/>
        </w:rPr>
        <w:t>会审议批准，独立董事薪酬由股东大会审议批准，高级管理人员薪酬由董事会审议批准。绩效奖励以年度经营目标为考核基</w:t>
      </w:r>
      <w:r>
        <w:rPr>
          <w:spacing w:val="-66"/>
        </w:rPr>
        <w:t> </w:t>
      </w:r>
      <w:r>
        <w:rPr>
          <w:spacing w:val="-66"/>
        </w:rPr>
      </w:r>
      <w:r>
        <w:rPr>
          <w:spacing w:val="-2"/>
        </w:rPr>
        <w:t>础，根据董事、监事及高级管理人员完成年度经营指标核定年度奖励总额，并根据董事、监事及高级管理人员的绩效奖励总</w:t>
      </w:r>
      <w:r>
        <w:rPr>
          <w:spacing w:val="-66"/>
        </w:rPr>
        <w:t> </w:t>
      </w:r>
      <w:r>
        <w:rPr>
          <w:spacing w:val="-66"/>
        </w:rPr>
      </w:r>
      <w:r>
        <w:rPr/>
        <w:t>额、等级、系数、计算和发放办法等由薪酬考核委员会确定。</w:t>
      </w:r>
      <w:r>
        <w:rPr>
          <w:rFonts w:ascii="Times New Roman" w:hAnsi="Times New Roman" w:cs="Times New Roman" w:eastAsia="Times New Roman" w:hint="default"/>
        </w:rPr>
        <w:t>2015</w:t>
      </w:r>
      <w:r>
        <w:rPr/>
        <w:t>年度，公司董事、监事及高级管理人员共</w:t>
      </w:r>
      <w:r>
        <w:rPr>
          <w:rFonts w:ascii="Times New Roman" w:hAnsi="Times New Roman" w:cs="Times New Roman" w:eastAsia="Times New Roman" w:hint="default"/>
        </w:rPr>
        <w:t>13</w:t>
      </w:r>
      <w:r>
        <w:rPr/>
        <w:t>人，</w:t>
      </w:r>
      <w:r>
        <w:rPr>
          <w:spacing w:val="-18"/>
        </w:rPr>
        <w:t> </w:t>
      </w:r>
      <w:r>
        <w:rPr>
          <w:rFonts w:ascii="Times New Roman" w:hAnsi="Times New Roman" w:cs="Times New Roman" w:eastAsia="Times New Roman" w:hint="default"/>
        </w:rPr>
        <w:t>2015</w:t>
      </w:r>
      <w:r>
        <w:rPr/>
        <w:t>年</w:t>
      </w:r>
    </w:p>
    <w:p>
      <w:pPr>
        <w:spacing w:after="0" w:line="316"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0" w:right="0"/>
        </w:sectPr>
      </w:pPr>
    </w:p>
    <w:p>
      <w:pPr>
        <w:pStyle w:val="BodyText"/>
        <w:spacing w:line="340" w:lineRule="auto"/>
        <w:ind w:right="-19"/>
        <w:jc w:val="left"/>
      </w:pPr>
      <w:r>
        <w:rPr/>
        <w:t>度实际支付 </w:t>
      </w:r>
      <w:r>
        <w:rPr>
          <w:rFonts w:ascii="Times New Roman" w:hAnsi="Times New Roman" w:cs="Times New Roman" w:eastAsia="Times New Roman" w:hint="default"/>
        </w:rPr>
        <w:t>420.76</w:t>
      </w:r>
      <w:r>
        <w:rPr/>
        <w:t>万元</w:t>
      </w:r>
      <w:r>
        <w:rPr>
          <w:spacing w:val="-35"/>
        </w:rPr>
        <w:t> </w:t>
      </w:r>
      <w:r>
        <w:rPr/>
        <w:t>。</w:t>
      </w:r>
      <w:r>
        <w:rPr/>
        <w:t> 公司报告期内董事、监事和高级管理人员报酬情况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left="1113" w:right="1112"/>
        <w:jc w:val="center"/>
      </w:pPr>
      <w:r>
        <w:rPr/>
        <w:t>单位：万元</w:t>
      </w:r>
    </w:p>
    <w:p>
      <w:pPr>
        <w:spacing w:after="0" w:line="240" w:lineRule="auto"/>
        <w:jc w:val="center"/>
        <w:sectPr>
          <w:type w:val="continuous"/>
          <w:pgSz w:w="11910" w:h="16840"/>
          <w:pgMar w:top="1060" w:bottom="1160" w:left="0" w:right="0"/>
          <w:cols w:num="2" w:equalWidth="0">
            <w:col w:w="5095" w:space="3645"/>
            <w:col w:w="317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杨安荣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李志卿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张元利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尹於舜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黄亚钧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刘红梅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刘运宏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陈若初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刘理洲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时泂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石富义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420.76</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公司董事、监事、高级管理人员报告期内被授予的股权激励情况</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bookmarkStart w:name="五、公司员工情况" w:id="123"/>
      <w:bookmarkEnd w:id="123"/>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员工数量、专业构成及教育程度" w:id="124"/>
      <w:bookmarkEnd w:id="124"/>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875</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547</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1,422</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1,422</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8"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1,422</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633</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558</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1,422</w:t>
            </w:r>
          </w:p>
        </w:tc>
      </w:tr>
    </w:tbl>
    <w:p>
      <w:pPr>
        <w:spacing w:line="240" w:lineRule="auto" w:before="2"/>
        <w:rPr>
          <w:rFonts w:ascii="宋体" w:hAnsi="宋体" w:cs="宋体" w:eastAsia="宋体" w:hint="default"/>
          <w:b/>
          <w:bCs/>
          <w:sz w:val="19"/>
          <w:szCs w:val="19"/>
        </w:rPr>
      </w:pPr>
    </w:p>
    <w:p>
      <w:pPr>
        <w:pStyle w:val="Heading6"/>
        <w:spacing w:line="240" w:lineRule="auto" w:before="35"/>
        <w:ind w:left="1134" w:right="0"/>
        <w:jc w:val="left"/>
        <w:rPr>
          <w:b w:val="0"/>
          <w:bCs w:val="0"/>
        </w:rPr>
      </w:pPr>
      <w:bookmarkStart w:name="2、薪酬政策" w:id="125"/>
      <w:bookmarkEnd w:id="125"/>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134" w:right="1049" w:firstLine="290"/>
        <w:jc w:val="both"/>
      </w:pPr>
      <w:r>
        <w:rPr/>
        <w:t>公司高度重视人力资源建设，根据发展战略，结合人力资源现状和未来需求预测，建立和实施了薪酬管理制度，制度是 </w:t>
      </w:r>
      <w:r>
        <w:rPr>
          <w:spacing w:val="-2"/>
        </w:rPr>
        <w:t>根据岗位职级与岗位类别进行制定，并切实做到岗位薪资与业绩挂钩，以提高员工的满意度，鼓励员工长期稳定的在企业发</w:t>
      </w:r>
      <w:r>
        <w:rPr>
          <w:spacing w:val="-66"/>
        </w:rPr>
        <w:t> </w:t>
      </w:r>
      <w:r>
        <w:rPr>
          <w:spacing w:val="-66"/>
        </w:rPr>
      </w:r>
      <w:r>
        <w:rPr/>
        <w:t>展，同时为企业的发展做出应有的贡献。在本公司领取薪酬的人员，按国家及地方的有关规定享受本公司提供的社会保障。</w:t>
      </w:r>
    </w:p>
    <w:p>
      <w:pPr>
        <w:pStyle w:val="BodyText"/>
        <w:spacing w:line="316" w:lineRule="auto" w:before="19"/>
        <w:ind w:left="1134" w:right="0" w:firstLine="290"/>
        <w:jc w:val="left"/>
      </w:pPr>
      <w:r>
        <w:rPr>
          <w:spacing w:val="-1"/>
        </w:rPr>
        <w:t>根据公司薪酬管理制度，公司员工薪酬由基本工资和绩效薪酬所组成。其中，基本工资系根据工作岗位的主要范围、职</w:t>
      </w:r>
      <w:r>
        <w:rPr/>
        <w:t> 责、重要性以及其他相关企业相关岗位的薪酬水平制定，绩效薪酬则根据绩效考核结果确定。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6"/>
        <w:spacing w:line="240" w:lineRule="auto" w:before="136"/>
        <w:ind w:left="1134" w:right="0"/>
        <w:jc w:val="left"/>
        <w:rPr>
          <w:b w:val="0"/>
          <w:bCs w:val="0"/>
        </w:rPr>
      </w:pPr>
      <w:bookmarkStart w:name="3、培训计划" w:id="126"/>
      <w:bookmarkEnd w:id="126"/>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04" w:lineRule="auto" w:before="0"/>
        <w:ind w:right="0" w:firstLine="360"/>
        <w:jc w:val="left"/>
      </w:pPr>
      <w:r>
        <w:rPr>
          <w:spacing w:val="-2"/>
        </w:rPr>
        <w:t>公司非常注重人才培养和培训机制的建设，设有专门的企业内部培训机构</w:t>
      </w:r>
      <w:r>
        <w:rPr>
          <w:rFonts w:ascii="Times New Roman" w:hAnsi="Times New Roman" w:cs="Times New Roman" w:eastAsia="Times New Roman" w:hint="default"/>
          <w:spacing w:val="-2"/>
        </w:rPr>
        <w:t>——</w:t>
      </w:r>
      <w:r>
        <w:rPr>
          <w:spacing w:val="-2"/>
        </w:rPr>
        <w:t>中信学院，一方面，不定期聘请内、外部</w:t>
      </w:r>
      <w:r>
        <w:rPr/>
        <w:t> 教师和专家担任顾问或者讲师，对各岗位员工进行岗位培训和业务技术知识的指导；另一方面，制定并实施了系统性的</w:t>
      </w:r>
      <w:r>
        <w:rPr>
          <w:rFonts w:ascii="Times New Roman" w:hAnsi="Times New Roman" w:cs="Times New Roman" w:eastAsia="Times New Roman" w:hint="default"/>
        </w:rPr>
        <w:t>“</w:t>
      </w:r>
      <w:r>
        <w:rPr/>
        <w:t>鹰</w:t>
      </w:r>
      <w:r>
        <w:rPr>
          <w:spacing w:val="-73"/>
        </w:rPr>
        <w:t> </w:t>
      </w:r>
      <w:r>
        <w:rPr>
          <w:spacing w:val="-1"/>
        </w:rPr>
        <w:t>计划人才培养体系</w:t>
      </w:r>
      <w:r>
        <w:rPr>
          <w:rFonts w:ascii="Times New Roman" w:hAnsi="Times New Roman" w:cs="Times New Roman" w:eastAsia="Times New Roman" w:hint="default"/>
          <w:spacing w:val="-1"/>
        </w:rPr>
        <w:t>”</w:t>
      </w:r>
      <w:r>
        <w:rPr>
          <w:spacing w:val="-1"/>
        </w:rPr>
        <w:t>，其核心主要是借助</w:t>
      </w:r>
      <w:r>
        <w:rPr>
          <w:rFonts w:ascii="Times New Roman" w:hAnsi="Times New Roman" w:cs="Times New Roman" w:eastAsia="Times New Roman" w:hint="default"/>
          <w:spacing w:val="-1"/>
        </w:rPr>
        <w:t>“</w:t>
      </w:r>
      <w:r>
        <w:rPr>
          <w:spacing w:val="-1"/>
        </w:rPr>
        <w:t>鹰</w:t>
      </w:r>
      <w:r>
        <w:rPr>
          <w:rFonts w:ascii="Times New Roman" w:hAnsi="Times New Roman" w:cs="Times New Roman" w:eastAsia="Times New Roman" w:hint="default"/>
          <w:spacing w:val="-1"/>
        </w:rPr>
        <w:t>”</w:t>
      </w:r>
      <w:r>
        <w:rPr>
          <w:spacing w:val="-1"/>
        </w:rPr>
        <w:t>成长的四个典型阶段：</w:t>
      </w:r>
      <w:r>
        <w:rPr>
          <w:rFonts w:ascii="Times New Roman" w:hAnsi="Times New Roman" w:cs="Times New Roman" w:eastAsia="Times New Roman" w:hint="default"/>
          <w:spacing w:val="-1"/>
        </w:rPr>
        <w:t>“</w:t>
      </w:r>
      <w:r>
        <w:rPr>
          <w:spacing w:val="-1"/>
        </w:rPr>
        <w:t>雏鹰、飞鹰、精鹰、雄鹰</w:t>
      </w:r>
      <w:r>
        <w:rPr>
          <w:rFonts w:ascii="Times New Roman" w:hAnsi="Times New Roman" w:cs="Times New Roman" w:eastAsia="Times New Roman" w:hint="default"/>
          <w:spacing w:val="-1"/>
        </w:rPr>
        <w:t>”</w:t>
      </w:r>
      <w:r>
        <w:rPr>
          <w:spacing w:val="-1"/>
        </w:rPr>
        <w:t>，结合员工成长的不同阶段，</w:t>
      </w:r>
      <w:r>
        <w:rPr>
          <w:spacing w:val="-70"/>
        </w:rPr>
        <w:t> </w:t>
      </w:r>
      <w:r>
        <w:rPr>
          <w:spacing w:val="-70"/>
        </w:rPr>
      </w:r>
      <w:r>
        <w:rPr>
          <w:spacing w:val="-2"/>
        </w:rPr>
        <w:t>建立系统性的企业人才培育策略及相应的培训课程设置，不断提高员工管理水平和业务能力，使员工能够在技术能力与业务</w:t>
      </w:r>
      <w:r>
        <w:rPr>
          <w:spacing w:val="-64"/>
        </w:rPr>
        <w:t> </w:t>
      </w:r>
      <w:r>
        <w:rPr>
          <w:spacing w:val="-64"/>
        </w:rPr>
      </w:r>
      <w:r>
        <w:rPr/>
        <w:t>能力方面得到大幅提升，并且将培训所学得的知识充分运用于实际工作中，不断提升整体素质与能力，为公司培养</w:t>
      </w:r>
      <w:r>
        <w:rPr>
          <w:rFonts w:ascii="Times New Roman" w:hAnsi="Times New Roman" w:cs="Times New Roman" w:eastAsia="Times New Roman" w:hint="default"/>
        </w:rPr>
        <w:t>“</w:t>
      </w:r>
      <w:r>
        <w:rPr/>
        <w:t>量身定</w:t>
      </w:r>
      <w:r>
        <w:rPr>
          <w:spacing w:val="-74"/>
        </w:rPr>
        <w:t> </w:t>
      </w:r>
      <w:r>
        <w:rPr>
          <w:spacing w:val="-74"/>
        </w:rPr>
      </w:r>
      <w:r>
        <w:rPr/>
        <w:t>做</w:t>
      </w:r>
      <w:r>
        <w:rPr>
          <w:rFonts w:ascii="Times New Roman" w:hAnsi="Times New Roman" w:cs="Times New Roman" w:eastAsia="Times New Roman" w:hint="default"/>
        </w:rPr>
        <w:t>”</w:t>
      </w:r>
      <w:r>
        <w:rPr/>
        <w:t>的专业化人才，为公司长期稳定的发展提供了人才资源的保障。</w:t>
      </w:r>
    </w:p>
    <w:p>
      <w:pPr>
        <w:pStyle w:val="BodyText"/>
        <w:spacing w:line="300" w:lineRule="auto" w:before="9"/>
        <w:ind w:right="1127" w:firstLine="360"/>
        <w:jc w:val="left"/>
      </w:pPr>
      <w:r>
        <w:rPr>
          <w:spacing w:val="-1"/>
        </w:rPr>
        <w:t>此外，公司的</w:t>
      </w:r>
      <w:r>
        <w:rPr>
          <w:rFonts w:ascii="Times New Roman" w:hAnsi="Times New Roman" w:cs="Times New Roman" w:eastAsia="Times New Roman" w:hint="default"/>
          <w:spacing w:val="-1"/>
        </w:rPr>
        <w:t>“</w:t>
      </w:r>
      <w:r>
        <w:rPr>
          <w:spacing w:val="-1"/>
        </w:rPr>
        <w:t>中信学院</w:t>
      </w:r>
      <w:r>
        <w:rPr>
          <w:rFonts w:ascii="Times New Roman" w:hAnsi="Times New Roman" w:cs="Times New Roman" w:eastAsia="Times New Roman" w:hint="default"/>
          <w:spacing w:val="-1"/>
        </w:rPr>
        <w:t>”</w:t>
      </w:r>
      <w:r>
        <w:rPr>
          <w:spacing w:val="-1"/>
        </w:rPr>
        <w:t>非常注重研发人员的岗位培训工作，定期组织</w:t>
      </w:r>
      <w:r>
        <w:rPr>
          <w:rFonts w:ascii="Times New Roman" w:hAnsi="Times New Roman" w:cs="Times New Roman" w:eastAsia="Times New Roman" w:hint="default"/>
          <w:spacing w:val="-1"/>
        </w:rPr>
        <w:t>“</w:t>
      </w:r>
      <w:r>
        <w:rPr>
          <w:spacing w:val="-1"/>
        </w:rPr>
        <w:t>技术研讨会</w:t>
      </w:r>
      <w:r>
        <w:rPr>
          <w:rFonts w:ascii="Times New Roman" w:hAnsi="Times New Roman" w:cs="Times New Roman" w:eastAsia="Times New Roman" w:hint="default"/>
          <w:spacing w:val="-1"/>
        </w:rPr>
        <w:t>”</w:t>
      </w:r>
      <w:r>
        <w:rPr>
          <w:spacing w:val="-1"/>
        </w:rPr>
        <w:t>，由研发人员参与公司新产品的开</w:t>
      </w:r>
      <w:r>
        <w:rPr/>
        <w:t> 发、技术的创新、产业发展趋势的研讨，从而进一步提升研发人员的技术研发能力。</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6"/>
        <w:spacing w:line="240" w:lineRule="auto" w:before="148"/>
        <w:ind w:right="0"/>
        <w:jc w:val="left"/>
        <w:rPr>
          <w:b w:val="0"/>
          <w:bCs w:val="0"/>
        </w:rPr>
      </w:pPr>
      <w:bookmarkStart w:name="4、劳务外包情况" w:id="127"/>
      <w:bookmarkEnd w:id="127"/>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79,672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1,481,637.40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_TOC_250002" w:id="128"/>
      <w:bookmarkStart w:name="第九节 公司治理" w:id="129"/>
      <w:r>
        <w:rPr>
          <w:b w:val="0"/>
          <w:bCs w:val="0"/>
        </w:rPr>
      </w:r>
      <w:r>
        <w:rPr/>
        <w:t>第九节</w:t>
      </w:r>
      <w:r>
        <w:rPr>
          <w:spacing w:val="-5"/>
        </w:rPr>
        <w:t> </w:t>
      </w:r>
      <w:r>
        <w:rPr/>
        <w:t>公司治理</w:t>
      </w:r>
      <w:bookmarkEnd w:id="12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0"/>
        <w:jc w:val="left"/>
        <w:rPr>
          <w:b w:val="0"/>
          <w:bCs w:val="0"/>
        </w:rPr>
      </w:pPr>
      <w:bookmarkStart w:name="一、公司治理的基本状况" w:id="130"/>
      <w:bookmarkEnd w:id="130"/>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1493" w:right="0"/>
        <w:jc w:val="left"/>
      </w:pPr>
      <w:r>
        <w:rPr>
          <w:spacing w:val="-4"/>
        </w:rPr>
        <w:t>报告期内，公司严格按照《公司法》、《证券法》、《上市公司治理准则》、《深圳证券交易所创业板股票上市规则》、</w:t>
      </w:r>
    </w:p>
    <w:p>
      <w:pPr>
        <w:pStyle w:val="BodyText"/>
        <w:spacing w:line="316" w:lineRule="auto" w:before="76"/>
        <w:ind w:right="1033"/>
        <w:jc w:val="left"/>
      </w:pPr>
      <w:r>
        <w:rPr>
          <w:spacing w:val="-2"/>
        </w:rPr>
        <w:t>《深圳证券交易所创业板上市公司规范运作指引》等法律、法规和中国证监会有关法律法规等的要求，不断完善公司的法人</w:t>
      </w:r>
      <w:r>
        <w:rPr>
          <w:spacing w:val="-66"/>
        </w:rPr>
        <w:t> </w:t>
      </w:r>
      <w:r>
        <w:rPr>
          <w:spacing w:val="-66"/>
        </w:rPr>
      </w:r>
      <w:r>
        <w:rPr/>
        <w:t>治理结构，建立健全公司内部管理和控制制度，持续深入开展公司治理活动，促进了公司规范运作，提高了公司治理水平。</w:t>
      </w:r>
    </w:p>
    <w:p>
      <w:pPr>
        <w:pStyle w:val="BodyText"/>
        <w:spacing w:line="316" w:lineRule="auto" w:before="19"/>
        <w:ind w:right="0" w:firstLine="360"/>
        <w:jc w:val="left"/>
      </w:pPr>
      <w:r>
        <w:rPr>
          <w:spacing w:val="-2"/>
        </w:rPr>
        <w:t>截至报告期末，公司治理的实际状况符合《上市公司治理准则》和《深圳证券交易所创业板上市公司规范运作指引》等</w:t>
      </w:r>
      <w:r>
        <w:rPr/>
        <w:t> 要求，在企业管理各个流程、重大事项、重大风险等方面发挥了较好的控制和防范作用。</w:t>
      </w:r>
    </w:p>
    <w:p>
      <w:pPr>
        <w:pStyle w:val="BodyText"/>
        <w:spacing w:line="316" w:lineRule="auto" w:before="19"/>
        <w:ind w:left="1493" w:right="0" w:hanging="70"/>
        <w:jc w:val="left"/>
      </w:pPr>
      <w:r>
        <w:rPr/>
        <w:t>一、关于股东与股东大会 </w:t>
      </w:r>
      <w:r>
        <w:rPr>
          <w:spacing w:val="-2"/>
        </w:rPr>
        <w:t>公司严格按照《公司法》、《上市公司股东大会规则》、《深圳证券交易所创业板上市公司规范运作指引》、《公司章</w:t>
      </w:r>
    </w:p>
    <w:p>
      <w:pPr>
        <w:pStyle w:val="BodyText"/>
        <w:spacing w:line="316" w:lineRule="auto" w:before="19"/>
        <w:ind w:right="1033"/>
        <w:jc w:val="left"/>
      </w:pPr>
      <w:r>
        <w:rPr/>
        <w:t>程》和公司《股东大会议事规则》等的规定和要求召集、召开股东大会，能够确保全体股东特别是中小股东享有平等地位， </w:t>
      </w:r>
      <w:r>
        <w:rPr>
          <w:spacing w:val="-2"/>
        </w:rPr>
        <w:t>充分行使自己的权力。同时，公司聘请专业律师见证股东大会，确保会议召集召开以及表决程序符合相关法律规定，维护股</w:t>
      </w:r>
      <w:r>
        <w:rPr>
          <w:spacing w:val="-66"/>
        </w:rPr>
        <w:t> </w:t>
      </w:r>
      <w:r>
        <w:rPr>
          <w:spacing w:val="-66"/>
        </w:rPr>
      </w:r>
      <w:r>
        <w:rPr/>
        <w:t>东的合法权益。报告期内公司共召开了</w:t>
      </w:r>
      <w:r>
        <w:rPr>
          <w:rFonts w:ascii="Times New Roman" w:hAnsi="Times New Roman" w:cs="Times New Roman" w:eastAsia="Times New Roman" w:hint="default"/>
        </w:rPr>
        <w:t>1</w:t>
      </w:r>
      <w:r>
        <w:rPr/>
        <w:t>次年度股东大会，</w:t>
      </w:r>
      <w:r>
        <w:rPr>
          <w:rFonts w:ascii="Times New Roman" w:hAnsi="Times New Roman" w:cs="Times New Roman" w:eastAsia="Times New Roman" w:hint="default"/>
        </w:rPr>
        <w:t>3</w:t>
      </w:r>
      <w:r>
        <w:rPr/>
        <w:t>次临时股东大会，会议均由董事会召集召开。</w:t>
      </w:r>
    </w:p>
    <w:p>
      <w:pPr>
        <w:pStyle w:val="BodyText"/>
        <w:spacing w:line="316" w:lineRule="auto" w:before="0"/>
        <w:ind w:left="1493" w:right="0"/>
        <w:jc w:val="left"/>
      </w:pPr>
      <w:r>
        <w:rPr/>
        <w:t>二、关于公司与控股股东 </w:t>
      </w:r>
      <w:r>
        <w:rPr>
          <w:spacing w:val="-2"/>
        </w:rPr>
        <w:t>公司控股股东能严格规范自己的行为，通过股东大会依法行使其权利并承担义务，没有超越股东大会直接或间接干预公</w:t>
      </w:r>
    </w:p>
    <w:p>
      <w:pPr>
        <w:pStyle w:val="BodyText"/>
        <w:spacing w:line="316" w:lineRule="auto" w:before="19"/>
        <w:ind w:right="0"/>
        <w:jc w:val="left"/>
      </w:pPr>
      <w:r>
        <w:rPr>
          <w:spacing w:val="-2"/>
        </w:rPr>
        <w:t>司经营活动。报告期内，公司没有为控股股东提供担保，亦不存在控股股东非经营性占用公司资金的行为。公司拥有独立完</w:t>
      </w:r>
      <w:r>
        <w:rPr>
          <w:spacing w:val="-66"/>
        </w:rPr>
        <w:t> </w:t>
      </w:r>
      <w:r>
        <w:rPr>
          <w:spacing w:val="-66"/>
        </w:rPr>
      </w:r>
      <w:r>
        <w:rPr/>
        <w:t>整的业务和自主经营能力，在业务、人员、资产、机构、财务上独立于控股股东。</w:t>
      </w:r>
    </w:p>
    <w:p>
      <w:pPr>
        <w:pStyle w:val="BodyText"/>
        <w:spacing w:line="316" w:lineRule="auto" w:before="19"/>
        <w:ind w:left="1493" w:right="0"/>
        <w:jc w:val="left"/>
      </w:pPr>
      <w:r>
        <w:rPr/>
        <w:t>三、关于董事和董事会 </w:t>
      </w:r>
      <w:r>
        <w:rPr>
          <w:spacing w:val="-2"/>
        </w:rPr>
        <w:t>公司已制定《董事会议事规则》、《独立董事制度》等制度确保董事会规范、高效运作和审慎、科学决策。公司董事会</w:t>
      </w:r>
    </w:p>
    <w:p>
      <w:pPr>
        <w:pStyle w:val="BodyText"/>
        <w:spacing w:line="312" w:lineRule="auto" w:before="19"/>
        <w:ind w:left="1134" w:right="0"/>
        <w:jc w:val="left"/>
      </w:pPr>
      <w:r>
        <w:rPr>
          <w:spacing w:val="-2"/>
        </w:rPr>
        <w:t>由九名成员组成，其中独立董事三名，独立董事刘运宏已于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16</w:t>
      </w:r>
      <w:r>
        <w:rPr>
          <w:spacing w:val="-2"/>
        </w:rPr>
        <w:t>日因个人原因提出辞去独立董事一职，在还没选出</w:t>
      </w:r>
      <w:r>
        <w:rPr>
          <w:spacing w:val="-58"/>
        </w:rPr>
        <w:t> </w:t>
      </w:r>
      <w:r>
        <w:rPr>
          <w:spacing w:val="-58"/>
        </w:rPr>
      </w:r>
      <w:r>
        <w:rPr>
          <w:spacing w:val="-2"/>
        </w:rPr>
        <w:t>新的独立董事之前，刘运宏先生将按照有关法律、法规，继续履行其独立董事的职责。董事会成员具有履行职务所必需的知</w:t>
      </w:r>
      <w:r>
        <w:rPr>
          <w:spacing w:val="-66"/>
        </w:rPr>
        <w:t> </w:t>
      </w:r>
      <w:r>
        <w:rPr>
          <w:spacing w:val="-66"/>
        </w:rPr>
      </w:r>
      <w:r>
        <w:rPr>
          <w:spacing w:val="-4"/>
        </w:rPr>
        <w:t>识、技能和素质，按规定出席董事会和股东大会，勤勉尽责的履行职责和义务，同时积极参加相关培训，熟悉相关法律法规。</w:t>
      </w:r>
      <w:r>
        <w:rPr>
          <w:spacing w:val="-44"/>
        </w:rPr>
        <w:t> </w:t>
      </w:r>
      <w:r>
        <w:rPr>
          <w:spacing w:val="-44"/>
        </w:rPr>
      </w:r>
      <w:r>
        <w:rPr/>
        <w:t>报告期共召开董事会会议</w:t>
      </w:r>
      <w:r>
        <w:rPr>
          <w:rFonts w:ascii="Times New Roman" w:hAnsi="Times New Roman" w:cs="Times New Roman" w:eastAsia="Times New Roman" w:hint="default"/>
        </w:rPr>
        <w:t>6</w:t>
      </w:r>
      <w:r>
        <w:rPr/>
        <w:t>次。公司董事会会议能够按照有关规定召集、召开，记录完整、准确，并妥善保存。</w:t>
      </w:r>
    </w:p>
    <w:p>
      <w:pPr>
        <w:pStyle w:val="BodyText"/>
        <w:spacing w:line="316" w:lineRule="auto" w:before="3"/>
        <w:ind w:left="1493" w:right="0"/>
        <w:jc w:val="left"/>
      </w:pPr>
      <w:r>
        <w:rPr/>
        <w:t>四、关于监事与监事会 </w:t>
      </w:r>
      <w:r>
        <w:rPr>
          <w:spacing w:val="-4"/>
        </w:rPr>
        <w:t>公司监事会设监事</w:t>
      </w:r>
      <w:r>
        <w:rPr>
          <w:rFonts w:ascii="Times New Roman" w:hAnsi="Times New Roman" w:cs="Times New Roman" w:eastAsia="Times New Roman" w:hint="default"/>
          <w:spacing w:val="-4"/>
        </w:rPr>
        <w:t>3</w:t>
      </w:r>
      <w:r>
        <w:rPr>
          <w:spacing w:val="-4"/>
        </w:rPr>
        <w:t>名，其中职工监事</w:t>
      </w:r>
      <w:r>
        <w:rPr>
          <w:rFonts w:ascii="Times New Roman" w:hAnsi="Times New Roman" w:cs="Times New Roman" w:eastAsia="Times New Roman" w:hint="default"/>
          <w:spacing w:val="-4"/>
        </w:rPr>
        <w:t>1</w:t>
      </w:r>
      <w:r>
        <w:rPr>
          <w:spacing w:val="-4"/>
        </w:rPr>
        <w:t>名，监事会的人数和构成符合法律、法规的要求。各位监事严格按照《公司法》、</w:t>
      </w:r>
    </w:p>
    <w:p>
      <w:pPr>
        <w:pStyle w:val="BodyText"/>
        <w:spacing w:line="309" w:lineRule="auto" w:before="0"/>
        <w:ind w:right="1130"/>
        <w:jc w:val="both"/>
      </w:pPr>
      <w:r>
        <w:rPr>
          <w:spacing w:val="-2"/>
        </w:rPr>
        <w:t>《公司章程》和《监事会议事规则》的有关规定认真履行职责，对公司财务状况、重大事项以及公司董事及高级管理人员履</w:t>
      </w:r>
      <w:r>
        <w:rPr>
          <w:spacing w:val="-66"/>
        </w:rPr>
        <w:t> </w:t>
      </w:r>
      <w:r>
        <w:rPr>
          <w:spacing w:val="-66"/>
        </w:rPr>
      </w:r>
      <w:r>
        <w:rPr/>
        <w:t>行职责的合法合规性等进行监督，维护公司及股东的合法权益。报告期内，公司共召开</w:t>
      </w:r>
      <w:r>
        <w:rPr>
          <w:rFonts w:ascii="Times New Roman" w:hAnsi="Times New Roman" w:cs="Times New Roman" w:eastAsia="Times New Roman" w:hint="default"/>
        </w:rPr>
        <w:t>3</w:t>
      </w:r>
      <w:r>
        <w:rPr/>
        <w:t>次监事会，会议均由监事会主席召</w:t>
      </w:r>
      <w:r>
        <w:rPr>
          <w:spacing w:val="-82"/>
        </w:rPr>
        <w:t> </w:t>
      </w:r>
      <w:r>
        <w:rPr>
          <w:spacing w:val="-82"/>
        </w:rPr>
      </w:r>
      <w:r>
        <w:rPr/>
        <w:t>集召开。</w:t>
      </w:r>
    </w:p>
    <w:p>
      <w:pPr>
        <w:pStyle w:val="BodyText"/>
        <w:spacing w:line="316" w:lineRule="auto" w:before="24"/>
        <w:ind w:left="1494" w:right="0"/>
        <w:jc w:val="left"/>
      </w:pPr>
      <w:r>
        <w:rPr/>
        <w:t>五、关于信息披露与透明度 </w:t>
      </w:r>
      <w:r>
        <w:rPr>
          <w:spacing w:val="-2"/>
        </w:rPr>
        <w:t>公司严格按照有关法律法规和公司《信息披露管理制度》的规定，加强信息披露事务管理，履行信息披露义务，并指定</w:t>
      </w:r>
    </w:p>
    <w:p>
      <w:pPr>
        <w:pStyle w:val="BodyText"/>
        <w:spacing w:line="309" w:lineRule="auto" w:before="19"/>
        <w:ind w:left="1134" w:right="1140"/>
        <w:jc w:val="both"/>
      </w:pPr>
      <w:r>
        <w:rPr/>
        <w:t>《证券时报》、《中国证券报》、《上海证券报》、《证券日报》和中国证监会指定的创业板信息披露网站（巨潮资讯网</w:t>
      </w:r>
      <w:r>
        <w:rPr>
          <w:spacing w:val="-9"/>
        </w:rPr>
        <w:t> </w:t>
      </w:r>
      <w:r>
        <w:rPr>
          <w:spacing w:val="-9"/>
        </w:rPr>
      </w:r>
      <w:hyperlink r:id="rId11">
        <w:r>
          <w:rPr>
            <w:rFonts w:ascii="Times New Roman" w:hAnsi="Times New Roman" w:cs="Times New Roman" w:eastAsia="Times New Roman" w:hint="default"/>
          </w:rPr>
          <w:t>www.cninfo.com.cn</w:t>
        </w:r>
      </w:hyperlink>
      <w:r>
        <w:rPr/>
        <w:t>）为公司信息披露报纸和网站，真实、准确、及时、完整的披露信息，确保所有投资者公平获取公司信</w:t>
      </w:r>
      <w:r>
        <w:rPr>
          <w:spacing w:val="-34"/>
        </w:rPr>
        <w:t> </w:t>
      </w:r>
      <w:r>
        <w:rPr>
          <w:spacing w:val="-34"/>
        </w:rPr>
      </w:r>
      <w:r>
        <w:rPr/>
        <w:t>息。</w:t>
      </w:r>
    </w:p>
    <w:p>
      <w:pPr>
        <w:pStyle w:val="BodyText"/>
        <w:spacing w:line="316" w:lineRule="auto" w:before="24"/>
        <w:ind w:left="1494" w:right="0"/>
        <w:jc w:val="left"/>
      </w:pPr>
      <w:r>
        <w:rPr/>
        <w:t>六、关于绩效评价与激励约束机制 </w:t>
      </w:r>
      <w:r>
        <w:rPr>
          <w:spacing w:val="-2"/>
        </w:rPr>
        <w:t>公司已建立了有效的绩效评价和激励约束机制，公司实行高管人员薪酬与企业经营目标和个人绩效挂钩的薪酬福利，公</w:t>
      </w:r>
    </w:p>
    <w:p>
      <w:pPr>
        <w:pStyle w:val="BodyText"/>
        <w:spacing w:line="316" w:lineRule="auto" w:before="19"/>
        <w:ind w:left="1494" w:right="6612" w:hanging="360"/>
        <w:jc w:val="left"/>
      </w:pPr>
      <w:r>
        <w:rPr/>
        <w:t>司现有的考核及激励约束机制符合公司的发展现状。 七、关于相关利益者</w:t>
      </w:r>
    </w:p>
    <w:p>
      <w:pPr>
        <w:pStyle w:val="BodyText"/>
        <w:spacing w:line="338" w:lineRule="auto" w:before="19"/>
        <w:ind w:left="1134" w:right="1032" w:firstLine="360"/>
        <w:jc w:val="left"/>
      </w:pPr>
      <w:r>
        <w:rPr/>
        <w:t>公司充分尊重和维护相关利益者的合法权益，实现股东、员工、社会等各方利益的协调平衡，诚信对待供应商和客户， 坚持与相关利益者互利共赢的原则，共同推动公司持续、稳健发展。 公司治理的实际状况与中国证监会发布的有关上市公司治理的规范性文件是否存在重大差异</w:t>
      </w:r>
    </w:p>
    <w:p>
      <w:pPr>
        <w:pStyle w:val="BodyText"/>
        <w:spacing w:line="240" w:lineRule="auto" w:before="43"/>
        <w:ind w:left="113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公司治理的实际状况与中国证监会发布的有关上市公司治理的规范性文件不存在重大差异。</w:t>
      </w:r>
    </w:p>
    <w:p>
      <w:pPr>
        <w:spacing w:line="240" w:lineRule="auto" w:before="13"/>
        <w:rPr>
          <w:rFonts w:ascii="宋体" w:hAnsi="宋体" w:cs="宋体" w:eastAsia="宋体" w:hint="default"/>
          <w:sz w:val="24"/>
          <w:szCs w:val="24"/>
        </w:rPr>
      </w:pPr>
    </w:p>
    <w:p>
      <w:pPr>
        <w:pStyle w:val="Heading4"/>
        <w:spacing w:line="240" w:lineRule="auto"/>
        <w:ind w:right="0"/>
        <w:jc w:val="left"/>
        <w:rPr>
          <w:b w:val="0"/>
          <w:bCs w:val="0"/>
        </w:rPr>
      </w:pPr>
      <w:bookmarkStart w:name="二、公司相对于控股股东在业务、人员、资产、机构、财务等方面的独立情况" w:id="131"/>
      <w:bookmarkEnd w:id="131"/>
      <w:r>
        <w:rPr>
          <w:b w:val="0"/>
          <w:bCs w:val="0"/>
        </w:rPr>
      </w: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26"/>
          <w:szCs w:val="26"/>
        </w:rPr>
      </w:pPr>
    </w:p>
    <w:p>
      <w:pPr>
        <w:pStyle w:val="BodyText"/>
        <w:spacing w:line="312" w:lineRule="auto" w:before="0"/>
        <w:ind w:right="1033"/>
        <w:jc w:val="left"/>
      </w:pPr>
      <w:r>
        <w:rPr>
          <w:rFonts w:ascii="Times New Roman" w:hAnsi="Times New Roman" w:cs="Times New Roman" w:eastAsia="Times New Roman" w:hint="default"/>
        </w:rPr>
        <w:t>1</w:t>
      </w:r>
      <w:r>
        <w:rPr/>
        <w:t>、公司的人员独立：公司的董事、监事以及高级管理人员均严格按照法定程序产生。本公司已建立独立的劳动、人事、社 </w:t>
      </w:r>
      <w:r>
        <w:rPr>
          <w:spacing w:val="-2"/>
        </w:rPr>
        <w:t>会保障体系及工资管理体系，与员工签订了劳动合同，并按国家规定办理了社会保险。除本公司的总裁兼任公司控股股东的</w:t>
      </w:r>
      <w:r>
        <w:rPr>
          <w:spacing w:val="-66"/>
        </w:rPr>
        <w:t> </w:t>
      </w:r>
      <w:r>
        <w:rPr>
          <w:spacing w:val="-66"/>
        </w:rPr>
      </w:r>
      <w:r>
        <w:rPr>
          <w:spacing w:val="-4"/>
        </w:rPr>
        <w:t>执行董事外，公司副总裁、财务总监和董事会秘书均未在本公司的控股股东、实际控制人及其控制的其他企业中担任除董事、</w:t>
      </w:r>
      <w:r>
        <w:rPr>
          <w:spacing w:val="-44"/>
        </w:rPr>
        <w:t> </w:t>
      </w:r>
      <w:r>
        <w:rPr>
          <w:spacing w:val="-44"/>
        </w:rPr>
      </w:r>
      <w:r>
        <w:rPr>
          <w:spacing w:val="-2"/>
        </w:rPr>
        <w:t>监事以外的其他职务，且均未在本公司的控股股东、实际控制人及其控制的其他企业领薪。本公司的财务人员也未在本公司</w:t>
      </w:r>
      <w:r>
        <w:rPr>
          <w:spacing w:val="-66"/>
        </w:rPr>
        <w:t> </w:t>
      </w:r>
      <w:r>
        <w:rPr>
          <w:spacing w:val="-66"/>
        </w:rPr>
      </w:r>
      <w:r>
        <w:rPr/>
        <w:t>的控股股东、实际控制人及其控制的其他企业中兼职。 </w:t>
      </w:r>
      <w:r>
        <w:rPr>
          <w:rFonts w:ascii="Times New Roman" w:hAnsi="Times New Roman" w:cs="Times New Roman" w:eastAsia="Times New Roman" w:hint="default"/>
        </w:rPr>
        <w:t>2</w:t>
      </w:r>
      <w:r>
        <w:rPr/>
        <w:t>、公司的资产独立完整、权属清晰：公司拥有独立的经营和办公场所，拥有经营所需的设备和其他资产，合法拥有与生产 </w:t>
      </w:r>
      <w:r>
        <w:rPr>
          <w:spacing w:val="-2"/>
        </w:rPr>
        <w:t>经营有关的注册商标、专利、非专利技术、著作权的所有权或使用权，与公司股东及实际控制人的资产完全分离，产权关系</w:t>
      </w:r>
      <w:r>
        <w:rPr>
          <w:spacing w:val="-66"/>
        </w:rPr>
        <w:t> </w:t>
      </w:r>
      <w:r>
        <w:rPr>
          <w:spacing w:val="-66"/>
        </w:rPr>
      </w:r>
      <w:r>
        <w:rPr/>
        <w:t>清晰，公司的资产独立完整。 </w:t>
      </w:r>
      <w:r>
        <w:rPr>
          <w:rFonts w:ascii="Times New Roman" w:hAnsi="Times New Roman" w:cs="Times New Roman" w:eastAsia="Times New Roman" w:hint="default"/>
        </w:rPr>
        <w:t>3</w:t>
      </w:r>
      <w:r>
        <w:rPr/>
        <w:t>、公司财务独立：公司建立了独立的财务部门以及独立的财务核算体系，能够独立作出财务决策，具有规范、独立的财务 </w:t>
      </w:r>
      <w:r>
        <w:rPr>
          <w:spacing w:val="-2"/>
        </w:rPr>
        <w:t>会计制度和对分支机构的财务管理制度，并拥有独立的财务会计账簿。公司拥有独立的银行帐户，未与其股东或关联企业共</w:t>
      </w:r>
      <w:r>
        <w:rPr>
          <w:spacing w:val="-66"/>
        </w:rPr>
        <w:t> </w:t>
      </w:r>
      <w:r>
        <w:rPr>
          <w:spacing w:val="-66"/>
        </w:rPr>
      </w:r>
      <w:r>
        <w:rPr/>
        <w:t>用银行帐户。 </w:t>
      </w:r>
      <w:r>
        <w:rPr>
          <w:rFonts w:ascii="Times New Roman" w:hAnsi="Times New Roman" w:cs="Times New Roman" w:eastAsia="Times New Roman" w:hint="default"/>
        </w:rPr>
        <w:t>4</w:t>
      </w:r>
      <w:r>
        <w:rPr/>
        <w:t>、公司机构独立：公司按照有关法律、法规、《公司章程》设立的董事会、监事会，均分别对公司股东大会负责。公司的 </w:t>
      </w:r>
      <w:r>
        <w:rPr>
          <w:spacing w:val="-2"/>
        </w:rPr>
        <w:t>机构独立于股东的机构，不存在与股东合署办公的情况。公司已建立健全内部经营管理机构，独立行使经营管理职权，不存</w:t>
      </w:r>
      <w:r>
        <w:rPr>
          <w:spacing w:val="-65"/>
        </w:rPr>
        <w:t> </w:t>
      </w:r>
      <w:r>
        <w:rPr>
          <w:spacing w:val="-65"/>
        </w:rPr>
      </w:r>
      <w:r>
        <w:rPr/>
        <w:t>在与股东机构混同的情形。 </w:t>
      </w:r>
      <w:r>
        <w:rPr>
          <w:rFonts w:ascii="Times New Roman" w:hAnsi="Times New Roman" w:cs="Times New Roman" w:eastAsia="Times New Roman" w:hint="default"/>
        </w:rPr>
        <w:t>5</w:t>
      </w:r>
      <w:r>
        <w:rPr/>
        <w:t>、公司业务独立：公司通过自身和下属子公司开展生产、销售业务，拥有完整的业务体系。公司独立开展业务，具备直接</w:t>
      </w:r>
      <w:r>
        <w:rPr>
          <w:spacing w:val="-83"/>
        </w:rPr>
        <w:t> </w:t>
      </w:r>
      <w:r>
        <w:rPr>
          <w:spacing w:val="-83"/>
        </w:rPr>
      </w:r>
      <w:r>
        <w:rPr>
          <w:spacing w:val="-2"/>
        </w:rPr>
        <w:t>面向市场独立经营的能力。公司的业务独立于控股股东、实际控制人，与控股股东、实际控制人不存在同业竞争或者显失公</w:t>
      </w:r>
      <w:r>
        <w:rPr>
          <w:spacing w:val="-66"/>
        </w:rPr>
        <w:t> </w:t>
      </w:r>
      <w:r>
        <w:rPr>
          <w:spacing w:val="-66"/>
        </w:rPr>
      </w:r>
      <w:r>
        <w:rPr/>
        <w:t>平的关联交易。</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三、同业竞争情况" w:id="132"/>
      <w:bookmarkEnd w:id="132"/>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bookmarkStart w:name="四、报告期内召开的年度股东大会和临时股东大会的有关情况" w:id="133"/>
      <w:bookmarkEnd w:id="133"/>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本报告期股东大会情况" w:id="134"/>
      <w:bookmarkEnd w:id="134"/>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9"/>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both"/>
              <w:rPr>
                <w:rFonts w:ascii="Times New Roman" w:hAnsi="Times New Roman" w:cs="Times New Roman" w:eastAsia="Times New Roman" w:hint="default"/>
                <w:sz w:val="18"/>
                <w:szCs w:val="18"/>
              </w:rPr>
            </w:pPr>
            <w:hyperlink r:id="rId11">
              <w:r>
                <w:rPr>
                  <w:rFonts w:ascii="Times New Roman"/>
                  <w:sz w:val="18"/>
                </w:rPr>
                <w:t>www.cninfo.com.cn</w:t>
              </w:r>
            </w:hyperlink>
          </w:p>
          <w:p>
            <w:pPr>
              <w:pStyle w:val="TableParagraph"/>
              <w:spacing w:line="309" w:lineRule="auto" w:before="64"/>
              <w:ind w:left="23" w:right="7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 时股东大会决议公 </w:t>
            </w:r>
            <w:r>
              <w:rPr>
                <w:rFonts w:ascii="宋体" w:hAnsi="宋体" w:cs="宋体" w:eastAsia="宋体" w:hint="default"/>
                <w:spacing w:val="-8"/>
                <w:sz w:val="18"/>
                <w:szCs w:val="18"/>
              </w:rPr>
              <w:t>告》（</w:t>
            </w:r>
            <w:r>
              <w:rPr>
                <w:rFonts w:ascii="Times New Roman" w:hAnsi="Times New Roman" w:cs="Times New Roman" w:eastAsia="Times New Roman" w:hint="default"/>
                <w:spacing w:val="-8"/>
                <w:sz w:val="18"/>
                <w:szCs w:val="18"/>
              </w:rPr>
              <w:t>2015</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018</w:t>
            </w:r>
            <w:r>
              <w:rPr>
                <w:rFonts w:ascii="宋体" w:hAnsi="宋体" w:cs="宋体" w:eastAsia="宋体" w:hint="default"/>
                <w:spacing w:val="-8"/>
                <w:sz w:val="18"/>
                <w:szCs w:val="18"/>
              </w:rPr>
              <w:t>）</w:t>
            </w:r>
          </w:p>
        </w:tc>
      </w:tr>
      <w:tr>
        <w:trPr>
          <w:trHeight w:val="9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0.03%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p>
            <w:pPr>
              <w:pStyle w:val="TableParagraph"/>
              <w:spacing w:line="300" w:lineRule="auto" w:before="64"/>
              <w:ind w:left="23" w:right="7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 时股东大会决议公</w:t>
            </w:r>
          </w:p>
        </w:tc>
      </w:tr>
    </w:tbl>
    <w:p>
      <w:pPr>
        <w:spacing w:after="0" w:line="30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62"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038</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pStyle w:val="Heading6"/>
        <w:spacing w:line="240" w:lineRule="auto" w:before="35"/>
        <w:ind w:left="1134" w:right="0"/>
        <w:jc w:val="left"/>
        <w:rPr>
          <w:b w:val="0"/>
          <w:bCs w:val="0"/>
        </w:rPr>
      </w:pPr>
      <w:bookmarkStart w:name="2、表决权恢复的优先股股东请求召开临时股东大会" w:id="135"/>
      <w:bookmarkEnd w:id="135"/>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bookmarkStart w:name="五、报告期内独立董事履行职责的情况" w:id="136"/>
      <w:bookmarkEnd w:id="136"/>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独立董事出席董事会及股东大会的情况" w:id="137"/>
      <w:bookmarkEnd w:id="137"/>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黄亚钧</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刘红梅</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刘运宏</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240" w:lineRule="auto" w:before="51"/>
        <w:ind w:left="1134" w:right="0"/>
        <w:jc w:val="both"/>
      </w:pPr>
      <w:r>
        <w:rPr/>
        <w:t>连续两次未亲自出席董事会的说明</w:t>
      </w:r>
    </w:p>
    <w:p>
      <w:pPr>
        <w:spacing w:line="240" w:lineRule="auto" w:before="10"/>
        <w:rPr>
          <w:rFonts w:ascii="宋体" w:hAnsi="宋体" w:cs="宋体" w:eastAsia="宋体" w:hint="default"/>
          <w:sz w:val="26"/>
          <w:szCs w:val="26"/>
        </w:rPr>
      </w:pPr>
    </w:p>
    <w:p>
      <w:pPr>
        <w:pStyle w:val="Heading6"/>
        <w:spacing w:line="240" w:lineRule="auto"/>
        <w:ind w:left="1134" w:right="0"/>
        <w:jc w:val="both"/>
        <w:rPr>
          <w:b w:val="0"/>
          <w:bCs w:val="0"/>
        </w:rPr>
      </w:pPr>
      <w:bookmarkStart w:name="2、独立董事对公司有关事项提出异议的情况" w:id="138"/>
      <w:bookmarkEnd w:id="138"/>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0"/>
        <w:jc w:val="both"/>
      </w:pPr>
      <w:r>
        <w:rPr/>
        <w:t>独立董事对公司有关事项是否提出异议</w:t>
      </w:r>
    </w:p>
    <w:p>
      <w:pPr>
        <w:pStyle w:val="BodyText"/>
        <w:spacing w:line="340"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2"/>
        <w:rPr>
          <w:rFonts w:ascii="宋体" w:hAnsi="宋体" w:cs="宋体" w:eastAsia="宋体" w:hint="default"/>
          <w:sz w:val="20"/>
          <w:szCs w:val="20"/>
        </w:rPr>
      </w:pPr>
    </w:p>
    <w:p>
      <w:pPr>
        <w:pStyle w:val="Heading6"/>
        <w:spacing w:line="240" w:lineRule="auto"/>
        <w:ind w:right="0"/>
        <w:jc w:val="both"/>
        <w:rPr>
          <w:b w:val="0"/>
          <w:bCs w:val="0"/>
        </w:rPr>
      </w:pPr>
      <w:bookmarkStart w:name="3、独立董事履行职责的其他说明" w:id="139"/>
      <w:bookmarkEnd w:id="139"/>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both"/>
      </w:pPr>
      <w:r>
        <w:rPr/>
        <w:t>独立董事对公司有关建议是否被采纳</w:t>
      </w:r>
    </w:p>
    <w:p>
      <w:pPr>
        <w:pStyle w:val="BodyText"/>
        <w:spacing w:line="338"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42"/>
        <w:ind w:right="1132"/>
        <w:jc w:val="both"/>
      </w:pPr>
      <w:r>
        <w:rPr>
          <w:spacing w:val="-2"/>
        </w:rPr>
        <w:t>公司独立董事根据《公司法》、《证券法》、《关于在上市公司建立独立董事制度的指导意见》、《深圳证券交易所创业板</w:t>
      </w:r>
      <w:r>
        <w:rPr>
          <w:spacing w:val="-68"/>
        </w:rPr>
        <w:t> </w:t>
      </w:r>
      <w:r>
        <w:rPr>
          <w:spacing w:val="-68"/>
        </w:rPr>
      </w:r>
      <w:r>
        <w:rPr>
          <w:spacing w:val="-2"/>
        </w:rPr>
        <w:t>上市公司规范运作指引》、《关于加强社会公众股股东权益保护的若干规定》及《公司章程》、《独立董事制度》等相关法</w:t>
      </w:r>
      <w:r>
        <w:rPr>
          <w:spacing w:val="-67"/>
        </w:rPr>
        <w:t> </w:t>
      </w:r>
      <w:r>
        <w:rPr>
          <w:spacing w:val="-67"/>
        </w:rPr>
      </w:r>
      <w:r>
        <w:rPr>
          <w:spacing w:val="-2"/>
        </w:rPr>
        <w:t>律、法规、规章的规定和要求，关注公司运作，独立履行职责，积极出席相关会议，认真审议董事会各项议案，对公司重大</w:t>
      </w:r>
      <w:r>
        <w:rPr>
          <w:spacing w:val="-71"/>
        </w:rPr>
        <w:t> </w:t>
      </w:r>
      <w:r>
        <w:rPr>
          <w:spacing w:val="-71"/>
        </w:rPr>
      </w:r>
      <w:r>
        <w:rPr>
          <w:spacing w:val="-2"/>
        </w:rPr>
        <w:t>事项发表了独立意见，充分发挥了独立董事的作用，为完善公司监督机制，维护公司和全体股东的合法权益发挥了应有的作</w:t>
      </w:r>
      <w:r>
        <w:rPr>
          <w:spacing w:val="-66"/>
        </w:rPr>
        <w:t> </w:t>
      </w:r>
      <w:r>
        <w:rPr>
          <w:spacing w:val="-66"/>
        </w:rPr>
      </w:r>
      <w:r>
        <w:rPr/>
        <w:t>用。</w:t>
      </w:r>
    </w:p>
    <w:p>
      <w:pPr>
        <w:spacing w:line="240" w:lineRule="auto" w:before="10"/>
        <w:rPr>
          <w:rFonts w:ascii="宋体" w:hAnsi="宋体" w:cs="宋体" w:eastAsia="宋体" w:hint="default"/>
          <w:sz w:val="20"/>
          <w:szCs w:val="20"/>
        </w:rPr>
      </w:pPr>
    </w:p>
    <w:p>
      <w:pPr>
        <w:pStyle w:val="Heading4"/>
        <w:spacing w:line="240" w:lineRule="auto"/>
        <w:ind w:left="1134" w:right="0"/>
        <w:jc w:val="both"/>
        <w:rPr>
          <w:b w:val="0"/>
          <w:bCs w:val="0"/>
        </w:rPr>
      </w:pPr>
      <w:bookmarkStart w:name="六、董事会下设专门委员会在报告期内履行职责情况" w:id="140"/>
      <w:bookmarkEnd w:id="140"/>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83" w:right="0"/>
        <w:jc w:val="left"/>
      </w:pPr>
      <w:r>
        <w:rPr/>
        <w:t>公司董事会下设审计委员会、薪酬和考核委员会、战略委员会，各专门委员会在报告期内的履职情况如下：</w:t>
      </w:r>
    </w:p>
    <w:p>
      <w:pPr>
        <w:pStyle w:val="BodyText"/>
        <w:spacing w:line="300" w:lineRule="auto" w:before="76"/>
        <w:ind w:left="1494" w:right="1032" w:hanging="36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审计委员会履职情况：</w:t>
      </w:r>
      <w:r>
        <w:rPr>
          <w:w w:val="99"/>
        </w:rPr>
        <w:t> </w:t>
      </w:r>
      <w:r>
        <w:rPr/>
        <w:t>审计委员会根据公司《董事会审计委员会工作细则》充分发挥了审核与监督作用，主要负责公司内、外部审计的沟通、</w:t>
      </w:r>
    </w:p>
    <w:p>
      <w:pPr>
        <w:pStyle w:val="BodyText"/>
        <w:spacing w:line="240" w:lineRule="auto" w:before="31"/>
        <w:ind w:left="1134" w:right="0"/>
        <w:jc w:val="both"/>
      </w:pPr>
      <w:r>
        <w:rPr/>
        <w:t>监督和核查工作。报告期内，审计委员会共召开了三次会议，重点对公司定期财务报告、年度财务决算、年度内部控制自我</w:t>
      </w:r>
    </w:p>
    <w:p>
      <w:pPr>
        <w:spacing w:after="0" w:line="240"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ind w:right="0"/>
        <w:jc w:val="left"/>
      </w:pPr>
      <w:r>
        <w:rPr/>
        <w:t>评价、募集资金存放和使用情况等事项进行审议，切实履行了审计委员会工作职责。</w:t>
      </w:r>
    </w:p>
    <w:p>
      <w:pPr>
        <w:pStyle w:val="BodyText"/>
        <w:spacing w:line="300" w:lineRule="auto" w:before="76"/>
        <w:ind w:left="1493" w:right="0" w:hanging="36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薪酬和考核委员会履职情况：</w:t>
      </w:r>
      <w:r>
        <w:rPr>
          <w:w w:val="99"/>
        </w:rPr>
        <w:t> </w:t>
      </w:r>
      <w:r>
        <w:rPr>
          <w:spacing w:val="-2"/>
        </w:rPr>
        <w:t>薪酬和考核委员会严格按照《董事会薪酬和考核委员会工作细则》的有关规定开展工作，认真履行职责。报告期内，薪</w:t>
      </w:r>
    </w:p>
    <w:p>
      <w:pPr>
        <w:pStyle w:val="BodyText"/>
        <w:spacing w:line="319" w:lineRule="auto" w:before="31"/>
        <w:ind w:right="1132"/>
        <w:jc w:val="both"/>
      </w:pPr>
      <w:r>
        <w:rPr>
          <w:spacing w:val="-2"/>
        </w:rPr>
        <w:t>酬与考核委员会共召开了二次会议，对公司高级管理人员的履行职责情况进行审查并对其进行年度绩效考评。建立了与公司</w:t>
      </w:r>
      <w:r>
        <w:rPr>
          <w:spacing w:val="-64"/>
        </w:rPr>
        <w:t> </w:t>
      </w:r>
      <w:r>
        <w:rPr>
          <w:spacing w:val="-64"/>
        </w:rPr>
      </w:r>
      <w:r>
        <w:rPr>
          <w:spacing w:val="-2"/>
        </w:rPr>
        <w:t>战略目标相一致的多维度、关键指标量化的考核体系，体现公正、公开、透明、有效的考核机制。公司董事、监事及高级管</w:t>
      </w:r>
      <w:r>
        <w:rPr>
          <w:spacing w:val="-72"/>
        </w:rPr>
        <w:t> </w:t>
      </w:r>
      <w:r>
        <w:rPr>
          <w:spacing w:val="-72"/>
        </w:rPr>
      </w:r>
      <w:r>
        <w:rPr/>
        <w:t>理人员的薪酬发放符合公司薪酬管理制度的规定。</w:t>
      </w:r>
    </w:p>
    <w:p>
      <w:pPr>
        <w:pStyle w:val="BodyText"/>
        <w:spacing w:line="300" w:lineRule="auto" w:before="17"/>
        <w:ind w:left="1493" w:right="0" w:hanging="287"/>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战略委员会履职情况：</w:t>
      </w:r>
      <w:r>
        <w:rPr>
          <w:w w:val="99"/>
        </w:rPr>
        <w:t> </w:t>
      </w:r>
      <w:r>
        <w:rPr>
          <w:spacing w:val="-2"/>
        </w:rPr>
        <w:t>战略委员会严格按照《董事会战略委员会工作细则》的有关规定开展工作，认真履行职责。报告期内，战略委员会共召</w:t>
      </w:r>
    </w:p>
    <w:p>
      <w:pPr>
        <w:pStyle w:val="BodyText"/>
        <w:spacing w:line="316" w:lineRule="auto" w:before="31"/>
        <w:ind w:right="0"/>
        <w:jc w:val="left"/>
      </w:pPr>
      <w:r>
        <w:rPr>
          <w:spacing w:val="-2"/>
        </w:rPr>
        <w:t>开了二次会议，结合公司所处行业发展情况及公司自身发展状况，及时进行了战略规划研究，并根据公司的实际情况，对发</w:t>
      </w:r>
      <w:r>
        <w:rPr>
          <w:spacing w:val="-66"/>
        </w:rPr>
        <w:t> </w:t>
      </w:r>
      <w:r>
        <w:rPr>
          <w:spacing w:val="-66"/>
        </w:rPr>
      </w:r>
      <w:r>
        <w:rPr/>
        <w:t>展战略的实施提出了合理的建议。</w:t>
      </w:r>
    </w:p>
    <w:p>
      <w:pPr>
        <w:spacing w:line="240" w:lineRule="auto" w:before="10"/>
        <w:rPr>
          <w:rFonts w:ascii="宋体" w:hAnsi="宋体" w:cs="宋体" w:eastAsia="宋体" w:hint="default"/>
          <w:sz w:val="20"/>
          <w:szCs w:val="20"/>
        </w:rPr>
      </w:pPr>
    </w:p>
    <w:p>
      <w:pPr>
        <w:pStyle w:val="Heading4"/>
        <w:spacing w:line="240" w:lineRule="auto"/>
        <w:ind w:right="0"/>
        <w:jc w:val="left"/>
        <w:rPr>
          <w:b w:val="0"/>
          <w:bCs w:val="0"/>
        </w:rPr>
      </w:pPr>
      <w:bookmarkStart w:name="七、监事会工作情况" w:id="141"/>
      <w:bookmarkEnd w:id="141"/>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监事会在报告期内的监督活动是否发现公司存在风险</w:t>
      </w:r>
    </w:p>
    <w:p>
      <w:pPr>
        <w:pStyle w:val="BodyText"/>
        <w:spacing w:line="340" w:lineRule="auto" w:before="116"/>
        <w:ind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bookmarkStart w:name="八、高级管理人员的考评及激励情况" w:id="142"/>
      <w:bookmarkEnd w:id="142"/>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right="1131" w:firstLine="360"/>
        <w:jc w:val="both"/>
      </w:pPr>
      <w:r>
        <w:rPr>
          <w:spacing w:val="-2"/>
        </w:rPr>
        <w:t>公司建立了完善的薪酬管理制度和绩效考核管理制度，设立董事会薪酬和考核委员会，负责公司高级管理人员绩效考核</w:t>
      </w:r>
      <w:r>
        <w:rPr/>
        <w:t> </w:t>
      </w:r>
      <w:r>
        <w:rPr>
          <w:spacing w:val="-2"/>
        </w:rPr>
        <w:t>制度、流程的制定，以及考核标准及关键指标的确立。薪酬和考核委员会负责对公司高级管理人员进行绩效考核，公司根据</w:t>
      </w:r>
      <w:r>
        <w:rPr>
          <w:spacing w:val="-66"/>
        </w:rPr>
        <w:t> </w:t>
      </w:r>
      <w:r>
        <w:rPr>
          <w:spacing w:val="-66"/>
        </w:rPr>
      </w:r>
      <w:r>
        <w:rPr>
          <w:spacing w:val="-2"/>
        </w:rPr>
        <w:t>绩效考核结果实施相应的奖惩。报告期内，公司高级管理人员的薪酬由基本工资和绩效薪酬所组成。其中，基本工资系根据</w:t>
      </w:r>
      <w:r>
        <w:rPr>
          <w:spacing w:val="-66"/>
        </w:rPr>
        <w:t> </w:t>
      </w:r>
      <w:r>
        <w:rPr>
          <w:spacing w:val="-66"/>
        </w:rPr>
      </w:r>
      <w:r>
        <w:rPr>
          <w:spacing w:val="-2"/>
        </w:rPr>
        <w:t>高级管理人员工作岗位的主要范围、职责、重要性以及其他相关企业相关岗位的薪酬水平制定，绩效薪酬则根据绩效考核结</w:t>
      </w:r>
      <w:r>
        <w:rPr>
          <w:spacing w:val="-66"/>
        </w:rPr>
        <w:t> </w:t>
      </w:r>
      <w:r>
        <w:rPr>
          <w:spacing w:val="-66"/>
        </w:rPr>
      </w:r>
      <w:r>
        <w:rPr/>
        <w:t>果确定。</w:t>
      </w:r>
    </w:p>
    <w:p>
      <w:pPr>
        <w:pStyle w:val="BodyText"/>
        <w:spacing w:line="300" w:lineRule="auto" w:before="17"/>
        <w:ind w:right="1130" w:firstLine="360"/>
        <w:jc w:val="both"/>
      </w:pPr>
      <w:r>
        <w:rPr>
          <w:spacing w:val="-2"/>
        </w:rPr>
        <w:t>公司董事会薪酬和考核委员会根据实际情况对公司高级管理人员进行考核后，一致认为：</w:t>
      </w:r>
      <w:r>
        <w:rPr>
          <w:rFonts w:ascii="Times New Roman" w:hAnsi="Times New Roman" w:cs="Times New Roman" w:eastAsia="Times New Roman" w:hint="default"/>
          <w:spacing w:val="-2"/>
        </w:rPr>
        <w:t>2015</w:t>
      </w:r>
      <w:r>
        <w:rPr>
          <w:spacing w:val="-2"/>
        </w:rPr>
        <w:t>年度公司高级管理人员薪</w:t>
      </w:r>
      <w:r>
        <w:rPr/>
        <w:t> 酬方案严格执行了公司薪酬管理制度，绩效考核和薪酬发放的程序符合有关法律、法规、公司章程、规章制度等规定。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bookmarkStart w:name="九、内部控制评价报告" w:id="143"/>
      <w:bookmarkEnd w:id="143"/>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报告期内发现的内部控制重大缺陷的具体情况" w:id="144"/>
      <w:bookmarkEnd w:id="144"/>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2、内控自我评价报告" w:id="145"/>
      <w:bookmarkEnd w:id="145"/>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41"/>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日在巨潮资讯网刊登的《</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年度内部控制自我评价报 告》</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r>
        <w:rPr/>
        <w:pict>
          <v:shape style="position:absolute;margin-left:376.660004pt;margin-top:339.619995pt;width:158.25pt;height:46.8pt;mso-position-horizontal-relative:page;mso-position-vertical-relative:page;z-index:-1032664" type="#_x0000_t202" filled="false" stroked="false">
            <v:textbox inset="0,0,0,0">
              <w:txbxContent>
                <w:p>
                  <w:pPr>
                    <w:pStyle w:val="BodyText"/>
                    <w:spacing w:line="207" w:lineRule="exact" w:before="0"/>
                    <w:ind w:left="0" w:right="0"/>
                    <w:jc w:val="left"/>
                  </w:pPr>
                  <w:r>
                    <w:rPr/>
                    <w:t>、</w:t>
                  </w:r>
                </w:p>
              </w:txbxContent>
            </v:textbox>
            <w10:wrap type="none"/>
          </v:shape>
        </w:pict>
      </w:r>
      <w:r>
        <w:rPr/>
        <w:pict>
          <v:group style="position:absolute;margin-left:382.839996pt;margin-top:339.619995pt;width:152.1pt;height:46.8pt;mso-position-horizontal-relative:page;mso-position-vertical-relative:page;z-index:-1032640" coordorigin="7657,6792" coordsize="3042,936">
            <v:shape style="position:absolute;left:7657;top:6792;width:3042;height:936" coordorigin="7657,6792" coordsize="3042,936" path="m7657,7728l10698,7728,10698,6792,7657,6792,7657,7728xe" filled="true" fillcolor="#ffffff" stroked="false">
              <v:path arrowok="t"/>
              <v:fill type="solid"/>
            </v:shape>
            <w10:wrap type="none"/>
          </v:group>
        </w:pict>
      </w:r>
      <w:r>
        <w:rPr/>
        <w:pict>
          <v:group style="position:absolute;margin-left:383.980011pt;margin-top:410.299988pt;width:149.8pt;height:33.3pt;mso-position-horizontal-relative:page;mso-position-vertical-relative:page;z-index:-1032616" coordorigin="7680,8206" coordsize="2996,666">
            <v:group style="position:absolute;left:7680;top:8206;width:2996;height:354" coordorigin="7680,8206" coordsize="2996,354">
              <v:shape style="position:absolute;left:7680;top:8206;width:2996;height:354" coordorigin="7680,8206" coordsize="2996,354" path="m7680,8559l10675,8559,10675,8206,7680,8206,7680,8559xe" filled="true" fillcolor="#ffffff" stroked="false">
                <v:path arrowok="t"/>
                <v:fill type="solid"/>
              </v:shape>
            </v:group>
            <v:group style="position:absolute;left:7680;top:8559;width:2996;height:312" coordorigin="7680,8559" coordsize="2996,312">
              <v:shape style="position:absolute;left:7680;top:8559;width:2996;height:312" coordorigin="7680,8559" coordsize="2996,312" path="m7680,8871l10675,8871,10675,8559,7680,8559,7680,8871xe" filled="true" fillcolor="#ffffff" stroked="false">
                <v:path arrowok="t"/>
                <v:fill type="solid"/>
              </v:shape>
            </v:group>
            <w10:wrap type="none"/>
          </v:group>
        </w:pict>
      </w:r>
    </w:p>
    <w:tbl>
      <w:tblPr>
        <w:tblW w:w="0" w:type="auto"/>
        <w:jc w:val="left"/>
        <w:tblInd w:w="1129" w:type="dxa"/>
        <w:tblLayout w:type="fixed"/>
        <w:tblCellMar>
          <w:top w:w="0" w:type="dxa"/>
          <w:left w:w="0" w:type="dxa"/>
          <w:bottom w:w="0" w:type="dxa"/>
          <w:right w:w="0" w:type="dxa"/>
        </w:tblCellMar>
        <w:tblLook w:val="01E0"/>
      </w:tblPr>
      <w:tblGrid>
        <w:gridCol w:w="3189"/>
        <w:gridCol w:w="3329"/>
        <w:gridCol w:w="3051"/>
      </w:tblGrid>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189"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、重大缺陷：公司董事、监事和高级管理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人员的舞弊行为；公司更正已公布的财务 报告；注册会计师发现的却未被公司内部 控制识别的当期财务报告中的重大报错； 审计委员会和内审部对公司的对外财务报 </w:t>
            </w:r>
            <w:r>
              <w:rPr>
                <w:rFonts w:ascii="宋体" w:hAnsi="宋体" w:cs="宋体" w:eastAsia="宋体" w:hint="default"/>
                <w:spacing w:val="-4"/>
                <w:sz w:val="18"/>
                <w:szCs w:val="18"/>
              </w:rPr>
              <w:t>告和财务报告内部控制监督无效。</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、重要</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缺陷：未依照公认会计准则选择和应用会 计政策；未建立反舞弊程序和控制措施； 对于非常规或特殊交易的账务处理没有建 立相应的控制机制或没有实施且没有相应 的补偿性控制；对于期末财务报告过程的 控制存在一项或多项缺陷且不能合理保证 </w:t>
            </w:r>
            <w:r>
              <w:rPr>
                <w:rFonts w:ascii="宋体" w:hAnsi="宋体" w:cs="宋体" w:eastAsia="宋体" w:hint="default"/>
                <w:spacing w:val="-9"/>
                <w:sz w:val="18"/>
                <w:szCs w:val="18"/>
              </w:rPr>
              <w:t>编制的财务报表达到真实、准确的目标。</w:t>
            </w:r>
            <w:r>
              <w:rPr>
                <w:rFonts w:ascii="Times New Roman" w:hAnsi="Times New Roman" w:cs="Times New Roman" w:eastAsia="Times New Roman" w:hint="default"/>
                <w:spacing w:val="-9"/>
                <w:sz w:val="18"/>
                <w:szCs w:val="18"/>
              </w:rPr>
              <w:t>3</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一般缺陷：指除上述重大缺陷和重要缺陷 之外的其他控制缺陷。</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评价的定性标准如下，出现以下情形 </w:t>
            </w:r>
            <w:r>
              <w:rPr>
                <w:rFonts w:ascii="宋体" w:hAnsi="宋体" w:cs="宋体" w:eastAsia="宋体" w:hint="default"/>
                <w:spacing w:val="-4"/>
                <w:sz w:val="18"/>
                <w:szCs w:val="18"/>
              </w:rPr>
              <w:t>的，可认定为重大缺陷，其他情形按影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响程度分别确定为重要缺陷或一般缺 陷：⑴违反国家法律法规或规范性文 </w:t>
            </w:r>
            <w:r>
              <w:rPr>
                <w:rFonts w:ascii="宋体" w:hAnsi="宋体" w:cs="宋体" w:eastAsia="宋体" w:hint="default"/>
                <w:spacing w:val="-4"/>
                <w:sz w:val="18"/>
                <w:szCs w:val="18"/>
              </w:rPr>
              <w:t>件；⑵重大决策程序不科学；⑶制度缺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失可能导致系统性失效；⑷重大或重要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缺陷不能得到整改；⑸其他对公司负面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影响重大的情形。</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2189"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1409"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9" w:space="0" w:color="FFFFFF"/>
            </w:tcBorders>
          </w:tcPr>
          <w:p>
            <w:pPr>
              <w:pStyle w:val="TableParagraph"/>
              <w:spacing w:line="309" w:lineRule="auto" w:before="51"/>
              <w:ind w:left="22" w:right="14"/>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、重大缺陷：考虑补偿性控制措施和实际</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偏差率后，该缺陷总体影响水平高于重要 </w:t>
            </w:r>
            <w:r>
              <w:rPr>
                <w:rFonts w:ascii="宋体" w:hAnsi="宋体" w:cs="宋体" w:eastAsia="宋体" w:hint="default"/>
                <w:spacing w:val="-5"/>
                <w:sz w:val="18"/>
                <w:szCs w:val="18"/>
              </w:rPr>
              <w:t>性水平（营业收入的</w:t>
            </w:r>
            <w:r>
              <w:rPr>
                <w:rFonts w:ascii="宋体" w:hAnsi="宋体" w:cs="宋体" w:eastAsia="宋体" w:hint="default"/>
                <w:spacing w:val="-43"/>
                <w:sz w:val="18"/>
                <w:szCs w:val="18"/>
              </w:rPr>
              <w:t> </w:t>
            </w:r>
            <w:r>
              <w:rPr>
                <w:rFonts w:ascii="Times New Roman" w:hAnsi="Times New Roman" w:cs="Times New Roman" w:eastAsia="Times New Roman" w:hint="default"/>
                <w:spacing w:val="-15"/>
                <w:sz w:val="18"/>
                <w:szCs w:val="18"/>
              </w:rPr>
              <w:t>0.5%</w:t>
            </w: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、重要缺陷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考虑补偿性控制措施和实际偏差率后，该 缺陷总体影响水平低于重要性水平（营业 收入的</w:t>
            </w:r>
            <w:r>
              <w:rPr>
                <w:rFonts w:ascii="宋体" w:hAnsi="宋体" w:cs="宋体" w:eastAsia="宋体" w:hint="default"/>
                <w:spacing w:val="-42"/>
                <w:sz w:val="18"/>
                <w:szCs w:val="18"/>
              </w:rPr>
              <w:t> </w:t>
            </w:r>
            <w:r>
              <w:rPr>
                <w:rFonts w:ascii="Times New Roman" w:hAnsi="Times New Roman" w:cs="Times New Roman" w:eastAsia="Times New Roman" w:hint="default"/>
                <w:spacing w:val="-6"/>
                <w:sz w:val="18"/>
                <w:szCs w:val="18"/>
              </w:rPr>
              <w:t>0.5%</w:t>
            </w:r>
            <w:r>
              <w:rPr>
                <w:rFonts w:ascii="宋体" w:hAnsi="宋体" w:cs="宋体" w:eastAsia="宋体" w:hint="default"/>
                <w:spacing w:val="-6"/>
                <w:sz w:val="18"/>
                <w:szCs w:val="18"/>
              </w:rPr>
              <w:t>），但高于一般性水平（营业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收入的</w:t>
            </w:r>
            <w:r>
              <w:rPr>
                <w:rFonts w:ascii="宋体" w:hAnsi="宋体" w:cs="宋体" w:eastAsia="宋体" w:hint="default"/>
                <w:spacing w:val="-45"/>
                <w:sz w:val="18"/>
                <w:szCs w:val="18"/>
              </w:rPr>
              <w:t> </w:t>
            </w:r>
            <w:r>
              <w:rPr>
                <w:rFonts w:ascii="Times New Roman" w:hAnsi="Times New Roman" w:cs="Times New Roman" w:eastAsia="Times New Roman" w:hint="default"/>
                <w:spacing w:val="-7"/>
                <w:sz w:val="18"/>
                <w:szCs w:val="18"/>
              </w:rPr>
              <w:t>0.1%</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、一般缺陷：考虑补偿性</w:t>
            </w:r>
            <w:r>
              <w:rPr>
                <w:rFonts w:ascii="宋体" w:hAnsi="宋体" w:cs="宋体" w:eastAsia="宋体" w:hint="default"/>
                <w:sz w:val="18"/>
                <w:szCs w:val="18"/>
              </w:rPr>
              <w:t> 控制措施和实际偏差率后，该缺陷总体影 响水平低于一般性水平（营业收入的 </w:t>
            </w:r>
            <w:r>
              <w:rPr>
                <w:rFonts w:ascii="Times New Roman" w:hAnsi="Times New Roman" w:cs="Times New Roman" w:eastAsia="Times New Roman" w:hint="default"/>
                <w:spacing w:val="-30"/>
                <w:sz w:val="18"/>
                <w:szCs w:val="18"/>
              </w:rPr>
              <w:t>0.1%</w:t>
            </w:r>
            <w:r>
              <w:rPr>
                <w:rFonts w:ascii="宋体" w:hAnsi="宋体" w:cs="宋体" w:eastAsia="宋体" w:hint="default"/>
                <w:spacing w:val="-30"/>
                <w:sz w:val="18"/>
                <w:szCs w:val="18"/>
              </w:rPr>
              <w:t>）；</w:t>
            </w:r>
            <w:r>
              <w:rPr>
                <w:rFonts w:ascii="宋体" w:hAnsi="宋体" w:cs="宋体" w:eastAsia="宋体" w:hint="default"/>
                <w:sz w:val="18"/>
                <w:szCs w:val="18"/>
              </w:rPr>
            </w:r>
          </w:p>
        </w:tc>
        <w:tc>
          <w:tcPr>
            <w:tcW w:w="3051"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03" w:lineRule="exact"/>
              <w:ind w:left="1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、重大缺陷：非财务报告内部控制缺</w:t>
            </w:r>
          </w:p>
          <w:p>
            <w:pPr>
              <w:pStyle w:val="TableParagraph"/>
              <w:spacing w:line="149"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16" w:right="0"/>
              <w:jc w:val="both"/>
              <w:rPr>
                <w:rFonts w:ascii="宋体" w:hAnsi="宋体" w:cs="宋体" w:eastAsia="宋体" w:hint="default"/>
                <w:sz w:val="18"/>
                <w:szCs w:val="18"/>
              </w:rPr>
            </w:pPr>
            <w:r>
              <w:rPr>
                <w:rFonts w:ascii="宋体" w:hAnsi="宋体" w:cs="宋体" w:eastAsia="宋体" w:hint="default"/>
                <w:sz w:val="18"/>
                <w:szCs w:val="18"/>
              </w:rPr>
              <w:t>陷导致的直接财产损失金额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w:t>
            </w:r>
          </w:p>
          <w:p>
            <w:pPr>
              <w:pStyle w:val="TableParagraph"/>
              <w:spacing w:line="309" w:lineRule="auto" w:before="63"/>
              <w:ind w:left="16" w:right="82"/>
              <w:jc w:val="both"/>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非财务报 告内部控制缺陷导致的直接财产损失 金额＜</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、一般缺陷：非财 务报告内部控制缺陷导致的直接财产 损失金额＜</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vMerge/>
            <w:tcBorders>
              <w:left w:val="single" w:sz="9" w:space="0" w:color="D2D2D2"/>
              <w:right w:val="single" w:sz="9" w:space="0" w:color="FFFFFF"/>
            </w:tcBorders>
          </w:tcPr>
          <w:p>
            <w:pPr/>
          </w:p>
        </w:tc>
        <w:tc>
          <w:tcPr>
            <w:tcW w:w="3051" w:type="dxa"/>
            <w:vMerge/>
            <w:tcBorders>
              <w:left w:val="single" w:sz="9" w:space="0" w:color="FFFFFF"/>
              <w:right w:val="single" w:sz="4" w:space="0" w:color="000000"/>
            </w:tcBorders>
          </w:tcPr>
          <w:p>
            <w:pPr/>
          </w:p>
        </w:tc>
      </w:tr>
      <w:tr>
        <w:trPr>
          <w:trHeight w:val="1409"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9" w:space="0" w:color="FFFFFF"/>
            </w:tcBorders>
          </w:tcPr>
          <w:p>
            <w:pPr/>
          </w:p>
        </w:tc>
        <w:tc>
          <w:tcPr>
            <w:tcW w:w="3051" w:type="dxa"/>
            <w:vMerge/>
            <w:tcBorders>
              <w:left w:val="single" w:sz="9" w:space="0" w:color="FFFFFF"/>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4"/>
        <w:spacing w:line="240" w:lineRule="auto" w:before="26"/>
        <w:ind w:left="1134" w:right="0"/>
        <w:jc w:val="left"/>
        <w:rPr>
          <w:b w:val="0"/>
          <w:bCs w:val="0"/>
        </w:rPr>
      </w:pPr>
      <w:bookmarkStart w:name="十、内部控制审计报告或鉴证报告" w:id="146"/>
      <w:bookmarkEnd w:id="146"/>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内部控制鉴证报告</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我们认为，信息发展公司按照财政部等五部委颁发的《企业内部控制基本规范》及相关规定于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 重大方面保持了与财务报表相关的有效的内部控制。本结论是在受到鉴证报告中指出的固有限制的条件下形成的。</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日在巨潮资讯网刊登的《</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年度内部控制鉴证报告》</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134" w:right="0"/>
        <w:jc w:val="left"/>
      </w:pPr>
      <w:r>
        <w:rPr/>
        <w:t>会计师事务所是否出具非标准意见的内部控制鉴证报告</w:t>
      </w:r>
    </w:p>
    <w:p>
      <w:pPr>
        <w:pStyle w:val="BodyText"/>
        <w:spacing w:line="338" w:lineRule="auto" w:before="117"/>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_TOC_250001" w:id="147"/>
      <w:bookmarkStart w:name="第十节 财务报告" w:id="148"/>
      <w:r>
        <w:rPr>
          <w:b w:val="0"/>
          <w:bCs w:val="0"/>
        </w:rPr>
      </w:r>
      <w:r>
        <w:rPr/>
        <w:t>第十节</w:t>
      </w:r>
      <w:r>
        <w:rPr>
          <w:spacing w:val="-5"/>
        </w:rPr>
        <w:t> </w:t>
      </w:r>
      <w:r>
        <w:rPr/>
        <w:t>财务报告</w:t>
      </w:r>
      <w:bookmarkEnd w:id="147"/>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0"/>
        <w:jc w:val="left"/>
        <w:rPr>
          <w:b w:val="0"/>
          <w:bCs w:val="0"/>
        </w:rPr>
      </w:pPr>
      <w:bookmarkStart w:name="一、审计报告" w:id="149"/>
      <w:bookmarkEnd w:id="149"/>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111624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赵焕琪、宋斌</w:t>
            </w:r>
          </w:p>
        </w:tc>
      </w:tr>
    </w:tbl>
    <w:p>
      <w:pPr>
        <w:pStyle w:val="BodyText"/>
        <w:spacing w:line="240" w:lineRule="auto" w:before="51"/>
        <w:ind w:left="3403" w:right="3402"/>
        <w:jc w:val="center"/>
      </w:pPr>
      <w:r>
        <w:rPr/>
        <w:t>审计报告正文</w:t>
      </w:r>
    </w:p>
    <w:p>
      <w:pPr>
        <w:spacing w:line="240" w:lineRule="auto" w:before="6"/>
        <w:rPr>
          <w:rFonts w:ascii="宋体" w:hAnsi="宋体" w:cs="宋体" w:eastAsia="宋体" w:hint="default"/>
          <w:sz w:val="14"/>
          <w:szCs w:val="14"/>
        </w:rPr>
      </w:pPr>
    </w:p>
    <w:p>
      <w:pPr>
        <w:pStyle w:val="Heading2"/>
        <w:spacing w:line="240" w:lineRule="auto"/>
        <w:ind w:right="0"/>
        <w:jc w:val="both"/>
        <w:rPr>
          <w:b w:val="0"/>
          <w:bCs w:val="0"/>
        </w:rPr>
      </w:pPr>
      <w:r>
        <w:rPr/>
        <w:t>上海中信信息发展股份有限公司全体股东：</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pStyle w:val="Heading3"/>
        <w:spacing w:line="400" w:lineRule="auto"/>
        <w:ind w:left="1134" w:right="1128"/>
        <w:jc w:val="both"/>
      </w:pPr>
      <w:r>
        <w:rPr>
          <w:spacing w:val="3"/>
        </w:rPr>
        <w:t>我们审计了后附的上海中信信息发展股份有限公司（以下简称信息发展公</w:t>
      </w:r>
      <w:r>
        <w:rPr>
          <w:w w:val="99"/>
        </w:rPr>
        <w:t> </w:t>
      </w:r>
      <w:r>
        <w:rPr>
          <w:spacing w:val="2"/>
        </w:rPr>
        <w:t>司）财务报表，包括</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日的合并及公司资产负债表、</w:t>
      </w:r>
      <w:r>
        <w:rPr>
          <w:rFonts w:ascii="Times New Roman" w:hAnsi="Times New Roman" w:cs="Times New Roman" w:eastAsia="Times New Roman" w:hint="default"/>
          <w:spacing w:val="2"/>
        </w:rPr>
        <w:t>2015</w:t>
      </w:r>
      <w:r>
        <w:rPr>
          <w:spacing w:val="2"/>
        </w:rPr>
        <w:t>年度的合</w:t>
      </w:r>
      <w:r>
        <w:rPr>
          <w:spacing w:val="-117"/>
        </w:rPr>
        <w:t> </w:t>
      </w:r>
      <w:r>
        <w:rPr>
          <w:spacing w:val="3"/>
        </w:rPr>
        <w:t>并及公司利润表、合并及公司现金流量表、合并及公司所有者权益变动表以及</w:t>
      </w:r>
      <w:r>
        <w:rPr>
          <w:w w:val="99"/>
        </w:rPr>
        <w:t> </w:t>
      </w:r>
      <w:r>
        <w:rPr/>
        <w:t>财务报表附注。</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5"/>
          <w:szCs w:val="25"/>
        </w:rPr>
      </w:pPr>
    </w:p>
    <w:p>
      <w:pPr>
        <w:pStyle w:val="Heading2"/>
        <w:spacing w:line="240" w:lineRule="auto"/>
        <w:ind w:left="1254" w:right="0"/>
        <w:jc w:val="left"/>
        <w:rPr>
          <w:b w:val="0"/>
          <w:bCs w:val="0"/>
        </w:rPr>
      </w:pPr>
      <w:r>
        <w:rPr/>
        <w:t>一、管理层对财务报表的责任</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pStyle w:val="Heading3"/>
        <w:spacing w:line="240" w:lineRule="auto"/>
        <w:ind w:left="1694" w:right="0" w:firstLine="0"/>
        <w:jc w:val="left"/>
      </w:pPr>
      <w:r>
        <w:rPr>
          <w:spacing w:val="3"/>
        </w:rPr>
        <w:t>编制和公允列报财务报表是信息发展公司管理层的责任，这种责任包括：</w:t>
      </w:r>
    </w:p>
    <w:p>
      <w:pPr>
        <w:spacing w:line="240" w:lineRule="auto" w:before="9"/>
        <w:rPr>
          <w:rFonts w:ascii="宋体" w:hAnsi="宋体" w:cs="宋体" w:eastAsia="宋体" w:hint="default"/>
          <w:sz w:val="19"/>
          <w:szCs w:val="19"/>
        </w:rPr>
      </w:pPr>
    </w:p>
    <w:p>
      <w:pPr>
        <w:pStyle w:val="Heading3"/>
        <w:spacing w:line="398" w:lineRule="auto"/>
        <w:ind w:left="1134" w:right="1127" w:firstLine="0"/>
        <w:jc w:val="both"/>
      </w:pPr>
      <w:r>
        <w:rPr>
          <w:spacing w:val="3"/>
        </w:rPr>
        <w:t>（</w:t>
      </w:r>
      <w:r>
        <w:rPr>
          <w:rFonts w:ascii="Times New Roman" w:hAnsi="Times New Roman" w:cs="Times New Roman" w:eastAsia="Times New Roman" w:hint="default"/>
          <w:spacing w:val="3"/>
        </w:rPr>
        <w:t>1</w:t>
      </w:r>
      <w:r>
        <w:rPr>
          <w:spacing w:val="3"/>
        </w:rPr>
        <w:t>）按照企业会计准则的规定编制财务报表，并使其实现公允反映；（</w:t>
      </w:r>
      <w:r>
        <w:rPr>
          <w:rFonts w:ascii="Times New Roman" w:hAnsi="Times New Roman" w:cs="Times New Roman" w:eastAsia="Times New Roman" w:hint="default"/>
          <w:spacing w:val="3"/>
        </w:rPr>
        <w:t>2</w:t>
      </w:r>
      <w:r>
        <w:rPr>
          <w:spacing w:val="3"/>
        </w:rPr>
        <w:t>）设</w:t>
      </w:r>
      <w:r>
        <w:rPr>
          <w:spacing w:val="-137"/>
        </w:rPr>
        <w:t> </w:t>
      </w:r>
      <w:r>
        <w:rPr>
          <w:spacing w:val="3"/>
        </w:rPr>
        <w:t>计、执行和维护必要的内部控制，以使财务报表不存在由于舞弊或错误导致的</w:t>
      </w:r>
      <w:r>
        <w:rPr>
          <w:w w:val="99"/>
        </w:rPr>
        <w:t> </w:t>
      </w:r>
      <w:r>
        <w:rPr/>
        <w:t>重大错报。</w:t>
      </w:r>
    </w:p>
    <w:p>
      <w:pPr>
        <w:spacing w:line="240" w:lineRule="auto" w:before="0"/>
        <w:rPr>
          <w:rFonts w:ascii="宋体" w:hAnsi="宋体" w:cs="宋体" w:eastAsia="宋体" w:hint="default"/>
          <w:sz w:val="28"/>
          <w:szCs w:val="28"/>
        </w:rPr>
      </w:pPr>
    </w:p>
    <w:p>
      <w:pPr>
        <w:spacing w:line="240" w:lineRule="auto" w:before="4"/>
        <w:rPr>
          <w:rFonts w:ascii="宋体" w:hAnsi="宋体" w:cs="宋体" w:eastAsia="宋体" w:hint="default"/>
          <w:sz w:val="25"/>
          <w:szCs w:val="25"/>
        </w:rPr>
      </w:pPr>
    </w:p>
    <w:p>
      <w:pPr>
        <w:pStyle w:val="Heading2"/>
        <w:spacing w:line="240" w:lineRule="auto"/>
        <w:ind w:left="1254" w:right="0"/>
        <w:jc w:val="left"/>
        <w:rPr>
          <w:b w:val="0"/>
          <w:bCs w:val="0"/>
        </w:rPr>
      </w:pPr>
      <w:r>
        <w:rPr/>
        <w:t>二、注册会计师的责任</w:t>
      </w:r>
      <w:r>
        <w:rPr>
          <w:b w:val="0"/>
          <w:bCs w:val="0"/>
        </w:rPr>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1"/>
          <w:szCs w:val="21"/>
        </w:rPr>
      </w:pPr>
    </w:p>
    <w:p>
      <w:pPr>
        <w:pStyle w:val="Heading3"/>
        <w:spacing w:line="408" w:lineRule="auto" w:before="13"/>
        <w:ind w:right="1141"/>
        <w:jc w:val="both"/>
      </w:pPr>
      <w:r>
        <w:rPr>
          <w:spacing w:val="3"/>
        </w:rPr>
        <w:t>我们的责任是在执行审计工作的基础上对财务报表发表审计意见。我们按</w:t>
      </w:r>
      <w:r>
        <w:rPr>
          <w:w w:val="99"/>
        </w:rPr>
        <w:t> </w:t>
      </w:r>
      <w:r>
        <w:rPr>
          <w:spacing w:val="3"/>
        </w:rPr>
        <w:t>照中国注册会计师审计准则的规定执行了审计工作。中国注册会计师审计准则</w:t>
      </w:r>
      <w:r>
        <w:rPr>
          <w:w w:val="99"/>
        </w:rPr>
        <w:t> </w:t>
      </w:r>
      <w:r>
        <w:rPr>
          <w:spacing w:val="3"/>
        </w:rPr>
        <w:t>要求我们遵守中国注册会计师职业道德守则，计划和执行审计工作以对财务报</w:t>
      </w:r>
      <w:r>
        <w:rPr>
          <w:w w:val="99"/>
        </w:rPr>
        <w:t> </w:t>
      </w:r>
      <w:r>
        <w:rPr/>
        <w:t>表是否不存在重大错报获取合理保证。</w:t>
      </w:r>
    </w:p>
    <w:p>
      <w:pPr>
        <w:spacing w:line="240" w:lineRule="auto" w:before="0"/>
        <w:rPr>
          <w:rFonts w:ascii="宋体" w:hAnsi="宋体" w:cs="宋体" w:eastAsia="宋体" w:hint="default"/>
          <w:sz w:val="28"/>
          <w:szCs w:val="28"/>
        </w:rPr>
      </w:pPr>
    </w:p>
    <w:p>
      <w:pPr>
        <w:spacing w:line="240" w:lineRule="auto" w:before="5"/>
        <w:rPr>
          <w:rFonts w:ascii="宋体" w:hAnsi="宋体" w:cs="宋体" w:eastAsia="宋体" w:hint="default"/>
          <w:sz w:val="24"/>
          <w:szCs w:val="24"/>
        </w:rPr>
      </w:pPr>
    </w:p>
    <w:p>
      <w:pPr>
        <w:pStyle w:val="Heading3"/>
        <w:spacing w:line="408" w:lineRule="auto"/>
        <w:ind w:right="986"/>
        <w:jc w:val="left"/>
      </w:pPr>
      <w:r>
        <w:rPr>
          <w:spacing w:val="-1"/>
        </w:rPr>
        <w:t>审计工作涉及实施审计程序，以获取有关财务报表金额和披露的审计证据。</w:t>
      </w:r>
      <w:r>
        <w:rPr>
          <w:w w:val="99"/>
        </w:rPr>
        <w:t> </w:t>
      </w:r>
      <w:r>
        <w:rPr>
          <w:spacing w:val="3"/>
        </w:rPr>
        <w:t>选择的审计程序取决于注册会计师的判断，包括对由于舞弊或错误导致的财务</w:t>
      </w:r>
      <w:r>
        <w:rPr>
          <w:w w:val="99"/>
        </w:rPr>
        <w:t> </w:t>
      </w:r>
      <w:r>
        <w:rPr>
          <w:spacing w:val="3"/>
        </w:rPr>
        <w:t>报表重大错报风险的评估。在进行风险评估时，注册会计师考虑与财务报表编</w:t>
      </w:r>
      <w:r>
        <w:rPr>
          <w:w w:val="99"/>
        </w:rPr>
        <w:t> </w:t>
      </w:r>
      <w:r>
        <w:rPr>
          <w:spacing w:val="3"/>
        </w:rPr>
        <w:t>制和公允列报相关的内部控制，以设计恰当的审计程序，但目的并非对内部控</w:t>
      </w:r>
      <w:r>
        <w:rPr>
          <w:w w:val="99"/>
        </w:rPr>
        <w:t> </w:t>
      </w:r>
      <w:r>
        <w:rPr>
          <w:spacing w:val="3"/>
        </w:rPr>
        <w:t>制的有效性发表意见。审计工作还包括评价管理层选用会计政策的恰当性和作</w:t>
      </w:r>
      <w:r>
        <w:rPr>
          <w:w w:val="99"/>
        </w:rPr>
        <w:t> </w:t>
      </w:r>
      <w:r>
        <w:rPr/>
        <w:t>出会计估计的合理性，以及评价财务报表的总体列报。</w:t>
      </w:r>
    </w:p>
    <w:p>
      <w:pPr>
        <w:pStyle w:val="Heading3"/>
        <w:spacing w:line="408" w:lineRule="auto" w:before="61"/>
        <w:ind w:right="1141"/>
        <w:jc w:val="both"/>
      </w:pPr>
      <w:r>
        <w:rPr>
          <w:spacing w:val="3"/>
        </w:rPr>
        <w:t>我们相信，我们获取的审计证据是充分、适当的，为发表审计意见提供了</w:t>
      </w:r>
      <w:r>
        <w:rPr>
          <w:w w:val="99"/>
        </w:rPr>
        <w:t> </w:t>
      </w:r>
      <w:r>
        <w:rPr/>
        <w:t>基础。</w:t>
      </w:r>
    </w:p>
    <w:p>
      <w:pPr>
        <w:spacing w:line="240" w:lineRule="auto" w:before="0"/>
        <w:rPr>
          <w:rFonts w:ascii="宋体" w:hAnsi="宋体" w:cs="宋体" w:eastAsia="宋体" w:hint="default"/>
          <w:sz w:val="28"/>
          <w:szCs w:val="28"/>
        </w:rPr>
      </w:pPr>
    </w:p>
    <w:p>
      <w:pPr>
        <w:spacing w:line="240" w:lineRule="auto" w:before="5"/>
        <w:rPr>
          <w:rFonts w:ascii="宋体" w:hAnsi="宋体" w:cs="宋体" w:eastAsia="宋体" w:hint="default"/>
          <w:sz w:val="24"/>
          <w:szCs w:val="24"/>
        </w:rPr>
      </w:pPr>
    </w:p>
    <w:p>
      <w:pPr>
        <w:pStyle w:val="Heading2"/>
        <w:spacing w:line="240" w:lineRule="auto"/>
        <w:ind w:right="0"/>
        <w:jc w:val="left"/>
        <w:rPr>
          <w:b w:val="0"/>
          <w:bCs w:val="0"/>
        </w:rPr>
      </w:pPr>
      <w:r>
        <w:rPr/>
        <w:t>三、审计意见</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pStyle w:val="Heading3"/>
        <w:spacing w:line="398" w:lineRule="auto"/>
        <w:ind w:right="1130"/>
        <w:jc w:val="both"/>
      </w:pPr>
      <w:r>
        <w:rPr>
          <w:spacing w:val="3"/>
        </w:rPr>
        <w:t>我们认为，信息发展公司财务报表在所有重大方面按照企业会计准则的规</w:t>
      </w:r>
      <w:r>
        <w:rPr>
          <w:w w:val="99"/>
        </w:rPr>
        <w:t> </w:t>
      </w:r>
      <w:r>
        <w:rPr>
          <w:spacing w:val="3"/>
        </w:rPr>
        <w:t>定编制，公允反映了信息发展公司</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日的合并及公司财务状况以及</w:t>
      </w:r>
      <w:r>
        <w:rPr>
          <w:w w:val="99"/>
        </w:rPr>
        <w:t> </w:t>
      </w:r>
      <w:r>
        <w:rPr>
          <w:rFonts w:ascii="Times New Roman" w:hAnsi="Times New Roman" w:cs="Times New Roman" w:eastAsia="Times New Roman" w:hint="default"/>
        </w:rPr>
        <w:t>2015</w:t>
      </w:r>
      <w:r>
        <w:rPr/>
        <w:t>年度的合并及公司经营成果和现金流量。</w:t>
      </w:r>
    </w:p>
    <w:p>
      <w:pPr>
        <w:spacing w:after="0" w:line="39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Heading2"/>
        <w:tabs>
          <w:tab w:pos="7594" w:val="left" w:leader="none"/>
        </w:tabs>
        <w:spacing w:line="240" w:lineRule="auto" w:before="13"/>
        <w:ind w:left="1491" w:right="0"/>
        <w:jc w:val="left"/>
        <w:rPr>
          <w:b w:val="0"/>
          <w:bCs w:val="0"/>
        </w:rPr>
      </w:pPr>
      <w:r>
        <w:rPr>
          <w:spacing w:val="-2"/>
          <w:w w:val="95"/>
        </w:rPr>
        <w:t>立信会计师事务所（特殊普通合伙）</w:t>
        <w:tab/>
      </w:r>
      <w:r>
        <w:rPr/>
        <w:t>中国注册会计师：</w:t>
      </w:r>
      <w:r>
        <w:rPr>
          <w:spacing w:val="-64"/>
        </w:rPr>
        <w:t> </w:t>
      </w:r>
      <w:r>
        <w:rPr/>
        <w:t>赵焕琪</w:t>
      </w:r>
      <w:r>
        <w:rPr>
          <w:b w:val="0"/>
          <w:bCs w:val="0"/>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pStyle w:val="Heading2"/>
        <w:spacing w:line="240" w:lineRule="auto" w:before="188"/>
        <w:ind w:left="7649" w:right="0"/>
        <w:jc w:val="left"/>
        <w:rPr>
          <w:b w:val="0"/>
          <w:bCs w:val="0"/>
        </w:rPr>
      </w:pPr>
      <w:r>
        <w:rPr/>
        <w:t>中国注册会计师：宋斌</w:t>
      </w:r>
      <w:r>
        <w:rPr>
          <w:b w:val="0"/>
          <w:bCs w:val="0"/>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pStyle w:val="Heading2"/>
        <w:tabs>
          <w:tab w:pos="8519" w:val="left" w:leader="none"/>
          <w:tab w:pos="9244" w:val="left" w:leader="none"/>
          <w:tab w:pos="9772" w:val="left" w:leader="none"/>
          <w:tab w:pos="10492" w:val="left" w:leader="none"/>
        </w:tabs>
        <w:spacing w:line="386" w:lineRule="auto" w:before="189"/>
        <w:ind w:left="7572" w:right="1132" w:firstLine="225"/>
        <w:jc w:val="left"/>
        <w:rPr>
          <w:b w:val="0"/>
          <w:bCs w:val="0"/>
        </w:rPr>
      </w:pPr>
      <w:r>
        <w:rPr>
          <w:w w:val="95"/>
        </w:rPr>
        <w:t>中</w:t>
        <w:tab/>
        <w:t>国</w:t>
        <w:tab/>
      </w:r>
      <w:r>
        <w:rPr>
          <w:rFonts w:ascii="Times New Roman" w:hAnsi="Times New Roman" w:cs="Times New Roman" w:eastAsia="Times New Roman" w:hint="default"/>
          <w:w w:val="95"/>
        </w:rPr>
        <w:t>·</w:t>
        <w:tab/>
      </w:r>
      <w:r>
        <w:rPr>
          <w:w w:val="95"/>
        </w:rPr>
        <w:t>上</w:t>
        <w:tab/>
      </w:r>
      <w:r>
        <w:rPr/>
        <w:t>海</w:t>
      </w:r>
      <w:r>
        <w:rPr>
          <w:w w:val="99"/>
        </w:rPr>
        <w:t> </w:t>
      </w:r>
      <w:r>
        <w:rPr/>
        <w:t>二〇一六年三月二十八日</w:t>
      </w:r>
      <w:r>
        <w:rPr>
          <w:b w:val="0"/>
          <w:bCs w:val="0"/>
        </w:rPr>
      </w:r>
    </w:p>
    <w:p>
      <w:pPr>
        <w:spacing w:line="240" w:lineRule="auto" w:before="0"/>
        <w:rPr>
          <w:rFonts w:ascii="宋体" w:hAnsi="宋体" w:cs="宋体" w:eastAsia="宋体" w:hint="default"/>
          <w:b/>
          <w:bCs/>
          <w:sz w:val="28"/>
          <w:szCs w:val="28"/>
        </w:rPr>
      </w:pPr>
    </w:p>
    <w:p>
      <w:pPr>
        <w:pStyle w:val="Heading4"/>
        <w:spacing w:line="240" w:lineRule="auto" w:before="211"/>
        <w:ind w:right="0"/>
        <w:jc w:val="left"/>
        <w:rPr>
          <w:b w:val="0"/>
          <w:bCs w:val="0"/>
        </w:rPr>
      </w:pPr>
      <w:bookmarkStart w:name="二、财务报表" w:id="150"/>
      <w:bookmarkEnd w:id="150"/>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1、合并资产负债表" w:id="151"/>
      <w:bookmarkEnd w:id="151"/>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ind w:right="-19"/>
        <w:jc w:val="left"/>
      </w:pPr>
      <w:r>
        <w:rPr/>
        <w:t>编制单位：上海中信信息发展股份有限公司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617" w:right="-17"/>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113" w:right="1112"/>
        <w:jc w:val="center"/>
      </w:pPr>
      <w:r>
        <w:rPr/>
        <w:t>单位：元</w:t>
      </w:r>
    </w:p>
    <w:p>
      <w:pPr>
        <w:spacing w:after="0" w:line="240" w:lineRule="auto"/>
        <w:jc w:val="center"/>
        <w:sectPr>
          <w:type w:val="continuous"/>
          <w:pgSz w:w="11910" w:h="16840"/>
          <w:pgMar w:top="1060" w:bottom="1160" w:left="0" w:right="0"/>
          <w:cols w:num="3" w:equalWidth="0">
            <w:col w:w="4555" w:space="40"/>
            <w:col w:w="2102" w:space="2223"/>
            <w:col w:w="299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240,140,175.19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122,217,029.83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188,996,520.00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112,692,911.66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11,360,153.97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16,489,254.63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38,174,620.31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28,111,658.49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139,785,779.85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87,969,643.88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579,955.60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697,853.02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619,037,204.92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368,178,351.51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10,626,734.94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5,460,260.53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8,910,316.81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2,293,266.38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32,827,840.67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33,596,896.07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10,737,367.68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10,737,367.68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5,688,162.23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3,694,754.88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327,000.00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320,754.72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69,117,422.33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56,103,300.26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688,154,627.25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424,281,651.77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97,631,757.55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61,075,505.88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82,095,080.21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82,133,556.39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3,388,691.60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2,791,631.00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35,943,273.33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21,177,914.87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128,686.80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4,998,059.60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2,138,890.34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339,185,549.09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252,317,498.48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5,245,000.00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180,500.02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209,000.01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525,500.02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5,454,000.01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339,711,049.11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257,771,498.49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127,016,035.86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10,339.37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15,307,285.22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12,429,255.72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132,257,902.60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96,893,505.76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341,381,223.68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159,433,100.85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7,062,354.46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7,077,052.43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348,443,578.14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166,510,153.28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688,154,627.25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424,281,651.77</w:t>
            </w:r>
          </w:p>
        </w:tc>
      </w:tr>
    </w:tbl>
    <w:p>
      <w:pPr>
        <w:spacing w:line="240" w:lineRule="auto" w:before="3"/>
        <w:rPr>
          <w:rFonts w:ascii="Times New Roman" w:hAnsi="Times New Roman" w:cs="Times New Roman" w:eastAsia="Times New Roman" w:hint="default"/>
          <w:sz w:val="23"/>
          <w:szCs w:val="23"/>
        </w:rPr>
      </w:pPr>
    </w:p>
    <w:p>
      <w:pPr>
        <w:pStyle w:val="BodyText"/>
        <w:tabs>
          <w:tab w:pos="3510" w:val="left" w:leader="none"/>
          <w:tab w:pos="7561" w:val="left" w:leader="none"/>
        </w:tabs>
        <w:spacing w:line="240" w:lineRule="auto"/>
        <w:ind w:left="0" w:right="1229"/>
        <w:jc w:val="right"/>
      </w:pPr>
      <w:r>
        <w:rPr/>
        <w:t>法定代表人：张曙华</w:t>
        <w:tab/>
        <w:t>主管会计工作负责人：张颖</w:t>
        <w:tab/>
        <w:t>会计机构负责人：汤泓涛</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母公司资产负债表" w:id="152"/>
      <w:bookmarkEnd w:id="152"/>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单位：元</w:t>
      </w:r>
    </w:p>
    <w:p>
      <w:pPr>
        <w:spacing w:after="0" w:line="240" w:lineRule="auto"/>
        <w:jc w:val="right"/>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215,726,316.13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98,965,949.11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188,256,904.50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111,883,194.41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10,223,012.68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6,624,407.43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36,598,521.93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26,552,374.00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106,455,819.08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85,023,965.42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336,854.23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50,728.92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557,597,428.55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329,100,619.29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104,100,000.00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6,255,244.08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1,871,726.90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170,173.37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70,727.56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4,351,133.55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2,972,526.17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300,400.00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115,176,951.00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109,014,980.63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672,774,379.55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438,115,599.92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160,929,920.45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123,068,555.09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79,285,315.21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81,374,556.39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2,289,007.33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2,279,075.38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29,229,424.11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15,805,422.43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101,805.56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2,733,458.46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1,968,533.65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374,568,931.12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307,496,142.94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374,568,931.12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312,396,142.94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127,005,696.49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15,307,285.22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12,429,255.72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89,092,466.72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63,190,201.26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298,205,448.43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125,719,456.98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672,774,379.55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438,115,599.92</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5"/>
        <w:ind w:left="1134" w:right="0"/>
        <w:jc w:val="left"/>
        <w:rPr>
          <w:b w:val="0"/>
          <w:bCs w:val="0"/>
        </w:rPr>
      </w:pPr>
      <w:bookmarkStart w:name="3、合并利润表" w:id="153"/>
      <w:bookmarkEnd w:id="153"/>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437,900,031.09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368,328,787.20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437,900,031.09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368,328,787.20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413,454,638.79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333,510,628.62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259,160,895.01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220,620,385.69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4,012,546.25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1,699,075.84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41,245,554.07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32,269,527.97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89,857,439.55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67,915,613.32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219.799988pt;width:157.7pt;height:19.650pt;mso-position-horizontal-relative:page;mso-position-vertical-relative:page;z-index:-1032592" coordorigin="4242,4396" coordsize="3154,393">
            <v:shape style="position:absolute;left:4242;top:4396;width:3154;height:393" coordorigin="4242,4396" coordsize="3154,393" path="m4242,4788l7396,4788,7396,4396,4242,4396,4242,4788xe" filled="true" fillcolor="#ffffff" stroked="false">
              <v:path arrowok="t"/>
              <v:fill type="solid"/>
            </v:shape>
            <w10:wrap type="none"/>
          </v:group>
        </w:pict>
      </w:r>
      <w:r>
        <w:rPr/>
        <w:pict>
          <v:group style="position:absolute;margin-left:212.119995pt;margin-top:340.399994pt;width:157.7pt;height:19.650pt;mso-position-horizontal-relative:page;mso-position-vertical-relative:page;z-index:-1032568" coordorigin="4242,6808" coordsize="3154,393">
            <v:shape style="position:absolute;left:4242;top:6808;width:3154;height:393" coordorigin="4242,6808" coordsize="3154,393" path="m4242,7200l7396,7200,7396,6808,4242,6808,4242,720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080"/>
        <w:gridCol w:w="1105"/>
        <w:gridCol w:w="2106"/>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8,198,116.46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7,455,177.82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10,980,087.45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3,550,847.98</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24,445,392.30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34,818,158.58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18,433,203.47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7,751,621.50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14,329.09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14,329.09</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05"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42,778,595.77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42,555,450.99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3,739,975.36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4,971,918.45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39,038,620.41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37,583,532.54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38,242,426.34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35,339,310.97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796,194.07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2,244,221.57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3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持有至到期投资重分类为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39,038,620.41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37,583,532.54</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38,242,426.34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35,339,310.97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796,194.07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2,244,221.57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0.654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0.705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0.654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0.705</w:t>
            </w:r>
          </w:p>
        </w:tc>
      </w:tr>
    </w:tbl>
    <w:p>
      <w:pPr>
        <w:pStyle w:val="BodyText"/>
        <w:tabs>
          <w:tab w:pos="4644" w:val="left" w:leader="none"/>
          <w:tab w:pos="8695" w:val="left" w:leader="none"/>
        </w:tabs>
        <w:spacing w:line="624" w:lineRule="auto" w:before="51"/>
        <w:ind w:right="1229"/>
        <w:jc w:val="left"/>
      </w:pPr>
      <w:r>
        <w:rPr/>
        <w:t>本期发生同一控制下企业合并的，被合并方在合并前实现的净利润为：元，上期被合并方实现的净利润为：元。 法定代表人：张曙华</w:t>
        <w:tab/>
        <w:t>主管会计工作负责人：张颖</w:t>
        <w:tab/>
        <w:t>会计机构负责人：汤泓涛</w:t>
      </w:r>
    </w:p>
    <w:p>
      <w:pPr>
        <w:pStyle w:val="Heading6"/>
        <w:spacing w:line="240" w:lineRule="auto" w:before="63"/>
        <w:ind w:right="0"/>
        <w:jc w:val="left"/>
        <w:rPr>
          <w:b w:val="0"/>
          <w:bCs w:val="0"/>
        </w:rPr>
      </w:pPr>
      <w:bookmarkStart w:name="4、母公司利润表" w:id="154"/>
      <w:bookmarkEnd w:id="154"/>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435,668,404.97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364,521,812.22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292,714,555.91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242,179,044.27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3,067,657.59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1,411,328.72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39,017,249.35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30,289,218.13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59,741,222.02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54,390,854.36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7,687,165.94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7,559,233.11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10,816,409.71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3,431,201.59</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22,624,144.45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25,260,932.04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9,671,423.20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7,578,743.93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32,195,567.65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32,839,675.97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3,415,272.69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3,861,120.12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28,780,294.96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28,978,555.85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28,780,294.96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28,978,555.85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left="1134" w:right="0"/>
        <w:jc w:val="left"/>
        <w:rPr>
          <w:b w:val="0"/>
          <w:bCs w:val="0"/>
        </w:rPr>
      </w:pPr>
      <w:bookmarkStart w:name="5、合并现金流量表" w:id="155"/>
      <w:bookmarkEnd w:id="155"/>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410,850,830.76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401,997,410.43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1,019,525.20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720,963.55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25,619,559.62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21,752,203.41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437,489,915.58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424,470,577.39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194,489,957.02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199,757,359.66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196,444,245.54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136,509,889.78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16,147,304.83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13,789,361.21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62,849,930.31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65,049,079.03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469,931,437.70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415,105,689.68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-32,441,522.12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9,364,887.71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15,238,446.54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39,531,826.29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15,238,446.54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39,531,826.29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-15,238,446.54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-39,530,616.29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152,138,000.00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402,138,000.00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8,900,601.02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7,386,921.37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648,713.62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5,559,068.32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232,459,669.34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142,916,921.37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169,678,330.66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27,083,078.63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121,998,362.00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-3,082,649.95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109,558,077.76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112,640,727.71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231,556,439.76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109,558,077.76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2"/>
        <w:rPr>
          <w:rFonts w:ascii="Times New Roman" w:hAnsi="Times New Roman" w:cs="Times New Roman" w:eastAsia="Times New Roman" w:hint="default"/>
          <w:sz w:val="28"/>
          <w:szCs w:val="28"/>
        </w:rPr>
      </w:pPr>
    </w:p>
    <w:p>
      <w:pPr>
        <w:pStyle w:val="Heading6"/>
        <w:spacing w:line="240" w:lineRule="auto" w:before="35"/>
        <w:ind w:right="0"/>
        <w:jc w:val="left"/>
        <w:rPr>
          <w:b w:val="0"/>
          <w:bCs w:val="0"/>
        </w:rPr>
      </w:pPr>
      <w:bookmarkStart w:name="6、母公司现金流量表" w:id="156"/>
      <w:bookmarkEnd w:id="156"/>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389,640,581.05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397,807,601.78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1,019,525.20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720,963.55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14,418,358.91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21,216,550.94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405,078,465.16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419,745,116.27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246,746,489.56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248,550,662.89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123,714,323.04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98,086,151.70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9,191,381.91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9,440,845.07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54,229,471.01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58,852,881.03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433,881,665.52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414,930,540.69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-28,803,200.36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4,814,575.58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6,185,835.47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748,247.25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6,185,835.47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748,247.25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-6,185,835.47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-748,247.25</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152,138,000.00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387,138,000.00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7,754,312.19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7,386,921.37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5,559,068.32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231,313,380.51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142,916,921.37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155,824,619.49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27,083,078.63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120,835,583.66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31,149,406.96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86,306,997.04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55,157,590.08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207,142,580.70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86,306,997.04</w:t>
            </w:r>
          </w:p>
        </w:tc>
      </w:tr>
    </w:tbl>
    <w:p>
      <w:pPr>
        <w:spacing w:line="240" w:lineRule="auto" w:before="2"/>
        <w:rPr>
          <w:rFonts w:ascii="宋体" w:hAnsi="宋体" w:cs="宋体" w:eastAsia="宋体" w:hint="default"/>
          <w:sz w:val="19"/>
          <w:szCs w:val="19"/>
        </w:rPr>
      </w:pPr>
    </w:p>
    <w:p>
      <w:pPr>
        <w:pStyle w:val="Heading6"/>
        <w:spacing w:line="240" w:lineRule="auto" w:before="35"/>
        <w:ind w:left="1134" w:right="0"/>
        <w:jc w:val="left"/>
        <w:rPr>
          <w:b w:val="0"/>
          <w:bCs w:val="0"/>
        </w:rPr>
      </w:pPr>
      <w:bookmarkStart w:name="7、合并所有者权益变动表" w:id="157"/>
      <w:bookmarkEnd w:id="157"/>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13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27"/>
        <w:gridCol w:w="574"/>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50,100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10,339.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12,429,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255.72</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96,893,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505.76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7,077,0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52.43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166,510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,153.28</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50,100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10,339.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12,429,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255.72</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96,893,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505.76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7,077,0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52.43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166,510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,153.28</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127,005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,696.49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2,878,0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29.50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35,364,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396.84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-14,697.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181,933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,424.86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38,242,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426.34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796,194</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.07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39,038,</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620.41</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127,005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,696.49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143,705</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,696.49</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127,005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,696.49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143,705</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,696.49</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2,878,0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29.50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-2,878,0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29.50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-810,89</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2.04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-810,89</w:t>
            </w:r>
          </w:p>
          <w:p>
            <w:pPr>
              <w:pStyle w:val="TableParagraph"/>
              <w:spacing w:line="240" w:lineRule="auto" w:before="106"/>
              <w:ind w:left="310" w:right="0"/>
              <w:jc w:val="left"/>
              <w:rPr>
                <w:rFonts w:ascii="Times New Roman" w:hAnsi="Times New Roman" w:cs="Times New Roman" w:eastAsia="Times New Roman" w:hint="default"/>
                <w:sz w:val="18"/>
                <w:szCs w:val="18"/>
              </w:rPr>
            </w:pPr>
            <w:r>
              <w:rPr>
                <w:rFonts w:ascii="Times New Roman"/>
                <w:sz w:val="18"/>
              </w:rPr>
              <w:t>2.04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2,878,0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29.50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-2,878,0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29.50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-810,89</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2.04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-810,89</w:t>
            </w:r>
          </w:p>
          <w:p>
            <w:pPr>
              <w:pStyle w:val="TableParagraph"/>
              <w:spacing w:line="240" w:lineRule="auto" w:before="106"/>
              <w:ind w:left="310" w:right="0"/>
              <w:jc w:val="left"/>
              <w:rPr>
                <w:rFonts w:ascii="Times New Roman" w:hAnsi="Times New Roman" w:cs="Times New Roman" w:eastAsia="Times New Roman" w:hint="default"/>
                <w:sz w:val="18"/>
                <w:szCs w:val="18"/>
              </w:rPr>
            </w:pPr>
            <w:r>
              <w:rPr>
                <w:rFonts w:ascii="Times New Roman"/>
                <w:sz w:val="18"/>
              </w:rPr>
              <w:t>2.04</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127,016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,035.86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15,307,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285.22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132,257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,902.60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7,062,3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54.46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348,443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,578.14</w:t>
            </w:r>
          </w:p>
        </w:tc>
      </w:tr>
    </w:tbl>
    <w:p>
      <w:pPr>
        <w:pStyle w:val="BodyText"/>
        <w:spacing w:line="240" w:lineRule="auto" w:before="51"/>
        <w:ind w:left="113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38"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50,100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10,339.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9,531,4</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00.13</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64,452,</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050.38</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4,832,8</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30.86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128,926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,620.74</w:t>
            </w:r>
          </w:p>
        </w:tc>
      </w:tr>
      <w:tr>
        <w:trPr>
          <w:trHeight w:val="391"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50,100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10,339.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9,531,4</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00.13</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64,452,</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050.38</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4,832,8</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30.86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128,926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,620.74</w:t>
            </w:r>
          </w:p>
        </w:tc>
      </w:tr>
      <w:tr>
        <w:trPr>
          <w:trHeight w:val="391"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2,897,8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55.59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32,441,</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455.38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2,244,2</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21.57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37,583,</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532.54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left"/>
              <w:rPr>
                <w:rFonts w:ascii="Times New Roman" w:hAnsi="Times New Roman" w:cs="Times New Roman" w:eastAsia="Times New Roman" w:hint="default"/>
                <w:sz w:val="18"/>
                <w:szCs w:val="18"/>
              </w:rPr>
            </w:pPr>
            <w:r>
              <w:rPr>
                <w:rFonts w:ascii="Times New Roman"/>
                <w:sz w:val="18"/>
              </w:rPr>
              <w:t>35,339,</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310.97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2,244,2</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21.57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37,583,</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532.54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2,897,8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55.59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-2,897,8</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55.59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2,897,8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55.59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-2,897,8</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55.59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50,100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10,339.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12,429,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255.72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96,893,</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505.76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7,077,0</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52.43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166,510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,153.28</w:t>
            </w:r>
          </w:p>
        </w:tc>
      </w:tr>
    </w:tbl>
    <w:p>
      <w:pPr>
        <w:spacing w:line="240" w:lineRule="auto" w:before="2"/>
        <w:rPr>
          <w:rFonts w:ascii="宋体" w:hAnsi="宋体" w:cs="宋体" w:eastAsia="宋体" w:hint="default"/>
          <w:sz w:val="19"/>
          <w:szCs w:val="19"/>
        </w:rPr>
      </w:pPr>
    </w:p>
    <w:p>
      <w:pPr>
        <w:pStyle w:val="Heading6"/>
        <w:spacing w:line="240" w:lineRule="auto" w:before="35"/>
        <w:ind w:left="1134" w:right="0"/>
        <w:jc w:val="left"/>
        <w:rPr>
          <w:b w:val="0"/>
          <w:bCs w:val="0"/>
        </w:rPr>
      </w:pPr>
      <w:bookmarkStart w:name="8、母公司所有者权益变动表" w:id="158"/>
      <w:bookmarkEnd w:id="158"/>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13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50,100,0</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12,429,25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5.72</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103" w:right="0"/>
              <w:jc w:val="left"/>
              <w:rPr>
                <w:rFonts w:ascii="Times New Roman" w:hAnsi="Times New Roman" w:cs="Times New Roman" w:eastAsia="Times New Roman" w:hint="default"/>
                <w:sz w:val="18"/>
                <w:szCs w:val="18"/>
              </w:rPr>
            </w:pPr>
            <w:r>
              <w:rPr>
                <w:rFonts w:ascii="Times New Roman"/>
                <w:sz w:val="18"/>
              </w:rPr>
              <w:t>63,190,</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201.26</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27" w:right="0"/>
              <w:jc w:val="left"/>
              <w:rPr>
                <w:rFonts w:ascii="Times New Roman" w:hAnsi="Times New Roman" w:cs="Times New Roman" w:eastAsia="Times New Roman" w:hint="default"/>
                <w:sz w:val="18"/>
                <w:szCs w:val="18"/>
              </w:rPr>
            </w:pPr>
            <w:r>
              <w:rPr>
                <w:rFonts w:ascii="Times New Roman"/>
                <w:sz w:val="18"/>
              </w:rPr>
              <w:t>125,719,4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56.98</w:t>
            </w:r>
          </w:p>
        </w:tc>
      </w:tr>
      <w:tr>
        <w:trPr>
          <w:trHeight w:val="393"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50,100,0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12,429,25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5.72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63,190,</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201.26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125,719,4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56.98</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16,700,0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127,005,6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96.49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2,878,029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25,902,</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265.46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172,485,9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91.45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28,780,</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294.96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28,780,29</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4.96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16,700,0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127,005,6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96.49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143,705,6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96.49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16,700,0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127,005,6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96.49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143,705,6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96.49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2,878,029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-2,878,0</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29.50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2,878,029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-2,878,0</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29.50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66,800,0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127,005,6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96.49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15,307,28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5.22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89,092,</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466.72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298,205,4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48.43</w:t>
            </w:r>
          </w:p>
        </w:tc>
      </w:tr>
    </w:tbl>
    <w:p>
      <w:pPr>
        <w:pStyle w:val="BodyText"/>
        <w:spacing w:line="240" w:lineRule="auto" w:before="51"/>
        <w:ind w:left="113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50,100,0</w:t>
            </w:r>
          </w:p>
          <w:p>
            <w:pPr>
              <w:pStyle w:val="TableParagraph"/>
              <w:spacing w:line="240" w:lineRule="auto" w:before="105"/>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9,531,400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.13</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103" w:right="0"/>
              <w:jc w:val="left"/>
              <w:rPr>
                <w:rFonts w:ascii="Times New Roman" w:hAnsi="Times New Roman" w:cs="Times New Roman" w:eastAsia="Times New Roman" w:hint="default"/>
                <w:sz w:val="18"/>
                <w:szCs w:val="18"/>
              </w:rPr>
            </w:pPr>
            <w:r>
              <w:rPr>
                <w:rFonts w:ascii="Times New Roman"/>
                <w:sz w:val="18"/>
              </w:rPr>
              <w:t>37,109,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501.00</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27" w:right="0"/>
              <w:jc w:val="left"/>
              <w:rPr>
                <w:rFonts w:ascii="Times New Roman" w:hAnsi="Times New Roman" w:cs="Times New Roman" w:eastAsia="Times New Roman" w:hint="default"/>
                <w:sz w:val="18"/>
                <w:szCs w:val="18"/>
              </w:rPr>
            </w:pPr>
            <w:r>
              <w:rPr>
                <w:rFonts w:ascii="Times New Roman"/>
                <w:sz w:val="18"/>
              </w:rPr>
              <w:t>96,740,90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1.13</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50,100,0</w:t>
            </w:r>
          </w:p>
          <w:p>
            <w:pPr>
              <w:pStyle w:val="TableParagraph"/>
              <w:spacing w:line="240" w:lineRule="auto" w:before="105"/>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9,531,400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.13</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37,109,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501.00</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96,740,90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1.13</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2,897,855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26,080,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700.26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28,978,55</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5.85</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28,978,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555.85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28,978,55</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5.85</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2,897,855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-2,897,8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55.59</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2,897,855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-2,897,8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55.59</w:t>
            </w:r>
          </w:p>
        </w:tc>
        <w:tc>
          <w:tcPr>
            <w:tcW w:w="781" w:type="dxa"/>
            <w:vMerge w:val="restart"/>
            <w:tcBorders>
              <w:top w:val="single" w:sz="4" w:space="0" w:color="000000"/>
              <w:left w:val="single" w:sz="4" w:space="0" w:color="000000"/>
              <w:right w:val="single" w:sz="4" w:space="0" w:color="000000"/>
            </w:tcBorders>
          </w:tcPr>
          <w:p>
            <w:pP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50,100,0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12,429,25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5.72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63,190,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201.26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125,719,4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56.98</w:t>
            </w:r>
          </w:p>
        </w:tc>
      </w:tr>
    </w:tbl>
    <w:p>
      <w:pPr>
        <w:spacing w:line="240" w:lineRule="auto" w:before="2"/>
        <w:rPr>
          <w:rFonts w:ascii="宋体" w:hAnsi="宋体" w:cs="宋体" w:eastAsia="宋体" w:hint="default"/>
          <w:sz w:val="18"/>
          <w:szCs w:val="18"/>
        </w:rPr>
      </w:pPr>
    </w:p>
    <w:p>
      <w:pPr>
        <w:pStyle w:val="Heading4"/>
        <w:spacing w:line="240" w:lineRule="auto" w:before="26"/>
        <w:ind w:left="1134" w:right="0"/>
        <w:jc w:val="both"/>
        <w:rPr>
          <w:b w:val="0"/>
          <w:bCs w:val="0"/>
        </w:rPr>
      </w:pPr>
      <w:bookmarkStart w:name="三、公司基本情况" w:id="159"/>
      <w:bookmarkEnd w:id="159"/>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Heading7"/>
        <w:spacing w:line="256" w:lineRule="auto"/>
        <w:ind w:right="1131" w:firstLine="336"/>
        <w:jc w:val="both"/>
      </w:pPr>
      <w:r>
        <w:rPr>
          <w:spacing w:val="-3"/>
        </w:rPr>
        <w:t>上海中信信息发展股份有限公司（以下简称</w:t>
      </w:r>
      <w:r>
        <w:rPr>
          <w:rFonts w:ascii="Times New Roman" w:hAnsi="Times New Roman" w:cs="Times New Roman" w:eastAsia="Times New Roman" w:hint="default"/>
          <w:spacing w:val="-3"/>
        </w:rPr>
        <w:t>“</w:t>
      </w:r>
      <w:r>
        <w:rPr>
          <w:spacing w:val="-3"/>
        </w:rPr>
        <w:t>公司</w:t>
      </w:r>
      <w:r>
        <w:rPr>
          <w:rFonts w:ascii="Times New Roman" w:hAnsi="Times New Roman" w:cs="Times New Roman" w:eastAsia="Times New Roman" w:hint="default"/>
          <w:spacing w:val="-3"/>
        </w:rPr>
        <w:t>”</w:t>
      </w:r>
      <w:r>
        <w:rPr>
          <w:spacing w:val="-3"/>
        </w:rPr>
        <w:t>或</w:t>
      </w:r>
      <w:r>
        <w:rPr>
          <w:rFonts w:ascii="Times New Roman" w:hAnsi="Times New Roman" w:cs="Times New Roman" w:eastAsia="Times New Roman" w:hint="default"/>
          <w:spacing w:val="-3"/>
        </w:rPr>
        <w:t>“</w:t>
      </w:r>
      <w:r>
        <w:rPr>
          <w:spacing w:val="-3"/>
        </w:rPr>
        <w:t>本公司</w:t>
      </w:r>
      <w:r>
        <w:rPr>
          <w:rFonts w:ascii="Times New Roman" w:hAnsi="Times New Roman" w:cs="Times New Roman" w:eastAsia="Times New Roman" w:hint="default"/>
          <w:spacing w:val="-3"/>
        </w:rPr>
        <w:t>”</w:t>
      </w:r>
      <w:r>
        <w:rPr>
          <w:spacing w:val="-3"/>
        </w:rPr>
        <w:t>）是由上海中信信息发展有限公司（以下</w:t>
      </w:r>
      <w:r>
        <w:rPr/>
        <w:t> 简称</w:t>
      </w:r>
      <w:r>
        <w:rPr>
          <w:rFonts w:ascii="Times New Roman" w:hAnsi="Times New Roman" w:cs="Times New Roman" w:eastAsia="Times New Roman" w:hint="default"/>
        </w:rPr>
        <w:t>“</w:t>
      </w:r>
      <w:r>
        <w:rPr/>
        <w:t>有限公司</w:t>
      </w:r>
      <w:r>
        <w:rPr>
          <w:rFonts w:ascii="Times New Roman" w:hAnsi="Times New Roman" w:cs="Times New Roman" w:eastAsia="Times New Roman" w:hint="default"/>
        </w:rPr>
        <w:t>”</w:t>
      </w:r>
      <w:r>
        <w:rPr/>
        <w:t>）整体变更设立的股份有限公司，于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日变更成立，股份总额</w:t>
      </w:r>
      <w:r>
        <w:rPr>
          <w:rFonts w:ascii="Times New Roman" w:hAnsi="Times New Roman" w:cs="Times New Roman" w:eastAsia="Times New Roman" w:hint="default"/>
        </w:rPr>
        <w:t>2,280</w:t>
      </w:r>
      <w:r>
        <w:rPr/>
        <w:t>万股，每股</w:t>
      </w:r>
      <w:r>
        <w:rPr>
          <w:spacing w:val="-62"/>
        </w:rPr>
        <w:t> </w:t>
      </w:r>
      <w:r>
        <w:rPr>
          <w:spacing w:val="-62"/>
        </w:rPr>
      </w:r>
      <w:r>
        <w:rPr/>
        <w:t>面值</w:t>
      </w:r>
      <w:r>
        <w:rPr>
          <w:rFonts w:ascii="Times New Roman" w:hAnsi="Times New Roman" w:cs="Times New Roman" w:eastAsia="Times New Roman" w:hint="default"/>
        </w:rPr>
        <w:t>1</w:t>
      </w:r>
      <w:r>
        <w:rPr/>
        <w:t>元，注册资本、实收资本（股本）</w:t>
      </w:r>
      <w:r>
        <w:rPr>
          <w:rFonts w:ascii="Times New Roman" w:hAnsi="Times New Roman" w:cs="Times New Roman" w:eastAsia="Times New Roman" w:hint="default"/>
        </w:rPr>
        <w:t>2,280</w:t>
      </w:r>
      <w:r>
        <w:rPr/>
        <w:t>万元。</w:t>
      </w:r>
    </w:p>
    <w:p>
      <w:pPr>
        <w:pStyle w:val="Heading7"/>
        <w:spacing w:line="256" w:lineRule="auto" w:before="5"/>
        <w:ind w:left="1551" w:right="0"/>
        <w:jc w:val="left"/>
      </w:pP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11</w:t>
      </w:r>
      <w:r>
        <w:rPr>
          <w:spacing w:val="-1"/>
        </w:rPr>
        <w:t>日，根据本公司股东大会决议，增加注册资本</w:t>
      </w:r>
      <w:r>
        <w:rPr>
          <w:rFonts w:ascii="Times New Roman" w:hAnsi="Times New Roman" w:cs="Times New Roman" w:eastAsia="Times New Roman" w:hint="default"/>
          <w:spacing w:val="-1"/>
        </w:rPr>
        <w:t>720</w:t>
      </w:r>
      <w:r>
        <w:rPr>
          <w:spacing w:val="-1"/>
        </w:rPr>
        <w:t>万元，由未分配利润转增资本。此次变</w:t>
      </w:r>
      <w:r>
        <w:rPr>
          <w:spacing w:val="-81"/>
        </w:rPr>
        <w:t> </w:t>
      </w:r>
      <w:r>
        <w:rPr>
          <w:spacing w:val="-81"/>
        </w:rPr>
      </w:r>
      <w:r>
        <w:rPr/>
        <w:t>更后，公司注册资本增至</w:t>
      </w:r>
      <w:r>
        <w:rPr>
          <w:rFonts w:ascii="Times New Roman" w:hAnsi="Times New Roman" w:cs="Times New Roman" w:eastAsia="Times New Roman" w:hint="default"/>
        </w:rPr>
        <w:t>3,000</w:t>
      </w:r>
      <w:r>
        <w:rPr/>
        <w:t>万元。</w:t>
      </w:r>
    </w:p>
    <w:p>
      <w:pPr>
        <w:pStyle w:val="Heading7"/>
        <w:spacing w:line="240" w:lineRule="auto" w:before="5"/>
        <w:ind w:left="1806" w:right="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月，本公司按每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6.7</w:t>
      </w:r>
      <w:r>
        <w:rPr/>
        <w:t>股的比例，以资本公积、未分配利润向全体股东转增股份总额</w:t>
      </w:r>
    </w:p>
    <w:p>
      <w:pPr>
        <w:pStyle w:val="Heading7"/>
        <w:spacing w:line="240" w:lineRule="auto" w:before="21"/>
        <w:ind w:right="0"/>
        <w:jc w:val="both"/>
        <w:rPr>
          <w:rFonts w:ascii="Times New Roman" w:hAnsi="Times New Roman" w:cs="Times New Roman" w:eastAsia="Times New Roman" w:hint="default"/>
        </w:rPr>
      </w:pPr>
      <w:r>
        <w:rPr>
          <w:rFonts w:ascii="Times New Roman" w:hAnsi="Times New Roman" w:cs="Times New Roman" w:eastAsia="Times New Roman" w:hint="default"/>
        </w:rPr>
        <w:t>2,010</w:t>
      </w:r>
      <w:r>
        <w:rPr/>
        <w:t>万股，增加股本</w:t>
      </w:r>
      <w:r>
        <w:rPr>
          <w:rFonts w:ascii="Times New Roman" w:hAnsi="Times New Roman" w:cs="Times New Roman" w:eastAsia="Times New Roman" w:hint="default"/>
        </w:rPr>
        <w:t>2,010</w:t>
      </w:r>
      <w:r>
        <w:rPr/>
        <w:t>万元，其中：由资本公积转增</w:t>
      </w:r>
      <w:r>
        <w:rPr>
          <w:rFonts w:ascii="Times New Roman" w:hAnsi="Times New Roman" w:cs="Times New Roman" w:eastAsia="Times New Roman" w:hint="default"/>
        </w:rPr>
        <w:t>2,453,540.62</w:t>
      </w:r>
      <w:r>
        <w:rPr/>
        <w:t>元，由未分配利润转增</w:t>
      </w:r>
      <w:r>
        <w:rPr>
          <w:rFonts w:ascii="Times New Roman" w:hAnsi="Times New Roman" w:cs="Times New Roman" w:eastAsia="Times New Roman" w:hint="default"/>
        </w:rPr>
        <w:t>17,646,459.38</w:t>
      </w:r>
    </w:p>
    <w:p>
      <w:pPr>
        <w:pStyle w:val="Heading7"/>
        <w:spacing w:line="256" w:lineRule="auto" w:before="21"/>
        <w:ind w:left="1469" w:right="0" w:hanging="336"/>
        <w:jc w:val="left"/>
      </w:pPr>
      <w:r>
        <w:rPr/>
        <w:t>元。转增股本后，公司注册资本、实收资本（股本）变更为</w:t>
      </w:r>
      <w:r>
        <w:rPr>
          <w:rFonts w:ascii="Times New Roman" w:hAnsi="Times New Roman" w:cs="Times New Roman" w:eastAsia="Times New Roman" w:hint="default"/>
        </w:rPr>
        <w:t>5,010</w:t>
      </w:r>
      <w:r>
        <w:rPr/>
        <w:t>万元。 </w:t>
      </w:r>
      <w:r>
        <w:rPr>
          <w:spacing w:val="-2"/>
        </w:rPr>
        <w:t>经中国证券监督管理委员会</w:t>
      </w:r>
      <w:r>
        <w:rPr>
          <w:rFonts w:ascii="Times New Roman" w:hAnsi="Times New Roman" w:cs="Times New Roman" w:eastAsia="Times New Roman" w:hint="default"/>
          <w:spacing w:val="-2"/>
        </w:rPr>
        <w:t>“</w:t>
      </w:r>
      <w:r>
        <w:rPr>
          <w:spacing w:val="-2"/>
        </w:rPr>
        <w:t>证监许可</w:t>
      </w:r>
      <w:r>
        <w:rPr>
          <w:rFonts w:ascii="Times New Roman" w:hAnsi="Times New Roman" w:cs="Times New Roman" w:eastAsia="Times New Roman" w:hint="default"/>
          <w:spacing w:val="-2"/>
        </w:rPr>
        <w:t>[2015]958</w:t>
      </w:r>
      <w:r>
        <w:rPr>
          <w:spacing w:val="-2"/>
        </w:rPr>
        <w:t>号</w:t>
      </w:r>
      <w:r>
        <w:rPr>
          <w:rFonts w:ascii="Times New Roman" w:hAnsi="Times New Roman" w:cs="Times New Roman" w:eastAsia="Times New Roman" w:hint="default"/>
          <w:spacing w:val="-2"/>
        </w:rPr>
        <w:t>”</w:t>
      </w:r>
      <w:r>
        <w:rPr>
          <w:spacing w:val="-2"/>
        </w:rPr>
        <w:t>文核准，本公司于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月通过深圳证券交易所系</w:t>
      </w:r>
    </w:p>
    <w:p>
      <w:pPr>
        <w:pStyle w:val="Heading7"/>
        <w:spacing w:line="240" w:lineRule="auto" w:before="5"/>
        <w:ind w:right="0"/>
        <w:jc w:val="both"/>
      </w:pPr>
      <w:r>
        <w:rPr/>
        <w:t>统，采用网上向社会公众投资者定价与网下向配售对象询价配售相结合的发行方式公开发行人民币普通股</w:t>
      </w:r>
    </w:p>
    <w:p>
      <w:pPr>
        <w:pStyle w:val="Heading7"/>
        <w:spacing w:line="256" w:lineRule="auto" w:before="37"/>
        <w:ind w:right="1136"/>
        <w:jc w:val="both"/>
      </w:pPr>
      <w:r>
        <w:rPr/>
        <w:t>（</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1,670</w:t>
      </w:r>
      <w:r>
        <w:rPr/>
        <w:t>万股，并于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日在深圳证券交易所创业板上市交易，股票简称：信息发展，股票</w:t>
      </w:r>
      <w:r>
        <w:rPr>
          <w:spacing w:val="-31"/>
        </w:rPr>
        <w:t> </w:t>
      </w:r>
      <w:r>
        <w:rPr>
          <w:spacing w:val="-31"/>
        </w:rPr>
      </w:r>
      <w:r>
        <w:rPr/>
        <w:t>代码：</w:t>
      </w:r>
      <w:r>
        <w:rPr>
          <w:rFonts w:ascii="Times New Roman" w:hAnsi="Times New Roman" w:cs="Times New Roman" w:eastAsia="Times New Roman" w:hint="default"/>
        </w:rPr>
        <w:t>300469</w:t>
      </w:r>
      <w:r>
        <w:rPr/>
        <w:t>。发行后本公司注册资本、实收资本（股本）变更为</w:t>
      </w:r>
      <w:r>
        <w:rPr>
          <w:rFonts w:ascii="Times New Roman" w:hAnsi="Times New Roman" w:cs="Times New Roman" w:eastAsia="Times New Roman" w:hint="default"/>
        </w:rPr>
        <w:t>6,680</w:t>
      </w:r>
      <w:r>
        <w:rPr/>
        <w:t>万元。</w:t>
      </w:r>
    </w:p>
    <w:p>
      <w:pPr>
        <w:spacing w:line="237" w:lineRule="auto" w:before="7"/>
        <w:ind w:left="1469" w:right="1117" w:firstLine="81"/>
        <w:jc w:val="left"/>
        <w:rPr>
          <w:rFonts w:ascii="宋体" w:hAnsi="宋体" w:cs="宋体" w:eastAsia="宋体" w:hint="default"/>
          <w:sz w:val="24"/>
          <w:szCs w:val="24"/>
        </w:rPr>
      </w:pPr>
      <w:r>
        <w:rPr>
          <w:rFonts w:ascii="宋体" w:hAnsi="宋体" w:cs="宋体" w:eastAsia="宋体" w:hint="default"/>
          <w:sz w:val="21"/>
          <w:szCs w:val="21"/>
        </w:rPr>
        <w:t>本公司注册地址：上海市静安区昌平路</w:t>
      </w:r>
      <w:r>
        <w:rPr>
          <w:rFonts w:ascii="Times New Roman" w:hAnsi="Times New Roman" w:cs="Times New Roman" w:eastAsia="Times New Roman" w:hint="default"/>
          <w:sz w:val="21"/>
          <w:szCs w:val="21"/>
        </w:rPr>
        <w:t>710</w:t>
      </w:r>
      <w:r>
        <w:rPr>
          <w:rFonts w:ascii="宋体" w:hAnsi="宋体" w:cs="宋体" w:eastAsia="宋体" w:hint="default"/>
          <w:sz w:val="21"/>
          <w:szCs w:val="21"/>
        </w:rPr>
        <w:t>号</w:t>
      </w:r>
      <w:r>
        <w:rPr>
          <w:rFonts w:ascii="Times New Roman" w:hAnsi="Times New Roman" w:cs="Times New Roman" w:eastAsia="Times New Roman" w:hint="default"/>
          <w:sz w:val="21"/>
          <w:szCs w:val="21"/>
        </w:rPr>
        <w:t>302</w:t>
      </w:r>
      <w:r>
        <w:rPr>
          <w:rFonts w:ascii="宋体" w:hAnsi="宋体" w:cs="宋体" w:eastAsia="宋体" w:hint="default"/>
          <w:sz w:val="21"/>
          <w:szCs w:val="21"/>
        </w:rPr>
        <w:t>室，法定代表人：张曙华。 本公司属软件行业，经营范围主要包括：</w:t>
      </w:r>
      <w:r>
        <w:rPr>
          <w:rFonts w:ascii="宋体" w:hAnsi="宋体" w:cs="宋体" w:eastAsia="宋体" w:hint="default"/>
          <w:sz w:val="24"/>
          <w:szCs w:val="24"/>
        </w:rPr>
        <w:t>计算机软硬件、系统集成、网络工程、电子信息领域</w:t>
      </w:r>
    </w:p>
    <w:p>
      <w:pPr>
        <w:pStyle w:val="Heading5"/>
        <w:spacing w:line="312" w:lineRule="exact" w:before="29"/>
        <w:ind w:right="1127"/>
        <w:jc w:val="both"/>
      </w:pPr>
      <w:r>
        <w:rPr/>
        <w:t>的</w:t>
      </w:r>
      <w:r>
        <w:rPr>
          <w:rFonts w:ascii="Times New Roman" w:hAnsi="Times New Roman" w:cs="Times New Roman" w:eastAsia="Times New Roman" w:hint="default"/>
        </w:rPr>
        <w:t>“</w:t>
      </w:r>
      <w:r>
        <w:rPr/>
        <w:t>四技</w:t>
      </w:r>
      <w:r>
        <w:rPr>
          <w:rFonts w:ascii="Times New Roman" w:hAnsi="Times New Roman" w:cs="Times New Roman" w:eastAsia="Times New Roman" w:hint="default"/>
        </w:rPr>
        <w:t>”</w:t>
      </w:r>
      <w:r>
        <w:rPr/>
        <w:t>服务，计算机软硬件、网络工程设备，公共安全防范工程设计及施工，建筑智能化</w:t>
      </w:r>
      <w:r>
        <w:rPr>
          <w:spacing w:val="-89"/>
        </w:rPr>
        <w:t> </w:t>
      </w:r>
      <w:r>
        <w:rPr>
          <w:spacing w:val="-89"/>
        </w:rPr>
      </w:r>
      <w:r>
        <w:rPr/>
        <w:t>工程设计与施工，计算机数据处理</w:t>
      </w:r>
      <w:r>
        <w:rPr>
          <w:spacing w:val="18"/>
        </w:rPr>
        <w:t> </w:t>
      </w:r>
      <w:r>
        <w:rPr>
          <w:rFonts w:ascii="Times New Roman" w:hAnsi="Times New Roman" w:cs="Times New Roman" w:eastAsia="Times New Roman" w:hint="default"/>
          <w:spacing w:val="2"/>
        </w:rPr>
        <w:t>[</w:t>
      </w:r>
      <w:r>
        <w:rPr>
          <w:spacing w:val="2"/>
        </w:rPr>
        <w:t>依法需经批准的项目，经相关部门批准后方可开展经营</w:t>
      </w:r>
      <w:r>
        <w:rPr>
          <w:spacing w:val="-115"/>
        </w:rPr>
        <w:t> </w:t>
      </w:r>
      <w:r>
        <w:rPr>
          <w:spacing w:val="-115"/>
        </w:rPr>
      </w:r>
      <w:r>
        <w:rPr/>
        <w:t>活动</w:t>
      </w:r>
      <w:r>
        <w:rPr>
          <w:rFonts w:ascii="Times New Roman" w:hAnsi="Times New Roman" w:cs="Times New Roman" w:eastAsia="Times New Roman" w:hint="default"/>
        </w:rPr>
        <w:t>]</w:t>
      </w:r>
      <w:r>
        <w:rPr/>
        <w:t>。</w:t>
      </w:r>
    </w:p>
    <w:p>
      <w:pPr>
        <w:pStyle w:val="Heading7"/>
        <w:spacing w:line="273" w:lineRule="auto"/>
        <w:ind w:left="1551" w:right="4035"/>
        <w:jc w:val="left"/>
      </w:pPr>
      <w:r>
        <w:rPr/>
        <w:t>本公司母公司为上海中信电子发展有限公司，实际控制人为张曙华。 本财务报表业经公司董事会于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日批准报出。</w:t>
      </w:r>
    </w:p>
    <w:p>
      <w:pPr>
        <w:spacing w:line="240" w:lineRule="auto" w:before="2"/>
        <w:rPr>
          <w:rFonts w:ascii="宋体" w:hAnsi="宋体" w:cs="宋体" w:eastAsia="宋体" w:hint="default"/>
          <w:sz w:val="21"/>
          <w:szCs w:val="21"/>
        </w:rPr>
      </w:pPr>
    </w:p>
    <w:p>
      <w:pPr>
        <w:pStyle w:val="Heading5"/>
        <w:spacing w:line="240" w:lineRule="auto"/>
        <w:ind w:left="1854" w:right="0"/>
        <w:jc w:val="left"/>
      </w:pPr>
      <w:r>
        <w:rPr/>
        <w:t>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日，本公司合并范围内子公司情况如下：</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736" w:type="dxa"/>
        <w:tblLayout w:type="fixed"/>
        <w:tblCellMar>
          <w:top w:w="0" w:type="dxa"/>
          <w:left w:w="0" w:type="dxa"/>
          <w:bottom w:w="0" w:type="dxa"/>
          <w:right w:w="0" w:type="dxa"/>
        </w:tblCellMar>
        <w:tblLook w:val="01E0"/>
      </w:tblPr>
      <w:tblGrid>
        <w:gridCol w:w="4068"/>
        <w:gridCol w:w="3402"/>
      </w:tblGrid>
      <w:tr>
        <w:trPr>
          <w:trHeight w:val="355" w:hRule="exact"/>
        </w:trPr>
        <w:tc>
          <w:tcPr>
            <w:tcW w:w="40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340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1334" w:right="0"/>
              <w:jc w:val="left"/>
              <w:rPr>
                <w:rFonts w:ascii="宋体" w:hAnsi="宋体" w:cs="宋体" w:eastAsia="宋体" w:hint="default"/>
                <w:sz w:val="18"/>
                <w:szCs w:val="18"/>
              </w:rPr>
            </w:pPr>
            <w:r>
              <w:rPr>
                <w:rFonts w:ascii="宋体" w:hAnsi="宋体" w:cs="宋体" w:eastAsia="宋体" w:hint="default"/>
                <w:sz w:val="18"/>
                <w:szCs w:val="18"/>
              </w:rPr>
              <w:t>以下简称</w:t>
            </w:r>
          </w:p>
        </w:tc>
      </w:tr>
      <w:tr>
        <w:trPr>
          <w:trHeight w:val="352" w:hRule="exact"/>
        </w:trPr>
        <w:tc>
          <w:tcPr>
            <w:tcW w:w="40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上海金档信息技术有限公司</w:t>
            </w:r>
          </w:p>
        </w:tc>
        <w:tc>
          <w:tcPr>
            <w:tcW w:w="34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1334" w:right="0"/>
              <w:jc w:val="left"/>
              <w:rPr>
                <w:rFonts w:ascii="宋体" w:hAnsi="宋体" w:cs="宋体" w:eastAsia="宋体" w:hint="default"/>
                <w:sz w:val="18"/>
                <w:szCs w:val="18"/>
              </w:rPr>
            </w:pPr>
            <w:r>
              <w:rPr>
                <w:rFonts w:ascii="宋体" w:hAnsi="宋体" w:cs="宋体" w:eastAsia="宋体" w:hint="default"/>
                <w:sz w:val="18"/>
                <w:szCs w:val="18"/>
              </w:rPr>
              <w:t>金档信息</w:t>
            </w:r>
          </w:p>
        </w:tc>
      </w:tr>
      <w:tr>
        <w:trPr>
          <w:trHeight w:val="353" w:hRule="exact"/>
        </w:trPr>
        <w:tc>
          <w:tcPr>
            <w:tcW w:w="40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光典信息发展有限公司</w:t>
            </w:r>
          </w:p>
        </w:tc>
        <w:tc>
          <w:tcPr>
            <w:tcW w:w="34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1334" w:right="0"/>
              <w:jc w:val="left"/>
              <w:rPr>
                <w:rFonts w:ascii="宋体" w:hAnsi="宋体" w:cs="宋体" w:eastAsia="宋体" w:hint="default"/>
                <w:sz w:val="18"/>
                <w:szCs w:val="18"/>
              </w:rPr>
            </w:pPr>
            <w:r>
              <w:rPr>
                <w:rFonts w:ascii="宋体" w:hAnsi="宋体" w:cs="宋体" w:eastAsia="宋体" w:hint="default"/>
                <w:sz w:val="18"/>
                <w:szCs w:val="18"/>
              </w:rPr>
              <w:t>光典信息</w:t>
            </w:r>
          </w:p>
        </w:tc>
      </w:tr>
      <w:tr>
        <w:trPr>
          <w:trHeight w:val="352" w:hRule="exact"/>
        </w:trPr>
        <w:tc>
          <w:tcPr>
            <w:tcW w:w="40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上海追索信息科技有限公司</w:t>
            </w:r>
          </w:p>
        </w:tc>
        <w:tc>
          <w:tcPr>
            <w:tcW w:w="34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1334" w:right="0"/>
              <w:jc w:val="left"/>
              <w:rPr>
                <w:rFonts w:ascii="宋体" w:hAnsi="宋体" w:cs="宋体" w:eastAsia="宋体" w:hint="default"/>
                <w:sz w:val="18"/>
                <w:szCs w:val="18"/>
              </w:rPr>
            </w:pPr>
            <w:r>
              <w:rPr>
                <w:rFonts w:ascii="宋体" w:hAnsi="宋体" w:cs="宋体" w:eastAsia="宋体" w:hint="default"/>
                <w:sz w:val="18"/>
                <w:szCs w:val="18"/>
              </w:rPr>
              <w:t>追索信息</w:t>
            </w:r>
          </w:p>
        </w:tc>
      </w:tr>
    </w:tbl>
    <w:p>
      <w:pPr>
        <w:pStyle w:val="Heading7"/>
        <w:spacing w:line="260" w:lineRule="exact"/>
        <w:ind w:left="1852" w:right="0"/>
        <w:jc w:val="left"/>
      </w:pPr>
      <w:r>
        <w:rPr/>
        <w:t>本期合并财务报表范围未发生变更。</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4"/>
        <w:spacing w:line="240" w:lineRule="auto"/>
        <w:ind w:left="1134" w:right="0"/>
        <w:jc w:val="both"/>
        <w:rPr>
          <w:b w:val="0"/>
          <w:bCs w:val="0"/>
        </w:rPr>
      </w:pPr>
      <w:bookmarkStart w:name="四、财务报表的编制基础" w:id="160"/>
      <w:bookmarkEnd w:id="160"/>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0"/>
        <w:jc w:val="both"/>
        <w:rPr>
          <w:b w:val="0"/>
          <w:bCs w:val="0"/>
        </w:rPr>
      </w:pPr>
      <w:bookmarkStart w:name="1、编制基础" w:id="161"/>
      <w:bookmarkEnd w:id="161"/>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Heading7"/>
        <w:spacing w:line="256" w:lineRule="auto"/>
        <w:ind w:right="1109"/>
        <w:jc w:val="both"/>
      </w:pPr>
      <w:r>
        <w:rPr/>
        <w:t>公司以持续经营为基础，根据实际发生的交易和事项，按照财政部颁布的《企业会计准则</w:t>
      </w:r>
      <w:r>
        <w:rPr>
          <w:rFonts w:ascii="Times New Roman" w:hAnsi="Times New Roman" w:cs="Times New Roman" w:eastAsia="Times New Roman" w:hint="default"/>
        </w:rPr>
        <w:t>——</w:t>
      </w:r>
      <w:r>
        <w:rPr/>
        <w:t>基本准则》 </w:t>
      </w:r>
      <w:r>
        <w:rPr>
          <w:spacing w:val="2"/>
        </w:rPr>
        <w:t>和各项具体会计准则、企业会计准则应用指南、企业会计准则解释及其他相关规定（以下合称</w:t>
      </w:r>
      <w:r>
        <w:rPr>
          <w:rFonts w:ascii="Times New Roman" w:hAnsi="Times New Roman" w:cs="Times New Roman" w:eastAsia="Times New Roman" w:hint="default"/>
          <w:spacing w:val="2"/>
        </w:rPr>
        <w:t>“</w:t>
      </w:r>
      <w:r>
        <w:rPr>
          <w:spacing w:val="2"/>
        </w:rPr>
        <w:t>企业会计 </w:t>
      </w:r>
      <w:r>
        <w:rPr/>
        <w:t>准则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36"/>
        </w:rPr>
        <w:t> </w:t>
      </w:r>
      <w:r>
        <w:rPr/>
        <w:t>号</w:t>
      </w:r>
      <w:r>
        <w:rPr>
          <w:rFonts w:ascii="Times New Roman" w:hAnsi="Times New Roman" w:cs="Times New Roman" w:eastAsia="Times New Roman" w:hint="default"/>
        </w:rPr>
        <w:t>——</w:t>
      </w:r>
      <w:r>
        <w:rPr/>
        <w:t>财务报告的 一般规定》的披露规定编制财务报表。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7"/>
        <w:spacing w:line="506" w:lineRule="auto"/>
        <w:ind w:right="2773"/>
        <w:jc w:val="left"/>
      </w:pPr>
      <w:bookmarkStart w:name="2、持续经营" w:id="162"/>
      <w:bookmarkEnd w:id="162"/>
      <w:r>
        <w:rPr/>
      </w:r>
      <w:r>
        <w:rPr>
          <w:rFonts w:ascii="Times New Roman" w:hAnsi="Times New Roman" w:cs="Times New Roman" w:eastAsia="Times New Roman" w:hint="default"/>
          <w:b/>
          <w:bCs/>
        </w:rPr>
        <w:t>2</w:t>
      </w:r>
      <w:r>
        <w:rPr>
          <w:rFonts w:ascii="宋体" w:hAnsi="宋体" w:cs="宋体" w:eastAsia="宋体" w:hint="default"/>
          <w:b/>
          <w:bCs/>
        </w:rPr>
        <w:t>、持续经营</w:t>
      </w:r>
      <w:r>
        <w:rPr>
          <w:rFonts w:ascii="宋体" w:hAnsi="宋体" w:cs="宋体" w:eastAsia="宋体" w:hint="default"/>
          <w:b/>
          <w:bCs/>
          <w:w w:val="99"/>
        </w:rPr>
        <w:t> </w:t>
      </w:r>
      <w:r>
        <w:rPr/>
        <w:t>公司自本报告期末至少</w:t>
      </w:r>
      <w:r>
        <w:rPr>
          <w:rFonts w:ascii="Times New Roman" w:hAnsi="Times New Roman" w:cs="Times New Roman" w:eastAsia="Times New Roman" w:hint="default"/>
        </w:rPr>
        <w:t>12</w:t>
      </w:r>
      <w:r>
        <w:rPr/>
        <w:t>个月内具备持续经营能力，无影响持续经营能力的重大事项。</w:t>
      </w:r>
    </w:p>
    <w:p>
      <w:pPr>
        <w:spacing w:line="240" w:lineRule="auto" w:before="0"/>
        <w:rPr>
          <w:rFonts w:ascii="宋体" w:hAnsi="宋体" w:cs="宋体" w:eastAsia="宋体" w:hint="default"/>
          <w:sz w:val="27"/>
          <w:szCs w:val="27"/>
        </w:rPr>
      </w:pPr>
    </w:p>
    <w:p>
      <w:pPr>
        <w:pStyle w:val="Heading4"/>
        <w:spacing w:line="240" w:lineRule="auto"/>
        <w:ind w:left="1134" w:right="0"/>
        <w:jc w:val="both"/>
        <w:rPr>
          <w:b w:val="0"/>
          <w:bCs w:val="0"/>
        </w:rPr>
      </w:pPr>
      <w:bookmarkStart w:name="五、重要会计政策及会计估计" w:id="163"/>
      <w:bookmarkEnd w:id="163"/>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134" w:right="0"/>
        <w:jc w:val="both"/>
      </w:pPr>
      <w:r>
        <w:rPr/>
        <w:t>具体会计政策和会计估计提示：</w:t>
      </w:r>
    </w:p>
    <w:p>
      <w:pPr>
        <w:pStyle w:val="Heading7"/>
        <w:spacing w:line="240" w:lineRule="auto" w:before="90"/>
        <w:ind w:left="1134" w:right="0"/>
        <w:jc w:val="both"/>
      </w:pPr>
      <w:r>
        <w:rPr/>
        <w:t>本期公司主要会计政策和会计估计未发生变更。</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6"/>
        <w:spacing w:line="240" w:lineRule="auto"/>
        <w:ind w:left="1134" w:right="0"/>
        <w:jc w:val="both"/>
        <w:rPr>
          <w:b w:val="0"/>
          <w:bCs w:val="0"/>
        </w:rPr>
      </w:pPr>
      <w:bookmarkStart w:name="1、遵循企业会计准则的声明" w:id="164"/>
      <w:bookmarkEnd w:id="164"/>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4"/>
          <w:szCs w:val="24"/>
        </w:rPr>
      </w:pPr>
    </w:p>
    <w:p>
      <w:pPr>
        <w:pStyle w:val="Heading7"/>
        <w:spacing w:line="273" w:lineRule="auto"/>
        <w:ind w:left="1134" w:right="1023"/>
        <w:jc w:val="left"/>
      </w:pPr>
      <w:r>
        <w:rPr>
          <w:spacing w:val="-3"/>
        </w:rPr>
        <w:t>公司所编制的财务报表符合企业会计准则的要求，真实、完整地反映了报告期公司的财务状况、经营成果、</w:t>
      </w:r>
      <w:r>
        <w:rPr>
          <w:spacing w:val="-91"/>
        </w:rPr>
        <w:t> </w:t>
      </w:r>
      <w:r>
        <w:rPr>
          <w:spacing w:val="-91"/>
        </w:rPr>
      </w:r>
      <w:r>
        <w:rPr/>
        <w:t>现金流量等有关信息。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06" w:lineRule="auto" w:before="148"/>
        <w:ind w:left="1134" w:right="6552" w:firstLine="0"/>
        <w:jc w:val="left"/>
        <w:rPr>
          <w:rFonts w:ascii="宋体" w:hAnsi="宋体" w:cs="宋体" w:eastAsia="宋体" w:hint="default"/>
          <w:sz w:val="21"/>
          <w:szCs w:val="21"/>
        </w:rPr>
      </w:pPr>
      <w:bookmarkStart w:name="2、会计期间" w:id="165"/>
      <w:bookmarkEnd w:id="16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z w:val="21"/>
          <w:szCs w:val="21"/>
        </w:rPr>
        <w:t>自公历</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日至</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日止为一个会计年度。</w:t>
      </w:r>
    </w:p>
    <w:p>
      <w:pPr>
        <w:spacing w:line="240" w:lineRule="auto" w:before="10"/>
        <w:rPr>
          <w:rFonts w:ascii="宋体" w:hAnsi="宋体" w:cs="宋体" w:eastAsia="宋体" w:hint="default"/>
          <w:sz w:val="28"/>
          <w:szCs w:val="28"/>
        </w:rPr>
      </w:pPr>
    </w:p>
    <w:p>
      <w:pPr>
        <w:spacing w:line="506" w:lineRule="auto" w:before="0"/>
        <w:ind w:left="1134" w:right="8232" w:firstLine="0"/>
        <w:jc w:val="left"/>
        <w:rPr>
          <w:rFonts w:ascii="宋体" w:hAnsi="宋体" w:cs="宋体" w:eastAsia="宋体" w:hint="default"/>
          <w:sz w:val="21"/>
          <w:szCs w:val="21"/>
        </w:rPr>
      </w:pPr>
      <w:bookmarkStart w:name="3、营业周期" w:id="166"/>
      <w:bookmarkEnd w:id="16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b/>
          <w:bCs/>
          <w:w w:val="99"/>
          <w:sz w:val="21"/>
          <w:szCs w:val="21"/>
        </w:rPr>
        <w:t> </w:t>
      </w:r>
      <w:r>
        <w:rPr>
          <w:rFonts w:ascii="宋体" w:hAnsi="宋体" w:cs="宋体" w:eastAsia="宋体" w:hint="default"/>
          <w:sz w:val="21"/>
          <w:szCs w:val="21"/>
        </w:rPr>
        <w:t>本公司营业周期为</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w:t>
      </w:r>
    </w:p>
    <w:p>
      <w:pPr>
        <w:spacing w:after="0" w:line="506" w:lineRule="auto"/>
        <w:jc w:val="left"/>
        <w:rPr>
          <w:rFonts w:ascii="宋体" w:hAnsi="宋体" w:cs="宋体" w:eastAsia="宋体" w:hint="default"/>
          <w:sz w:val="21"/>
          <w:szCs w:val="21"/>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spacing w:line="506" w:lineRule="auto" w:before="35"/>
        <w:ind w:left="1133" w:right="7603" w:firstLine="0"/>
        <w:jc w:val="left"/>
        <w:rPr>
          <w:rFonts w:ascii="宋体" w:hAnsi="宋体" w:cs="宋体" w:eastAsia="宋体" w:hint="default"/>
          <w:sz w:val="21"/>
          <w:szCs w:val="21"/>
        </w:rPr>
      </w:pPr>
      <w:bookmarkStart w:name="4、记账本位币" w:id="167"/>
      <w:bookmarkEnd w:id="16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本公司采用人民币为记账本位币。</w:t>
      </w:r>
    </w:p>
    <w:p>
      <w:pPr>
        <w:pStyle w:val="Heading6"/>
        <w:spacing w:line="240" w:lineRule="auto" w:before="105"/>
        <w:ind w:right="0"/>
        <w:jc w:val="left"/>
        <w:rPr>
          <w:b w:val="0"/>
          <w:bCs w:val="0"/>
        </w:rPr>
      </w:pPr>
      <w:bookmarkStart w:name="5、同一控制下和非同一控制下企业合并的会计处理方法" w:id="168"/>
      <w:bookmarkEnd w:id="168"/>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Heading7"/>
        <w:spacing w:line="273" w:lineRule="auto"/>
        <w:ind w:right="1024"/>
        <w:jc w:val="left"/>
      </w:pPr>
      <w:r>
        <w:rPr/>
        <w:t>同一控制下企业合并：本公司在企业合并中取得的资产和负债，按照合并日在被合并方资产、负债（包括 最终控制方收购被合并方而形成的商誉）在最终控制方合并财务报表中的账面价值计量。在合并中取得的 </w:t>
      </w:r>
      <w:r>
        <w:rPr>
          <w:spacing w:val="-3"/>
        </w:rPr>
        <w:t>净资产账面价值与支付的合并对价账面价值（或发行股份面值总额）的差额，调整资本公积中的股本溢价，</w:t>
      </w:r>
      <w:r>
        <w:rPr>
          <w:spacing w:val="-89"/>
        </w:rPr>
        <w:t> </w:t>
      </w:r>
      <w:r>
        <w:rPr>
          <w:spacing w:val="-89"/>
        </w:rPr>
      </w:r>
      <w:r>
        <w:rPr/>
        <w:t>资本公积中的股本溢价不足冲减的，调整留存收益。 非同一控制下企业合并：本公司在购买日对作为企业合并对价付出的资产、发生或承担的负债按照公允价</w:t>
      </w:r>
      <w:r>
        <w:rPr/>
        <w:t> 值计量，公允价值与其账面价值的差额，计入当期损益。本公司对合并成本大于合并中取得的被购买方可 辨认净资产公允价值份额的差额，确认为商誉；合并成本小于合并中取得的被购买方可辨认净资产公允价 值份额的差额，经复核后，计入当期损益。 </w:t>
      </w:r>
      <w:r>
        <w:rPr>
          <w:spacing w:val="-3"/>
        </w:rPr>
        <w:t>为企业合并发生的审计、法律服务、评估咨询等中介费用以及其他直接相关费用，于发生时计入当期损益；</w:t>
      </w:r>
      <w:r>
        <w:rPr>
          <w:spacing w:val="-90"/>
        </w:rPr>
        <w:t> </w:t>
      </w:r>
      <w:r>
        <w:rPr>
          <w:spacing w:val="-90"/>
        </w:rPr>
      </w:r>
      <w:r>
        <w:rPr/>
        <w:t>为企业合并而发行权益性证券的交易费用，冲减权益。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6"/>
        <w:spacing w:line="240" w:lineRule="auto"/>
        <w:ind w:right="0"/>
        <w:jc w:val="left"/>
        <w:rPr>
          <w:b w:val="0"/>
          <w:bCs w:val="0"/>
        </w:rPr>
      </w:pPr>
      <w:bookmarkStart w:name="6、合并财务报表的编制方法" w:id="169"/>
      <w:bookmarkEnd w:id="169"/>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Heading7"/>
        <w:spacing w:line="266" w:lineRule="auto"/>
        <w:ind w:left="1193" w:right="1125" w:hanging="60"/>
        <w:jc w:val="left"/>
      </w:pPr>
      <w:r>
        <w:rPr>
          <w:rFonts w:ascii="Times New Roman" w:hAnsi="Times New Roman" w:cs="Times New Roman" w:eastAsia="Times New Roman" w:hint="default"/>
          <w:b/>
          <w:bCs/>
        </w:rPr>
        <w:t>1</w:t>
      </w:r>
      <w:r>
        <w:rPr>
          <w:rFonts w:ascii="宋体" w:hAnsi="宋体" w:cs="宋体" w:eastAsia="宋体" w:hint="default"/>
          <w:b/>
          <w:bCs/>
        </w:rPr>
        <w:t>、合并范围</w:t>
      </w:r>
      <w:r>
        <w:rPr>
          <w:rFonts w:ascii="宋体" w:hAnsi="宋体" w:cs="宋体" w:eastAsia="宋体" w:hint="default"/>
          <w:b/>
          <w:bCs/>
          <w:w w:val="99"/>
        </w:rPr>
        <w:t> </w:t>
      </w:r>
      <w:r>
        <w:rPr>
          <w:spacing w:val="-2"/>
        </w:rPr>
        <w:t>本公司合并财务报表的合并范围以控制为基础确定，所有子公司（包括本公司所控制的被投资方可分割的</w:t>
      </w:r>
      <w:r>
        <w:rPr/>
        <w:t> 部分）均纳入合并财务报表。</w:t>
      </w:r>
    </w:p>
    <w:p>
      <w:pPr>
        <w:spacing w:line="240" w:lineRule="auto" w:before="12"/>
        <w:rPr>
          <w:rFonts w:ascii="宋体" w:hAnsi="宋体" w:cs="宋体" w:eastAsia="宋体" w:hint="default"/>
          <w:sz w:val="24"/>
          <w:szCs w:val="24"/>
        </w:rPr>
      </w:pPr>
    </w:p>
    <w:p>
      <w:pPr>
        <w:pStyle w:val="Heading7"/>
        <w:spacing w:line="271" w:lineRule="auto"/>
        <w:ind w:left="1193" w:right="1125" w:hanging="60"/>
        <w:jc w:val="left"/>
      </w:pPr>
      <w:r>
        <w:rPr>
          <w:rFonts w:ascii="Times New Roman" w:hAnsi="Times New Roman" w:cs="Times New Roman" w:eastAsia="Times New Roman" w:hint="default"/>
          <w:b/>
          <w:bCs/>
        </w:rPr>
        <w:t>2</w:t>
      </w:r>
      <w:r>
        <w:rPr>
          <w:rFonts w:ascii="宋体" w:hAnsi="宋体" w:cs="宋体" w:eastAsia="宋体" w:hint="default"/>
          <w:b/>
          <w:bCs/>
        </w:rPr>
        <w:t>、合并程序</w:t>
      </w:r>
      <w:r>
        <w:rPr>
          <w:rFonts w:ascii="宋体" w:hAnsi="宋体" w:cs="宋体" w:eastAsia="宋体" w:hint="default"/>
          <w:b/>
          <w:bCs/>
          <w:w w:val="99"/>
        </w:rPr>
        <w:t> </w:t>
      </w:r>
      <w:r>
        <w:rPr>
          <w:spacing w:val="-2"/>
        </w:rPr>
        <w:t>本公司以自身和各子公司的财务报表为基础，根据其他有关资料，编制合并财务报表。本公司编制合并财</w:t>
      </w:r>
      <w:r>
        <w:rPr/>
        <w:t> </w:t>
      </w:r>
      <w:r>
        <w:rPr>
          <w:spacing w:val="-2"/>
        </w:rPr>
        <w:t>务报表，将整个企业集团视为一个会计主体，依据相关企业会计准则的确认、计量和列报要求，按照统一</w:t>
      </w:r>
      <w:r>
        <w:rPr/>
        <w:t> 的会计政策，反映本企业集团整体财务状况、经营成果和现金流量。 </w:t>
      </w:r>
      <w:r>
        <w:rPr>
          <w:spacing w:val="-2"/>
        </w:rPr>
        <w:t>所有纳入合并财务报表合并范围的子公司所采用的会计政策、会计期间与本公司一致，如子公司采用的会</w:t>
      </w:r>
      <w:r>
        <w:rPr/>
        <w:t> </w:t>
      </w:r>
      <w:r>
        <w:rPr>
          <w:spacing w:val="-2"/>
        </w:rPr>
        <w:t>计政策、会计期间与本公司不一致的，在编制合并财务报表时，按本公司的会计政策、会计期间进行必要</w:t>
      </w:r>
      <w:r>
        <w:rPr/>
        <w:t> </w:t>
      </w:r>
      <w:r>
        <w:rPr>
          <w:spacing w:val="-2"/>
        </w:rPr>
        <w:t>的调整。对于非同一控制下企业合并取得的子公司，以购买日可辨认净资产公允价值为基础对其财务报表</w:t>
      </w:r>
      <w:r>
        <w:rPr/>
        <w:t> </w:t>
      </w:r>
      <w:r>
        <w:rPr>
          <w:spacing w:val="-2"/>
        </w:rPr>
        <w:t>进行调整。对于同一控制下企业合并取得的子公司，以其资产、负债（包括最终控制方收购该子公司而形</w:t>
      </w:r>
      <w:r>
        <w:rPr/>
        <w:t> 成的商誉）在最终控制方财务报表中的账面价值为基础对其财务报表进行调整。 </w:t>
      </w:r>
      <w:r>
        <w:rPr>
          <w:spacing w:val="-2"/>
        </w:rPr>
        <w:t>子公司所有者权益、当期净损益和当期综合收益中属于少数股东的份额分别在合并资产负债表中所有者权</w:t>
      </w:r>
      <w:r>
        <w:rPr/>
        <w:t> </w:t>
      </w:r>
      <w:r>
        <w:rPr>
          <w:spacing w:val="-2"/>
        </w:rPr>
        <w:t>益项目下、合并利润表中净利润项目下和综合收益总额项目下单独列示。子公司少数股东分担的当期亏损</w:t>
      </w:r>
      <w:r>
        <w:rPr/>
        <w:t> 超过了少数股东在该子公司期初所有者权益中所享有份额而形成的余额，冲减少数股东权益。</w:t>
      </w:r>
    </w:p>
    <w:p>
      <w:pPr>
        <w:pStyle w:val="Heading7"/>
        <w:spacing w:line="271" w:lineRule="auto" w:before="10"/>
        <w:ind w:left="1194" w:right="1124"/>
        <w:jc w:val="left"/>
      </w:pPr>
      <w:r>
        <w:rPr/>
        <w:t>（</w:t>
      </w:r>
      <w:r>
        <w:rPr>
          <w:rFonts w:ascii="Times New Roman" w:hAnsi="Times New Roman" w:cs="Times New Roman" w:eastAsia="Times New Roman" w:hint="default"/>
        </w:rPr>
        <w:t>1</w:t>
      </w:r>
      <w:r>
        <w:rPr/>
        <w:t>）增加子公司或业务 </w:t>
      </w:r>
      <w:r>
        <w:rPr>
          <w:spacing w:val="-2"/>
        </w:rPr>
        <w:t>在报告期内，若因同一控制下企业合并增加子公司或业务的，则调整合并资产负债表的期初数；将子公司</w:t>
      </w:r>
      <w:r>
        <w:rPr>
          <w:spacing w:val="-97"/>
        </w:rPr>
        <w:t> </w:t>
      </w:r>
      <w:r>
        <w:rPr>
          <w:spacing w:val="-97"/>
        </w:rPr>
      </w:r>
      <w:r>
        <w:rPr>
          <w:spacing w:val="-2"/>
        </w:rPr>
        <w:t>或业务合并当期期初至报告期末的收入、费用、利润纳入合并利润表；将子公司或业务合并当期期初至报</w:t>
      </w:r>
      <w:r>
        <w:rPr>
          <w:spacing w:val="-97"/>
        </w:rPr>
        <w:t> </w:t>
      </w:r>
      <w:r>
        <w:rPr>
          <w:spacing w:val="-97"/>
        </w:rPr>
      </w:r>
      <w:r>
        <w:rPr>
          <w:spacing w:val="-2"/>
        </w:rPr>
        <w:t>告期末的现金流量纳入合并现金流量表，同时对比较报表的相关项目进行调整，视同合并后的报告主体自</w:t>
      </w:r>
      <w:r>
        <w:rPr>
          <w:spacing w:val="-95"/>
        </w:rPr>
        <w:t> </w:t>
      </w:r>
      <w:r>
        <w:rPr>
          <w:spacing w:val="-95"/>
        </w:rPr>
      </w:r>
      <w:r>
        <w:rPr/>
        <w:t>最终控制方开始控制时点起一直存在。 </w:t>
      </w:r>
      <w:r>
        <w:rPr>
          <w:spacing w:val="-2"/>
        </w:rPr>
        <w:t>因追加投资等原因能够对同一控制下的被投资方实施控制的，视同参与合并的各方在最终控制方开始控制</w:t>
      </w:r>
      <w:r>
        <w:rPr>
          <w:spacing w:val="-95"/>
        </w:rPr>
        <w:t> </w:t>
      </w:r>
      <w:r>
        <w:rPr>
          <w:spacing w:val="-95"/>
        </w:rPr>
      </w:r>
      <w:r>
        <w:rPr>
          <w:spacing w:val="-2"/>
        </w:rPr>
        <w:t>时即以目前的状态存在进行调整。在取得被合并方控制权之前持有的股权投资，在取得原股权之日与合并</w:t>
      </w:r>
      <w:r>
        <w:rPr>
          <w:spacing w:val="-95"/>
        </w:rPr>
        <w:t> </w:t>
      </w:r>
      <w:r>
        <w:rPr>
          <w:spacing w:val="-95"/>
        </w:rPr>
      </w:r>
      <w:r>
        <w:rPr>
          <w:spacing w:val="-2"/>
        </w:rPr>
        <w:t>方和被合并方同处于同一控制之日孰晚日起至合并日之间已确认有关损益、其他综合收益以及其他净资产</w:t>
      </w:r>
    </w:p>
    <w:p>
      <w:pPr>
        <w:spacing w:after="0" w:line="271"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7"/>
        <w:spacing w:line="273" w:lineRule="auto" w:before="35"/>
        <w:ind w:left="1193" w:right="1033"/>
        <w:jc w:val="left"/>
      </w:pPr>
      <w:r>
        <w:rPr/>
        <w:t>变动，分别冲减比较报表期间的期初留存收益或当期损益。 </w:t>
      </w:r>
      <w:r>
        <w:rPr>
          <w:spacing w:val="-2"/>
        </w:rPr>
        <w:t>在报告期内，若因非同一控制下企业合并增加子公司或业务的，则不调整合并资产负债表期初数；将该子</w:t>
      </w:r>
      <w:r>
        <w:rPr>
          <w:spacing w:val="-97"/>
        </w:rPr>
        <w:t> </w:t>
      </w:r>
      <w:r>
        <w:rPr>
          <w:spacing w:val="-97"/>
        </w:rPr>
      </w:r>
      <w:r>
        <w:rPr>
          <w:spacing w:val="-2"/>
        </w:rPr>
        <w:t>公司或业务自购买日至报告期末的收入、费用、利润纳入合并利润表；该子公司或业务自购买日至报告期</w:t>
      </w:r>
      <w:r>
        <w:rPr>
          <w:spacing w:val="-97"/>
        </w:rPr>
        <w:t> </w:t>
      </w:r>
      <w:r>
        <w:rPr>
          <w:spacing w:val="-97"/>
        </w:rPr>
      </w:r>
      <w:r>
        <w:rPr/>
        <w:t>末的现金流量纳入合并现金流量表。 因追加投资等原因能够对非同一控制下的被投资方实施控制的，对于购买日之前持有的被购买方的股权， 本公司按照该股权在购买日的公允价值进行重新计量，公允价值与其账面价值的差额计入当期投资收益。 </w:t>
      </w:r>
      <w:r>
        <w:rPr>
          <w:spacing w:val="-2"/>
        </w:rPr>
        <w:t>购买日之前持有的被购买方的股权涉及权益法核算下的其他综合收益以及除净损益、其他综合收益和利润</w:t>
      </w:r>
      <w:r>
        <w:rPr>
          <w:spacing w:val="-95"/>
        </w:rPr>
        <w:t> </w:t>
      </w:r>
      <w:r>
        <w:rPr>
          <w:spacing w:val="-95"/>
        </w:rPr>
      </w:r>
      <w:r>
        <w:rPr>
          <w:spacing w:val="-2"/>
        </w:rPr>
        <w:t>分配之外的其他所有者权益变动的，与其相关的其他综合收益、其他所有者权益变动转为购买日所属当期</w:t>
      </w:r>
      <w:r>
        <w:rPr>
          <w:spacing w:val="-95"/>
        </w:rPr>
        <w:t> </w:t>
      </w:r>
      <w:r>
        <w:rPr>
          <w:spacing w:val="-95"/>
        </w:rPr>
      </w:r>
      <w:r>
        <w:rPr/>
        <w:t>投资收益，由于被投资方重新计量设定受益计划净负债或净资产变动而产生的其他综合收益除外。</w:t>
      </w:r>
    </w:p>
    <w:p>
      <w:pPr>
        <w:pStyle w:val="Heading7"/>
        <w:spacing w:line="240" w:lineRule="auto" w:before="7"/>
        <w:ind w:left="1193" w:right="0"/>
        <w:jc w:val="left"/>
      </w:pPr>
      <w:r>
        <w:rPr/>
        <w:t>（</w:t>
      </w:r>
      <w:r>
        <w:rPr>
          <w:rFonts w:ascii="Times New Roman" w:hAnsi="Times New Roman" w:cs="Times New Roman" w:eastAsia="Times New Roman" w:hint="default"/>
        </w:rPr>
        <w:t>2</w:t>
      </w:r>
      <w:r>
        <w:rPr/>
        <w:t>）处置子公司或业务</w:t>
      </w:r>
    </w:p>
    <w:p>
      <w:pPr>
        <w:pStyle w:val="Heading7"/>
        <w:spacing w:line="273" w:lineRule="auto" w:before="21"/>
        <w:ind w:left="1193" w:right="1033"/>
        <w:jc w:val="left"/>
      </w:pPr>
      <w:r>
        <w:rPr/>
        <w:t>①一般处理方法 </w:t>
      </w:r>
      <w:r>
        <w:rPr>
          <w:spacing w:val="-2"/>
        </w:rPr>
        <w:t>在报告期内，本公司处置子公司或业务，则该子公司或业务期初至处置日的收入、费用、利润纳入合并利</w:t>
      </w:r>
      <w:r>
        <w:rPr>
          <w:spacing w:val="-97"/>
        </w:rPr>
        <w:t> </w:t>
      </w:r>
      <w:r>
        <w:rPr>
          <w:spacing w:val="-97"/>
        </w:rPr>
      </w:r>
      <w:r>
        <w:rPr/>
        <w:t>润表；该子公司或业务期初至处置日的现金流量纳入合并现金流量表。 </w:t>
      </w:r>
      <w:r>
        <w:rPr>
          <w:spacing w:val="-2"/>
        </w:rPr>
        <w:t>因处置部分股权投资或其他原因丧失了对被投资方控制权时，对于处置后的剩余股权投资，本公司按照其</w:t>
      </w:r>
      <w:r>
        <w:rPr>
          <w:spacing w:val="-95"/>
        </w:rPr>
        <w:t> </w:t>
      </w:r>
      <w:r>
        <w:rPr>
          <w:spacing w:val="-95"/>
        </w:rPr>
      </w:r>
      <w:r>
        <w:rPr>
          <w:spacing w:val="-2"/>
        </w:rPr>
        <w:t>在丧失控制权日的公允价值进行重新计量。处置股权取得的对价与剩余股权公允价值之和，减去按原持股</w:t>
      </w:r>
      <w:r>
        <w:rPr>
          <w:spacing w:val="-95"/>
        </w:rPr>
        <w:t> </w:t>
      </w:r>
      <w:r>
        <w:rPr>
          <w:spacing w:val="-95"/>
        </w:rPr>
      </w:r>
      <w:r>
        <w:rPr>
          <w:spacing w:val="-2"/>
        </w:rPr>
        <w:t>比例计算应享有原有子公司自购买日或合并日开始持续计算的净资产的份额与商誉之和的差额，计入丧失</w:t>
      </w:r>
      <w:r>
        <w:rPr>
          <w:spacing w:val="-95"/>
        </w:rPr>
        <w:t> </w:t>
      </w:r>
      <w:r>
        <w:rPr>
          <w:spacing w:val="-95"/>
        </w:rPr>
      </w:r>
      <w:r>
        <w:rPr>
          <w:spacing w:val="-2"/>
        </w:rPr>
        <w:t>控制权当期的投资收益。与原有子公司股权投资相关的其他综合收益或除净损益、其他综合收益及利润分</w:t>
      </w:r>
      <w:r>
        <w:rPr>
          <w:spacing w:val="-95"/>
        </w:rPr>
        <w:t> </w:t>
      </w:r>
      <w:r>
        <w:rPr>
          <w:spacing w:val="-95"/>
        </w:rPr>
      </w:r>
      <w:r>
        <w:rPr>
          <w:spacing w:val="-2"/>
        </w:rPr>
        <w:t>配之外的其他所有者权益变动，在丧失控制权时转为当期投资收益，由于被投资方重新计量设定受益计划</w:t>
      </w:r>
      <w:r>
        <w:rPr>
          <w:spacing w:val="-95"/>
        </w:rPr>
        <w:t> </w:t>
      </w:r>
      <w:r>
        <w:rPr>
          <w:spacing w:val="-95"/>
        </w:rPr>
      </w:r>
      <w:r>
        <w:rPr/>
        <w:t>净负债或净资产变动而产生的其他综合收益除外。 因其他投资方对子公司增资而导致本公司持股比例下降从而丧失控制权的，按照上述原则进行会计处理。</w:t>
      </w:r>
    </w:p>
    <w:p>
      <w:pPr>
        <w:pStyle w:val="Heading7"/>
        <w:spacing w:line="273" w:lineRule="auto" w:before="7"/>
        <w:ind w:left="1193" w:right="1050"/>
        <w:jc w:val="left"/>
      </w:pPr>
      <w:r>
        <w:rPr/>
        <w:t>②分步处置子公司 通过多次交易分步处置对子公司股权投资直至丧失控制权的，处置对子公司股权投资的各项交易的条款、 条件以及经济影响符合以下一种或多种情况，通常表明应将多次交易事项作为一揽子交易进行会计处理： 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 </w:t>
      </w:r>
      <w:r>
        <w:rPr>
          <w:spacing w:val="-2"/>
        </w:rPr>
        <w:t>处置对子公司股权投资直至丧失控制权的各项交易属于一揽子交易的，本公司将各项交易作为一项处置子</w:t>
      </w:r>
      <w:r>
        <w:rPr>
          <w:spacing w:val="-95"/>
        </w:rPr>
        <w:t> </w:t>
      </w:r>
      <w:r>
        <w:rPr>
          <w:spacing w:val="-95"/>
        </w:rPr>
      </w:r>
      <w:r>
        <w:rPr>
          <w:spacing w:val="-2"/>
        </w:rPr>
        <w:t>公司并丧失控制权的交易进行会计处理；但是，在丧失控制权之前每一次处置价款与处置投资对应的享有</w:t>
      </w:r>
      <w:r>
        <w:rPr>
          <w:spacing w:val="-95"/>
        </w:rPr>
        <w:t> </w:t>
      </w:r>
      <w:r>
        <w:rPr>
          <w:spacing w:val="-95"/>
        </w:rPr>
      </w:r>
      <w:r>
        <w:rPr>
          <w:spacing w:val="-2"/>
        </w:rPr>
        <w:t>该子公司净资产份额的差额，在合并财务报表中确认为其他综合收益，在丧失控制权时一并转入丧失控制</w:t>
      </w:r>
      <w:r>
        <w:rPr>
          <w:spacing w:val="-95"/>
        </w:rPr>
        <w:t> </w:t>
      </w:r>
      <w:r>
        <w:rPr>
          <w:spacing w:val="-95"/>
        </w:rPr>
      </w:r>
      <w:r>
        <w:rPr/>
        <w:t>权当期的损益。 </w:t>
      </w:r>
      <w:r>
        <w:rPr>
          <w:spacing w:val="-2"/>
        </w:rPr>
        <w:t>处置对子公司股权投资直至丧失控制权的各项交易不属于一揽子交易的，在丧失控制权之前，按不丧失控</w:t>
      </w:r>
      <w:r>
        <w:rPr>
          <w:spacing w:val="-94"/>
        </w:rPr>
        <w:t> </w:t>
      </w:r>
      <w:r>
        <w:rPr>
          <w:spacing w:val="-94"/>
        </w:rPr>
      </w:r>
      <w:r>
        <w:rPr>
          <w:spacing w:val="-2"/>
        </w:rPr>
        <w:t>制权的情况下部分处置对子公司的股权投资的相关政策进行会计处理；在丧失控制权时，按处置子公司一</w:t>
      </w:r>
      <w:r>
        <w:rPr>
          <w:spacing w:val="-95"/>
        </w:rPr>
        <w:t> </w:t>
      </w:r>
      <w:r>
        <w:rPr>
          <w:spacing w:val="-95"/>
        </w:rPr>
      </w:r>
      <w:r>
        <w:rPr/>
        <w:t>般处理方法进行会计处理。</w:t>
      </w:r>
    </w:p>
    <w:p>
      <w:pPr>
        <w:pStyle w:val="Heading7"/>
        <w:spacing w:line="266" w:lineRule="auto" w:before="7"/>
        <w:ind w:left="1194" w:right="1124"/>
        <w:jc w:val="left"/>
      </w:pPr>
      <w:r>
        <w:rPr/>
        <w:t>（</w:t>
      </w:r>
      <w:r>
        <w:rPr>
          <w:rFonts w:ascii="Times New Roman" w:hAnsi="Times New Roman" w:cs="Times New Roman" w:eastAsia="Times New Roman" w:hint="default"/>
        </w:rPr>
        <w:t>3</w:t>
      </w:r>
      <w:r>
        <w:rPr/>
        <w:t>）购买子公司少数股权 </w:t>
      </w:r>
      <w:r>
        <w:rPr>
          <w:spacing w:val="2"/>
        </w:rPr>
        <w:t>本公司因购买少数股权新取得的长期股权投资与按照新增持股比例计算应享有子公司自购买日（或合并</w:t>
      </w:r>
      <w:r>
        <w:rPr>
          <w:spacing w:val="-91"/>
        </w:rPr>
        <w:t> </w:t>
      </w:r>
      <w:r>
        <w:rPr>
          <w:spacing w:val="-91"/>
        </w:rPr>
      </w:r>
      <w:r>
        <w:rPr>
          <w:spacing w:val="-2"/>
        </w:rPr>
        <w:t>日）开始持续计算的净资产份额之间的差额，调整合并资产负债表中的资本公积中的股本溢价，资本公积</w:t>
      </w:r>
      <w:r>
        <w:rPr>
          <w:spacing w:val="-97"/>
        </w:rPr>
        <w:t> </w:t>
      </w:r>
      <w:r>
        <w:rPr>
          <w:spacing w:val="-97"/>
        </w:rPr>
      </w:r>
      <w:r>
        <w:rPr/>
        <w:t>中的股本溢价不足冲减的，调整留存收益。</w:t>
      </w:r>
    </w:p>
    <w:p>
      <w:pPr>
        <w:pStyle w:val="Heading7"/>
        <w:spacing w:line="268" w:lineRule="auto" w:before="14"/>
        <w:ind w:left="1193" w:right="1125"/>
        <w:jc w:val="left"/>
      </w:pPr>
      <w:r>
        <w:rPr/>
        <w:t>（</w:t>
      </w:r>
      <w:r>
        <w:rPr>
          <w:rFonts w:ascii="Times New Roman" w:hAnsi="Times New Roman" w:cs="Times New Roman" w:eastAsia="Times New Roman" w:hint="default"/>
        </w:rPr>
        <w:t>4</w:t>
      </w:r>
      <w:r>
        <w:rPr/>
        <w:t>）不丧失控制权的情况下部分处置对子公司的股权投资 </w:t>
      </w:r>
      <w:r>
        <w:rPr>
          <w:spacing w:val="2"/>
        </w:rPr>
        <w:t>在不丧失控制权的情况下因部分处置对子公司的长期股权投资而取得的处置价款与处置长期股权投资相</w:t>
      </w:r>
      <w:r>
        <w:rPr>
          <w:spacing w:val="-91"/>
        </w:rPr>
        <w:t> </w:t>
      </w:r>
      <w:r>
        <w:rPr>
          <w:spacing w:val="-91"/>
        </w:rPr>
      </w:r>
      <w:r>
        <w:rPr>
          <w:spacing w:val="-2"/>
        </w:rPr>
        <w:t>对应享有子公司自购买日或合并日开始持续计算的净资产份额之间的差额，调整合并资产负债表中的资本</w:t>
      </w:r>
      <w:r>
        <w:rPr>
          <w:spacing w:val="-95"/>
        </w:rPr>
        <w:t> </w:t>
      </w:r>
      <w:r>
        <w:rPr>
          <w:spacing w:val="-95"/>
        </w:rPr>
      </w:r>
      <w:r>
        <w:rPr/>
        <w:t>公积中的股本溢价，资本公积中的股本溢价不足冲减的，调整留存收益。</w:t>
      </w:r>
    </w:p>
    <w:p>
      <w:pPr>
        <w:spacing w:after="0" w:line="268"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7、合营安排分类及共同经营会计处理方法" w:id="170"/>
      <w:bookmarkEnd w:id="170"/>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8、现金及现金等价物的确定标准" w:id="171"/>
      <w:bookmarkEnd w:id="171"/>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8"/>
        <w:rPr>
          <w:rFonts w:ascii="宋体" w:hAnsi="宋体" w:cs="宋体" w:eastAsia="宋体" w:hint="default"/>
          <w:b/>
          <w:bCs/>
          <w:sz w:val="24"/>
          <w:szCs w:val="24"/>
        </w:rPr>
      </w:pPr>
    </w:p>
    <w:p>
      <w:pPr>
        <w:pStyle w:val="Heading7"/>
        <w:spacing w:line="273" w:lineRule="auto"/>
        <w:ind w:right="1130"/>
        <w:jc w:val="both"/>
      </w:pPr>
      <w:r>
        <w:rPr>
          <w:spacing w:val="-5"/>
        </w:rPr>
        <w:t>在编制现金流量表时，将本公司库存现金以及可以随时用于支付的存款确认为现金。将同时具备期限短（从</w:t>
      </w:r>
      <w:r>
        <w:rPr>
          <w:spacing w:val="-101"/>
        </w:rPr>
        <w:t> </w:t>
      </w:r>
      <w:r>
        <w:rPr>
          <w:spacing w:val="-101"/>
        </w:rPr>
      </w:r>
      <w:r>
        <w:rPr>
          <w:spacing w:val="-1"/>
        </w:rPr>
        <w:t>购买日起三个月内到期）、流动性强、易于转换为已知现金、价值变动风险很小四个条件的投资，确定为</w:t>
      </w:r>
      <w:r>
        <w:rPr>
          <w:spacing w:val="-83"/>
        </w:rPr>
        <w:t> </w:t>
      </w:r>
      <w:r>
        <w:rPr>
          <w:spacing w:val="-83"/>
        </w:rPr>
      </w:r>
      <w:r>
        <w:rPr/>
        <w:t>现金等价物。</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6"/>
        <w:spacing w:line="240" w:lineRule="auto"/>
        <w:ind w:right="0"/>
        <w:jc w:val="left"/>
        <w:rPr>
          <w:b w:val="0"/>
          <w:bCs w:val="0"/>
        </w:rPr>
      </w:pPr>
      <w:bookmarkStart w:name="9、外币业务和外币报表折算" w:id="172"/>
      <w:bookmarkEnd w:id="172"/>
      <w:r>
        <w:rPr>
          <w:b w:val="0"/>
          <w:bCs w:val="0"/>
        </w:rPr>
      </w:r>
      <w:r>
        <w:rPr>
          <w:rFonts w:ascii="Times New Roman" w:hAnsi="Times New Roman" w:cs="Times New Roman" w:eastAsia="Times New Roman" w:hint="default"/>
        </w:rPr>
        <w:t>9</w:t>
      </w:r>
      <w:r>
        <w:rPr/>
        <w:t>、外币业务和外币报表折算</w:t>
      </w:r>
      <w:r>
        <w:rPr>
          <w:b w:val="0"/>
          <w:bCs w:val="0"/>
        </w:rPr>
      </w:r>
    </w:p>
    <w:p>
      <w:pPr>
        <w:spacing w:line="590" w:lineRule="atLeast" w:before="23"/>
        <w:ind w:left="1134" w:right="6342" w:firstLine="0"/>
        <w:jc w:val="left"/>
        <w:rPr>
          <w:rFonts w:ascii="宋体" w:hAnsi="宋体" w:cs="宋体" w:eastAsia="宋体" w:hint="default"/>
          <w:sz w:val="21"/>
          <w:szCs w:val="21"/>
        </w:rPr>
      </w:pPr>
      <w:bookmarkStart w:name="10、金融工具" w:id="173"/>
      <w:bookmarkEnd w:id="173"/>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、金融工具</w:t>
      </w:r>
      <w:r>
        <w:rPr>
          <w:rFonts w:ascii="宋体" w:hAnsi="宋体" w:cs="宋体" w:eastAsia="宋体" w:hint="default"/>
          <w:b/>
          <w:bCs/>
          <w:w w:val="99"/>
          <w:sz w:val="21"/>
          <w:szCs w:val="21"/>
        </w:rPr>
        <w:t> </w:t>
      </w:r>
      <w:r>
        <w:rPr>
          <w:rFonts w:ascii="宋体" w:hAnsi="宋体" w:cs="宋体" w:eastAsia="宋体" w:hint="default"/>
          <w:sz w:val="21"/>
          <w:szCs w:val="21"/>
        </w:rPr>
        <w:t>金融工具包括金融资产、金融负债和权益工具。</w:t>
      </w:r>
    </w:p>
    <w:p>
      <w:pPr>
        <w:pStyle w:val="Heading7"/>
        <w:spacing w:line="266" w:lineRule="auto" w:before="37"/>
        <w:ind w:left="1190" w:right="1128"/>
        <w:jc w:val="left"/>
      </w:pPr>
      <w:r>
        <w:rPr>
          <w:rFonts w:ascii="Times New Roman" w:hAnsi="Times New Roman" w:cs="Times New Roman" w:eastAsia="Times New Roman" w:hint="default"/>
          <w:b/>
          <w:bCs/>
        </w:rPr>
        <w:t>1</w:t>
      </w:r>
      <w:r>
        <w:rPr>
          <w:rFonts w:ascii="宋体" w:hAnsi="宋体" w:cs="宋体" w:eastAsia="宋体" w:hint="default"/>
          <w:b/>
          <w:bCs/>
        </w:rPr>
        <w:t>、金融工具的分类</w:t>
      </w:r>
      <w:r>
        <w:rPr>
          <w:rFonts w:ascii="宋体" w:hAnsi="宋体" w:cs="宋体" w:eastAsia="宋体" w:hint="default"/>
          <w:b/>
          <w:bCs/>
          <w:w w:val="99"/>
        </w:rPr>
        <w:t> </w:t>
      </w:r>
      <w:r>
        <w:rPr>
          <w:spacing w:val="2"/>
        </w:rPr>
        <w:t>金融资产和金融负债于初始确认时分类为：以公允价值计量且其变动计入当期损益的金融资产或金融负</w:t>
      </w:r>
      <w:r>
        <w:rPr>
          <w:spacing w:val="-91"/>
        </w:rPr>
        <w:t> </w:t>
      </w:r>
      <w:r>
        <w:rPr>
          <w:spacing w:val="-91"/>
        </w:rPr>
      </w:r>
      <w:r>
        <w:rPr>
          <w:spacing w:val="-2"/>
        </w:rPr>
        <w:t>债，包括交易性金融资产或金融负债和直接指定为以公允价值计量且其变动计入当期损益的金融资产或金</w:t>
      </w:r>
      <w:r>
        <w:rPr>
          <w:spacing w:val="-95"/>
        </w:rPr>
        <w:t> </w:t>
      </w:r>
      <w:r>
        <w:rPr>
          <w:spacing w:val="-95"/>
        </w:rPr>
      </w:r>
      <w:r>
        <w:rPr/>
        <w:t>融负债；持有至到期投资；应收款项；可供出售金融资产；其他金融负债等。</w:t>
      </w:r>
    </w:p>
    <w:p>
      <w:pPr>
        <w:spacing w:line="240" w:lineRule="auto" w:before="12"/>
        <w:rPr>
          <w:rFonts w:ascii="宋体" w:hAnsi="宋体" w:cs="宋体" w:eastAsia="宋体" w:hint="default"/>
          <w:sz w:val="24"/>
          <w:szCs w:val="24"/>
        </w:rPr>
      </w:pPr>
    </w:p>
    <w:p>
      <w:pPr>
        <w:pStyle w:val="Heading6"/>
        <w:spacing w:line="240" w:lineRule="auto"/>
        <w:ind w:left="1190" w:right="0"/>
        <w:jc w:val="left"/>
        <w:rPr>
          <w:b w:val="0"/>
          <w:bCs w:val="0"/>
        </w:rPr>
      </w:pPr>
      <w:r>
        <w:rPr>
          <w:rFonts w:ascii="Times New Roman" w:hAnsi="Times New Roman" w:cs="Times New Roman" w:eastAsia="Times New Roman" w:hint="default"/>
        </w:rPr>
        <w:t>2</w:t>
      </w:r>
      <w:r>
        <w:rPr/>
        <w:t>、金融工具的确认依据和计量方法</w:t>
      </w:r>
      <w:r>
        <w:rPr>
          <w:b w:val="0"/>
          <w:bCs w:val="0"/>
        </w:rPr>
      </w:r>
    </w:p>
    <w:p>
      <w:pPr>
        <w:pStyle w:val="Heading7"/>
        <w:spacing w:line="268" w:lineRule="auto" w:before="21"/>
        <w:ind w:left="1194" w:right="1124" w:hanging="60"/>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2"/>
        </w:rPr>
        <w:t>取得时以公允价值（扣除已宣告但尚未发放的现金股利或已到付息期但尚未领取的债券利息）作为初始确</w:t>
      </w:r>
      <w:r>
        <w:rPr/>
        <w:t> 认金额，相关的交易费用计入当期损益。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Heading7"/>
        <w:spacing w:line="268" w:lineRule="auto" w:before="12"/>
        <w:ind w:left="1193" w:right="1125" w:hanging="60"/>
        <w:jc w:val="left"/>
      </w:pPr>
      <w:r>
        <w:rPr/>
        <w:t>（</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取得时按公允价值（扣除已到付息期但尚未领取的债券利息）和相关交易费用之和作为初始确认金额。 </w:t>
      </w:r>
      <w:r>
        <w:rPr>
          <w:spacing w:val="-2"/>
        </w:rPr>
        <w:t>持有期间按照摊余成本和实际利率计算确认利息收入，计入投资收益。实际利率在取得时确定，在该预期</w:t>
      </w:r>
      <w:r>
        <w:rPr/>
        <w:t> 存续期间或适用的更短期间内保持不变。 处置时，将所取得价款与该投资账面价值之间的差额计入投资收益。</w:t>
      </w:r>
    </w:p>
    <w:p>
      <w:pPr>
        <w:pStyle w:val="Heading7"/>
        <w:spacing w:line="268" w:lineRule="auto" w:before="12"/>
        <w:ind w:left="1194" w:right="1032" w:hanging="60"/>
        <w:jc w:val="left"/>
      </w:pPr>
      <w:r>
        <w:rPr/>
        <w:t>（</w:t>
      </w:r>
      <w:r>
        <w:rPr>
          <w:rFonts w:ascii="Times New Roman" w:hAnsi="Times New Roman" w:cs="Times New Roman" w:eastAsia="Times New Roman" w:hint="default"/>
        </w:rPr>
        <w:t>3</w:t>
      </w:r>
      <w:r>
        <w:rPr/>
        <w:t>）应收款项 </w:t>
      </w:r>
      <w:r>
        <w:rPr>
          <w:spacing w:val="-2"/>
        </w:rPr>
        <w:t>公司对外销售商品或提供劳务形成的应收债权，以及公司持有的其他企业的不包括在活跃市场上有报价的</w:t>
      </w:r>
      <w:r>
        <w:rPr/>
        <w:t> 债务工具的债权，包括应收账款、其他应收款等，以向购货方应收的合同或协议价款作为初始确认金额； 具有融资性质的，按其现值进行初始确认。 收回或处置时，将取得的价款与该应收款项账面价值之间的差额计入当期损益。</w:t>
      </w:r>
    </w:p>
    <w:p>
      <w:pPr>
        <w:pStyle w:val="Heading7"/>
        <w:spacing w:line="271" w:lineRule="auto" w:before="12"/>
        <w:ind w:left="1193" w:right="1125" w:hanging="60"/>
        <w:jc w:val="left"/>
      </w:pPr>
      <w:r>
        <w:rPr/>
        <w:t>（</w:t>
      </w:r>
      <w:r>
        <w:rPr>
          <w:rFonts w:ascii="Times New Roman" w:hAnsi="Times New Roman" w:cs="Times New Roman" w:eastAsia="Times New Roman" w:hint="default"/>
        </w:rPr>
        <w:t>4</w:t>
      </w:r>
      <w:r>
        <w:rPr/>
        <w:t>）可供出售金融资产 </w:t>
      </w:r>
      <w:r>
        <w:rPr>
          <w:spacing w:val="-2"/>
        </w:rPr>
        <w:t>取得时按公允价值（扣除已宣告但尚未发放的现金股利或已到付息期但尚未领取的债券利息）和相关交易</w:t>
      </w:r>
      <w:r>
        <w:rPr/>
        <w:t> 费用之和作为初始确认金额。 </w:t>
      </w:r>
      <w:r>
        <w:rPr>
          <w:spacing w:val="-2"/>
        </w:rPr>
        <w:t>持有期间将取得的利息或现金股利确认为投资收益。期末以公允价值计量且将公允价值变动计入其他综合</w:t>
      </w:r>
      <w:r>
        <w:rPr/>
        <w:t> </w:t>
      </w:r>
      <w:r>
        <w:rPr>
          <w:spacing w:val="-2"/>
        </w:rPr>
        <w:t>收益。但是，在活跃市场中没有报价且其公允价值不能可靠计量的权益工具投资，以及与该权益工具挂钩</w:t>
      </w:r>
      <w:r>
        <w:rPr/>
        <w:t> 并须通过交付该权益工具结算的衍生金融资产，按照成本计量。 </w:t>
      </w:r>
      <w:r>
        <w:rPr>
          <w:spacing w:val="-2"/>
        </w:rPr>
        <w:t>处置时，将取得的价款与该金融资产账面价值之间的差额，计入投资损益；同时，将原直接计入其他综合</w:t>
      </w:r>
      <w:r>
        <w:rPr/>
        <w:t> 收益的公允价值变动累计额对应处置部分的金额转出，计入当期损益。</w:t>
      </w:r>
    </w:p>
    <w:p>
      <w:pPr>
        <w:pStyle w:val="Heading7"/>
        <w:spacing w:line="240" w:lineRule="auto" w:before="10"/>
        <w:ind w:right="0"/>
        <w:jc w:val="left"/>
      </w:pPr>
      <w:r>
        <w:rPr/>
        <w:t>（</w:t>
      </w:r>
      <w:r>
        <w:rPr>
          <w:rFonts w:ascii="Times New Roman" w:hAnsi="Times New Roman" w:cs="Times New Roman" w:eastAsia="Times New Roman" w:hint="default"/>
        </w:rPr>
        <w:t>5</w:t>
      </w:r>
      <w:r>
        <w:rPr/>
        <w:t>）其他金融负债</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7"/>
        <w:spacing w:line="240" w:lineRule="auto" w:before="35"/>
        <w:ind w:left="1193" w:right="0"/>
        <w:jc w:val="left"/>
      </w:pPr>
      <w:r>
        <w:rPr/>
        <w:t>按其公允价值和相关交易费用之和作为初始确认金额。采用摊余成本进行后续计量。</w:t>
      </w:r>
    </w:p>
    <w:p>
      <w:pPr>
        <w:spacing w:line="240" w:lineRule="auto" w:before="9"/>
        <w:rPr>
          <w:rFonts w:ascii="宋体" w:hAnsi="宋体" w:cs="宋体" w:eastAsia="宋体" w:hint="default"/>
          <w:sz w:val="26"/>
          <w:szCs w:val="26"/>
        </w:rPr>
      </w:pPr>
    </w:p>
    <w:p>
      <w:pPr>
        <w:pStyle w:val="Heading7"/>
        <w:spacing w:line="268" w:lineRule="auto"/>
        <w:ind w:left="1193" w:right="1125" w:hanging="4"/>
        <w:jc w:val="left"/>
      </w:pPr>
      <w:r>
        <w:rPr>
          <w:rFonts w:ascii="Times New Roman" w:hAnsi="Times New Roman" w:cs="Times New Roman" w:eastAsia="Times New Roman" w:hint="default"/>
          <w:b/>
          <w:bCs/>
        </w:rPr>
        <w:t>3</w:t>
      </w:r>
      <w:r>
        <w:rPr>
          <w:rFonts w:ascii="宋体" w:hAnsi="宋体" w:cs="宋体" w:eastAsia="宋体" w:hint="default"/>
          <w:b/>
          <w:bCs/>
        </w:rPr>
        <w:t>、金融资产转移的确认依据和计量方法</w:t>
      </w:r>
      <w:r>
        <w:rPr>
          <w:rFonts w:ascii="宋体" w:hAnsi="宋体" w:cs="宋体" w:eastAsia="宋体" w:hint="default"/>
          <w:b/>
          <w:bCs/>
          <w:w w:val="99"/>
        </w:rPr>
        <w:t> </w:t>
      </w:r>
      <w:r>
        <w:rPr>
          <w:spacing w:val="-2"/>
        </w:rPr>
        <w:t>公司发生金融资产转移时，如已将金融资产所有权上几乎所有的风险和报酬转移给转入方，则终止确认该</w:t>
      </w:r>
      <w:r>
        <w:rPr>
          <w:spacing w:val="-98"/>
        </w:rPr>
        <w:t> </w:t>
      </w:r>
      <w:r>
        <w:rPr>
          <w:spacing w:val="-98"/>
        </w:rPr>
      </w:r>
      <w:r>
        <w:rPr/>
        <w:t>金融资产；如保留了金融资产所有权上几乎所有的风险和报酬的，则不终止确认该金融资产。 </w:t>
      </w:r>
      <w:r>
        <w:rPr>
          <w:spacing w:val="-2"/>
        </w:rPr>
        <w:t>在判断金融资产转移是否满足上述金融资产终止确认条件时，采用实质重于形式的原则。公司将金融资产</w:t>
      </w:r>
      <w:r>
        <w:rPr>
          <w:spacing w:val="-99"/>
        </w:rPr>
        <w:t> </w:t>
      </w:r>
      <w:r>
        <w:rPr>
          <w:spacing w:val="-99"/>
        </w:rPr>
      </w:r>
      <w:r>
        <w:rPr>
          <w:spacing w:val="-2"/>
        </w:rPr>
        <w:t>转移区分为金融资产整体转移和部分转移。金融资产整体转移满足终止确认条件的，将下列两项金额的差</w:t>
      </w:r>
      <w:r>
        <w:rPr>
          <w:spacing w:val="-99"/>
        </w:rPr>
        <w:t> </w:t>
      </w:r>
      <w:r>
        <w:rPr>
          <w:spacing w:val="-99"/>
        </w:rPr>
      </w:r>
      <w:r>
        <w:rPr/>
        <w:t>额计入当期损益：</w:t>
      </w:r>
    </w:p>
    <w:p>
      <w:pPr>
        <w:pStyle w:val="Heading7"/>
        <w:spacing w:line="240" w:lineRule="auto" w:before="12"/>
        <w:ind w:right="0"/>
        <w:jc w:val="left"/>
      </w:pPr>
      <w:r>
        <w:rPr/>
        <w:t>（</w:t>
      </w:r>
      <w:r>
        <w:rPr>
          <w:rFonts w:ascii="Times New Roman" w:hAnsi="Times New Roman" w:cs="Times New Roman" w:eastAsia="Times New Roman" w:hint="default"/>
        </w:rPr>
        <w:t>1</w:t>
      </w:r>
      <w:r>
        <w:rPr/>
        <w:t>）所转移金融资产的账面价值；</w:t>
      </w:r>
    </w:p>
    <w:p>
      <w:pPr>
        <w:pStyle w:val="Heading7"/>
        <w:spacing w:line="266" w:lineRule="auto" w:before="21"/>
        <w:ind w:right="0"/>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w:t>
      </w:r>
      <w:r>
        <w:rPr>
          <w:spacing w:val="-35"/>
        </w:rPr>
        <w:t> </w:t>
      </w:r>
      <w:r>
        <w:rPr>
          <w:spacing w:val="-35"/>
        </w:rPr>
      </w:r>
      <w:r>
        <w:rPr/>
        <w:t>供出售金融资产的情形）之和。 </w:t>
      </w:r>
      <w:r>
        <w:rPr>
          <w:spacing w:val="-2"/>
        </w:rPr>
        <w:t>金融资产部分转移满足终止确认条件的，将所转移金融资产整体的账面价值，在终止确认部分和未终止确</w:t>
      </w:r>
      <w:r>
        <w:rPr>
          <w:spacing w:val="-95"/>
        </w:rPr>
        <w:t> </w:t>
      </w:r>
      <w:r>
        <w:rPr>
          <w:spacing w:val="-95"/>
        </w:rPr>
      </w:r>
      <w:r>
        <w:rPr/>
        <w:t>认部分之间，按照各自的相对公允价值进行分摊，并将下列两项金额的差额计入当期损益：</w:t>
      </w:r>
    </w:p>
    <w:p>
      <w:pPr>
        <w:pStyle w:val="Heading7"/>
        <w:spacing w:line="240" w:lineRule="auto" w:before="14"/>
        <w:ind w:right="0"/>
        <w:jc w:val="left"/>
      </w:pPr>
      <w:r>
        <w:rPr/>
        <w:t>（</w:t>
      </w:r>
      <w:r>
        <w:rPr>
          <w:rFonts w:ascii="Times New Roman" w:hAnsi="Times New Roman" w:cs="Times New Roman" w:eastAsia="Times New Roman" w:hint="default"/>
        </w:rPr>
        <w:t>1</w:t>
      </w:r>
      <w:r>
        <w:rPr/>
        <w:t>）终止确认部分的账面价值；</w:t>
      </w:r>
    </w:p>
    <w:p>
      <w:pPr>
        <w:pStyle w:val="Heading7"/>
        <w:spacing w:line="240" w:lineRule="auto" w:before="21"/>
        <w:ind w:right="0"/>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w:t>
      </w:r>
    </w:p>
    <w:p>
      <w:pPr>
        <w:pStyle w:val="Heading7"/>
        <w:spacing w:line="273" w:lineRule="auto" w:before="21"/>
        <w:ind w:right="1723"/>
        <w:jc w:val="left"/>
      </w:pPr>
      <w:r>
        <w:rPr/>
        <w:t>（涉及转移的金融资产为可供出售金融资产的情形）之和。 金融资产转移不满足终止确认条件的，继续确认该金融资产，所收到的对价确认为一项金融负债。</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Heading7"/>
        <w:spacing w:line="271" w:lineRule="auto"/>
        <w:ind w:left="1193" w:right="1011" w:hanging="4"/>
        <w:jc w:val="left"/>
      </w:pPr>
      <w:r>
        <w:rPr>
          <w:rFonts w:ascii="Times New Roman" w:hAnsi="Times New Roman" w:cs="Times New Roman" w:eastAsia="Times New Roman" w:hint="default"/>
          <w:b/>
          <w:bCs/>
        </w:rPr>
        <w:t>4</w:t>
      </w:r>
      <w:r>
        <w:rPr>
          <w:rFonts w:ascii="宋体" w:hAnsi="宋体" w:cs="宋体" w:eastAsia="宋体" w:hint="default"/>
          <w:b/>
          <w:bCs/>
        </w:rPr>
        <w:t>、金融负债终止确认条件</w:t>
      </w:r>
      <w:r>
        <w:rPr>
          <w:rFonts w:ascii="宋体" w:hAnsi="宋体" w:cs="宋体" w:eastAsia="宋体" w:hint="default"/>
          <w:b/>
          <w:bCs/>
          <w:w w:val="99"/>
        </w:rPr>
        <w:t> </w:t>
      </w:r>
      <w:r>
        <w:rPr>
          <w:spacing w:val="-2"/>
        </w:rPr>
        <w:t>金融负债的现时义务全部或部分已经解除的，则终止确认该金融负债或其一部分；本公司若与债权人签定</w:t>
      </w:r>
      <w:r>
        <w:rPr>
          <w:spacing w:val="-99"/>
        </w:rPr>
        <w:t> </w:t>
      </w:r>
      <w:r>
        <w:rPr>
          <w:spacing w:val="-99"/>
        </w:rPr>
      </w:r>
      <w:r>
        <w:rPr>
          <w:spacing w:val="-4"/>
        </w:rPr>
        <w:t>协议，以承担新金融负债方式替换现存金融负债，且新金融负债与现存金融负债的合同条款实质上不同的，</w:t>
      </w:r>
      <w:r>
        <w:rPr/>
        <w:t> 则终止确认现存金融负债，并同时确认新金融负债。 </w:t>
      </w:r>
      <w:r>
        <w:rPr>
          <w:spacing w:val="-2"/>
        </w:rPr>
        <w:t>对现存金融负债全部或部分合同条款作出实质性修改的，则终止确认现存金融负债或其一部分，同时将修</w:t>
      </w:r>
      <w:r>
        <w:rPr>
          <w:spacing w:val="-99"/>
        </w:rPr>
        <w:t> </w:t>
      </w:r>
      <w:r>
        <w:rPr>
          <w:spacing w:val="-99"/>
        </w:rPr>
      </w:r>
      <w:r>
        <w:rPr/>
        <w:t>改条款后的金融负债确认为一项新金融负债。 </w:t>
      </w:r>
      <w:r>
        <w:rPr>
          <w:spacing w:val="-2"/>
        </w:rPr>
        <w:t>金融负债全部或部分终止确认时，终止确认的金融负债账面价值与支付对价（包括转出的非现金资产或承</w:t>
      </w:r>
      <w:r>
        <w:rPr>
          <w:spacing w:val="-99"/>
        </w:rPr>
        <w:t> </w:t>
      </w:r>
      <w:r>
        <w:rPr>
          <w:spacing w:val="-99"/>
        </w:rPr>
      </w:r>
      <w:r>
        <w:rPr/>
        <w:t>担的新金融负债）之间的差额，计入当期损益。 </w:t>
      </w:r>
      <w:r>
        <w:rPr>
          <w:spacing w:val="-2"/>
        </w:rPr>
        <w:t>本公司若回购部分金融负债的，在回购日按照继续确认部分与终止确认部分的相对公允价值，将该金融负</w:t>
      </w:r>
      <w:r>
        <w:rPr>
          <w:spacing w:val="-99"/>
        </w:rPr>
        <w:t> </w:t>
      </w:r>
      <w:r>
        <w:rPr>
          <w:spacing w:val="-99"/>
        </w:rPr>
      </w:r>
      <w:r>
        <w:rPr>
          <w:spacing w:val="-2"/>
        </w:rPr>
        <w:t>债整体的账面价值进行分配。分配给终止确认部分的账面价值与支付的对价（包括转出的非现金资产或承</w:t>
      </w:r>
      <w:r>
        <w:rPr>
          <w:spacing w:val="-99"/>
        </w:rPr>
        <w:t> </w:t>
      </w:r>
      <w:r>
        <w:rPr>
          <w:spacing w:val="-99"/>
        </w:rPr>
      </w:r>
      <w:r>
        <w:rPr/>
        <w:t>担的新金融负债）之间的差额，计入当期损益。</w:t>
      </w:r>
    </w:p>
    <w:p>
      <w:pPr>
        <w:spacing w:line="240" w:lineRule="auto" w:before="8"/>
        <w:rPr>
          <w:rFonts w:ascii="宋体" w:hAnsi="宋体" w:cs="宋体" w:eastAsia="宋体" w:hint="default"/>
          <w:sz w:val="24"/>
          <w:szCs w:val="24"/>
        </w:rPr>
      </w:pPr>
    </w:p>
    <w:p>
      <w:pPr>
        <w:pStyle w:val="Heading7"/>
        <w:spacing w:line="268" w:lineRule="auto"/>
        <w:ind w:left="1193" w:right="1125" w:hanging="4"/>
        <w:jc w:val="left"/>
      </w:pPr>
      <w:r>
        <w:rPr>
          <w:rFonts w:ascii="Times New Roman" w:hAnsi="Times New Roman" w:cs="Times New Roman" w:eastAsia="Times New Roman" w:hint="default"/>
          <w:b/>
          <w:bCs/>
        </w:rPr>
        <w:t>5</w:t>
      </w:r>
      <w:r>
        <w:rPr>
          <w:rFonts w:ascii="宋体" w:hAnsi="宋体" w:cs="宋体" w:eastAsia="宋体" w:hint="default"/>
          <w:b/>
          <w:bCs/>
        </w:rPr>
        <w:t>、金融资产和金融负债的公允价值的确定方法</w:t>
      </w:r>
      <w:r>
        <w:rPr>
          <w:rFonts w:ascii="宋体" w:hAnsi="宋体" w:cs="宋体" w:eastAsia="宋体" w:hint="default"/>
          <w:b/>
          <w:bCs/>
          <w:w w:val="99"/>
        </w:rPr>
        <w:t> </w:t>
      </w:r>
      <w:r>
        <w:rPr>
          <w:spacing w:val="-2"/>
        </w:rPr>
        <w:t>存在活跃市场的金融工具，以活跃市场中的报价确定其公允价值。不存在活跃市场的金融工具，采用估值</w:t>
      </w:r>
      <w:r>
        <w:rPr>
          <w:spacing w:val="-101"/>
        </w:rPr>
        <w:t> </w:t>
      </w:r>
      <w:r>
        <w:rPr>
          <w:spacing w:val="-101"/>
        </w:rPr>
      </w:r>
      <w:r>
        <w:rPr>
          <w:spacing w:val="-2"/>
        </w:rPr>
        <w:t>技术确定其公允价值。在估值时，本公司采用在当前情况下适用并且有足够可利用数据和其他信息支持的</w:t>
      </w:r>
      <w:r>
        <w:rPr>
          <w:spacing w:val="-99"/>
        </w:rPr>
        <w:t> </w:t>
      </w:r>
      <w:r>
        <w:rPr>
          <w:spacing w:val="-99"/>
        </w:rPr>
      </w:r>
      <w:r>
        <w:rPr>
          <w:spacing w:val="-2"/>
        </w:rPr>
        <w:t>估值技术，选择与市场参与者在相关资产或负债的交易中所考虑的资产或负债特征相一致的输入值，并优</w:t>
      </w:r>
      <w:r>
        <w:rPr>
          <w:spacing w:val="-99"/>
        </w:rPr>
        <w:t> </w:t>
      </w:r>
      <w:r>
        <w:rPr>
          <w:spacing w:val="-99"/>
        </w:rPr>
      </w:r>
      <w:r>
        <w:rPr>
          <w:spacing w:val="-2"/>
        </w:rPr>
        <w:t>先使用相关可观察输入值。只有在相关可观察输入值无法取得或取得不切实可行的情况下，才使用不可观</w:t>
      </w:r>
      <w:r>
        <w:rPr>
          <w:spacing w:val="-99"/>
        </w:rPr>
        <w:t> </w:t>
      </w:r>
      <w:r>
        <w:rPr>
          <w:spacing w:val="-99"/>
        </w:rPr>
      </w:r>
      <w:r>
        <w:rPr/>
        <w:t>察输入值。</w:t>
      </w:r>
    </w:p>
    <w:p>
      <w:pPr>
        <w:spacing w:line="240" w:lineRule="auto" w:before="10"/>
        <w:rPr>
          <w:rFonts w:ascii="宋体" w:hAnsi="宋体" w:cs="宋体" w:eastAsia="宋体" w:hint="default"/>
          <w:sz w:val="24"/>
          <w:szCs w:val="24"/>
        </w:rPr>
      </w:pPr>
    </w:p>
    <w:p>
      <w:pPr>
        <w:spacing w:line="266" w:lineRule="auto" w:before="0"/>
        <w:ind w:left="1193" w:right="1125" w:hanging="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、金融资产（不含应收款项）减值的测试方法及会计处理方法</w:t>
      </w:r>
      <w:r>
        <w:rPr>
          <w:rFonts w:ascii="宋体" w:hAnsi="宋体" w:cs="宋体" w:eastAsia="宋体" w:hint="default"/>
          <w:b/>
          <w:bCs/>
          <w:w w:val="99"/>
          <w:sz w:val="21"/>
          <w:szCs w:val="21"/>
        </w:rPr>
        <w:t> </w:t>
      </w:r>
      <w:r>
        <w:rPr>
          <w:rFonts w:ascii="宋体" w:hAnsi="宋体" w:cs="宋体" w:eastAsia="宋体" w:hint="default"/>
          <w:spacing w:val="-2"/>
          <w:sz w:val="21"/>
          <w:szCs w:val="21"/>
        </w:rPr>
        <w:t>除以公允价值计量且其变动计入当期损益的金融资产外，本公司于资产负债表日对金融资产的账面价值进</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行检查，如果有客观证据表明某项金融资产发生减值的，计提减值准备。</w:t>
      </w:r>
    </w:p>
    <w:p>
      <w:pPr>
        <w:pStyle w:val="Heading7"/>
        <w:spacing w:line="264" w:lineRule="auto" w:before="14"/>
        <w:ind w:left="1193" w:right="1125" w:hanging="60"/>
        <w:jc w:val="left"/>
      </w:pPr>
      <w:r>
        <w:rPr/>
        <w:t>（</w:t>
      </w:r>
      <w:r>
        <w:rPr>
          <w:rFonts w:ascii="Times New Roman" w:hAnsi="Times New Roman" w:cs="Times New Roman" w:eastAsia="Times New Roman" w:hint="default"/>
        </w:rPr>
        <w:t>1</w:t>
      </w:r>
      <w:r>
        <w:rPr/>
        <w:t>）可供出售金融资产的减值准备： </w:t>
      </w:r>
      <w:r>
        <w:rPr>
          <w:spacing w:val="-2"/>
        </w:rPr>
        <w:t>期末如果可供出售金融资产的公允价值发生严重下降，或在综合考虑各种相关因素后，预期这种下降趋势</w:t>
      </w:r>
      <w:r>
        <w:rPr/>
        <w:t> </w:t>
      </w:r>
      <w:r>
        <w:rPr>
          <w:spacing w:val="-2"/>
        </w:rPr>
        <w:t>属于非暂时性的，就认定其已发生减值，将原直接计入所有者权益的公允价值下降形成的累计损失一并转</w:t>
      </w:r>
    </w:p>
    <w:p>
      <w:pPr>
        <w:spacing w:after="0" w:line="264" w:lineRule="auto"/>
        <w:jc w:val="left"/>
        <w:sectPr>
          <w:footerReference w:type="default" r:id="rId16"/>
          <w:pgSz w:w="11910" w:h="16840"/>
          <w:pgMar w:footer="979" w:header="747" w:top="1060" w:bottom="1160" w:left="0" w:right="0"/>
        </w:sectPr>
      </w:pPr>
    </w:p>
    <w:p>
      <w:pPr>
        <w:spacing w:line="240" w:lineRule="auto" w:before="9"/>
        <w:rPr>
          <w:rFonts w:ascii="宋体" w:hAnsi="宋体" w:cs="宋体" w:eastAsia="宋体" w:hint="default"/>
          <w:sz w:val="24"/>
          <w:szCs w:val="24"/>
        </w:rPr>
      </w:pPr>
    </w:p>
    <w:p>
      <w:pPr>
        <w:pStyle w:val="Heading7"/>
        <w:spacing w:line="273" w:lineRule="auto" w:before="35"/>
        <w:ind w:left="1193" w:right="1125"/>
        <w:jc w:val="left"/>
      </w:pPr>
      <w:r>
        <w:rPr/>
        <w:t>出，确认减值损失。 </w:t>
      </w:r>
      <w:r>
        <w:rPr>
          <w:spacing w:val="-2"/>
        </w:rPr>
        <w:t>对于已确认减值损失的可供出售债务工具，在随后的会计期间公允价值已上升且客观上与确认原减值损失</w:t>
      </w:r>
      <w:r>
        <w:rPr>
          <w:spacing w:val="-95"/>
        </w:rPr>
        <w:t> </w:t>
      </w:r>
      <w:r>
        <w:rPr>
          <w:spacing w:val="-95"/>
        </w:rPr>
      </w:r>
      <w:r>
        <w:rPr/>
        <w:t>确认后发生的事项有关的，原确认的减值损失予以转回，计入当期损益。 可供出售权益工具投资发生的减值损失，不通过损益转回。</w:t>
      </w:r>
    </w:p>
    <w:p>
      <w:pPr>
        <w:pStyle w:val="Heading7"/>
        <w:spacing w:line="256" w:lineRule="auto" w:before="8"/>
        <w:ind w:right="4243"/>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6"/>
        <w:spacing w:line="240" w:lineRule="auto"/>
        <w:ind w:right="0"/>
        <w:jc w:val="left"/>
        <w:rPr>
          <w:b w:val="0"/>
          <w:bCs w:val="0"/>
        </w:rPr>
      </w:pPr>
      <w:bookmarkStart w:name="11、应收款项" w:id="174"/>
      <w:bookmarkEnd w:id="174"/>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0"/>
        <w:jc w:val="left"/>
        <w:rPr>
          <w:b w:val="0"/>
          <w:bCs w:val="0"/>
        </w:rPr>
      </w:pPr>
      <w:bookmarkStart w:name="（1）单项金额重大并单独计提坏账准备的应收款项" w:id="175"/>
      <w:bookmarkEnd w:id="175"/>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本公司将单项金额大于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万元的应收账款或单项金额大于</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万元的其他应收款，确定为单项金额重大的应收款项。</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单独进行减值测试，如有客观证据表明其已发生减值，按预 计未来现金流量现值低于其账面价值的差额计提坏账准备， 计入当期损益。单独测试未发生减值的应收款项，将其归入 相应组合计提坏账准备。</w:t>
            </w:r>
          </w:p>
        </w:tc>
      </w:tr>
    </w:tbl>
    <w:p>
      <w:pPr>
        <w:spacing w:line="240" w:lineRule="auto" w:before="2"/>
        <w:rPr>
          <w:rFonts w:ascii="宋体" w:hAnsi="宋体" w:cs="宋体" w:eastAsia="宋体" w:hint="default"/>
          <w:b/>
          <w:bCs/>
          <w:sz w:val="19"/>
          <w:szCs w:val="19"/>
        </w:rPr>
      </w:pPr>
    </w:p>
    <w:p>
      <w:pPr>
        <w:pStyle w:val="Heading6"/>
        <w:spacing w:line="240" w:lineRule="auto" w:before="35"/>
        <w:ind w:left="1134" w:right="0"/>
        <w:jc w:val="left"/>
        <w:rPr>
          <w:b w:val="0"/>
          <w:bCs w:val="0"/>
        </w:rPr>
      </w:pPr>
      <w:bookmarkStart w:name="（2）按信用风险特征组合计提坏账准备的应收款项" w:id="176"/>
      <w:bookmarkEnd w:id="176"/>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销售货款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其他款项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left="1134" w:right="0"/>
        <w:jc w:val="left"/>
      </w:pPr>
      <w:r>
        <w:rPr/>
        <w:t>组合中，采用账龄分析法计提坏账准备的：</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134" w:right="0"/>
        <w:jc w:val="left"/>
      </w:pPr>
      <w:r>
        <w:rPr/>
        <w:t>组合中，采用余额百分比法计提坏账准备的：</w:t>
      </w:r>
    </w:p>
    <w:p>
      <w:pPr>
        <w:pStyle w:val="BodyText"/>
        <w:spacing w:line="338" w:lineRule="auto" w:before="117"/>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footerReference w:type="default" r:id="rId17"/>
          <w:pgSz w:w="11910" w:h="16840"/>
          <w:pgMar w:footer="979" w:header="747" w:top="1060" w:bottom="1160" w:left="0" w:right="0"/>
          <w:pgNumType w:start="101"/>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3）单项金额不重大但单独计提坏账准备的应收款项" w:id="177"/>
      <w:bookmarkEnd w:id="177"/>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单项金额不重大但有证据表明其未来现金流量现值低于账面 价值。</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按其低于账面价值的差额单项计提坏账准备。</w:t>
            </w:r>
          </w:p>
        </w:tc>
      </w:tr>
    </w:tbl>
    <w:p>
      <w:pPr>
        <w:spacing w:line="240" w:lineRule="auto" w:before="2"/>
        <w:rPr>
          <w:rFonts w:ascii="宋体" w:hAnsi="宋体" w:cs="宋体" w:eastAsia="宋体" w:hint="default"/>
          <w:b/>
          <w:bCs/>
          <w:sz w:val="19"/>
          <w:szCs w:val="19"/>
        </w:rPr>
      </w:pPr>
    </w:p>
    <w:p>
      <w:pPr>
        <w:pStyle w:val="Heading6"/>
        <w:spacing w:line="240" w:lineRule="auto" w:before="35"/>
        <w:ind w:left="1134" w:right="0"/>
        <w:jc w:val="left"/>
        <w:rPr>
          <w:b w:val="0"/>
          <w:bCs w:val="0"/>
        </w:rPr>
      </w:pPr>
      <w:bookmarkStart w:name="12、存货" w:id="178"/>
      <w:bookmarkEnd w:id="178"/>
      <w:r>
        <w:rPr>
          <w:b w:val="0"/>
          <w:bCs w:val="0"/>
        </w:rPr>
      </w: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4"/>
          <w:szCs w:val="24"/>
        </w:rPr>
      </w:pPr>
    </w:p>
    <w:p>
      <w:pPr>
        <w:pStyle w:val="Heading7"/>
        <w:spacing w:line="264" w:lineRule="auto"/>
        <w:ind w:right="0"/>
        <w:jc w:val="left"/>
      </w:pPr>
      <w:r>
        <w:rPr>
          <w:rFonts w:ascii="Times New Roman" w:hAnsi="Times New Roman" w:cs="Times New Roman" w:eastAsia="Times New Roman" w:hint="default"/>
          <w:b/>
          <w:bCs/>
        </w:rPr>
        <w:t>1</w:t>
      </w:r>
      <w:r>
        <w:rPr>
          <w:rFonts w:ascii="宋体" w:hAnsi="宋体" w:cs="宋体" w:eastAsia="宋体" w:hint="default"/>
          <w:b/>
          <w:bCs/>
        </w:rPr>
        <w:t>、存货的分类</w:t>
      </w:r>
      <w:r>
        <w:rPr>
          <w:rFonts w:ascii="宋体" w:hAnsi="宋体" w:cs="宋体" w:eastAsia="宋体" w:hint="default"/>
          <w:b/>
          <w:bCs/>
          <w:w w:val="99"/>
        </w:rPr>
        <w:t> </w:t>
      </w:r>
      <w:r>
        <w:rPr>
          <w:spacing w:val="-1"/>
        </w:rPr>
        <w:t>存货是指本公司在日常经营活动中持有以备出售的商品、处在项目实施过程中的未完工项目成本、项目实</w:t>
      </w:r>
      <w:r>
        <w:rPr>
          <w:spacing w:val="-81"/>
        </w:rPr>
        <w:t> </w:t>
      </w:r>
      <w:r>
        <w:rPr>
          <w:spacing w:val="-81"/>
        </w:rPr>
      </w:r>
      <w:r>
        <w:rPr/>
        <w:t>施或提供劳务过程中耗用的材料和物料等。主要包括原材料、库存商品、未完工项目成本等。</w:t>
      </w:r>
    </w:p>
    <w:p>
      <w:pPr>
        <w:spacing w:line="240" w:lineRule="auto" w:before="1"/>
        <w:rPr>
          <w:rFonts w:ascii="宋体" w:hAnsi="宋体" w:cs="宋体" w:eastAsia="宋体" w:hint="default"/>
          <w:sz w:val="25"/>
          <w:szCs w:val="25"/>
        </w:rPr>
      </w:pPr>
    </w:p>
    <w:p>
      <w:pPr>
        <w:spacing w:line="256" w:lineRule="auto" w:before="0"/>
        <w:ind w:left="1133" w:right="607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b/>
          <w:bCs/>
          <w:w w:val="99"/>
          <w:sz w:val="21"/>
          <w:szCs w:val="21"/>
        </w:rPr>
        <w:t> </w:t>
      </w:r>
      <w:r>
        <w:rPr>
          <w:rFonts w:ascii="宋体" w:hAnsi="宋体" w:cs="宋体" w:eastAsia="宋体" w:hint="default"/>
          <w:sz w:val="21"/>
          <w:szCs w:val="21"/>
        </w:rPr>
        <w:t>存货发出时按个别计价法计价。</w:t>
      </w:r>
    </w:p>
    <w:p>
      <w:pPr>
        <w:spacing w:line="240" w:lineRule="auto" w:before="7"/>
        <w:rPr>
          <w:rFonts w:ascii="宋体" w:hAnsi="宋体" w:cs="宋体" w:eastAsia="宋体" w:hint="default"/>
          <w:sz w:val="25"/>
          <w:szCs w:val="25"/>
        </w:rPr>
      </w:pPr>
    </w:p>
    <w:p>
      <w:pPr>
        <w:pStyle w:val="Heading7"/>
        <w:spacing w:line="271" w:lineRule="auto"/>
        <w:ind w:right="1118"/>
        <w:jc w:val="left"/>
      </w:pPr>
      <w:r>
        <w:rPr>
          <w:rFonts w:ascii="Times New Roman" w:hAnsi="Times New Roman" w:cs="Times New Roman" w:eastAsia="Times New Roman" w:hint="default"/>
          <w:b/>
          <w:bCs/>
        </w:rPr>
        <w:t>3</w:t>
      </w:r>
      <w:r>
        <w:rPr>
          <w:rFonts w:ascii="宋体" w:hAnsi="宋体" w:cs="宋体" w:eastAsia="宋体" w:hint="default"/>
          <w:b/>
          <w:bCs/>
        </w:rPr>
        <w:t>、不同类别存货可变现净值的确定依据</w:t>
      </w:r>
      <w:r>
        <w:rPr>
          <w:rFonts w:ascii="宋体" w:hAnsi="宋体" w:cs="宋体" w:eastAsia="宋体" w:hint="default"/>
          <w:b/>
          <w:bCs/>
          <w:w w:val="99"/>
        </w:rPr>
        <w:t> </w:t>
      </w:r>
      <w:r>
        <w:rPr/>
        <w:t>期末对存货进行全面清查后，按存货的成本与可变现净值孰低提取或调整存货跌价准备。 </w:t>
      </w:r>
      <w:r>
        <w:rPr>
          <w:spacing w:val="-1"/>
        </w:rPr>
        <w:t>产成品、库存商品和用于出售的材料等直接用于出售的商品存货，在正常生产经营过程中，以该存货的估</w:t>
      </w:r>
      <w:r>
        <w:rPr>
          <w:spacing w:val="-83"/>
        </w:rPr>
        <w:t> </w:t>
      </w:r>
      <w:r>
        <w:rPr>
          <w:spacing w:val="-83"/>
        </w:rPr>
      </w:r>
      <w:r>
        <w:rPr>
          <w:spacing w:val="-1"/>
        </w:rPr>
        <w:t>计售价减去估计的销售费用和相关税费后的金额，确定其可变现净值；需要经过加工的材料存货，在正常</w:t>
      </w:r>
      <w:r>
        <w:rPr>
          <w:spacing w:val="-83"/>
        </w:rPr>
        <w:t> </w:t>
      </w:r>
      <w:r>
        <w:rPr>
          <w:spacing w:val="-83"/>
        </w:rPr>
      </w:r>
      <w:r>
        <w:rPr>
          <w:spacing w:val="-1"/>
        </w:rPr>
        <w:t>生产经营过程中，以所生产的产成品的估计售价减去至完工时估计将要发生的成本、估计的销售费用和相</w:t>
      </w:r>
      <w:r>
        <w:rPr>
          <w:spacing w:val="-81"/>
        </w:rPr>
        <w:t> </w:t>
      </w:r>
      <w:r>
        <w:rPr>
          <w:spacing w:val="-81"/>
        </w:rPr>
      </w:r>
      <w:r>
        <w:rPr>
          <w:spacing w:val="-1"/>
        </w:rPr>
        <w:t>关税费后的金额，确定其可变现净值；为执行销售合同或者劳务合同而持有的存货，其可变现净值以合同</w:t>
      </w:r>
      <w:r>
        <w:rPr>
          <w:spacing w:val="-83"/>
        </w:rPr>
        <w:t> </w:t>
      </w:r>
      <w:r>
        <w:rPr>
          <w:spacing w:val="-83"/>
        </w:rPr>
      </w:r>
      <w:r>
        <w:rPr>
          <w:spacing w:val="-1"/>
        </w:rPr>
        <w:t>价格为基础计算，若持有存货的数量多于销售合同订购数量的，超出部分的存货的可变现净值以一般销售</w:t>
      </w:r>
      <w:r>
        <w:rPr>
          <w:spacing w:val="-81"/>
        </w:rPr>
        <w:t> </w:t>
      </w:r>
      <w:r>
        <w:rPr>
          <w:spacing w:val="-81"/>
        </w:rPr>
      </w:r>
      <w:r>
        <w:rPr/>
        <w:t>价格为基础计算。 </w:t>
      </w:r>
      <w:r>
        <w:rPr>
          <w:spacing w:val="-1"/>
        </w:rPr>
        <w:t>期末按照单个存货项目计提存货跌价准备；但对于数量繁多、单价较低的存货，按照存货类别计提存货跌</w:t>
      </w:r>
      <w:r>
        <w:rPr>
          <w:spacing w:val="-83"/>
        </w:rPr>
        <w:t> </w:t>
      </w:r>
      <w:r>
        <w:rPr>
          <w:spacing w:val="-83"/>
        </w:rPr>
      </w:r>
      <w:r>
        <w:rPr>
          <w:spacing w:val="-1"/>
        </w:rPr>
        <w:t>价准备；与在同一地区生产和销售的产品系列相关、具有相同或类似最终用途或目的，且难以与其他项目</w:t>
      </w:r>
      <w:r>
        <w:rPr>
          <w:spacing w:val="-83"/>
        </w:rPr>
        <w:t> </w:t>
      </w:r>
      <w:r>
        <w:rPr>
          <w:spacing w:val="-83"/>
        </w:rPr>
      </w:r>
      <w:r>
        <w:rPr/>
        <w:t>分开计量的存货，则合并计提存货跌价准备。 </w:t>
      </w:r>
      <w:r>
        <w:rPr>
          <w:spacing w:val="-1"/>
        </w:rPr>
        <w:t>以前减记存货价值的影响因素已经消失的，减记的金额予以恢复，并在原已计提的存货跌价准备金额内转</w:t>
      </w:r>
      <w:r>
        <w:rPr>
          <w:spacing w:val="-81"/>
        </w:rPr>
        <w:t> </w:t>
      </w:r>
      <w:r>
        <w:rPr>
          <w:spacing w:val="-81"/>
        </w:rPr>
      </w:r>
      <w:r>
        <w:rPr/>
        <w:t>回，转回的金额计入当期损益。 </w:t>
      </w:r>
      <w:r>
        <w:rPr>
          <w:spacing w:val="-1"/>
        </w:rPr>
        <w:t>除有明确证据表明资产负债表日市场价格异常外，存货项目的可变现净值以资产负债表日市场价格为基础</w:t>
      </w:r>
      <w:r>
        <w:rPr>
          <w:spacing w:val="-81"/>
        </w:rPr>
        <w:t> </w:t>
      </w:r>
      <w:r>
        <w:rPr>
          <w:spacing w:val="-81"/>
        </w:rPr>
      </w:r>
      <w:r>
        <w:rPr/>
        <w:t>确定。</w:t>
      </w:r>
    </w:p>
    <w:p>
      <w:pPr>
        <w:pStyle w:val="Heading7"/>
        <w:spacing w:line="240" w:lineRule="auto" w:before="10"/>
        <w:ind w:right="0"/>
        <w:jc w:val="left"/>
      </w:pPr>
      <w:r>
        <w:rPr/>
        <w:t>本期期末存货项目的可变现净值以资产负债表日市场价格为基础确定。</w:t>
      </w:r>
    </w:p>
    <w:p>
      <w:pPr>
        <w:spacing w:line="240" w:lineRule="auto" w:before="9"/>
        <w:rPr>
          <w:rFonts w:ascii="宋体" w:hAnsi="宋体" w:cs="宋体" w:eastAsia="宋体" w:hint="default"/>
          <w:sz w:val="26"/>
          <w:szCs w:val="26"/>
        </w:rPr>
      </w:pPr>
    </w:p>
    <w:p>
      <w:pPr>
        <w:spacing w:line="256" w:lineRule="auto" w:before="0"/>
        <w:ind w:left="1134" w:right="841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w w:val="99"/>
          <w:sz w:val="21"/>
          <w:szCs w:val="21"/>
        </w:rPr>
        <w:t> </w:t>
      </w:r>
      <w:r>
        <w:rPr>
          <w:rFonts w:ascii="宋体" w:hAnsi="宋体" w:cs="宋体" w:eastAsia="宋体" w:hint="default"/>
          <w:sz w:val="21"/>
          <w:szCs w:val="21"/>
        </w:rPr>
        <w:t>采用永续盘存制。</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6"/>
        <w:spacing w:line="240" w:lineRule="auto"/>
        <w:ind w:left="1134" w:right="0"/>
        <w:jc w:val="left"/>
        <w:rPr>
          <w:b w:val="0"/>
          <w:bCs w:val="0"/>
        </w:rPr>
      </w:pPr>
      <w:bookmarkStart w:name="13、划分为持有待售资产" w:id="179"/>
      <w:bookmarkEnd w:id="179"/>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4、长期股权投资" w:id="180"/>
      <w:bookmarkEnd w:id="180"/>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9"/>
        <w:rPr>
          <w:rFonts w:ascii="宋体" w:hAnsi="宋体" w:cs="宋体" w:eastAsia="宋体" w:hint="default"/>
          <w:b/>
          <w:bCs/>
          <w:sz w:val="24"/>
          <w:szCs w:val="24"/>
        </w:rPr>
      </w:pPr>
    </w:p>
    <w:p>
      <w:pPr>
        <w:pStyle w:val="Heading7"/>
        <w:spacing w:line="266" w:lineRule="auto"/>
        <w:ind w:left="1134" w:right="0"/>
        <w:jc w:val="left"/>
      </w:pPr>
      <w:r>
        <w:rPr>
          <w:rFonts w:ascii="Times New Roman" w:hAnsi="Times New Roman" w:cs="Times New Roman" w:eastAsia="Times New Roman" w:hint="default"/>
          <w:b/>
          <w:bCs/>
        </w:rPr>
        <w:t>1</w:t>
      </w:r>
      <w:r>
        <w:rPr>
          <w:rFonts w:ascii="宋体" w:hAnsi="宋体" w:cs="宋体" w:eastAsia="宋体" w:hint="default"/>
          <w:b/>
          <w:bCs/>
        </w:rPr>
        <w:t>、共同控制、重大影响的判断标准</w:t>
      </w:r>
      <w:r>
        <w:rPr>
          <w:rFonts w:ascii="宋体" w:hAnsi="宋体" w:cs="宋体" w:eastAsia="宋体" w:hint="default"/>
          <w:b/>
          <w:bCs/>
          <w:w w:val="99"/>
        </w:rPr>
        <w:t> </w:t>
      </w:r>
      <w:r>
        <w:rPr>
          <w:spacing w:val="-1"/>
        </w:rPr>
        <w:t>共同控制，是指按照相关约定对某项安排所共有的控制，并且该安排的相关活动必须经过分享控制权的参</w:t>
      </w:r>
      <w:r>
        <w:rPr>
          <w:spacing w:val="-81"/>
        </w:rPr>
        <w:t> </w:t>
      </w:r>
      <w:r>
        <w:rPr>
          <w:spacing w:val="-81"/>
        </w:rPr>
      </w:r>
      <w:r>
        <w:rPr>
          <w:spacing w:val="-1"/>
        </w:rPr>
        <w:t>与方一致同意后才能决策。本公司与其他合营方一同对被投资单位实施共同控制且对被投资单位净资产享</w:t>
      </w:r>
      <w:r>
        <w:rPr>
          <w:spacing w:val="-81"/>
        </w:rPr>
        <w:t> </w:t>
      </w:r>
      <w:r>
        <w:rPr>
          <w:spacing w:val="-81"/>
        </w:rPr>
      </w:r>
      <w:r>
        <w:rPr/>
        <w:t>有权利的，被投资单位为本公司的合营企业。</w:t>
      </w:r>
    </w:p>
    <w:p>
      <w:pPr>
        <w:spacing w:after="0" w:line="266"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7"/>
        <w:spacing w:line="273" w:lineRule="auto" w:before="35"/>
        <w:ind w:right="0"/>
        <w:jc w:val="left"/>
      </w:pPr>
      <w:r>
        <w:rPr>
          <w:spacing w:val="-1"/>
        </w:rPr>
        <w:t>重大影响，是指对一个企业的财务和经营决策有参与决策的权力，但并不能够控制或者与其他方一起共同</w:t>
      </w:r>
      <w:r>
        <w:rPr>
          <w:spacing w:val="-81"/>
        </w:rPr>
        <w:t> </w:t>
      </w:r>
      <w:r>
        <w:rPr>
          <w:spacing w:val="-81"/>
        </w:rPr>
      </w:r>
      <w:r>
        <w:rPr/>
        <w:t>控制这些政策的制定。本公司能够对被投资单位施加重大影响的，被投资单位为本公司联营企业。</w:t>
      </w:r>
    </w:p>
    <w:p>
      <w:pPr>
        <w:spacing w:line="240" w:lineRule="auto" w:before="6"/>
        <w:rPr>
          <w:rFonts w:ascii="宋体" w:hAnsi="宋体" w:cs="宋体" w:eastAsia="宋体" w:hint="default"/>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2</w:t>
      </w:r>
      <w:r>
        <w:rPr/>
        <w:t>、初始投资成本的确定</w:t>
      </w:r>
      <w:r>
        <w:rPr>
          <w:b w:val="0"/>
          <w:bCs w:val="0"/>
        </w:rPr>
      </w:r>
    </w:p>
    <w:p>
      <w:pPr>
        <w:pStyle w:val="Heading7"/>
        <w:spacing w:line="271" w:lineRule="auto" w:before="21"/>
        <w:ind w:left="1193" w:right="1033" w:hanging="60"/>
        <w:jc w:val="left"/>
      </w:pPr>
      <w:r>
        <w:rPr/>
        <w:t>（</w:t>
      </w:r>
      <w:r>
        <w:rPr>
          <w:rFonts w:ascii="Times New Roman" w:hAnsi="Times New Roman" w:cs="Times New Roman" w:eastAsia="Times New Roman" w:hint="default"/>
        </w:rPr>
        <w:t>1</w:t>
      </w:r>
      <w:r>
        <w:rPr/>
        <w:t>）企业合并形成的长期股权投资 </w:t>
      </w:r>
      <w:r>
        <w:rPr>
          <w:spacing w:val="-2"/>
        </w:rPr>
        <w:t>同一控制下的企业合并：公司以支付现金、转让非现金资产或承担债务方式以及以发行权益性证券作为合</w:t>
      </w:r>
      <w:r>
        <w:rPr/>
        <w:t> </w:t>
      </w:r>
      <w:r>
        <w:rPr>
          <w:spacing w:val="-2"/>
        </w:rPr>
        <w:t>并对价的，在合并日按照取得被合并方所有者权益在最终控制方合并财务报表中的账面价值的份额作为长</w:t>
      </w:r>
      <w:r>
        <w:rPr/>
        <w:t> </w:t>
      </w:r>
      <w:r>
        <w:rPr>
          <w:spacing w:val="-2"/>
        </w:rPr>
        <w:t>期股权投资的初始投资成本。因追加投资等原因能够对同一控制下的被投资单位实施控制的，在合并日根</w:t>
      </w:r>
      <w:r>
        <w:rPr/>
        <w:t> </w:t>
      </w:r>
      <w:r>
        <w:rPr>
          <w:spacing w:val="-2"/>
        </w:rPr>
        <w:t>据合并后应享有被合并方净资产在最终控制方合并财务报表中的账面价值的份额，确定长期股权投资的初</w:t>
      </w:r>
      <w:r>
        <w:rPr/>
        <w:t> </w:t>
      </w:r>
      <w:r>
        <w:rPr>
          <w:spacing w:val="-2"/>
        </w:rPr>
        <w:t>始投资成本。合并日长期股权投资的初始投资成本，与达到合并前的长期股权投资账面价值加上合并日进</w:t>
      </w:r>
      <w:r>
        <w:rPr/>
        <w:t> 一步取得股份新支付对价的账面价值之和的差额，调整股本溢价，股本溢价不足冲减的，冲减留存收益。 </w:t>
      </w:r>
      <w:r>
        <w:rPr>
          <w:spacing w:val="-2"/>
        </w:rPr>
        <w:t>非同一控制下的企业合并：公司按照购买日确定的合并成本作为长期股权投资的初始投资成本。因追加投</w:t>
      </w:r>
      <w:r>
        <w:rPr/>
        <w:t> </w:t>
      </w:r>
      <w:r>
        <w:rPr>
          <w:spacing w:val="-2"/>
        </w:rPr>
        <w:t>资等原因能够对非同一控制下的被投资单位实施控制的，按照原持有的股权投资账面价值加上新增投资成</w:t>
      </w:r>
      <w:r>
        <w:rPr/>
        <w:t> 本之和，作为改按成本法核算的初始投资成本。</w:t>
      </w:r>
    </w:p>
    <w:p>
      <w:pPr>
        <w:pStyle w:val="Heading7"/>
        <w:spacing w:line="271" w:lineRule="auto" w:before="10"/>
        <w:ind w:left="1190" w:right="1128" w:hanging="57"/>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2"/>
        </w:rPr>
        <w:t>在非货币性资产交换具备商业实质和换入资产或换出资产的公允价值能够可靠计量的前提下，非货币性资</w:t>
      </w:r>
      <w:r>
        <w:rPr/>
        <w:t> </w:t>
      </w:r>
      <w:r>
        <w:rPr>
          <w:spacing w:val="-2"/>
        </w:rPr>
        <w:t>产交换换入的长期股权投资以换出资产的公允价值和应支付的相关税费确定其初始投资成本，除非有确凿</w:t>
      </w:r>
      <w:r>
        <w:rPr/>
        <w:t> </w:t>
      </w:r>
      <w:r>
        <w:rPr>
          <w:spacing w:val="-2"/>
        </w:rPr>
        <w:t>证据表明换入资产的公允价值更加可靠；不满足上述前提的非货币性资产交换，以换出资产的账面价值和</w:t>
      </w:r>
      <w:r>
        <w:rPr/>
        <w:t> 应支付的相关税费作为换入长期股权投资的初始投资成本。 通过债务重组取得的长期股权投资，其初始投资成本按照公允价值为基础确定。</w:t>
      </w:r>
    </w:p>
    <w:p>
      <w:pPr>
        <w:spacing w:line="240" w:lineRule="auto" w:before="8"/>
        <w:rPr>
          <w:rFonts w:ascii="宋体" w:hAnsi="宋体" w:cs="宋体" w:eastAsia="宋体" w:hint="default"/>
          <w:sz w:val="24"/>
          <w:szCs w:val="24"/>
        </w:rPr>
      </w:pPr>
    </w:p>
    <w:p>
      <w:pPr>
        <w:pStyle w:val="Heading6"/>
        <w:spacing w:line="240" w:lineRule="auto"/>
        <w:ind w:left="1190" w:right="0"/>
        <w:jc w:val="left"/>
        <w:rPr>
          <w:b w:val="0"/>
          <w:bCs w:val="0"/>
        </w:rPr>
      </w:pPr>
      <w:r>
        <w:rPr>
          <w:rFonts w:ascii="Times New Roman" w:hAnsi="Times New Roman" w:cs="Times New Roman" w:eastAsia="Times New Roman" w:hint="default"/>
        </w:rPr>
        <w:t>3</w:t>
      </w:r>
      <w:r>
        <w:rPr/>
        <w:t>、后续计量及损益确认方法</w:t>
      </w:r>
      <w:r>
        <w:rPr>
          <w:b w:val="0"/>
          <w:bCs w:val="0"/>
        </w:rPr>
      </w:r>
    </w:p>
    <w:p>
      <w:pPr>
        <w:pStyle w:val="Heading7"/>
        <w:spacing w:line="264" w:lineRule="auto" w:before="21"/>
        <w:ind w:left="1193" w:right="1033" w:hanging="60"/>
        <w:jc w:val="left"/>
      </w:pPr>
      <w:r>
        <w:rPr/>
        <w:t>（</w:t>
      </w:r>
      <w:r>
        <w:rPr>
          <w:rFonts w:ascii="Times New Roman" w:hAnsi="Times New Roman" w:cs="Times New Roman" w:eastAsia="Times New Roman" w:hint="default"/>
        </w:rPr>
        <w:t>1</w:t>
      </w:r>
      <w:r>
        <w:rPr/>
        <w:t>）成本法核算的长期股权投资 </w:t>
      </w:r>
      <w:r>
        <w:rPr>
          <w:spacing w:val="-2"/>
        </w:rPr>
        <w:t>公司对子公司的长期股权投资，采用成本法核算。除取得投资时实际支付的价款或对价中包含的已宣告但</w:t>
      </w:r>
      <w:r>
        <w:rPr/>
        <w:t> 尚未发放的现金股利或利润外，公司按照享有被投资单位宣告发放的现金股利或利润确认当期投资收益。</w:t>
      </w:r>
    </w:p>
    <w:p>
      <w:pPr>
        <w:pStyle w:val="Heading7"/>
        <w:spacing w:line="271" w:lineRule="auto" w:before="16"/>
        <w:ind w:left="1193" w:right="1125" w:hanging="60"/>
        <w:jc w:val="left"/>
      </w:pPr>
      <w:r>
        <w:rPr/>
        <w:t>（</w:t>
      </w:r>
      <w:r>
        <w:rPr>
          <w:rFonts w:ascii="Times New Roman" w:hAnsi="Times New Roman" w:cs="Times New Roman" w:eastAsia="Times New Roman" w:hint="default"/>
        </w:rPr>
        <w:t>2</w:t>
      </w:r>
      <w:r>
        <w:rPr/>
        <w:t>）权益法核算的长期股权投资 </w:t>
      </w:r>
      <w:r>
        <w:rPr>
          <w:spacing w:val="-2"/>
        </w:rPr>
        <w:t>对联营企业和合营企业的长期股权投资，采用权益法核算。初始投资成本大于投资时应享有被投资单位可</w:t>
      </w:r>
      <w:r>
        <w:rPr/>
        <w:t> </w:t>
      </w:r>
      <w:r>
        <w:rPr>
          <w:spacing w:val="-2"/>
        </w:rPr>
        <w:t>辨认净资产公允价值份额的差额，不调整长期股权投资的初始投资成本；初始投资成本小于投资时应享有</w:t>
      </w:r>
      <w:r>
        <w:rPr/>
        <w:t> 被投资单位可辨认净资产公允价值份额的差额，计入当期损益。 </w:t>
      </w:r>
      <w:r>
        <w:rPr>
          <w:spacing w:val="-2"/>
        </w:rPr>
        <w:t>公司按照应享有或应分担的被投资单位实现的净损益和其他综合收益的份额，分别确认投资收益和其他综</w:t>
      </w:r>
      <w:r>
        <w:rPr/>
        <w:t> </w:t>
      </w:r>
      <w:r>
        <w:rPr>
          <w:spacing w:val="-2"/>
        </w:rPr>
        <w:t>合收益，同时调整长期股权投资的账面价值；按照被投资单位宣告分派的利润或现金股利计算应享有的部</w:t>
      </w:r>
      <w:r>
        <w:rPr/>
        <w:t> </w:t>
      </w:r>
      <w:r>
        <w:rPr>
          <w:spacing w:val="-2"/>
        </w:rPr>
        <w:t>分，相应减少长期股权投资的账面价值；对于被投资单位除净损益、其他综合收益和利润分配以外所有者</w:t>
      </w:r>
      <w:r>
        <w:rPr/>
        <w:t> 权益的其他变动，调整长期股权投资的账面价值并计入所有者权益。 </w:t>
      </w:r>
      <w:r>
        <w:rPr>
          <w:spacing w:val="-2"/>
        </w:rPr>
        <w:t>在确认应享有被投资单位净损益的份额时，以取得投资时被投资单位可辨认净资产的公允价值为基础，并</w:t>
      </w:r>
      <w:r>
        <w:rPr/>
        <w:t> </w:t>
      </w:r>
      <w:r>
        <w:rPr>
          <w:spacing w:val="-2"/>
        </w:rPr>
        <w:t>按照公司的会计政策及会计期间，对被投资单位的净利润进行调整后确认。在持有投资期间，被投资单位</w:t>
      </w:r>
      <w:r>
        <w:rPr/>
        <w:t> </w:t>
      </w:r>
      <w:r>
        <w:rPr>
          <w:spacing w:val="-2"/>
        </w:rPr>
        <w:t>编制合并财务报表的，以合并财务报表中的净利润、其他综合收益和其他所有者权益变动中归属于被投资</w:t>
      </w:r>
      <w:r>
        <w:rPr/>
        <w:t> 单位的金额为基础进行核算。 </w:t>
      </w:r>
      <w:r>
        <w:rPr>
          <w:spacing w:val="-2"/>
        </w:rPr>
        <w:t>公司与联营企业、合营企业之间发生的未实现内部交易损益按照应享有的比例计算归属于公司的部分，予</w:t>
      </w:r>
      <w:r>
        <w:rPr/>
        <w:t> </w:t>
      </w:r>
      <w:r>
        <w:rPr>
          <w:spacing w:val="-2"/>
        </w:rPr>
        <w:t>以抵销，在此基础上确认投资收益。与被投资单位发生的未实现内部交易损失，属于资产减值损失的，全</w:t>
      </w:r>
      <w:r>
        <w:rPr/>
        <w:t> </w:t>
      </w:r>
      <w:r>
        <w:rPr>
          <w:spacing w:val="-2"/>
        </w:rPr>
        <w:t>额确认。公司与联营企业、合营企业之间发生投出或出售资产的交易，该资产构成业务的，按照本附注三</w:t>
      </w:r>
    </w:p>
    <w:p>
      <w:pPr>
        <w:pStyle w:val="Heading7"/>
        <w:spacing w:line="273" w:lineRule="auto" w:before="10"/>
        <w:ind w:left="1194" w:right="1124"/>
        <w:jc w:val="left"/>
      </w:pPr>
      <w:r>
        <w:rPr/>
        <w:t>（五）、（六）中披露的相关政策进行会计处理。 </w:t>
      </w:r>
      <w:r>
        <w:rPr>
          <w:spacing w:val="-2"/>
        </w:rPr>
        <w:t>在公司确认应分担被投资单位发生的亏损时，按照以下顺序进行处理：首先，冲减长期股权投资的账面价</w:t>
      </w:r>
    </w:p>
    <w:p>
      <w:pPr>
        <w:spacing w:after="0" w:line="273"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7"/>
        <w:spacing w:line="273" w:lineRule="auto" w:before="35"/>
        <w:ind w:left="1193" w:right="1131"/>
        <w:jc w:val="both"/>
      </w:pPr>
      <w:r>
        <w:rPr>
          <w:spacing w:val="-2"/>
        </w:rPr>
        <w:t>值。其次，长期股权投资的账面价值不足以冲减的，以其他实质上构成对被投资单位净投资的长期权益账</w:t>
      </w:r>
      <w:r>
        <w:rPr>
          <w:spacing w:val="-97"/>
        </w:rPr>
        <w:t> </w:t>
      </w:r>
      <w:r>
        <w:rPr>
          <w:spacing w:val="-97"/>
        </w:rPr>
      </w:r>
      <w:r>
        <w:rPr>
          <w:spacing w:val="-2"/>
        </w:rPr>
        <w:t>面价值为限继续确认投资损失，冲减长期应收项目等的账面价值。最后，经过上述处理，按照投资合同或</w:t>
      </w:r>
      <w:r>
        <w:rPr>
          <w:spacing w:val="-97"/>
        </w:rPr>
        <w:t> </w:t>
      </w:r>
      <w:r>
        <w:rPr>
          <w:spacing w:val="-97"/>
        </w:rPr>
      </w:r>
      <w:r>
        <w:rPr/>
        <w:t>协议约定企业仍承担额外义务的，按预计承担的义务确认预计负债，计入当期投资损失。</w:t>
      </w:r>
    </w:p>
    <w:p>
      <w:pPr>
        <w:pStyle w:val="Heading7"/>
        <w:spacing w:line="256" w:lineRule="auto" w:before="7"/>
        <w:ind w:left="1194" w:right="3972" w:hanging="60"/>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Heading7"/>
        <w:spacing w:line="273" w:lineRule="auto" w:before="22"/>
        <w:ind w:left="1185" w:right="1125" w:firstLine="8"/>
        <w:jc w:val="left"/>
      </w:pPr>
      <w:r>
        <w:rPr>
          <w:spacing w:val="-2"/>
        </w:rPr>
        <w:t>采用权益法核算的长期股权投资，在处置该项投资时，采用与被投资单位直接处置相关资产或负债相同的</w:t>
      </w:r>
      <w:r>
        <w:rPr>
          <w:spacing w:val="-103"/>
        </w:rPr>
        <w:t> </w:t>
      </w:r>
      <w:r>
        <w:rPr>
          <w:spacing w:val="-103"/>
        </w:rPr>
      </w:r>
      <w:r>
        <w:rPr>
          <w:spacing w:val="-2"/>
        </w:rPr>
        <w:t>基础，按相应比例对原计入其他综合收益的部分进行会计处理。因被投资单位除净损益、其他综合收益和</w:t>
      </w:r>
      <w:r>
        <w:rPr>
          <w:spacing w:val="-97"/>
        </w:rPr>
        <w:t> </w:t>
      </w:r>
      <w:r>
        <w:rPr>
          <w:spacing w:val="-97"/>
        </w:rPr>
      </w:r>
      <w:r>
        <w:rPr>
          <w:spacing w:val="-2"/>
        </w:rPr>
        <w:t>利润分配以外的其他所有者权益变动而确认的所有者权益，按比例结转入当期损益，由于被投资方重新计</w:t>
      </w:r>
      <w:r>
        <w:rPr>
          <w:spacing w:val="-95"/>
        </w:rPr>
        <w:t> </w:t>
      </w:r>
      <w:r>
        <w:rPr>
          <w:spacing w:val="-95"/>
        </w:rPr>
      </w:r>
      <w:r>
        <w:rPr/>
        <w:t>量设定受益计划净负债或净资产变动而产生的其他综合收益除外。 </w:t>
      </w:r>
      <w:r>
        <w:rPr>
          <w:spacing w:val="-2"/>
        </w:rPr>
        <w:t>因处置部分股权投资等原因丧失了对被投资单位的共同控制或重大影响的，处置后的剩余股权改按金融工</w:t>
      </w:r>
      <w:r>
        <w:rPr>
          <w:spacing w:val="-95"/>
        </w:rPr>
        <w:t> </w:t>
      </w:r>
      <w:r>
        <w:rPr>
          <w:spacing w:val="-95"/>
        </w:rPr>
      </w:r>
      <w:r>
        <w:rPr>
          <w:spacing w:val="-2"/>
        </w:rPr>
        <w:t>具确认和计量准则核算，其在丧失共同控制或重大影响之日的公允价值与账面价值之间的差额计入当期损</w:t>
      </w:r>
      <w:r>
        <w:rPr>
          <w:spacing w:val="-95"/>
        </w:rPr>
        <w:t> </w:t>
      </w:r>
      <w:r>
        <w:rPr>
          <w:spacing w:val="-95"/>
        </w:rPr>
      </w:r>
      <w:r>
        <w:rPr>
          <w:spacing w:val="-2"/>
        </w:rPr>
        <w:t>益。原股权投资因采用权益法核算而确认的其他综合收益，在终止采用权益法核算时采用与被投资单位直</w:t>
      </w:r>
      <w:r>
        <w:rPr>
          <w:spacing w:val="-95"/>
        </w:rPr>
        <w:t> </w:t>
      </w:r>
      <w:r>
        <w:rPr>
          <w:spacing w:val="-95"/>
        </w:rPr>
      </w:r>
      <w:r>
        <w:rPr>
          <w:spacing w:val="-2"/>
        </w:rPr>
        <w:t>接处置相关资产或负债相同的基础进行会计处理。因被投资方除净损益、其他综合收益和利润分配以外的</w:t>
      </w:r>
      <w:r>
        <w:rPr>
          <w:spacing w:val="-95"/>
        </w:rPr>
        <w:t> </w:t>
      </w:r>
      <w:r>
        <w:rPr>
          <w:spacing w:val="-95"/>
        </w:rPr>
      </w:r>
      <w:r>
        <w:rPr/>
        <w:t>其他所有者权益变动而确认的所有者权益，在终止采用权益法核算时全部转入当期损益。 </w:t>
      </w:r>
      <w:r>
        <w:rPr>
          <w:spacing w:val="-2"/>
        </w:rPr>
        <w:t>因处置部分股权投资、因其他投资方对子公司增资而导致本公司持股比例下降等原因丧失了对被投资单位</w:t>
      </w:r>
      <w:r>
        <w:rPr>
          <w:spacing w:val="-94"/>
        </w:rPr>
        <w:t> </w:t>
      </w:r>
      <w:r>
        <w:rPr>
          <w:spacing w:val="-94"/>
        </w:rPr>
      </w:r>
      <w:r>
        <w:rPr>
          <w:spacing w:val="-2"/>
        </w:rPr>
        <w:t>控制权的，在编制个别财务报表时，剩余股权能够对被投资单位实施共同控制或重大影响的，改按权益法</w:t>
      </w:r>
      <w:r>
        <w:rPr>
          <w:spacing w:val="-97"/>
        </w:rPr>
        <w:t> </w:t>
      </w:r>
      <w:r>
        <w:rPr>
          <w:spacing w:val="-97"/>
        </w:rPr>
      </w:r>
      <w:r>
        <w:rPr>
          <w:spacing w:val="-2"/>
        </w:rPr>
        <w:t>核算，并对该剩余股权视同自取得时即采用权益法核算进行调整；剩余股权不能对被投资单位实施共同控</w:t>
      </w:r>
      <w:r>
        <w:rPr>
          <w:spacing w:val="-95"/>
        </w:rPr>
        <w:t> </w:t>
      </w:r>
      <w:r>
        <w:rPr>
          <w:spacing w:val="-95"/>
        </w:rPr>
      </w:r>
      <w:r>
        <w:rPr>
          <w:spacing w:val="-2"/>
        </w:rPr>
        <w:t>制或施加重大影响的，改按金融工具确认和计量准则的有关规定进行会计处理，其在丧失控制之日的公允</w:t>
      </w:r>
      <w:r>
        <w:rPr>
          <w:spacing w:val="-95"/>
        </w:rPr>
        <w:t> </w:t>
      </w:r>
      <w:r>
        <w:rPr>
          <w:spacing w:val="-95"/>
        </w:rPr>
      </w:r>
      <w:r>
        <w:rPr/>
        <w:t>价值与账面价值间的差额计入当期损益。 </w:t>
      </w:r>
      <w:r>
        <w:rPr>
          <w:spacing w:val="-2"/>
        </w:rPr>
        <w:t>处置的股权是因追加投资等原因通过企业合并取得的，在编制个别财务报表时，处置后的剩余股权采用成</w:t>
      </w:r>
      <w:r>
        <w:rPr>
          <w:spacing w:val="-85"/>
        </w:rPr>
        <w:t> </w:t>
      </w:r>
      <w:r>
        <w:rPr>
          <w:spacing w:val="-85"/>
        </w:rPr>
      </w:r>
      <w:r>
        <w:rPr>
          <w:spacing w:val="-2"/>
        </w:rPr>
        <w:t>本法或权益法核算的，购买日之前持有的股权投资因采用权益法核算而确认的其他综合收益和其他所有者</w:t>
      </w:r>
      <w:r>
        <w:rPr>
          <w:spacing w:val="-87"/>
        </w:rPr>
        <w:t> </w:t>
      </w:r>
      <w:r>
        <w:rPr>
          <w:spacing w:val="-87"/>
        </w:rPr>
      </w:r>
      <w:r>
        <w:rPr>
          <w:spacing w:val="-2"/>
        </w:rPr>
        <w:t>权益按比例结转；处置后的剩余股权改按金融工具确认和计量准则进行会计处理的，其他综合收益和其他</w:t>
      </w:r>
      <w:r>
        <w:rPr>
          <w:spacing w:val="-85"/>
        </w:rPr>
        <w:t> </w:t>
      </w:r>
      <w:r>
        <w:rPr>
          <w:spacing w:val="-85"/>
        </w:rPr>
      </w:r>
      <w:r>
        <w:rPr/>
        <w:t>所有者权益全部结转。</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6"/>
        <w:spacing w:line="240" w:lineRule="auto"/>
        <w:ind w:left="1134" w:right="0"/>
        <w:jc w:val="left"/>
        <w:rPr>
          <w:b w:val="0"/>
          <w:bCs w:val="0"/>
        </w:rPr>
      </w:pPr>
      <w:bookmarkStart w:name="15、投资性房地产" w:id="181"/>
      <w:bookmarkEnd w:id="181"/>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left="1134" w:right="8952"/>
        <w:jc w:val="left"/>
      </w:pPr>
      <w:r>
        <w:rPr/>
        <w:t>投资性房地产计量模式 不适用</w:t>
      </w:r>
    </w:p>
    <w:p>
      <w:pPr>
        <w:spacing w:line="240" w:lineRule="auto" w:before="1"/>
        <w:rPr>
          <w:rFonts w:ascii="宋体" w:hAnsi="宋体" w:cs="宋体" w:eastAsia="宋体" w:hint="default"/>
          <w:sz w:val="20"/>
          <w:szCs w:val="20"/>
        </w:rPr>
      </w:pPr>
    </w:p>
    <w:p>
      <w:pPr>
        <w:pStyle w:val="Heading6"/>
        <w:spacing w:line="240" w:lineRule="auto"/>
        <w:ind w:left="1134" w:right="0"/>
        <w:jc w:val="left"/>
        <w:rPr>
          <w:b w:val="0"/>
          <w:bCs w:val="0"/>
        </w:rPr>
      </w:pPr>
      <w:bookmarkStart w:name="16、固定资产" w:id="182"/>
      <w:bookmarkEnd w:id="182"/>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0"/>
        <w:jc w:val="left"/>
        <w:rPr>
          <w:b w:val="0"/>
          <w:bCs w:val="0"/>
        </w:rPr>
      </w:pPr>
      <w:bookmarkStart w:name="（1）确认条件" w:id="183"/>
      <w:bookmarkEnd w:id="183"/>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pStyle w:val="BodyText"/>
        <w:spacing w:line="319" w:lineRule="auto" w:before="0"/>
        <w:ind w:left="1134" w:right="0"/>
        <w:jc w:val="left"/>
      </w:pPr>
      <w:r>
        <w:rPr>
          <w:spacing w:val="-2"/>
        </w:rPr>
        <w:t>固定资产指为生产商品、提供劳务、出租或经营管理而持有，并且使用寿命超过一个会计年度的有形资产。固定资产在同时</w:t>
      </w:r>
      <w:r>
        <w:rPr>
          <w:spacing w:val="-66"/>
        </w:rPr>
        <w:t> </w:t>
      </w:r>
      <w:r>
        <w:rPr>
          <w:spacing w:val="-66"/>
        </w:rPr>
      </w:r>
      <w:r>
        <w:rPr>
          <w:spacing w:val="-4"/>
        </w:rPr>
        <w:t>满足下列条件时予以确认：（</w:t>
      </w:r>
      <w:r>
        <w:rPr>
          <w:rFonts w:ascii="Times New Roman" w:hAnsi="Times New Roman" w:cs="Times New Roman" w:eastAsia="Times New Roman" w:hint="default"/>
          <w:spacing w:val="-4"/>
        </w:rPr>
        <w:t>1</w:t>
      </w:r>
      <w:r>
        <w:rPr>
          <w:spacing w:val="-4"/>
        </w:rPr>
        <w:t>）与该固定资产有关的经济利益很可能流入企业；（</w:t>
      </w:r>
      <w:r>
        <w:rPr>
          <w:rFonts w:ascii="Times New Roman" w:hAnsi="Times New Roman" w:cs="Times New Roman" w:eastAsia="Times New Roman" w:hint="default"/>
          <w:spacing w:val="-4"/>
        </w:rPr>
        <w:t>2</w:t>
      </w:r>
      <w:r>
        <w:rPr>
          <w:spacing w:val="-4"/>
        </w:rPr>
        <w:t>）该固定资产的成本能够可靠地计量。</w:t>
      </w:r>
    </w:p>
    <w:p>
      <w:pPr>
        <w:spacing w:line="240" w:lineRule="auto" w:before="9"/>
        <w:rPr>
          <w:rFonts w:ascii="宋体" w:hAnsi="宋体" w:cs="宋体" w:eastAsia="宋体" w:hint="default"/>
          <w:sz w:val="20"/>
          <w:szCs w:val="20"/>
        </w:rPr>
      </w:pPr>
    </w:p>
    <w:p>
      <w:pPr>
        <w:pStyle w:val="Heading6"/>
        <w:spacing w:line="240" w:lineRule="auto"/>
        <w:ind w:right="0"/>
        <w:jc w:val="left"/>
        <w:rPr>
          <w:b w:val="0"/>
          <w:bCs w:val="0"/>
        </w:rPr>
      </w:pPr>
      <w:bookmarkStart w:name="（2）折旧方法" w:id="184"/>
      <w:bookmarkEnd w:id="184"/>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31.67%</w:t>
            </w:r>
            <w:r>
              <w:rPr>
                <w:rFonts w:ascii="宋体" w:hAnsi="宋体" w:cs="宋体" w:eastAsia="宋体" w:hint="default"/>
                <w:sz w:val="18"/>
                <w:szCs w:val="18"/>
              </w:rPr>
              <w:t>、</w:t>
            </w:r>
            <w:r>
              <w:rPr>
                <w:rFonts w:ascii="Times New Roman" w:hAnsi="Times New Roman" w:cs="Times New Roman" w:eastAsia="Times New Roman" w:hint="default"/>
                <w:sz w:val="18"/>
                <w:szCs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w:t>
            </w:r>
            <w:r>
              <w:rPr>
                <w:rFonts w:ascii="宋体" w:hAnsi="宋体" w:cs="宋体" w:eastAsia="宋体" w:hint="default"/>
                <w:sz w:val="18"/>
                <w:szCs w:val="18"/>
              </w:rPr>
              <w:t>、</w:t>
            </w:r>
            <w:r>
              <w:rPr>
                <w:rFonts w:ascii="Times New Roman" w:hAnsi="Times New Roman" w:cs="Times New Roman" w:eastAsia="Times New Roman" w:hint="default"/>
                <w:sz w:val="18"/>
                <w:szCs w:val="18"/>
              </w:rPr>
              <w:t>11.875%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b/>
          <w:bCs/>
          <w:sz w:val="24"/>
          <w:szCs w:val="24"/>
        </w:rPr>
      </w:pPr>
    </w:p>
    <w:p>
      <w:pPr>
        <w:pStyle w:val="Heading6"/>
        <w:spacing w:line="240" w:lineRule="auto" w:before="35"/>
        <w:ind w:right="0"/>
        <w:jc w:val="left"/>
        <w:rPr>
          <w:b w:val="0"/>
          <w:bCs w:val="0"/>
        </w:rPr>
      </w:pPr>
      <w:bookmarkStart w:name="（3）融资租入固定资产的认定依据、计价和折旧方法" w:id="185"/>
      <w:bookmarkEnd w:id="185"/>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04" w:lineRule="auto" w:before="0"/>
        <w:ind w:right="0"/>
        <w:jc w:val="left"/>
      </w:pPr>
      <w:r>
        <w:rPr>
          <w:spacing w:val="-4"/>
        </w:rPr>
        <w:t>公司与租赁方所签订的租赁协议条款中规定了下列条件之一的，确认为融资租入资产：（</w:t>
      </w:r>
      <w:r>
        <w:rPr>
          <w:rFonts w:ascii="Times New Roman" w:hAnsi="Times New Roman" w:cs="Times New Roman" w:eastAsia="Times New Roman" w:hint="default"/>
          <w:spacing w:val="-4"/>
        </w:rPr>
        <w:t>1</w:t>
      </w:r>
      <w:r>
        <w:rPr>
          <w:spacing w:val="-4"/>
        </w:rPr>
        <w:t>）租赁期满后租赁资产的所有权归</w:t>
      </w:r>
      <w:r>
        <w:rPr>
          <w:spacing w:val="-44"/>
        </w:rPr>
        <w:t> </w:t>
      </w:r>
      <w:r>
        <w:rPr>
          <w:spacing w:val="-44"/>
        </w:rPr>
      </w:r>
      <w:r>
        <w:rPr>
          <w:spacing w:val="-5"/>
        </w:rPr>
        <w:t>属于本公司；（</w:t>
      </w:r>
      <w:r>
        <w:rPr>
          <w:rFonts w:ascii="Times New Roman" w:hAnsi="Times New Roman" w:cs="Times New Roman" w:eastAsia="Times New Roman" w:hint="default"/>
          <w:spacing w:val="-5"/>
        </w:rPr>
        <w:t>2</w:t>
      </w:r>
      <w:r>
        <w:rPr>
          <w:spacing w:val="-5"/>
        </w:rPr>
        <w:t>）公司具有购买资产的选择权，购买价款远低于行使选择权时该资产的公允价值；（</w:t>
      </w:r>
      <w:r>
        <w:rPr>
          <w:rFonts w:ascii="Times New Roman" w:hAnsi="Times New Roman" w:cs="Times New Roman" w:eastAsia="Times New Roman" w:hint="default"/>
          <w:spacing w:val="-5"/>
        </w:rPr>
        <w:t>3</w:t>
      </w:r>
      <w:r>
        <w:rPr>
          <w:spacing w:val="-5"/>
        </w:rPr>
        <w:t>）租赁期占所租赁资产</w:t>
      </w:r>
      <w:r>
        <w:rPr>
          <w:spacing w:val="-74"/>
        </w:rPr>
        <w:t> </w:t>
      </w:r>
      <w:r>
        <w:rPr>
          <w:spacing w:val="-74"/>
        </w:rPr>
      </w:r>
      <w:r>
        <w:rPr>
          <w:spacing w:val="-2"/>
        </w:rPr>
        <w:t>使用寿命的大部分；（</w:t>
      </w:r>
      <w:r>
        <w:rPr>
          <w:rFonts w:ascii="Times New Roman" w:hAnsi="Times New Roman" w:cs="Times New Roman" w:eastAsia="Times New Roman" w:hint="default"/>
          <w:spacing w:val="-2"/>
        </w:rPr>
        <w:t>4</w:t>
      </w:r>
      <w:r>
        <w:rPr>
          <w:spacing w:val="-2"/>
        </w:rPr>
        <w:t>）租赁开始日的最低租赁付款额现值，与该资产的公允价值不存在较大的差异。公司在承租开始日，</w:t>
      </w:r>
      <w:r>
        <w:rPr>
          <w:spacing w:val="-70"/>
        </w:rPr>
        <w:t> </w:t>
      </w:r>
      <w:r>
        <w:rPr>
          <w:spacing w:val="-2"/>
        </w:rPr>
        <w:t>将租赁资产公允价值与最低租赁付款额现值两者中较低者作为租入资产的入账价值，将最低租赁付款额作为长期应付款的入</w:t>
      </w:r>
      <w:r>
        <w:rPr>
          <w:spacing w:val="-64"/>
        </w:rPr>
        <w:t> </w:t>
      </w:r>
      <w:r>
        <w:rPr>
          <w:spacing w:val="-64"/>
        </w:rPr>
      </w:r>
      <w:r>
        <w:rPr/>
        <w:t>账价值，其差额作为未确认的融资费。</w:t>
      </w:r>
    </w:p>
    <w:p>
      <w:pPr>
        <w:spacing w:line="240" w:lineRule="auto" w:before="0"/>
        <w:rPr>
          <w:rFonts w:ascii="宋体" w:hAnsi="宋体" w:cs="宋体" w:eastAsia="宋体" w:hint="default"/>
          <w:sz w:val="23"/>
          <w:szCs w:val="23"/>
        </w:rPr>
      </w:pPr>
    </w:p>
    <w:p>
      <w:pPr>
        <w:pStyle w:val="Heading6"/>
        <w:spacing w:line="240" w:lineRule="auto"/>
        <w:ind w:left="1134" w:right="0"/>
        <w:jc w:val="left"/>
        <w:rPr>
          <w:b w:val="0"/>
          <w:bCs w:val="0"/>
        </w:rPr>
      </w:pPr>
      <w:bookmarkStart w:name="17、在建工程" w:id="186"/>
      <w:bookmarkEnd w:id="186"/>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4"/>
          <w:szCs w:val="24"/>
        </w:rPr>
      </w:pPr>
    </w:p>
    <w:p>
      <w:pPr>
        <w:pStyle w:val="Heading7"/>
        <w:spacing w:line="273" w:lineRule="auto"/>
        <w:ind w:left="1134" w:right="1026"/>
        <w:jc w:val="both"/>
      </w:pPr>
      <w:r>
        <w:rPr/>
        <w:t>在建工程项目按建造该项资产达到预定可使用状态前所发生的必要支出，作为固定资产的入账价值。所建 造的固定资产在建工程已达到预定可使用状态，但尚未办理竣工决算的，自达到预定可使用状态之日起， 根据工程预算、造价或者工程实际成本等，按估计的价值转入固定资产，并按本公司固定资产折旧政策计 </w:t>
      </w:r>
      <w:r>
        <w:rPr>
          <w:spacing w:val="-3"/>
        </w:rPr>
        <w:t>提固定资产的折旧，待办理竣工决算后，再按实际成本调整原来的暂估价值，但不调整原已计提的折旧额。</w:t>
      </w:r>
    </w:p>
    <w:p>
      <w:pPr>
        <w:spacing w:line="240" w:lineRule="auto" w:before="8"/>
        <w:rPr>
          <w:rFonts w:ascii="宋体" w:hAnsi="宋体" w:cs="宋体" w:eastAsia="宋体" w:hint="default"/>
          <w:sz w:val="23"/>
          <w:szCs w:val="23"/>
        </w:rPr>
      </w:pPr>
    </w:p>
    <w:p>
      <w:pPr>
        <w:pStyle w:val="Heading6"/>
        <w:spacing w:line="240" w:lineRule="auto"/>
        <w:ind w:left="1134" w:right="0"/>
        <w:jc w:val="left"/>
        <w:rPr>
          <w:b w:val="0"/>
          <w:bCs w:val="0"/>
        </w:rPr>
      </w:pPr>
      <w:bookmarkStart w:name="18、借款费用" w:id="187"/>
      <w:bookmarkEnd w:id="187"/>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4"/>
          <w:szCs w:val="24"/>
        </w:rPr>
      </w:pPr>
    </w:p>
    <w:p>
      <w:pPr>
        <w:pStyle w:val="Heading7"/>
        <w:spacing w:line="268" w:lineRule="auto"/>
        <w:ind w:right="0"/>
        <w:jc w:val="left"/>
      </w:pPr>
      <w:r>
        <w:rPr>
          <w:rFonts w:ascii="Times New Roman" w:hAnsi="Times New Roman" w:cs="Times New Roman" w:eastAsia="Times New Roman" w:hint="default"/>
          <w:b/>
          <w:bCs/>
        </w:rPr>
        <w:t>1</w:t>
      </w:r>
      <w:r>
        <w:rPr>
          <w:rFonts w:ascii="宋体" w:hAnsi="宋体" w:cs="宋体" w:eastAsia="宋体" w:hint="default"/>
          <w:b/>
          <w:bCs/>
        </w:rPr>
        <w:t>、借款费用资本化的确认原则</w:t>
      </w:r>
      <w:r>
        <w:rPr>
          <w:rFonts w:ascii="宋体" w:hAnsi="宋体" w:cs="宋体" w:eastAsia="宋体" w:hint="default"/>
          <w:b/>
          <w:bCs/>
          <w:w w:val="99"/>
        </w:rPr>
        <w:t> </w:t>
      </w:r>
      <w:r>
        <w:rPr/>
        <w:t>借款费用，包括借款利息、折价或者溢价的摊销、辅助费用以及因外币借款而发生的汇兑差额等。 </w:t>
      </w:r>
      <w:r>
        <w:rPr>
          <w:spacing w:val="-1"/>
        </w:rPr>
        <w:t>公司发生的借款费用，可直接归属于符合资本化条件的资产的购建或者生产的，予以资本化，计入相关资</w:t>
      </w:r>
      <w:r>
        <w:rPr>
          <w:spacing w:val="-83"/>
        </w:rPr>
        <w:t> </w:t>
      </w:r>
      <w:r>
        <w:rPr>
          <w:spacing w:val="-83"/>
        </w:rPr>
      </w:r>
      <w:r>
        <w:rPr/>
        <w:t>产成本；其他借款费用，在发生时根据其发生额确认为费用，计入当期损益。 </w:t>
      </w:r>
      <w:r>
        <w:rPr>
          <w:spacing w:val="-1"/>
        </w:rPr>
        <w:t>符合资本化条件的资产，是指需要经过相当长时间的购建或者生产活动才能达到预定可使用或者可销售状</w:t>
      </w:r>
      <w:r>
        <w:rPr>
          <w:spacing w:val="-81"/>
        </w:rPr>
        <w:t> </w:t>
      </w:r>
      <w:r>
        <w:rPr>
          <w:spacing w:val="-81"/>
        </w:rPr>
      </w:r>
      <w:r>
        <w:rPr/>
        <w:t>态的固定资产、投资性房地产和存货等资产。</w:t>
      </w:r>
    </w:p>
    <w:p>
      <w:pPr>
        <w:pStyle w:val="Heading7"/>
        <w:spacing w:line="240" w:lineRule="auto" w:before="12"/>
        <w:ind w:left="1194" w:right="0"/>
        <w:jc w:val="left"/>
      </w:pPr>
      <w:r>
        <w:rPr/>
        <w:t>借款费用同时满足下列条件时开始资本化：</w:t>
      </w:r>
    </w:p>
    <w:p>
      <w:pPr>
        <w:pStyle w:val="Heading7"/>
        <w:spacing w:line="256" w:lineRule="auto" w:before="37"/>
        <w:ind w:left="1134" w:right="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w:t>
      </w:r>
      <w:r>
        <w:rPr>
          <w:spacing w:val="-28"/>
        </w:rPr>
        <w:t> </w:t>
      </w:r>
      <w:r>
        <w:rPr>
          <w:spacing w:val="-28"/>
        </w:rPr>
      </w:r>
      <w:r>
        <w:rPr/>
        <w:t>金资产或者承担带息债务形式发生的支出；</w:t>
      </w:r>
    </w:p>
    <w:p>
      <w:pPr>
        <w:pStyle w:val="Heading7"/>
        <w:spacing w:line="240" w:lineRule="auto" w:before="22"/>
        <w:ind w:left="1134" w:right="0"/>
        <w:jc w:val="left"/>
      </w:pPr>
      <w:r>
        <w:rPr/>
        <w:t>（</w:t>
      </w:r>
      <w:r>
        <w:rPr>
          <w:rFonts w:ascii="Times New Roman" w:hAnsi="Times New Roman" w:cs="Times New Roman" w:eastAsia="Times New Roman" w:hint="default"/>
        </w:rPr>
        <w:t>2</w:t>
      </w:r>
      <w:r>
        <w:rPr/>
        <w:t>）借款费用已经发生；</w:t>
      </w:r>
    </w:p>
    <w:p>
      <w:pPr>
        <w:pStyle w:val="Heading7"/>
        <w:spacing w:line="240" w:lineRule="auto" w:before="21"/>
        <w:ind w:left="1134" w:right="0"/>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6"/>
        <w:rPr>
          <w:rFonts w:ascii="宋体" w:hAnsi="宋体" w:cs="宋体" w:eastAsia="宋体" w:hint="default"/>
          <w:sz w:val="25"/>
          <w:szCs w:val="25"/>
        </w:rPr>
      </w:pPr>
    </w:p>
    <w:p>
      <w:pPr>
        <w:pStyle w:val="Heading7"/>
        <w:spacing w:line="271" w:lineRule="auto"/>
        <w:ind w:right="1131"/>
        <w:jc w:val="left"/>
      </w:pPr>
      <w:r>
        <w:rPr>
          <w:rFonts w:ascii="Times New Roman" w:hAnsi="Times New Roman" w:cs="Times New Roman" w:eastAsia="Times New Roman" w:hint="default"/>
          <w:b/>
          <w:bCs/>
        </w:rPr>
        <w:t>2</w:t>
      </w:r>
      <w:r>
        <w:rPr>
          <w:rFonts w:ascii="宋体" w:hAnsi="宋体" w:cs="宋体" w:eastAsia="宋体" w:hint="default"/>
          <w:b/>
          <w:bCs/>
        </w:rPr>
        <w:t>、借款费用资本化期间</w:t>
      </w:r>
      <w:r>
        <w:rPr>
          <w:rFonts w:ascii="宋体" w:hAnsi="宋体" w:cs="宋体" w:eastAsia="宋体" w:hint="default"/>
          <w:b/>
          <w:bCs/>
          <w:w w:val="99"/>
        </w:rPr>
        <w:t> </w:t>
      </w:r>
      <w:r>
        <w:rPr>
          <w:spacing w:val="-1"/>
        </w:rPr>
        <w:t>资本化期间，指从借款费用开始资本化时点到停止资本化时点的期间，借款费用暂停资本化的期间不包括</w:t>
      </w:r>
      <w:r>
        <w:rPr>
          <w:spacing w:val="-81"/>
        </w:rPr>
        <w:t> </w:t>
      </w:r>
      <w:r>
        <w:rPr>
          <w:spacing w:val="-81"/>
        </w:rPr>
      </w:r>
      <w:r>
        <w:rPr/>
        <w:t>在内。 当购建或者生产符合资本化条件的资产达到预定可使用或者可销售状态时，借款费用停止资本化。 </w:t>
      </w:r>
      <w:r>
        <w:rPr>
          <w:spacing w:val="-1"/>
        </w:rPr>
        <w:t>当购建或者生产符合资本化条件的资产中部分项目分别完工且可单独使用时，该部分资产借款费用停止资</w:t>
      </w:r>
      <w:r>
        <w:rPr>
          <w:spacing w:val="-81"/>
        </w:rPr>
        <w:t> </w:t>
      </w:r>
      <w:r>
        <w:rPr>
          <w:spacing w:val="-81"/>
        </w:rPr>
      </w:r>
      <w:r>
        <w:rPr/>
        <w:t>本化。 </w:t>
      </w:r>
      <w:r>
        <w:rPr>
          <w:spacing w:val="-1"/>
        </w:rPr>
        <w:t>购建或者生产的资产的各部分分别完工，但必须等到整体完工后才可使用或可对外销售的，在该资产整体</w:t>
      </w:r>
      <w:r>
        <w:rPr>
          <w:spacing w:val="-81"/>
        </w:rPr>
        <w:t> </w:t>
      </w:r>
      <w:r>
        <w:rPr>
          <w:spacing w:val="-81"/>
        </w:rPr>
      </w:r>
      <w:r>
        <w:rPr/>
        <w:t>完工时停止借款费用资本化。</w:t>
      </w:r>
    </w:p>
    <w:p>
      <w:pPr>
        <w:spacing w:line="240" w:lineRule="auto" w:before="8"/>
        <w:rPr>
          <w:rFonts w:ascii="宋体" w:hAnsi="宋体" w:cs="宋体" w:eastAsia="宋体" w:hint="default"/>
          <w:sz w:val="24"/>
          <w:szCs w:val="24"/>
        </w:rPr>
      </w:pPr>
    </w:p>
    <w:p>
      <w:pPr>
        <w:pStyle w:val="Heading7"/>
        <w:spacing w:line="264" w:lineRule="auto"/>
        <w:ind w:right="0"/>
        <w:jc w:val="left"/>
      </w:pP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w w:val="99"/>
        </w:rPr>
        <w:t> </w:t>
      </w:r>
      <w:r>
        <w:rPr/>
        <w:t>符合资本化条件的资产在购建或生产过程中发生的非正常中断、且中断时间连续超过</w:t>
      </w:r>
      <w:r>
        <w:rPr>
          <w:rFonts w:ascii="Times New Roman" w:hAnsi="Times New Roman" w:cs="Times New Roman" w:eastAsia="Times New Roman" w:hint="default"/>
        </w:rPr>
        <w:t>3</w:t>
      </w:r>
      <w:r>
        <w:rPr/>
        <w:t>个月的，则借款费</w:t>
      </w:r>
      <w:r>
        <w:rPr>
          <w:spacing w:val="-24"/>
        </w:rPr>
        <w:t> </w:t>
      </w:r>
      <w:r>
        <w:rPr>
          <w:spacing w:val="-24"/>
        </w:rPr>
      </w:r>
      <w:r>
        <w:rPr>
          <w:spacing w:val="-1"/>
        </w:rPr>
        <w:t>用暂停资本化；该项中断如是所购建或生产的符合资本化条件的资产达到预定可使用状态或者可销售状态</w:t>
      </w:r>
      <w:r>
        <w:rPr>
          <w:spacing w:val="-81"/>
        </w:rPr>
        <w:t> </w:t>
      </w:r>
      <w:r>
        <w:rPr>
          <w:spacing w:val="-81"/>
        </w:rPr>
      </w:r>
      <w:r>
        <w:rPr>
          <w:spacing w:val="-1"/>
        </w:rPr>
        <w:t>必要的程序，则借款费用继续资本化。在中断期间发生的借款费用确认为当期损益，直至资产的购建或者</w:t>
      </w:r>
      <w:r>
        <w:rPr>
          <w:spacing w:val="-83"/>
        </w:rPr>
        <w:t> </w:t>
      </w:r>
      <w:r>
        <w:rPr>
          <w:spacing w:val="-83"/>
        </w:rPr>
      </w:r>
      <w:r>
        <w:rPr/>
        <w:t>生产活动重新开始后借款费用继续资本化。</w:t>
      </w:r>
    </w:p>
    <w:p>
      <w:pPr>
        <w:spacing w:after="0" w:line="264"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7"/>
        <w:spacing w:line="271" w:lineRule="auto" w:before="35"/>
        <w:ind w:right="0"/>
        <w:jc w:val="left"/>
      </w:pPr>
      <w:r>
        <w:rPr>
          <w:rFonts w:ascii="Times New Roman" w:hAnsi="Times New Roman" w:cs="Times New Roman" w:eastAsia="Times New Roman" w:hint="default"/>
          <w:b/>
          <w:bCs/>
        </w:rPr>
        <w:t>4</w:t>
      </w:r>
      <w:r>
        <w:rPr>
          <w:rFonts w:ascii="宋体" w:hAnsi="宋体" w:cs="宋体" w:eastAsia="宋体" w:hint="default"/>
          <w:b/>
          <w:bCs/>
        </w:rPr>
        <w:t>、借款费用资本化率、资本化金额的计算方法</w:t>
      </w:r>
      <w:r>
        <w:rPr>
          <w:rFonts w:ascii="宋体" w:hAnsi="宋体" w:cs="宋体" w:eastAsia="宋体" w:hint="default"/>
          <w:b/>
          <w:bCs/>
          <w:w w:val="99"/>
        </w:rPr>
        <w:t> </w:t>
      </w:r>
      <w:r>
        <w:rPr>
          <w:spacing w:val="-1"/>
        </w:rPr>
        <w:t>对于为购建或者生产符合资本化条件的资产而借入的专门借款，以专门借款当期实际发生的借款费用，减</w:t>
      </w:r>
      <w:r>
        <w:rPr>
          <w:spacing w:val="-81"/>
        </w:rPr>
        <w:t> </w:t>
      </w:r>
      <w:r>
        <w:rPr>
          <w:spacing w:val="-81"/>
        </w:rPr>
      </w:r>
      <w:r>
        <w:rPr>
          <w:spacing w:val="-1"/>
        </w:rPr>
        <w:t>去尚未动用的借款资金存入银行取得的利息收入或进行暂时性投资取得的投资收益后的金额，来确定借款</w:t>
      </w:r>
      <w:r>
        <w:rPr>
          <w:spacing w:val="-81"/>
        </w:rPr>
        <w:t> </w:t>
      </w:r>
      <w:r>
        <w:rPr>
          <w:spacing w:val="-81"/>
        </w:rPr>
      </w:r>
      <w:r>
        <w:rPr/>
        <w:t>费用的资本化金额。 </w:t>
      </w:r>
      <w:r>
        <w:rPr>
          <w:spacing w:val="-1"/>
        </w:rPr>
        <w:t>对于为购建或者生产符合资本化条件的资产而占用的一般借款，根据累计资产支出超过专门借款部分的资</w:t>
      </w:r>
      <w:r>
        <w:rPr>
          <w:spacing w:val="-81"/>
        </w:rPr>
        <w:t> </w:t>
      </w:r>
      <w:r>
        <w:rPr>
          <w:spacing w:val="-81"/>
        </w:rPr>
      </w:r>
      <w:r>
        <w:rPr>
          <w:spacing w:val="-1"/>
        </w:rPr>
        <w:t>产支出加权平均数乘以所占用一般借款的资本化率，计算确定一般借款应予资本化的借款费用金额。资本</w:t>
      </w:r>
      <w:r>
        <w:rPr>
          <w:spacing w:val="-81"/>
        </w:rPr>
        <w:t> </w:t>
      </w:r>
      <w:r>
        <w:rPr>
          <w:spacing w:val="-81"/>
        </w:rPr>
      </w:r>
      <w:r>
        <w:rPr/>
        <w:t>化率根据一般借款加权平均利率计算确定。</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6"/>
        <w:spacing w:line="240" w:lineRule="auto"/>
        <w:ind w:right="0"/>
        <w:jc w:val="left"/>
        <w:rPr>
          <w:b w:val="0"/>
          <w:bCs w:val="0"/>
        </w:rPr>
      </w:pPr>
      <w:bookmarkStart w:name="19、生物资产" w:id="188"/>
      <w:bookmarkEnd w:id="188"/>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0"/>
        <w:jc w:val="left"/>
        <w:rPr>
          <w:b w:val="0"/>
          <w:bCs w:val="0"/>
        </w:rPr>
      </w:pPr>
      <w:bookmarkStart w:name="20、油气资产" w:id="189"/>
      <w:bookmarkEnd w:id="189"/>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0"/>
        <w:jc w:val="left"/>
        <w:rPr>
          <w:b w:val="0"/>
          <w:bCs w:val="0"/>
        </w:rPr>
      </w:pPr>
      <w:bookmarkStart w:name="21、无形资产" w:id="190"/>
      <w:bookmarkEnd w:id="190"/>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0"/>
        <w:jc w:val="left"/>
        <w:rPr>
          <w:b w:val="0"/>
          <w:bCs w:val="0"/>
        </w:rPr>
      </w:pPr>
      <w:bookmarkStart w:name="（1）计价方法、使用寿命、减值测试" w:id="191"/>
      <w:bookmarkEnd w:id="191"/>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left="1134" w:right="0"/>
        <w:jc w:val="left"/>
        <w:rPr>
          <w:b w:val="0"/>
          <w:bCs w:val="0"/>
        </w:rPr>
      </w:pPr>
      <w:r>
        <w:rPr>
          <w:rFonts w:ascii="Times New Roman" w:hAnsi="Times New Roman" w:cs="Times New Roman" w:eastAsia="Times New Roman" w:hint="default"/>
        </w:rPr>
        <w:t>1</w:t>
      </w:r>
      <w:r>
        <w:rPr/>
        <w:t>、无形资产的计价方法</w:t>
      </w:r>
      <w:r>
        <w:rPr>
          <w:b w:val="0"/>
          <w:bCs w:val="0"/>
        </w:rPr>
      </w:r>
    </w:p>
    <w:p>
      <w:pPr>
        <w:pStyle w:val="Heading7"/>
        <w:spacing w:line="271" w:lineRule="auto" w:before="21"/>
        <w:ind w:right="0"/>
        <w:jc w:val="left"/>
      </w:pPr>
      <w:r>
        <w:rPr/>
        <w:t>（</w:t>
      </w:r>
      <w:r>
        <w:rPr>
          <w:rFonts w:ascii="Times New Roman" w:hAnsi="Times New Roman" w:cs="Times New Roman" w:eastAsia="Times New Roman" w:hint="default"/>
        </w:rPr>
        <w:t>1</w:t>
      </w:r>
      <w:r>
        <w:rPr/>
        <w:t>）公司取得无形资产时按成本进行初始计量 </w:t>
      </w:r>
      <w:r>
        <w:rPr>
          <w:spacing w:val="-1"/>
        </w:rPr>
        <w:t>外购无形资产的成本，包括购买价款、相关税费以及直接归属于使该项资产达到预定用途所发生的其他支</w:t>
      </w:r>
      <w:r>
        <w:rPr>
          <w:spacing w:val="-81"/>
        </w:rPr>
        <w:t> </w:t>
      </w:r>
      <w:r>
        <w:rPr>
          <w:spacing w:val="-81"/>
        </w:rPr>
      </w:r>
      <w:r>
        <w:rPr>
          <w:spacing w:val="-1"/>
        </w:rPr>
        <w:t>出。购买无形资产的价款超过正常信用条件延期支付，实质上具有融资性质的，无形资产的成本以购买价</w:t>
      </w:r>
      <w:r>
        <w:rPr>
          <w:spacing w:val="-83"/>
        </w:rPr>
        <w:t> </w:t>
      </w:r>
      <w:r>
        <w:rPr>
          <w:spacing w:val="-83"/>
        </w:rPr>
      </w:r>
      <w:r>
        <w:rPr/>
        <w:t>款的现值为基础确定。 </w:t>
      </w:r>
      <w:r>
        <w:rPr>
          <w:spacing w:val="-1"/>
        </w:rPr>
        <w:t>债务重组取得债务人用以抵债的无形资产，以该无形资产的公允价值为基础确定其入账价值，并将重组债</w:t>
      </w:r>
      <w:r>
        <w:rPr>
          <w:spacing w:val="-81"/>
        </w:rPr>
        <w:t> </w:t>
      </w:r>
      <w:r>
        <w:rPr>
          <w:spacing w:val="-81"/>
        </w:rPr>
      </w:r>
      <w:r>
        <w:rPr/>
        <w:t>务的账面价值与该用以抵债的无形资产公允价值之间的差额，计入当期损益。 </w:t>
      </w:r>
      <w:r>
        <w:rPr>
          <w:spacing w:val="-1"/>
        </w:rPr>
        <w:t>在非货币性资产交换具备商业实质且换入资产或换出资产的公允价值能够可靠计量的前提下，非货币性资</w:t>
      </w:r>
      <w:r>
        <w:rPr>
          <w:spacing w:val="-81"/>
        </w:rPr>
        <w:t> </w:t>
      </w:r>
      <w:r>
        <w:rPr>
          <w:spacing w:val="-81"/>
        </w:rPr>
      </w:r>
      <w:r>
        <w:rPr>
          <w:spacing w:val="-1"/>
        </w:rPr>
        <w:t>产交换换入的无形资产以换出资产的公允价值为基础确定其入账价值，除非有确凿证据表明换入资产的公</w:t>
      </w:r>
      <w:r>
        <w:rPr>
          <w:spacing w:val="-81"/>
        </w:rPr>
        <w:t> </w:t>
      </w:r>
      <w:r>
        <w:rPr>
          <w:spacing w:val="-81"/>
        </w:rPr>
      </w:r>
      <w:r>
        <w:rPr>
          <w:spacing w:val="-1"/>
        </w:rPr>
        <w:t>允价值更加可靠；不满足上述前提的非货币性资产交换，以换出资产的账面价值和应支付的相关税费作为</w:t>
      </w:r>
      <w:r>
        <w:rPr>
          <w:spacing w:val="-81"/>
        </w:rPr>
        <w:t> </w:t>
      </w:r>
      <w:r>
        <w:rPr>
          <w:spacing w:val="-81"/>
        </w:rPr>
      </w:r>
      <w:r>
        <w:rPr/>
        <w:t>换入无形资产的成本，不确认损益。 </w:t>
      </w:r>
      <w:r>
        <w:rPr>
          <w:spacing w:val="-1"/>
        </w:rPr>
        <w:t>以同一控制下的企业吸收合并方式取得的无形资产按被合并方的账面价值确定其入账价值；以非同一控制</w:t>
      </w:r>
      <w:r>
        <w:rPr>
          <w:spacing w:val="-81"/>
        </w:rPr>
        <w:t> </w:t>
      </w:r>
      <w:r>
        <w:rPr>
          <w:spacing w:val="-81"/>
        </w:rPr>
      </w:r>
      <w:r>
        <w:rPr/>
        <w:t>下的企业吸收合并方式取得的无形资产按公允价值确定其入账价值。 </w:t>
      </w:r>
      <w:r>
        <w:rPr>
          <w:spacing w:val="-1"/>
        </w:rPr>
        <w:t>内部自行开发的无形资产，其成本包括：开发该无形资产时耗用的材料、劳务成本、注册费、在开发过程</w:t>
      </w:r>
      <w:r>
        <w:rPr>
          <w:spacing w:val="-83"/>
        </w:rPr>
        <w:t> </w:t>
      </w:r>
      <w:r>
        <w:rPr>
          <w:spacing w:val="-83"/>
        </w:rPr>
      </w:r>
      <w:r>
        <w:rPr>
          <w:spacing w:val="-1"/>
        </w:rPr>
        <w:t>中使用的其他专利权和特许权的摊销以及满足资本化条件的利息费用，以及为使该无形资产达到预定用途</w:t>
      </w:r>
      <w:r>
        <w:rPr>
          <w:spacing w:val="-81"/>
        </w:rPr>
        <w:t> </w:t>
      </w:r>
      <w:r>
        <w:rPr>
          <w:spacing w:val="-81"/>
        </w:rPr>
      </w:r>
      <w:r>
        <w:rPr/>
        <w:t>前所发生的其他直接费用。</w:t>
      </w:r>
    </w:p>
    <w:p>
      <w:pPr>
        <w:pStyle w:val="Heading7"/>
        <w:spacing w:line="256" w:lineRule="auto" w:before="10"/>
        <w:ind w:left="1134" w:right="6972"/>
        <w:jc w:val="left"/>
      </w:pPr>
      <w:r>
        <w:rPr/>
        <w:t>（</w:t>
      </w:r>
      <w:r>
        <w:rPr>
          <w:rFonts w:ascii="Times New Roman" w:hAnsi="Times New Roman" w:cs="Times New Roman" w:eastAsia="Times New Roman" w:hint="default"/>
        </w:rPr>
        <w:t>2</w:t>
      </w:r>
      <w:r>
        <w:rPr/>
        <w:t>）后续计量 在取得无形资产时分析判断其使用寿命。</w:t>
      </w:r>
    </w:p>
    <w:p>
      <w:pPr>
        <w:pStyle w:val="Heading7"/>
        <w:spacing w:line="273" w:lineRule="auto" w:before="22"/>
        <w:ind w:right="0"/>
        <w:jc w:val="left"/>
      </w:pPr>
      <w:r>
        <w:rPr>
          <w:spacing w:val="-1"/>
        </w:rPr>
        <w:t>对于使用寿命有限的无形资产，在为企业带来经济利益的期限内按直线法摊销；无法预见无形资产为企业</w:t>
      </w:r>
      <w:r>
        <w:rPr>
          <w:spacing w:val="-81"/>
        </w:rPr>
        <w:t> </w:t>
      </w:r>
      <w:r>
        <w:rPr>
          <w:spacing w:val="-81"/>
        </w:rPr>
      </w:r>
      <w:r>
        <w:rPr/>
        <w:t>带来经济利益期限的，视为使用寿命不确定的无形资产，不予摊销。</w:t>
      </w:r>
    </w:p>
    <w:p>
      <w:pPr>
        <w:spacing w:line="240" w:lineRule="auto" w:before="6"/>
        <w:rPr>
          <w:rFonts w:ascii="宋体" w:hAnsi="宋体" w:cs="宋体" w:eastAsia="宋体" w:hint="default"/>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10"/>
        <w:rPr>
          <w:rFonts w:ascii="宋体" w:hAnsi="宋体" w:cs="宋体" w:eastAsia="宋体" w:hint="default"/>
          <w:b/>
          <w:bCs/>
          <w:sz w:val="2"/>
          <w:szCs w:val="2"/>
        </w:rPr>
      </w:pPr>
    </w:p>
    <w:tbl>
      <w:tblPr>
        <w:tblW w:w="0" w:type="auto"/>
        <w:jc w:val="left"/>
        <w:tblInd w:w="2402" w:type="dxa"/>
        <w:tblLayout w:type="fixed"/>
        <w:tblCellMar>
          <w:top w:w="0" w:type="dxa"/>
          <w:left w:w="0" w:type="dxa"/>
          <w:bottom w:w="0" w:type="dxa"/>
          <w:right w:w="0" w:type="dxa"/>
        </w:tblCellMar>
        <w:tblLook w:val="01E0"/>
      </w:tblPr>
      <w:tblGrid>
        <w:gridCol w:w="2370"/>
        <w:gridCol w:w="2734"/>
        <w:gridCol w:w="1988"/>
      </w:tblGrid>
      <w:tr>
        <w:trPr>
          <w:trHeight w:val="355" w:hRule="exact"/>
        </w:trPr>
        <w:tc>
          <w:tcPr>
            <w:tcW w:w="2370" w:type="dxa"/>
            <w:tcBorders>
              <w:top w:val="single" w:sz="6" w:space="0" w:color="000000"/>
              <w:left w:val="single" w:sz="6" w:space="0" w:color="000000"/>
              <w:bottom w:val="single" w:sz="12" w:space="0" w:color="000000"/>
              <w:right w:val="single" w:sz="6" w:space="0" w:color="000000"/>
            </w:tcBorders>
          </w:tcPr>
          <w:p>
            <w:pPr>
              <w:pStyle w:val="TableParagraph"/>
              <w:tabs>
                <w:tab w:pos="419" w:val="left" w:leader="none"/>
              </w:tabs>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734"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预计使用寿命（年）</w:t>
            </w:r>
          </w:p>
        </w:tc>
        <w:tc>
          <w:tcPr>
            <w:tcW w:w="1988"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right="7"/>
              <w:jc w:val="center"/>
              <w:rPr>
                <w:rFonts w:ascii="宋体" w:hAnsi="宋体" w:cs="宋体" w:eastAsia="宋体" w:hint="default"/>
                <w:sz w:val="21"/>
                <w:szCs w:val="21"/>
              </w:rPr>
            </w:pPr>
            <w:r>
              <w:rPr>
                <w:rFonts w:ascii="宋体" w:hAnsi="宋体" w:cs="宋体" w:eastAsia="宋体" w:hint="default"/>
                <w:sz w:val="21"/>
                <w:szCs w:val="21"/>
              </w:rPr>
              <w:t>依</w:t>
            </w:r>
            <w:r>
              <w:rPr>
                <w:rFonts w:ascii="宋体" w:hAnsi="宋体" w:cs="宋体" w:eastAsia="宋体" w:hint="default"/>
                <w:spacing w:val="63"/>
                <w:sz w:val="21"/>
                <w:szCs w:val="21"/>
              </w:rPr>
              <w:t> </w:t>
            </w:r>
            <w:r>
              <w:rPr>
                <w:rFonts w:ascii="宋体" w:hAnsi="宋体" w:cs="宋体" w:eastAsia="宋体" w:hint="default"/>
                <w:sz w:val="21"/>
                <w:szCs w:val="21"/>
              </w:rPr>
              <w:t>据</w:t>
            </w:r>
          </w:p>
        </w:tc>
      </w:tr>
      <w:tr>
        <w:trPr>
          <w:trHeight w:val="353" w:hRule="exact"/>
        </w:trPr>
        <w:tc>
          <w:tcPr>
            <w:tcW w:w="237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7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50</w:t>
            </w:r>
          </w:p>
        </w:tc>
        <w:tc>
          <w:tcPr>
            <w:tcW w:w="1988"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9"/>
              <w:jc w:val="center"/>
              <w:rPr>
                <w:rFonts w:ascii="宋体" w:hAnsi="宋体" w:cs="宋体" w:eastAsia="宋体" w:hint="default"/>
                <w:sz w:val="21"/>
                <w:szCs w:val="21"/>
              </w:rPr>
            </w:pPr>
            <w:r>
              <w:rPr>
                <w:rFonts w:ascii="宋体" w:hAnsi="宋体" w:cs="宋体" w:eastAsia="宋体" w:hint="default"/>
                <w:sz w:val="21"/>
                <w:szCs w:val="21"/>
              </w:rPr>
              <w:t>土地出让期限</w:t>
            </w:r>
          </w:p>
        </w:tc>
      </w:tr>
      <w:tr>
        <w:trPr>
          <w:trHeight w:val="352" w:hRule="exact"/>
        </w:trPr>
        <w:tc>
          <w:tcPr>
            <w:tcW w:w="237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27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w:t>
            </w:r>
          </w:p>
        </w:tc>
        <w:tc>
          <w:tcPr>
            <w:tcW w:w="1988"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7"/>
              <w:jc w:val="center"/>
              <w:rPr>
                <w:rFonts w:ascii="宋体" w:hAnsi="宋体" w:cs="宋体" w:eastAsia="宋体" w:hint="default"/>
                <w:sz w:val="21"/>
                <w:szCs w:val="21"/>
              </w:rPr>
            </w:pPr>
            <w:r>
              <w:rPr>
                <w:rFonts w:ascii="宋体" w:hAnsi="宋体" w:cs="宋体" w:eastAsia="宋体" w:hint="default"/>
                <w:sz w:val="21"/>
                <w:szCs w:val="21"/>
              </w:rPr>
              <w:t>受益期</w:t>
            </w:r>
          </w:p>
        </w:tc>
      </w:tr>
    </w:tbl>
    <w:p>
      <w:pPr>
        <w:pStyle w:val="Heading7"/>
        <w:spacing w:line="260" w:lineRule="exact"/>
        <w:ind w:left="2394" w:right="0"/>
        <w:jc w:val="left"/>
      </w:pPr>
      <w:r>
        <w:rPr/>
        <w:t>每期末，对使用寿命有限的无形资产的使用寿命及摊销方法进行复核。</w:t>
      </w:r>
    </w:p>
    <w:p>
      <w:pPr>
        <w:pStyle w:val="Heading7"/>
        <w:spacing w:line="240" w:lineRule="auto" w:before="37"/>
        <w:ind w:left="2394" w:right="0"/>
        <w:jc w:val="left"/>
      </w:pPr>
      <w:r>
        <w:rPr/>
        <w:t>经复核，本期末无形资产的使用寿命及摊销方法与以前估计未有不同。</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line="256" w:lineRule="auto" w:before="35"/>
        <w:ind w:left="1193" w:right="5023" w:hanging="6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、使用寿命不确定的无形资产的判断依据</w:t>
      </w:r>
      <w:r>
        <w:rPr>
          <w:rFonts w:ascii="宋体" w:hAnsi="宋体" w:cs="宋体" w:eastAsia="宋体" w:hint="default"/>
          <w:b/>
          <w:bCs/>
          <w:w w:val="99"/>
          <w:sz w:val="21"/>
          <w:szCs w:val="21"/>
        </w:rPr>
        <w:t> </w:t>
      </w:r>
      <w:r>
        <w:rPr>
          <w:rFonts w:ascii="宋体" w:hAnsi="宋体" w:cs="宋体" w:eastAsia="宋体" w:hint="default"/>
          <w:sz w:val="21"/>
          <w:szCs w:val="21"/>
        </w:rPr>
        <w:t>截至资产负债表日，本公司没有使用寿命不确定的无形资产。</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6"/>
        <w:spacing w:line="240" w:lineRule="auto"/>
        <w:ind w:right="0"/>
        <w:jc w:val="left"/>
        <w:rPr>
          <w:b w:val="0"/>
          <w:bCs w:val="0"/>
        </w:rPr>
      </w:pPr>
      <w:bookmarkStart w:name="（2）内部研究开发支出会计政策" w:id="192"/>
      <w:bookmarkEnd w:id="192"/>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4"/>
          <w:szCs w:val="24"/>
        </w:rPr>
      </w:pPr>
    </w:p>
    <w:p>
      <w:pPr>
        <w:pStyle w:val="Heading7"/>
        <w:spacing w:line="268" w:lineRule="auto"/>
        <w:ind w:left="1134" w:right="0"/>
        <w:jc w:val="left"/>
      </w:pPr>
      <w:r>
        <w:rPr>
          <w:rFonts w:ascii="Times New Roman" w:hAnsi="Times New Roman" w:cs="Times New Roman" w:eastAsia="Times New Roman" w:hint="default"/>
          <w:b/>
          <w:bCs/>
        </w:rPr>
        <w:t>1</w:t>
      </w:r>
      <w:r>
        <w:rPr>
          <w:rFonts w:ascii="宋体" w:hAnsi="宋体" w:cs="宋体" w:eastAsia="宋体" w:hint="default"/>
          <w:b/>
          <w:bCs/>
        </w:rPr>
        <w:t>、划分公司内部研究开发项目的研究阶段和开发阶段具体标准</w:t>
      </w:r>
      <w:r>
        <w:rPr>
          <w:rFonts w:ascii="宋体" w:hAnsi="宋体" w:cs="宋体" w:eastAsia="宋体" w:hint="default"/>
          <w:b/>
          <w:bCs/>
          <w:w w:val="99"/>
        </w:rPr>
        <w:t> </w:t>
      </w:r>
      <w:r>
        <w:rPr/>
        <w:t>公司内部研究开发项目的支出分为研究阶段支出和开发阶段支出。 研究阶段：为获取并理解新的科学或技术知识等而进行的独创性的有计划调查、研究活动的阶段。 </w:t>
      </w:r>
      <w:r>
        <w:rPr>
          <w:spacing w:val="-1"/>
        </w:rPr>
        <w:t>开发阶段：在进行商业性生产或使用前，将研究成果或其他知识应用于某项计划或设计，以生产出新的或</w:t>
      </w:r>
      <w:r>
        <w:rPr>
          <w:spacing w:val="-83"/>
        </w:rPr>
        <w:t> </w:t>
      </w:r>
      <w:r>
        <w:rPr>
          <w:spacing w:val="-83"/>
        </w:rPr>
      </w:r>
      <w:r>
        <w:rPr/>
        <w:t>具有实质性改进的材料、装置、产品等活动的阶段。</w:t>
      </w:r>
    </w:p>
    <w:p>
      <w:pPr>
        <w:spacing w:line="240" w:lineRule="auto" w:before="10"/>
        <w:rPr>
          <w:rFonts w:ascii="宋体" w:hAnsi="宋体" w:cs="宋体" w:eastAsia="宋体" w:hint="default"/>
          <w:sz w:val="24"/>
          <w:szCs w:val="24"/>
        </w:rPr>
      </w:pPr>
    </w:p>
    <w:p>
      <w:pPr>
        <w:spacing w:line="256" w:lineRule="auto" w:before="0"/>
        <w:ind w:left="1134" w:right="382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、开发阶段支出符合资本化的具体标准</w:t>
      </w:r>
      <w:r>
        <w:rPr>
          <w:rFonts w:ascii="宋体" w:hAnsi="宋体" w:cs="宋体" w:eastAsia="宋体" w:hint="default"/>
          <w:b/>
          <w:bCs/>
          <w:w w:val="99"/>
          <w:sz w:val="21"/>
          <w:szCs w:val="21"/>
        </w:rPr>
        <w:t> </w:t>
      </w:r>
      <w:r>
        <w:rPr>
          <w:rFonts w:ascii="宋体" w:hAnsi="宋体" w:cs="宋体" w:eastAsia="宋体" w:hint="default"/>
          <w:sz w:val="21"/>
          <w:szCs w:val="21"/>
        </w:rPr>
        <w:t>内部研究开发项目开发阶段的支出，同时满足下列条件时确认为无形资产：</w:t>
      </w:r>
    </w:p>
    <w:p>
      <w:pPr>
        <w:pStyle w:val="Heading7"/>
        <w:spacing w:line="240" w:lineRule="auto" w:before="22"/>
        <w:ind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Heading7"/>
        <w:spacing w:line="240" w:lineRule="auto" w:before="21"/>
        <w:ind w:left="1134" w:right="0"/>
        <w:jc w:val="left"/>
      </w:pPr>
      <w:r>
        <w:rPr/>
        <w:t>（</w:t>
      </w:r>
      <w:r>
        <w:rPr>
          <w:rFonts w:ascii="Times New Roman" w:hAnsi="Times New Roman" w:cs="Times New Roman" w:eastAsia="Times New Roman" w:hint="default"/>
        </w:rPr>
        <w:t>2</w:t>
      </w:r>
      <w:r>
        <w:rPr/>
        <w:t>）具有完成该无形资产并使用或出售的意图；</w:t>
      </w:r>
    </w:p>
    <w:p>
      <w:pPr>
        <w:pStyle w:val="Heading7"/>
        <w:spacing w:line="256" w:lineRule="auto" w:before="21"/>
        <w:ind w:right="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w:t>
      </w:r>
      <w:r>
        <w:rPr>
          <w:spacing w:val="-35"/>
        </w:rPr>
        <w:t> </w:t>
      </w:r>
      <w:r>
        <w:rPr>
          <w:spacing w:val="-35"/>
        </w:rPr>
      </w:r>
      <w:r>
        <w:rPr/>
        <w:t>存在市场，无形资产将在内部使用的，能够证明其有用性；</w:t>
      </w:r>
    </w:p>
    <w:p>
      <w:pPr>
        <w:pStyle w:val="Heading7"/>
        <w:spacing w:line="256" w:lineRule="auto" w:before="22"/>
        <w:ind w:right="1118"/>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w:t>
      </w:r>
      <w:r>
        <w:rPr>
          <w:spacing w:val="-35"/>
        </w:rPr>
        <w:t> </w:t>
      </w:r>
      <w:r>
        <w:rPr>
          <w:spacing w:val="-35"/>
        </w:rPr>
      </w:r>
      <w:r>
        <w:rPr/>
        <w:t>资产；</w:t>
      </w:r>
    </w:p>
    <w:p>
      <w:pPr>
        <w:pStyle w:val="Heading7"/>
        <w:spacing w:line="266" w:lineRule="auto" w:before="22"/>
        <w:ind w:right="1118"/>
        <w:jc w:val="left"/>
      </w:pPr>
      <w:r>
        <w:rPr/>
        <w:t>（</w:t>
      </w:r>
      <w:r>
        <w:rPr>
          <w:rFonts w:ascii="Times New Roman" w:hAnsi="Times New Roman" w:cs="Times New Roman" w:eastAsia="Times New Roman" w:hint="default"/>
        </w:rPr>
        <w:t>5</w:t>
      </w:r>
      <w:r>
        <w:rPr/>
        <w:t>）归属于该无形资产开发阶段的支出能够可靠地计量。 </w:t>
      </w:r>
      <w:r>
        <w:rPr>
          <w:spacing w:val="-1"/>
        </w:rPr>
        <w:t>开发阶段的支出，若不满足上列条件的，于发生时计入当期损益。研究阶段的支出，在发生时计入当期损</w:t>
      </w:r>
      <w:r>
        <w:rPr>
          <w:spacing w:val="-86"/>
        </w:rPr>
        <w:t> </w:t>
      </w:r>
      <w:r>
        <w:rPr>
          <w:spacing w:val="-86"/>
        </w:rPr>
      </w:r>
      <w:r>
        <w:rPr/>
        <w:t>益。</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6"/>
        <w:spacing w:line="240" w:lineRule="auto"/>
        <w:ind w:left="1134" w:right="0"/>
        <w:jc w:val="left"/>
        <w:rPr>
          <w:b w:val="0"/>
          <w:bCs w:val="0"/>
        </w:rPr>
      </w:pPr>
      <w:bookmarkStart w:name="22、长期资产减值" w:id="193"/>
      <w:bookmarkEnd w:id="193"/>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4"/>
          <w:szCs w:val="24"/>
        </w:rPr>
      </w:pPr>
    </w:p>
    <w:p>
      <w:pPr>
        <w:pStyle w:val="Heading7"/>
        <w:spacing w:line="273" w:lineRule="auto"/>
        <w:ind w:right="1118"/>
        <w:jc w:val="left"/>
      </w:pPr>
      <w:r>
        <w:rPr>
          <w:spacing w:val="-1"/>
        </w:rPr>
        <w:t>长期股权投资、采用成本模式计量的投资性房地产、固定资产、在建工程、使用寿命有限的无形资产等长</w:t>
      </w:r>
      <w:r>
        <w:rPr>
          <w:spacing w:val="-86"/>
        </w:rPr>
        <w:t> </w:t>
      </w:r>
      <w:r>
        <w:rPr>
          <w:spacing w:val="-86"/>
        </w:rPr>
      </w:r>
      <w:r>
        <w:rPr>
          <w:spacing w:val="-1"/>
        </w:rPr>
        <w:t>期资产，于资产负债表日存在减值迹象的，进行减值测试。减值测试结果表明资产的可收回金额低于其账</w:t>
      </w:r>
      <w:r>
        <w:rPr>
          <w:spacing w:val="-83"/>
        </w:rPr>
        <w:t> </w:t>
      </w:r>
      <w:r>
        <w:rPr>
          <w:spacing w:val="-83"/>
        </w:rPr>
      </w:r>
      <w:r>
        <w:rPr>
          <w:spacing w:val="-1"/>
        </w:rPr>
        <w:t>面价值的，按其差额计提减值准备并计入减值损失。可收回金额为资产的公允价值减去处置费用后的净额</w:t>
      </w:r>
      <w:r>
        <w:rPr>
          <w:spacing w:val="-81"/>
        </w:rPr>
        <w:t> </w:t>
      </w:r>
      <w:r>
        <w:rPr>
          <w:spacing w:val="-81"/>
        </w:rPr>
      </w:r>
      <w:r>
        <w:rPr>
          <w:spacing w:val="-1"/>
        </w:rPr>
        <w:t>与资产预计未来现金流量的现值两者之间的较高者。资产减值准备按单项资产为基础计算并确认，如果难</w:t>
      </w:r>
      <w:r>
        <w:rPr>
          <w:spacing w:val="-81"/>
        </w:rPr>
        <w:t> </w:t>
      </w:r>
      <w:r>
        <w:rPr>
          <w:spacing w:val="-81"/>
        </w:rPr>
      </w:r>
      <w:r>
        <w:rPr>
          <w:spacing w:val="-1"/>
        </w:rPr>
        <w:t>以对单项资产的可收回金额进行估计的，以该资产所属的资产组确定资产组的可收回金额。资产组是能够</w:t>
      </w:r>
      <w:r>
        <w:rPr>
          <w:spacing w:val="-81"/>
        </w:rPr>
        <w:t> </w:t>
      </w:r>
      <w:r>
        <w:rPr>
          <w:spacing w:val="-81"/>
        </w:rPr>
      </w:r>
      <w:r>
        <w:rPr/>
        <w:t>独立产生现金流入的最小资产组合。 商誉和使用寿命不确定的无形资产至少在每年年度终了进行减值测试。 </w:t>
      </w:r>
      <w:r>
        <w:rPr>
          <w:spacing w:val="-1"/>
        </w:rPr>
        <w:t>本公司进行商誉减值测试，对于因企业合并形成的商誉的账面价值，自购买日起按照合理的方法分摊至相</w:t>
      </w:r>
      <w:r>
        <w:rPr>
          <w:spacing w:val="-81"/>
        </w:rPr>
        <w:t> </w:t>
      </w:r>
      <w:r>
        <w:rPr>
          <w:spacing w:val="-81"/>
        </w:rPr>
      </w:r>
      <w:r>
        <w:rPr>
          <w:spacing w:val="-1"/>
        </w:rPr>
        <w:t>关的资产组；难以分摊至相关的资产组的，将其分摊至相关的资产组组合。在将商誉的账面价值分摊至相</w:t>
      </w:r>
      <w:r>
        <w:rPr>
          <w:spacing w:val="-83"/>
        </w:rPr>
        <w:t> </w:t>
      </w:r>
      <w:r>
        <w:rPr>
          <w:spacing w:val="-83"/>
        </w:rPr>
      </w:r>
      <w:r>
        <w:rPr>
          <w:spacing w:val="-1"/>
        </w:rPr>
        <w:t>关的资产组或者资产组组合时，按照各资产组或者资产组组合的公允价值占相关资产组或者资产组组合公</w:t>
      </w:r>
      <w:r>
        <w:rPr>
          <w:spacing w:val="-81"/>
        </w:rPr>
        <w:t> </w:t>
      </w:r>
      <w:r>
        <w:rPr>
          <w:spacing w:val="-81"/>
        </w:rPr>
      </w:r>
      <w:r>
        <w:rPr>
          <w:spacing w:val="-1"/>
        </w:rPr>
        <w:t>允价值总额的比例进行分摊。公允价值难以可靠计量的，按照各资产组或者资产组组合的账面价值占相关</w:t>
      </w:r>
      <w:r>
        <w:rPr>
          <w:spacing w:val="-80"/>
        </w:rPr>
        <w:t> </w:t>
      </w:r>
      <w:r>
        <w:rPr>
          <w:spacing w:val="-80"/>
        </w:rPr>
      </w:r>
      <w:r>
        <w:rPr/>
        <w:t>资产组或者资产组组合账面价值总额的比例进行分摊。 </w:t>
      </w:r>
      <w:r>
        <w:rPr>
          <w:spacing w:val="-1"/>
        </w:rPr>
        <w:t>在对包含商誉的相关资产组或者资产组组合进行减值测试时，如与商誉相关的资产组或者资产组组合存在</w:t>
      </w:r>
      <w:r>
        <w:rPr>
          <w:spacing w:val="-81"/>
        </w:rPr>
        <w:t> </w:t>
      </w:r>
      <w:r>
        <w:rPr>
          <w:spacing w:val="-81"/>
        </w:rPr>
      </w:r>
      <w:r>
        <w:rPr>
          <w:spacing w:val="-1"/>
        </w:rPr>
        <w:t>减值迹象的，先对不包含商誉的资产组或者资产组组合进行减值测试，计算可收回金额，并与相关账面价</w:t>
      </w:r>
      <w:r>
        <w:rPr>
          <w:spacing w:val="-83"/>
        </w:rPr>
        <w:t> </w:t>
      </w:r>
      <w:r>
        <w:rPr>
          <w:spacing w:val="-83"/>
        </w:rPr>
      </w:r>
      <w:r>
        <w:rPr>
          <w:spacing w:val="-1"/>
        </w:rPr>
        <w:t>值相比较，确认相应的减值损失。再对包含商誉的资产组或者资产组组合进行减值测试，比较这些相关资</w:t>
      </w:r>
      <w:r>
        <w:rPr>
          <w:spacing w:val="-83"/>
        </w:rPr>
        <w:t> </w:t>
      </w:r>
      <w:r>
        <w:rPr>
          <w:spacing w:val="-83"/>
        </w:rPr>
      </w:r>
      <w:r>
        <w:rPr>
          <w:spacing w:val="-1"/>
        </w:rPr>
        <w:t>产组或者资产组组合的账面价值（包括所分摊的商誉的账面价值部分）与其可收回金额，如相关资产组或</w:t>
      </w:r>
    </w:p>
    <w:p>
      <w:pPr>
        <w:spacing w:after="0" w:line="273"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7"/>
        <w:spacing w:line="273" w:lineRule="auto" w:before="35"/>
        <w:ind w:right="0"/>
        <w:jc w:val="left"/>
      </w:pPr>
      <w:r>
        <w:rPr/>
        <w:t>者资产组组合的可收回金额低于其账面价值的，确认商誉的减值损失。</w:t>
      </w:r>
      <w:r>
        <w:rPr>
          <w:spacing w:val="50"/>
        </w:rPr>
        <w:t> </w:t>
      </w:r>
      <w:r>
        <w:rPr/>
        <w:t>上述资产减值损失一经确认，在</w:t>
      </w:r>
      <w:r>
        <w:rPr>
          <w:spacing w:val="-88"/>
        </w:rPr>
        <w:t> </w:t>
      </w:r>
      <w:r>
        <w:rPr>
          <w:spacing w:val="-88"/>
        </w:rPr>
      </w:r>
      <w:r>
        <w:rPr/>
        <w:t>以后会计期间不予转回。</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6"/>
        <w:spacing w:line="240" w:lineRule="auto"/>
        <w:ind w:right="0"/>
        <w:jc w:val="left"/>
        <w:rPr>
          <w:b w:val="0"/>
          <w:bCs w:val="0"/>
        </w:rPr>
      </w:pPr>
      <w:bookmarkStart w:name="23、长期待摊费用" w:id="194"/>
      <w:bookmarkEnd w:id="194"/>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0"/>
        <w:jc w:val="left"/>
        <w:rPr>
          <w:b w:val="0"/>
          <w:bCs w:val="0"/>
        </w:rPr>
      </w:pPr>
      <w:bookmarkStart w:name="24、职工薪酬" w:id="195"/>
      <w:bookmarkEnd w:id="195"/>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0"/>
        <w:jc w:val="left"/>
        <w:rPr>
          <w:b w:val="0"/>
          <w:bCs w:val="0"/>
        </w:rPr>
      </w:pPr>
      <w:bookmarkStart w:name="（1）短期薪酬的会计处理方法" w:id="196"/>
      <w:bookmarkEnd w:id="196"/>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4"/>
          <w:szCs w:val="24"/>
        </w:rPr>
      </w:pPr>
    </w:p>
    <w:p>
      <w:pPr>
        <w:pStyle w:val="Heading7"/>
        <w:spacing w:line="273" w:lineRule="auto"/>
        <w:ind w:left="1134" w:right="1118"/>
        <w:jc w:val="left"/>
      </w:pPr>
      <w:r>
        <w:rPr>
          <w:spacing w:val="-1"/>
        </w:rPr>
        <w:t>本公司在职工为本公司提供服务的会计期间，将实际发生的短期薪酬确认为负债，并计入当期损益或相关</w:t>
      </w:r>
      <w:r>
        <w:rPr>
          <w:spacing w:val="-81"/>
        </w:rPr>
        <w:t> </w:t>
      </w:r>
      <w:r>
        <w:rPr>
          <w:spacing w:val="-81"/>
        </w:rPr>
      </w:r>
      <w:r>
        <w:rPr/>
        <w:t>资产成本。 </w:t>
      </w:r>
      <w:r>
        <w:rPr>
          <w:spacing w:val="-1"/>
        </w:rPr>
        <w:t>本公司为职工缴纳的社会保险费和住房公积金，以及按规定提取的工会经费和职工教育经费，在职工为本</w:t>
      </w:r>
      <w:r>
        <w:rPr>
          <w:spacing w:val="-81"/>
        </w:rPr>
        <w:t> </w:t>
      </w:r>
      <w:r>
        <w:rPr>
          <w:spacing w:val="-81"/>
        </w:rPr>
      </w:r>
      <w:r>
        <w:rPr/>
        <w:t>公司提供服务的会计期间，根据规定的计提基础和计提比例计算确定相应的职工薪酬金额。 职工福利费为非货币性福利的，如能够可靠计量的，按照公允价值计量。</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6"/>
        <w:spacing w:line="240" w:lineRule="auto"/>
        <w:ind w:left="1134" w:right="0"/>
        <w:jc w:val="left"/>
        <w:rPr>
          <w:b w:val="0"/>
          <w:bCs w:val="0"/>
        </w:rPr>
      </w:pPr>
      <w:bookmarkStart w:name="（2）离职后福利的会计处理方法" w:id="197"/>
      <w:bookmarkEnd w:id="197"/>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4"/>
          <w:szCs w:val="24"/>
        </w:rPr>
      </w:pPr>
    </w:p>
    <w:p>
      <w:pPr>
        <w:pStyle w:val="Heading7"/>
        <w:spacing w:line="268" w:lineRule="auto"/>
        <w:ind w:right="1024"/>
        <w:jc w:val="left"/>
      </w:pPr>
      <w:r>
        <w:rPr/>
        <w:t>（</w:t>
      </w:r>
      <w:r>
        <w:rPr>
          <w:rFonts w:ascii="Times New Roman" w:hAnsi="Times New Roman" w:cs="Times New Roman" w:eastAsia="Times New Roman" w:hint="default"/>
        </w:rPr>
        <w:t>1</w:t>
      </w:r>
      <w:r>
        <w:rPr/>
        <w:t>）设定提存计划 </w:t>
      </w:r>
      <w:r>
        <w:rPr>
          <w:spacing w:val="3"/>
        </w:rPr>
        <w:t>本公司按当地政府的相关规定为职工缴纳基本养老保险和失业保险，在职工为本公司提供服务的会计期</w:t>
      </w:r>
      <w:r>
        <w:rPr>
          <w:spacing w:val="-81"/>
        </w:rPr>
        <w:t> </w:t>
      </w:r>
      <w:r>
        <w:rPr>
          <w:spacing w:val="-81"/>
        </w:rPr>
      </w:r>
      <w:r>
        <w:rPr/>
        <w:t>间，按以当地规定的缴纳基数和比例计算应缴纳金额，确认为负债，并计入当期损益或相关资产成本。 </w:t>
      </w:r>
      <w:r>
        <w:rPr>
          <w:spacing w:val="-3"/>
        </w:rPr>
        <w:t>除基本养老保险外，本公司还依据国家企业年金制度的相关政策建立了企业年金缴费制度（补充养老保险）</w:t>
      </w:r>
    </w:p>
    <w:p>
      <w:pPr>
        <w:pStyle w:val="Heading7"/>
        <w:spacing w:line="256" w:lineRule="auto" w:before="12"/>
        <w:ind w:right="0"/>
        <w:jc w:val="left"/>
      </w:pPr>
      <w:r>
        <w:rPr>
          <w:rFonts w:ascii="Times New Roman" w:hAnsi="Times New Roman" w:cs="Times New Roman" w:eastAsia="Times New Roman" w:hint="default"/>
        </w:rPr>
        <w:t>/</w:t>
      </w:r>
      <w:r>
        <w:rPr/>
        <w:t>企业年金计划。本公司按职工工资总额的一定比例向当地社会保险机构缴费</w:t>
      </w:r>
      <w:r>
        <w:rPr>
          <w:rFonts w:ascii="Times New Roman" w:hAnsi="Times New Roman" w:cs="Times New Roman" w:eastAsia="Times New Roman" w:hint="default"/>
        </w:rPr>
        <w:t>/</w:t>
      </w:r>
      <w:r>
        <w:rPr/>
        <w:t>年金计划缴费，相应支出计</w:t>
      </w:r>
      <w:r>
        <w:rPr>
          <w:spacing w:val="-42"/>
        </w:rPr>
        <w:t> </w:t>
      </w:r>
      <w:r>
        <w:rPr>
          <w:spacing w:val="-42"/>
        </w:rPr>
      </w:r>
      <w:r>
        <w:rPr/>
        <w:t>入当期损益或相关资产成本。</w:t>
      </w:r>
    </w:p>
    <w:p>
      <w:pPr>
        <w:pStyle w:val="Heading7"/>
        <w:spacing w:line="271" w:lineRule="auto" w:before="22"/>
        <w:ind w:right="1093"/>
        <w:jc w:val="left"/>
      </w:pPr>
      <w:r>
        <w:rPr/>
        <w:t>（</w:t>
      </w:r>
      <w:r>
        <w:rPr>
          <w:rFonts w:ascii="Times New Roman" w:hAnsi="Times New Roman" w:cs="Times New Roman" w:eastAsia="Times New Roman" w:hint="default"/>
        </w:rPr>
        <w:t>2</w:t>
      </w:r>
      <w:r>
        <w:rPr/>
        <w:t>）设定受益计划 本公司根据预期累计福利单位法确定的公式将设定受益计划产生的福利义务归属于职工提供服务的期间， 并计入当期损益或相关资产成本。 </w:t>
      </w:r>
      <w:r>
        <w:rPr>
          <w:spacing w:val="3"/>
        </w:rPr>
        <w:t>设定受益计划义务现值减去设定受益计划资产公允价值所形成的赤字或盈余确认为一项设定受益计划净</w:t>
      </w:r>
      <w:r>
        <w:rPr>
          <w:spacing w:val="-82"/>
        </w:rPr>
        <w:t> </w:t>
      </w:r>
      <w:r>
        <w:rPr>
          <w:spacing w:val="-82"/>
        </w:rPr>
      </w:r>
      <w:r>
        <w:rPr>
          <w:spacing w:val="-1"/>
        </w:rPr>
        <w:t>负债或净资产。设定受益计划存在盈余的，本公司以设定受益计划的盈余和资产上限两项的孰低者计量设</w:t>
      </w:r>
      <w:r>
        <w:rPr>
          <w:spacing w:val="-81"/>
        </w:rPr>
        <w:t> </w:t>
      </w:r>
      <w:r>
        <w:rPr>
          <w:spacing w:val="-81"/>
        </w:rPr>
      </w:r>
      <w:r>
        <w:rPr/>
        <w:t>定受益计划净资产。 </w:t>
      </w:r>
      <w:r>
        <w:rPr>
          <w:spacing w:val="-1"/>
        </w:rPr>
        <w:t>所有设定受益计划义务，包括预期在职工提供服务的年度报告期间结束后的十二个月内支付的义务，根据</w:t>
      </w:r>
      <w:r>
        <w:rPr>
          <w:spacing w:val="-81"/>
        </w:rPr>
        <w:t> </w:t>
      </w:r>
      <w:r>
        <w:rPr>
          <w:spacing w:val="-81"/>
        </w:rPr>
      </w:r>
      <w:r>
        <w:rPr>
          <w:spacing w:val="3"/>
        </w:rPr>
        <w:t>资产负债表日与设定受益计划义务期限和币种相匹配的国债或活跃市场上的高质量公司债券的市场收益</w:t>
      </w:r>
      <w:r>
        <w:rPr>
          <w:spacing w:val="-82"/>
        </w:rPr>
        <w:t> </w:t>
      </w:r>
      <w:r>
        <w:rPr>
          <w:spacing w:val="-82"/>
        </w:rPr>
      </w:r>
      <w:r>
        <w:rPr/>
        <w:t>率予以折现。 设定受益计划产生的服务成本和设定受益计划净负债或净资产的利息净额计入当期损益或相关资产成本；</w:t>
      </w:r>
      <w:r>
        <w:rPr/>
        <w:t> </w:t>
      </w:r>
      <w:r>
        <w:rPr>
          <w:spacing w:val="-1"/>
        </w:rPr>
        <w:t>重新计量设定受益计划净负债或净资产所产生的变动计入其他综合收益，并且在后续会计期间不转回至损</w:t>
      </w:r>
      <w:r>
        <w:rPr>
          <w:spacing w:val="-81"/>
        </w:rPr>
        <w:t> </w:t>
      </w:r>
      <w:r>
        <w:rPr>
          <w:spacing w:val="-81"/>
        </w:rPr>
      </w:r>
      <w:r>
        <w:rPr/>
        <w:t>益，在原设定受益计划终止时在权益范围内将原计入其他综合收益的部分全部结转至未分配利润。 </w:t>
      </w:r>
      <w:r>
        <w:rPr>
          <w:spacing w:val="-1"/>
        </w:rPr>
        <w:t>在设定受益计划结算时，按在结算日确定的设定受益计划义务现值和结算价格两者的差额，确认结算利得</w:t>
      </w:r>
      <w:r>
        <w:rPr>
          <w:spacing w:val="-81"/>
        </w:rPr>
        <w:t> </w:t>
      </w:r>
      <w:r>
        <w:rPr>
          <w:spacing w:val="-81"/>
        </w:rPr>
      </w:r>
      <w:r>
        <w:rPr/>
        <w:t>或损失。</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6"/>
        <w:spacing w:line="240" w:lineRule="auto"/>
        <w:ind w:right="0"/>
        <w:jc w:val="left"/>
        <w:rPr>
          <w:b w:val="0"/>
          <w:bCs w:val="0"/>
        </w:rPr>
      </w:pPr>
      <w:bookmarkStart w:name="（3）辞退福利的会计处理方法" w:id="198"/>
      <w:bookmarkEnd w:id="198"/>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4"/>
          <w:szCs w:val="24"/>
        </w:rPr>
      </w:pPr>
    </w:p>
    <w:p>
      <w:pPr>
        <w:pStyle w:val="Heading7"/>
        <w:spacing w:line="273" w:lineRule="auto"/>
        <w:ind w:right="0"/>
        <w:jc w:val="left"/>
      </w:pPr>
      <w:r>
        <w:rPr>
          <w:spacing w:val="-1"/>
        </w:rPr>
        <w:t>本公司在不能单方面撤回因解除劳动关系计划或裁减建议所提供的辞退福利时，或确认与涉及支付辞退福</w:t>
      </w:r>
      <w:r>
        <w:rPr>
          <w:spacing w:val="-81"/>
        </w:rPr>
        <w:t> </w:t>
      </w:r>
      <w:r>
        <w:rPr>
          <w:spacing w:val="-81"/>
        </w:rPr>
      </w:r>
      <w:r>
        <w:rPr/>
        <w:t>利的重组相关的成本或费用时（两者孰早），确认辞退福利产生的职工薪酬负债，并计入当期损益。</w:t>
      </w:r>
    </w:p>
    <w:p>
      <w:pPr>
        <w:spacing w:after="0" w:line="273"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4）其他长期职工福利的会计处理方法" w:id="199"/>
      <w:bookmarkEnd w:id="199"/>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25、预计负债" w:id="200"/>
      <w:bookmarkEnd w:id="200"/>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134" w:right="0"/>
        <w:jc w:val="left"/>
        <w:rPr>
          <w:b w:val="0"/>
          <w:bCs w:val="0"/>
        </w:rPr>
      </w:pPr>
      <w:bookmarkStart w:name="26、股份支付" w:id="201"/>
      <w:bookmarkEnd w:id="201"/>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0"/>
        <w:jc w:val="left"/>
        <w:rPr>
          <w:b w:val="0"/>
          <w:bCs w:val="0"/>
        </w:rPr>
      </w:pPr>
      <w:bookmarkStart w:name="27、优先股、永续债等其他金融工具" w:id="202"/>
      <w:bookmarkEnd w:id="202"/>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28、收入" w:id="203"/>
      <w:bookmarkEnd w:id="203"/>
      <w:r>
        <w:rPr>
          <w:b w:val="0"/>
          <w:bCs w:val="0"/>
        </w:rPr>
      </w:r>
      <w:r>
        <w:rPr>
          <w:rFonts w:ascii="Times New Roman" w:hAnsi="Times New Roman" w:cs="Times New Roman" w:eastAsia="Times New Roman" w:hint="default"/>
        </w:rPr>
        <w:t>28</w:t>
      </w:r>
      <w:r>
        <w:rPr/>
        <w:t>、收入</w:t>
      </w:r>
      <w:r>
        <w:rPr>
          <w:b w:val="0"/>
          <w:bCs w:val="0"/>
        </w:rPr>
      </w:r>
    </w:p>
    <w:p>
      <w:pPr>
        <w:spacing w:line="240" w:lineRule="auto" w:before="7"/>
        <w:rPr>
          <w:rFonts w:ascii="宋体" w:hAnsi="宋体" w:cs="宋体" w:eastAsia="宋体" w:hint="default"/>
          <w:b/>
          <w:bCs/>
          <w:sz w:val="24"/>
          <w:szCs w:val="24"/>
        </w:rPr>
      </w:pPr>
    </w:p>
    <w:p>
      <w:pPr>
        <w:pStyle w:val="Heading7"/>
        <w:spacing w:line="266" w:lineRule="auto"/>
        <w:ind w:left="1134" w:right="1092"/>
        <w:jc w:val="left"/>
      </w:pPr>
      <w:r>
        <w:rPr>
          <w:rFonts w:ascii="Times New Roman" w:hAnsi="Times New Roman" w:cs="Times New Roman" w:eastAsia="Times New Roman" w:hint="default"/>
          <w:b/>
          <w:bCs/>
        </w:rPr>
        <w:t>1</w:t>
      </w:r>
      <w:r>
        <w:rPr>
          <w:rFonts w:ascii="宋体" w:hAnsi="宋体" w:cs="宋体" w:eastAsia="宋体" w:hint="default"/>
          <w:b/>
          <w:bCs/>
        </w:rPr>
        <w:t>、销售商品收入的确认标准</w:t>
      </w:r>
      <w:r>
        <w:rPr>
          <w:rFonts w:ascii="宋体" w:hAnsi="宋体" w:cs="宋体" w:eastAsia="宋体" w:hint="default"/>
          <w:b/>
          <w:bCs/>
          <w:w w:val="99"/>
        </w:rPr>
        <w:t> </w:t>
      </w:r>
      <w:r>
        <w:rPr/>
        <w:t>公司已将商品所有权上的主要风险和报酬转移给购买方；公司既没有保留与所有权相联系的继续管理权， </w:t>
      </w:r>
      <w:r>
        <w:rPr>
          <w:spacing w:val="-1"/>
        </w:rPr>
        <w:t>也没有对已售出的商品实施有效控制；收入的金额能够可靠地计量；相关的经济利益很可能流入公司；相</w:t>
      </w:r>
      <w:r>
        <w:rPr>
          <w:spacing w:val="-83"/>
        </w:rPr>
        <w:t> </w:t>
      </w:r>
      <w:r>
        <w:rPr>
          <w:spacing w:val="-83"/>
        </w:rPr>
      </w:r>
      <w:r>
        <w:rPr/>
        <w:t>关的已发生或将发生的成本能够可靠地计量时，确认商品销售收入实现。</w:t>
      </w:r>
    </w:p>
    <w:p>
      <w:pPr>
        <w:spacing w:line="240" w:lineRule="auto" w:before="12"/>
        <w:rPr>
          <w:rFonts w:ascii="宋体" w:hAnsi="宋体" w:cs="宋体" w:eastAsia="宋体" w:hint="default"/>
          <w:sz w:val="24"/>
          <w:szCs w:val="24"/>
        </w:rPr>
      </w:pPr>
    </w:p>
    <w:p>
      <w:pPr>
        <w:spacing w:line="264" w:lineRule="auto" w:before="0"/>
        <w:ind w:left="113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、确认让渡资产使用权收入的依据</w:t>
      </w:r>
      <w:r>
        <w:rPr>
          <w:rFonts w:ascii="宋体" w:hAnsi="宋体" w:cs="宋体" w:eastAsia="宋体" w:hint="default"/>
          <w:b/>
          <w:bCs/>
          <w:w w:val="99"/>
          <w:sz w:val="21"/>
          <w:szCs w:val="21"/>
        </w:rPr>
        <w:t> </w:t>
      </w:r>
      <w:r>
        <w:rPr>
          <w:rFonts w:ascii="宋体" w:hAnsi="宋体" w:cs="宋体" w:eastAsia="宋体" w:hint="default"/>
          <w:spacing w:val="-1"/>
          <w:sz w:val="21"/>
          <w:szCs w:val="21"/>
        </w:rPr>
        <w:t>与交易相关的经济利益很可能流入公司，收入的金额能够可靠地计量时。分别下列情况确定让渡资产使用</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权收入金额：</w:t>
      </w:r>
    </w:p>
    <w:p>
      <w:pPr>
        <w:pStyle w:val="Heading7"/>
        <w:spacing w:line="240" w:lineRule="auto" w:before="16"/>
        <w:ind w:right="0"/>
        <w:jc w:val="left"/>
      </w:pPr>
      <w:r>
        <w:rPr/>
        <w:t>（</w:t>
      </w:r>
      <w:r>
        <w:rPr>
          <w:rFonts w:ascii="Times New Roman" w:hAnsi="Times New Roman" w:cs="Times New Roman" w:eastAsia="Times New Roman" w:hint="default"/>
        </w:rPr>
        <w:t>1</w:t>
      </w:r>
      <w:r>
        <w:rPr/>
        <w:t>）利息收入金额，按照他人使用本公司货币资金的时间和实际利率计算确定。</w:t>
      </w:r>
    </w:p>
    <w:p>
      <w:pPr>
        <w:pStyle w:val="Heading7"/>
        <w:spacing w:line="240" w:lineRule="auto" w:before="21"/>
        <w:ind w:left="1134" w:right="0"/>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spacing w:line="240" w:lineRule="auto" w:before="6"/>
        <w:rPr>
          <w:rFonts w:ascii="宋体" w:hAnsi="宋体" w:cs="宋体" w:eastAsia="宋体" w:hint="default"/>
          <w:sz w:val="25"/>
          <w:szCs w:val="25"/>
        </w:rPr>
      </w:pPr>
    </w:p>
    <w:p>
      <w:pPr>
        <w:pStyle w:val="Heading7"/>
        <w:spacing w:line="271" w:lineRule="auto"/>
        <w:ind w:right="1118"/>
        <w:jc w:val="left"/>
      </w:pPr>
      <w:r>
        <w:rPr>
          <w:rFonts w:ascii="Times New Roman" w:hAnsi="Times New Roman" w:cs="Times New Roman" w:eastAsia="Times New Roman" w:hint="default"/>
          <w:b/>
          <w:bCs/>
        </w:rPr>
        <w:t>3</w:t>
      </w:r>
      <w:r>
        <w:rPr>
          <w:rFonts w:ascii="宋体" w:hAnsi="宋体" w:cs="宋体" w:eastAsia="宋体" w:hint="default"/>
          <w:b/>
          <w:bCs/>
        </w:rPr>
        <w:t>、按完工百分比法确认提供劳务的收入时，确定合同完工进度的依据和方法</w:t>
      </w:r>
      <w:r>
        <w:rPr>
          <w:rFonts w:ascii="宋体" w:hAnsi="宋体" w:cs="宋体" w:eastAsia="宋体" w:hint="default"/>
          <w:b/>
          <w:bCs/>
          <w:w w:val="99"/>
        </w:rPr>
        <w:t> </w:t>
      </w:r>
      <w:r>
        <w:rPr>
          <w:spacing w:val="-1"/>
        </w:rPr>
        <w:t>在资产负债表日提供劳务交易的结果能够可靠估计的，采用完工百分比法确认提供劳务收入。提供劳务交</w:t>
      </w:r>
      <w:r>
        <w:rPr>
          <w:spacing w:val="-81"/>
        </w:rPr>
        <w:t> </w:t>
      </w:r>
      <w:r>
        <w:rPr>
          <w:spacing w:val="-81"/>
        </w:rPr>
      </w:r>
      <w:r>
        <w:rPr>
          <w:spacing w:val="-1"/>
        </w:rPr>
        <w:t>易的完工进度，依据已完工作的测量（或已经提供的劳务占应提供劳务总量的比例或已经发生的成本占估</w:t>
      </w:r>
      <w:r>
        <w:rPr>
          <w:spacing w:val="-81"/>
        </w:rPr>
        <w:t> </w:t>
      </w:r>
      <w:r>
        <w:rPr>
          <w:spacing w:val="-81"/>
        </w:rPr>
      </w:r>
      <w:r>
        <w:rPr/>
        <w:t>计总成本的比例）确定。 </w:t>
      </w:r>
      <w:r>
        <w:rPr>
          <w:spacing w:val="3"/>
        </w:rPr>
        <w:t>按照已收或应收的合同或协议价款确定提供劳务收入总额，但已收或应收的合同或协议价款不公允的除</w:t>
      </w:r>
      <w:r>
        <w:rPr>
          <w:spacing w:val="-73"/>
        </w:rPr>
        <w:t> </w:t>
      </w:r>
      <w:r>
        <w:rPr>
          <w:spacing w:val="-73"/>
        </w:rPr>
      </w:r>
      <w:r>
        <w:rPr>
          <w:spacing w:val="-1"/>
        </w:rPr>
        <w:t>外。资产负债表日按照提供劳务收入总额乘以完工进度扣除以前会计期间累计已确认提供劳务收入后的金</w:t>
      </w:r>
      <w:r>
        <w:rPr>
          <w:spacing w:val="-81"/>
        </w:rPr>
        <w:t> </w:t>
      </w:r>
      <w:r>
        <w:rPr>
          <w:spacing w:val="-81"/>
        </w:rPr>
      </w:r>
      <w:r>
        <w:rPr>
          <w:spacing w:val="-1"/>
        </w:rPr>
        <w:t>额，确认当期提供劳务收入；同时，按照提供劳务估计总成本乘以完工进度扣除以前会计期间累计已确认</w:t>
      </w:r>
      <w:r>
        <w:rPr>
          <w:spacing w:val="-83"/>
        </w:rPr>
        <w:t> </w:t>
      </w:r>
      <w:r>
        <w:rPr>
          <w:spacing w:val="-83"/>
        </w:rPr>
      </w:r>
      <w:r>
        <w:rPr/>
        <w:t>劳务成本后的金额，结转当期劳务成本。 在资产负债表日提供劳务交易结果不能够可靠估计的，分别下列情况处理：</w:t>
      </w:r>
    </w:p>
    <w:p>
      <w:pPr>
        <w:pStyle w:val="Heading7"/>
        <w:spacing w:line="256" w:lineRule="auto" w:before="10"/>
        <w:ind w:right="0"/>
        <w:jc w:val="left"/>
      </w:pPr>
      <w:r>
        <w:rPr/>
        <w:t>（</w:t>
      </w:r>
      <w:r>
        <w:rPr>
          <w:rFonts w:ascii="Times New Roman" w:hAnsi="Times New Roman" w:cs="Times New Roman" w:eastAsia="Times New Roman" w:hint="default"/>
        </w:rPr>
        <w:t>1</w:t>
      </w:r>
      <w:r>
        <w:rPr/>
        <w:t>）已经发生的劳务成本预计能够得到补偿的，按照已经发生的劳务成本金额确认提供劳务收入，并按</w:t>
      </w:r>
      <w:r>
        <w:rPr>
          <w:spacing w:val="-35"/>
        </w:rPr>
        <w:t> </w:t>
      </w:r>
      <w:r>
        <w:rPr>
          <w:spacing w:val="-35"/>
        </w:rPr>
      </w:r>
      <w:r>
        <w:rPr/>
        <w:t>相同金额结转劳务成本。</w:t>
      </w:r>
    </w:p>
    <w:p>
      <w:pPr>
        <w:pStyle w:val="Heading7"/>
        <w:spacing w:line="256" w:lineRule="auto" w:before="22"/>
        <w:ind w:right="1118"/>
        <w:jc w:val="left"/>
      </w:pPr>
      <w:r>
        <w:rPr/>
        <w:t>（</w:t>
      </w:r>
      <w:r>
        <w:rPr>
          <w:rFonts w:ascii="Times New Roman" w:hAnsi="Times New Roman" w:cs="Times New Roman" w:eastAsia="Times New Roman" w:hint="default"/>
        </w:rPr>
        <w:t>2</w:t>
      </w:r>
      <w:r>
        <w:rPr/>
        <w:t>）已经发生的劳务成本预计不能够得到补偿的，将已经发生的劳务成本计入当期损益，不确认提供劳</w:t>
      </w:r>
      <w:r>
        <w:rPr>
          <w:spacing w:val="-23"/>
        </w:rPr>
        <w:t> </w:t>
      </w:r>
      <w:r>
        <w:rPr>
          <w:spacing w:val="-23"/>
        </w:rPr>
      </w:r>
      <w:r>
        <w:rPr/>
        <w:t>务收入。</w:t>
      </w:r>
    </w:p>
    <w:p>
      <w:pPr>
        <w:spacing w:line="240" w:lineRule="auto" w:before="7"/>
        <w:rPr>
          <w:rFonts w:ascii="宋体" w:hAnsi="宋体" w:cs="宋体" w:eastAsia="宋体" w:hint="default"/>
          <w:sz w:val="25"/>
          <w:szCs w:val="25"/>
        </w:rPr>
      </w:pPr>
    </w:p>
    <w:p>
      <w:pPr>
        <w:spacing w:line="256" w:lineRule="auto" w:before="0"/>
        <w:ind w:left="1133" w:right="319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、公司收入的具体确认标准</w:t>
      </w:r>
      <w:r>
        <w:rPr>
          <w:rFonts w:ascii="宋体" w:hAnsi="宋体" w:cs="宋体" w:eastAsia="宋体" w:hint="default"/>
          <w:b/>
          <w:bCs/>
          <w:w w:val="99"/>
          <w:sz w:val="21"/>
          <w:szCs w:val="21"/>
        </w:rPr>
        <w:t> </w:t>
      </w:r>
      <w:r>
        <w:rPr>
          <w:rFonts w:ascii="宋体" w:hAnsi="宋体" w:cs="宋体" w:eastAsia="宋体" w:hint="default"/>
          <w:sz w:val="21"/>
          <w:szCs w:val="21"/>
        </w:rPr>
        <w:t>本公司的业务主要分为应用软件开发与销售、系统集成及技术支持与服务三部分。</w:t>
      </w:r>
    </w:p>
    <w:p>
      <w:pPr>
        <w:pStyle w:val="Heading7"/>
        <w:spacing w:line="264" w:lineRule="auto" w:before="22"/>
        <w:ind w:right="1131"/>
        <w:jc w:val="both"/>
      </w:pPr>
      <w:r>
        <w:rPr/>
        <w:t>（</w:t>
      </w:r>
      <w:r>
        <w:rPr>
          <w:rFonts w:ascii="Times New Roman" w:hAnsi="Times New Roman" w:cs="Times New Roman" w:eastAsia="Times New Roman" w:hint="default"/>
        </w:rPr>
        <w:t>1</w:t>
      </w:r>
      <w:r>
        <w:rPr/>
        <w:t>）应用软件开发与销售，是指根据客户的需求，利用开发工具为客户提供一整套实现某种功能的软件</w:t>
      </w:r>
      <w:r>
        <w:rPr>
          <w:spacing w:val="-35"/>
        </w:rPr>
        <w:t> </w:t>
      </w:r>
      <w:r>
        <w:rPr>
          <w:spacing w:val="-35"/>
        </w:rPr>
      </w:r>
      <w:r>
        <w:rPr>
          <w:spacing w:val="-1"/>
        </w:rPr>
        <w:t>产品或者利用已有产品进行的二次开发以满足客户的某种特定需求。该类收入按照合同约定、在项目实施</w:t>
      </w:r>
      <w:r>
        <w:rPr>
          <w:spacing w:val="-81"/>
        </w:rPr>
        <w:t> </w:t>
      </w:r>
      <w:r>
        <w:rPr>
          <w:spacing w:val="-81"/>
        </w:rPr>
      </w:r>
      <w:r>
        <w:rPr/>
        <w:t>完成并经对方验收合格后确认收入。</w:t>
      </w:r>
    </w:p>
    <w:p>
      <w:pPr>
        <w:pStyle w:val="Heading7"/>
        <w:spacing w:line="266" w:lineRule="auto" w:before="16"/>
        <w:ind w:right="1131"/>
        <w:jc w:val="both"/>
      </w:pPr>
      <w:r>
        <w:rPr/>
        <w:t>（</w:t>
      </w:r>
      <w:r>
        <w:rPr>
          <w:rFonts w:ascii="Times New Roman" w:hAnsi="Times New Roman" w:cs="Times New Roman" w:eastAsia="Times New Roman" w:hint="default"/>
        </w:rPr>
        <w:t>2</w:t>
      </w:r>
      <w:r>
        <w:rPr/>
        <w:t>）技术支持与服务，是指利用软硬件专业知识向客户提供的有偿软硬件后续服务，包括系统维护、软</w:t>
      </w:r>
      <w:r>
        <w:rPr>
          <w:spacing w:val="-35"/>
        </w:rPr>
        <w:t> </w:t>
      </w:r>
      <w:r>
        <w:rPr>
          <w:spacing w:val="-35"/>
        </w:rPr>
      </w:r>
      <w:r>
        <w:rPr>
          <w:spacing w:val="-1"/>
        </w:rPr>
        <w:t>硬件应用与支持、软件产品维护与升级。该类收入中对服务内容、服务期限、收入总额、收款条件均有明</w:t>
      </w:r>
      <w:r>
        <w:rPr>
          <w:spacing w:val="-82"/>
        </w:rPr>
        <w:t> </w:t>
      </w:r>
      <w:r>
        <w:rPr>
          <w:spacing w:val="-82"/>
        </w:rPr>
      </w:r>
      <w:r>
        <w:rPr>
          <w:spacing w:val="-1"/>
        </w:rPr>
        <w:t>确约定的服务合同，根据合同规定在服务期间内分期确认收入；其他服务合同在提供服务的结果能够可靠</w:t>
      </w:r>
      <w:r>
        <w:rPr>
          <w:spacing w:val="-81"/>
        </w:rPr>
        <w:t> </w:t>
      </w:r>
      <w:r>
        <w:rPr>
          <w:spacing w:val="-81"/>
        </w:rPr>
      </w:r>
      <w:r>
        <w:rPr/>
        <w:t>估计的情况下，在合同约定的服务期限内，经用户确认后确认收入。</w:t>
      </w:r>
    </w:p>
    <w:p>
      <w:pPr>
        <w:spacing w:after="0" w:line="266"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7"/>
        <w:spacing w:line="268" w:lineRule="auto" w:before="35"/>
        <w:ind w:left="1134" w:right="1023"/>
        <w:jc w:val="left"/>
      </w:pPr>
      <w:r>
        <w:rPr>
          <w:spacing w:val="-1"/>
        </w:rPr>
        <w:t>（</w:t>
      </w:r>
      <w:r>
        <w:rPr>
          <w:rFonts w:ascii="Times New Roman" w:hAnsi="Times New Roman" w:cs="Times New Roman" w:eastAsia="Times New Roman" w:hint="default"/>
          <w:spacing w:val="-1"/>
        </w:rPr>
        <w:t>3</w:t>
      </w:r>
      <w:r>
        <w:rPr>
          <w:spacing w:val="-1"/>
        </w:rPr>
        <w:t>）系统集成项目业务，是指按照客户需求提供档案、食品流通追索、政法等领域信息化整体解决方案，</w:t>
      </w:r>
      <w:r>
        <w:rPr>
          <w:spacing w:val="-85"/>
        </w:rPr>
        <w:t> </w:t>
      </w:r>
      <w:r>
        <w:rPr>
          <w:spacing w:val="-85"/>
        </w:rPr>
      </w:r>
      <w:r>
        <w:rPr/>
        <w:t>通过本公司自制软件产品和外购硬件（原材料、设备等），以工程项目的形式对整体方案予以实现。其收</w:t>
      </w:r>
      <w:r>
        <w:rPr/>
        <w:t> 入确认的具体方法为：对于系统集成项目，公司根据合同的约定，在系统集成项目中的软件产品和外购硬 件（原材料、设备等）已交付给客户，系统已按合同约定的条件完成安装调试，通过客户验收完成后确认 收入。</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Heading6"/>
        <w:spacing w:line="240" w:lineRule="auto"/>
        <w:ind w:left="1134" w:right="0"/>
        <w:jc w:val="left"/>
        <w:rPr>
          <w:b w:val="0"/>
          <w:bCs w:val="0"/>
        </w:rPr>
      </w:pPr>
      <w:bookmarkStart w:name="29、政府补助" w:id="204"/>
      <w:bookmarkEnd w:id="204"/>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0"/>
        <w:jc w:val="left"/>
        <w:rPr>
          <w:b w:val="0"/>
          <w:bCs w:val="0"/>
        </w:rPr>
      </w:pPr>
      <w:bookmarkStart w:name="（1）与资产相关的政府补助判断依据及会计处理方法" w:id="205"/>
      <w:bookmarkEnd w:id="205"/>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4"/>
          <w:szCs w:val="24"/>
        </w:rPr>
      </w:pPr>
    </w:p>
    <w:p>
      <w:pPr>
        <w:pStyle w:val="Heading7"/>
        <w:spacing w:line="273" w:lineRule="auto"/>
        <w:ind w:left="1134" w:right="1118"/>
        <w:jc w:val="left"/>
      </w:pPr>
      <w:r>
        <w:rPr>
          <w:spacing w:val="-1"/>
        </w:rPr>
        <w:t>本公司将政府补助划分为与资产相关的具体标准为：本公司取得的，用于购建或以其他方式形成长期资产</w:t>
      </w:r>
      <w:r>
        <w:rPr>
          <w:spacing w:val="-81"/>
        </w:rPr>
        <w:t> </w:t>
      </w:r>
      <w:r>
        <w:rPr>
          <w:spacing w:val="-81"/>
        </w:rPr>
      </w:r>
      <w:r>
        <w:rPr/>
        <w:t>的政府补助； 本公司将政府补助划分为与收益相关的具体标准为：除与资产相关的政府补助之外的政府补助； </w:t>
      </w:r>
      <w:r>
        <w:rPr>
          <w:spacing w:val="3"/>
        </w:rPr>
        <w:t>对于政府文件未明确规定补助对象的，本公司将该政府补助划分为与资产相关或与收益相关的判断依据</w:t>
      </w:r>
      <w:r>
        <w:rPr>
          <w:spacing w:val="-82"/>
        </w:rPr>
        <w:t> </w:t>
      </w:r>
      <w:r>
        <w:rPr>
          <w:spacing w:val="-82"/>
        </w:rPr>
      </w:r>
      <w:r>
        <w:rPr/>
        <w:t>为：是否用于购建或以其他方式形成长期资产。 与资产相关的政府补助，确认为递延收益，按照所建造或购买的资产使用年限分期计入营业外收入。</w:t>
      </w:r>
    </w:p>
    <w:p>
      <w:pPr>
        <w:spacing w:line="240" w:lineRule="auto" w:before="8"/>
        <w:rPr>
          <w:rFonts w:ascii="宋体" w:hAnsi="宋体" w:cs="宋体" w:eastAsia="宋体" w:hint="default"/>
          <w:sz w:val="23"/>
          <w:szCs w:val="23"/>
        </w:rPr>
      </w:pPr>
    </w:p>
    <w:p>
      <w:pPr>
        <w:pStyle w:val="Heading6"/>
        <w:spacing w:line="240" w:lineRule="auto"/>
        <w:ind w:right="0"/>
        <w:jc w:val="left"/>
        <w:rPr>
          <w:b w:val="0"/>
          <w:bCs w:val="0"/>
        </w:rPr>
      </w:pPr>
      <w:bookmarkStart w:name="（2）与收益相关的政府补助判断依据及会计处理方法" w:id="206"/>
      <w:bookmarkEnd w:id="206"/>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4"/>
          <w:szCs w:val="24"/>
        </w:rPr>
      </w:pPr>
    </w:p>
    <w:p>
      <w:pPr>
        <w:pStyle w:val="Heading7"/>
        <w:spacing w:line="273" w:lineRule="auto"/>
        <w:ind w:left="1134" w:right="1118"/>
        <w:jc w:val="left"/>
      </w:pPr>
      <w:r>
        <w:rPr>
          <w:spacing w:val="-1"/>
        </w:rPr>
        <w:t>本公司将政府补助划分为与资产相关的具体标准为：本公司取得的，用于购建或以其他方式形成长期资产</w:t>
      </w:r>
      <w:r>
        <w:rPr>
          <w:spacing w:val="-81"/>
        </w:rPr>
        <w:t> </w:t>
      </w:r>
      <w:r>
        <w:rPr>
          <w:spacing w:val="-81"/>
        </w:rPr>
      </w:r>
      <w:r>
        <w:rPr/>
        <w:t>的政府补助； 本公司将政府补助划分为与收益相关的具体标准为：除与资产相关的政府补助之外的政府补助； </w:t>
      </w:r>
      <w:r>
        <w:rPr>
          <w:spacing w:val="3"/>
        </w:rPr>
        <w:t>对于政府文件未明确规定补助对象的，本公司将该政府补助划分为与资产相关或与收益相关的判断依据</w:t>
      </w:r>
      <w:r>
        <w:rPr>
          <w:spacing w:val="-82"/>
        </w:rPr>
        <w:t> </w:t>
      </w:r>
      <w:r>
        <w:rPr>
          <w:spacing w:val="-82"/>
        </w:rPr>
      </w:r>
      <w:r>
        <w:rPr/>
        <w:t>为：是否用于购建或以其他方式形成长期资产。 </w:t>
      </w:r>
      <w:r>
        <w:rPr>
          <w:spacing w:val="-1"/>
        </w:rPr>
        <w:t>与收益相关的政府补助，用于补偿公司以后期间的相关费用或损失的，取得时确认为递延收益，在确认相</w:t>
      </w:r>
      <w:r>
        <w:rPr>
          <w:spacing w:val="-83"/>
        </w:rPr>
        <w:t> </w:t>
      </w:r>
      <w:r>
        <w:rPr>
          <w:spacing w:val="-83"/>
        </w:rPr>
      </w:r>
      <w:r>
        <w:rPr>
          <w:spacing w:val="-1"/>
        </w:rPr>
        <w:t>关费用的期间计入当期营业外收入；用于补偿公司已发生的相关费用或损失的，取得时直接计入当期营业</w:t>
      </w:r>
      <w:r>
        <w:rPr>
          <w:spacing w:val="-81"/>
        </w:rPr>
        <w:t> </w:t>
      </w:r>
      <w:r>
        <w:rPr>
          <w:spacing w:val="-81"/>
        </w:rPr>
      </w:r>
      <w:r>
        <w:rPr/>
        <w:t>外收入。</w:t>
      </w:r>
    </w:p>
    <w:p>
      <w:pPr>
        <w:spacing w:line="240" w:lineRule="auto" w:before="8"/>
        <w:rPr>
          <w:rFonts w:ascii="宋体" w:hAnsi="宋体" w:cs="宋体" w:eastAsia="宋体" w:hint="default"/>
          <w:sz w:val="23"/>
          <w:szCs w:val="23"/>
        </w:rPr>
      </w:pPr>
    </w:p>
    <w:p>
      <w:pPr>
        <w:pStyle w:val="Heading6"/>
        <w:spacing w:line="240" w:lineRule="auto"/>
        <w:ind w:left="1134" w:right="0"/>
        <w:jc w:val="left"/>
        <w:rPr>
          <w:b w:val="0"/>
          <w:bCs w:val="0"/>
        </w:rPr>
      </w:pPr>
      <w:bookmarkStart w:name="30、递延所得税资产/递延所得税负债" w:id="207"/>
      <w:bookmarkEnd w:id="207"/>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7"/>
        <w:spacing w:line="273" w:lineRule="auto"/>
        <w:ind w:right="0"/>
        <w:jc w:val="left"/>
      </w:pPr>
      <w:r>
        <w:rPr>
          <w:spacing w:val="-1"/>
        </w:rPr>
        <w:t>对于可抵扣暂时性差异确认递延所得税资产，以未来期间很可能取得的用来抵扣可抵扣暂时性差异的应纳</w:t>
      </w:r>
      <w:r>
        <w:rPr>
          <w:spacing w:val="-81"/>
        </w:rPr>
        <w:t> </w:t>
      </w:r>
      <w:r>
        <w:rPr>
          <w:spacing w:val="-81"/>
        </w:rPr>
      </w:r>
      <w:r>
        <w:rPr>
          <w:spacing w:val="-1"/>
        </w:rPr>
        <w:t>税所得额为限。对于能够结转以后年度的可抵扣亏损和税款抵减，以很可能获得用来抵扣可抵扣亏损和税</w:t>
      </w:r>
      <w:r>
        <w:rPr>
          <w:spacing w:val="-81"/>
        </w:rPr>
        <w:t> </w:t>
      </w:r>
      <w:r>
        <w:rPr>
          <w:spacing w:val="-81"/>
        </w:rPr>
      </w:r>
      <w:r>
        <w:rPr/>
        <w:t>款抵减的未来应纳税所得额为限，确认相应的递延所得税资产。 对于应纳税暂时性差异，除特殊情况外，确认递延所得税负债。 </w:t>
      </w:r>
      <w:r>
        <w:rPr>
          <w:spacing w:val="-1"/>
        </w:rPr>
        <w:t>不确认递延所得税资产或递延所得税负债的特殊情况包括：商誉的初始确认；除企业合并以外的发生时既</w:t>
      </w:r>
      <w:r>
        <w:rPr>
          <w:spacing w:val="-81"/>
        </w:rPr>
        <w:t> </w:t>
      </w:r>
      <w:r>
        <w:rPr>
          <w:spacing w:val="-81"/>
        </w:rPr>
      </w:r>
      <w:r>
        <w:rPr/>
        <w:t>不影响会计利润也不影响应纳税所得额（或可抵扣亏损）的其他交易或事项。 </w:t>
      </w:r>
      <w:r>
        <w:rPr>
          <w:spacing w:val="-1"/>
        </w:rPr>
        <w:t>当拥有以净额结算的法定权利，且意图以净额结算或取得资产、清偿负债同时进行时，当期所得税资产及</w:t>
      </w:r>
      <w:r>
        <w:rPr>
          <w:spacing w:val="-83"/>
        </w:rPr>
        <w:t> </w:t>
      </w:r>
      <w:r>
        <w:rPr>
          <w:spacing w:val="-83"/>
        </w:rPr>
      </w:r>
      <w:r>
        <w:rPr/>
        <w:t>当期所得税负债以抵销后的净额列报。 </w:t>
      </w:r>
      <w:r>
        <w:rPr>
          <w:spacing w:val="-1"/>
        </w:rPr>
        <w:t>当拥有以净额结算当期所得税资产及当期所得税负债的法定权利，且递延所得税资产及递延所得税负债是</w:t>
      </w:r>
      <w:r>
        <w:rPr>
          <w:spacing w:val="-81"/>
        </w:rPr>
        <w:t> </w:t>
      </w:r>
      <w:r>
        <w:rPr>
          <w:spacing w:val="-81"/>
        </w:rPr>
      </w:r>
      <w:r>
        <w:rPr>
          <w:spacing w:val="-1"/>
        </w:rPr>
        <w:t>与同一税收征管部门对同一纳税主体征收的所得税相关或者是对不同的纳税主体相关，但在未来每一具有</w:t>
      </w:r>
      <w:r>
        <w:rPr>
          <w:spacing w:val="-81"/>
        </w:rPr>
        <w:t> </w:t>
      </w:r>
      <w:r>
        <w:rPr>
          <w:spacing w:val="-81"/>
        </w:rPr>
      </w:r>
      <w:r>
        <w:rPr>
          <w:spacing w:val="-1"/>
        </w:rPr>
        <w:t>重要性的递延所得税资产及负债转回的期间内，涉及的纳税主体意图以净额结算当期所得税资产和负债或</w:t>
      </w:r>
      <w:r>
        <w:rPr>
          <w:spacing w:val="-81"/>
        </w:rPr>
        <w:t> </w:t>
      </w:r>
      <w:r>
        <w:rPr>
          <w:spacing w:val="-81"/>
        </w:rPr>
      </w:r>
      <w:r>
        <w:rPr/>
        <w:t>是同时取得资产、清偿负债时，递延所得税资产及递延所得税负债以抵销后的净额列报。</w:t>
      </w:r>
    </w:p>
    <w:p>
      <w:pPr>
        <w:spacing w:after="0" w:line="273"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6"/>
        <w:spacing w:line="240" w:lineRule="auto" w:before="35"/>
        <w:ind w:left="1134" w:right="0"/>
        <w:jc w:val="left"/>
        <w:rPr>
          <w:b w:val="0"/>
          <w:bCs w:val="0"/>
        </w:rPr>
      </w:pPr>
      <w:bookmarkStart w:name="31、租赁" w:id="208"/>
      <w:bookmarkEnd w:id="208"/>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0"/>
        <w:jc w:val="left"/>
        <w:rPr>
          <w:b w:val="0"/>
          <w:bCs w:val="0"/>
        </w:rPr>
      </w:pPr>
      <w:bookmarkStart w:name="（1）经营租赁的会计处理方法" w:id="209"/>
      <w:bookmarkEnd w:id="209"/>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8"/>
        <w:rPr>
          <w:rFonts w:ascii="宋体" w:hAnsi="宋体" w:cs="宋体" w:eastAsia="宋体" w:hint="default"/>
          <w:b/>
          <w:bCs/>
          <w:sz w:val="24"/>
          <w:szCs w:val="24"/>
        </w:rPr>
      </w:pPr>
    </w:p>
    <w:p>
      <w:pPr>
        <w:pStyle w:val="Heading7"/>
        <w:spacing w:line="268" w:lineRule="auto"/>
        <w:ind w:right="0"/>
        <w:jc w:val="left"/>
      </w:pPr>
      <w:r>
        <w:rPr>
          <w:rFonts w:ascii="Times New Roman" w:hAnsi="Times New Roman" w:cs="Times New Roman" w:eastAsia="Times New Roman" w:hint="default"/>
          <w:spacing w:val="-1"/>
        </w:rPr>
        <w:t>1</w:t>
      </w:r>
      <w:r>
        <w:rPr>
          <w:spacing w:val="-1"/>
        </w:rPr>
        <w:t>、公司租入资产所支付的租赁费，在不扣除免租期的整个租赁期内，按直线法进行分摊，计入当期费用。</w:t>
      </w:r>
      <w:r>
        <w:rPr>
          <w:spacing w:val="-85"/>
        </w:rPr>
        <w:t> </w:t>
      </w:r>
      <w:r>
        <w:rPr>
          <w:spacing w:val="-85"/>
        </w:rPr>
      </w:r>
      <w:r>
        <w:rPr/>
        <w:t>公司支付的与租赁交易相关的初始直接费用，计入当期费用。 资产出租方承担了应由公司承担的与租赁相关的费用时，公司将该部分费用从租金总额中扣除，按扣除后</w:t>
      </w:r>
      <w:r>
        <w:rPr/>
        <w:t> 的租金费用在租赁期内分摊，计入当期费用。 </w:t>
      </w:r>
      <w:r>
        <w:rPr>
          <w:rFonts w:ascii="Times New Roman" w:hAnsi="Times New Roman" w:cs="Times New Roman" w:eastAsia="Times New Roman" w:hint="default"/>
        </w:rPr>
        <w:t>2</w:t>
      </w:r>
      <w:r>
        <w:rPr/>
        <w:t>、公司出租资产所收取的租赁费，在不扣除免租期的整个租赁期内，按直线法进行分摊，确认为租赁收</w:t>
      </w:r>
      <w:r>
        <w:rPr>
          <w:spacing w:val="-79"/>
        </w:rPr>
        <w:t> </w:t>
      </w:r>
      <w:r>
        <w:rPr>
          <w:spacing w:val="-79"/>
        </w:rPr>
      </w:r>
      <w:r>
        <w:rPr/>
        <w:t>入。公司支付的与租赁交易相关的初始直接费用，计入当期费用；如金额较大的，则予以资本化，在整个</w:t>
      </w:r>
      <w:r>
        <w:rPr/>
        <w:t> 租赁期间内按照与租赁收入确认相同的基础分期计入当期收益。 公司承担了应由承租方承担的与租赁相关的费用时，公司将该部分费用从租金收入总额中扣除，按扣除后 的租金费用在租赁期内分配。</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Heading6"/>
        <w:spacing w:line="240" w:lineRule="auto"/>
        <w:ind w:right="0"/>
        <w:jc w:val="left"/>
        <w:rPr>
          <w:b w:val="0"/>
          <w:bCs w:val="0"/>
        </w:rPr>
      </w:pPr>
      <w:bookmarkStart w:name="（2）融资租赁的会计处理方法" w:id="210"/>
      <w:bookmarkEnd w:id="210"/>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32、其他重要的会计政策和会计估计" w:id="211"/>
      <w:bookmarkEnd w:id="211"/>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33、重要会计政策和会计估计变更" w:id="212"/>
      <w:bookmarkEnd w:id="212"/>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重要会计政策变更" w:id="213"/>
      <w:bookmarkEnd w:id="213"/>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bookmarkStart w:name="（2）重要会计估计变更" w:id="214"/>
      <w:bookmarkEnd w:id="214"/>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spacing w:line="487" w:lineRule="auto" w:before="0"/>
        <w:ind w:left="1134" w:right="8966" w:firstLine="0"/>
        <w:jc w:val="left"/>
        <w:rPr>
          <w:rFonts w:ascii="宋体" w:hAnsi="宋体" w:cs="宋体" w:eastAsia="宋体" w:hint="default"/>
          <w:sz w:val="21"/>
          <w:szCs w:val="21"/>
        </w:rPr>
      </w:pPr>
      <w:bookmarkStart w:name="34、其他" w:id="215"/>
      <w:bookmarkEnd w:id="215"/>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16"/>
      <w:bookmarkEnd w:id="216"/>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17"/>
      <w:bookmarkEnd w:id="217"/>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95"/>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按应税营业收入计征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b/>
          <w:bCs/>
          <w:sz w:val="25"/>
          <w:szCs w:val="25"/>
        </w:rPr>
      </w:pPr>
    </w:p>
    <w:p>
      <w:pPr>
        <w:pStyle w:val="BodyText"/>
        <w:spacing w:line="240" w:lineRule="auto"/>
        <w:ind w:right="0"/>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bl>
    <w:p>
      <w:pPr>
        <w:spacing w:line="240" w:lineRule="auto" w:before="3"/>
        <w:rPr>
          <w:rFonts w:ascii="宋体" w:hAnsi="宋体" w:cs="宋体" w:eastAsia="宋体" w:hint="default"/>
          <w:sz w:val="19"/>
          <w:szCs w:val="19"/>
        </w:rPr>
      </w:pPr>
    </w:p>
    <w:p>
      <w:pPr>
        <w:pStyle w:val="Heading6"/>
        <w:spacing w:line="240" w:lineRule="auto" w:before="35"/>
        <w:ind w:left="1134" w:right="0"/>
        <w:jc w:val="left"/>
        <w:rPr>
          <w:b w:val="0"/>
          <w:bCs w:val="0"/>
        </w:rPr>
      </w:pPr>
      <w:bookmarkStart w:name="2、税收优惠" w:id="218"/>
      <w:bookmarkEnd w:id="218"/>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0"/>
        <w:jc w:val="left"/>
        <w:rPr>
          <w:b w:val="0"/>
          <w:bCs w:val="0"/>
        </w:rPr>
      </w:pPr>
      <w:r>
        <w:rPr>
          <w:rFonts w:ascii="Times New Roman" w:hAnsi="Times New Roman" w:cs="Times New Roman" w:eastAsia="Times New Roman" w:hint="default"/>
        </w:rPr>
        <w:t>1</w:t>
      </w:r>
      <w:r>
        <w:rPr/>
        <w:t>、增值税</w:t>
      </w:r>
      <w:r>
        <w:rPr>
          <w:b w:val="0"/>
          <w:bCs w:val="0"/>
        </w:rPr>
      </w:r>
    </w:p>
    <w:p>
      <w:pPr>
        <w:pStyle w:val="Heading7"/>
        <w:spacing w:line="256" w:lineRule="auto" w:before="21"/>
        <w:ind w:right="1024"/>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日，国务院发布《关于印发进一步鼓励软件产业和集成电路产业发展若干政策的通知》（国</w:t>
      </w:r>
      <w:r>
        <w:rPr>
          <w:spacing w:val="-36"/>
        </w:rPr>
        <w:t> </w:t>
      </w:r>
      <w:r>
        <w:rPr>
          <w:spacing w:val="-36"/>
        </w:rPr>
      </w:r>
      <w:r>
        <w:rPr>
          <w:spacing w:val="-4"/>
        </w:rPr>
        <w:t>发</w:t>
      </w:r>
      <w:r>
        <w:rPr>
          <w:rFonts w:ascii="Times New Roman" w:hAnsi="Times New Roman" w:cs="Times New Roman" w:eastAsia="Times New Roman" w:hint="default"/>
          <w:spacing w:val="-4"/>
        </w:rPr>
        <w:t>[2011]4</w:t>
      </w:r>
      <w:r>
        <w:rPr>
          <w:spacing w:val="-4"/>
        </w:rPr>
        <w:t>号），明确继续实施软件增值税优惠政策。对增值税一般纳税人销售其自行开发生产的软件产品，</w:t>
      </w:r>
      <w:r>
        <w:rPr>
          <w:spacing w:val="-65"/>
        </w:rPr>
        <w:t> </w:t>
      </w:r>
      <w:r>
        <w:rPr>
          <w:spacing w:val="-65"/>
        </w:rPr>
      </w:r>
      <w:r>
        <w:rPr/>
        <w:t>按</w:t>
      </w:r>
      <w:r>
        <w:rPr>
          <w:rFonts w:ascii="Times New Roman" w:hAnsi="Times New Roman" w:cs="Times New Roman" w:eastAsia="Times New Roman" w:hint="default"/>
        </w:rPr>
        <w:t>17%</w:t>
      </w:r>
      <w:r>
        <w:rPr/>
        <w:t>的法定税率征收增值税后，对增值税实际税负超过</w:t>
      </w:r>
      <w:r>
        <w:rPr>
          <w:rFonts w:ascii="Times New Roman" w:hAnsi="Times New Roman" w:cs="Times New Roman" w:eastAsia="Times New Roman" w:hint="default"/>
        </w:rPr>
        <w:t>3%</w:t>
      </w:r>
      <w:r>
        <w:rPr/>
        <w:t>的部分实行即征即退政策。 </w:t>
      </w:r>
      <w:r>
        <w:rPr>
          <w:spacing w:val="-3"/>
        </w:rPr>
        <w:t>根据财政部、国家税务总局《关于在上海开展交通运输业和部分现代服务业营业税改征增值税试点的通知》</w:t>
      </w:r>
    </w:p>
    <w:p>
      <w:pPr>
        <w:pStyle w:val="Heading7"/>
        <w:spacing w:line="256" w:lineRule="auto" w:before="22"/>
        <w:ind w:left="1134" w:right="0"/>
        <w:jc w:val="left"/>
      </w:pPr>
      <w:r>
        <w:rPr/>
        <w:t>（财税【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111</w:t>
      </w:r>
      <w:r>
        <w:rPr/>
        <w:t>号）、《营业税改征增值税免税优惠政策过渡操作意见》，本公司及子公司上海金档</w:t>
      </w:r>
      <w:r>
        <w:rPr>
          <w:spacing w:val="-36"/>
        </w:rPr>
        <w:t> </w:t>
      </w:r>
      <w:r>
        <w:rPr>
          <w:spacing w:val="-36"/>
        </w:rPr>
      </w:r>
      <w:r>
        <w:rPr/>
        <w:t>信息技术有限公司经主管税务机关审核并按规定程序审批后的技术开发业务，可免征增值税。</w:t>
      </w:r>
    </w:p>
    <w:p>
      <w:pPr>
        <w:spacing w:line="240" w:lineRule="auto" w:before="7"/>
        <w:rPr>
          <w:rFonts w:ascii="宋体" w:hAnsi="宋体" w:cs="宋体" w:eastAsia="宋体" w:hint="default"/>
          <w:sz w:val="25"/>
          <w:szCs w:val="25"/>
        </w:rPr>
      </w:pPr>
    </w:p>
    <w:p>
      <w:pPr>
        <w:pStyle w:val="Heading7"/>
        <w:spacing w:line="256" w:lineRule="auto"/>
        <w:ind w:right="1091"/>
        <w:jc w:val="left"/>
      </w:pPr>
      <w:r>
        <w:rPr>
          <w:rFonts w:ascii="Times New Roman" w:hAnsi="Times New Roman" w:cs="Times New Roman" w:eastAsia="Times New Roman" w:hint="default"/>
          <w:b/>
          <w:bCs/>
        </w:rPr>
        <w:t>2</w:t>
      </w:r>
      <w:r>
        <w:rPr>
          <w:rFonts w:ascii="宋体" w:hAnsi="宋体" w:cs="宋体" w:eastAsia="宋体" w:hint="default"/>
          <w:b/>
          <w:bCs/>
        </w:rPr>
        <w:t>、营业税</w:t>
      </w:r>
      <w:r>
        <w:rPr>
          <w:rFonts w:ascii="宋体" w:hAnsi="宋体" w:cs="宋体" w:eastAsia="宋体" w:hint="default"/>
          <w:b/>
          <w:bCs/>
          <w:w w:val="99"/>
        </w:rPr>
        <w:t> </w:t>
      </w:r>
      <w:r>
        <w:rPr>
          <w:spacing w:val="-1"/>
        </w:rPr>
        <w:t>根据上海市财政局、上海市国家税务局、上海市地方税务局发布的《关于转发</w:t>
      </w:r>
      <w:r>
        <w:rPr>
          <w:rFonts w:ascii="Times New Roman" w:hAnsi="Times New Roman" w:cs="Times New Roman" w:eastAsia="Times New Roman" w:hint="default"/>
          <w:spacing w:val="-1"/>
        </w:rPr>
        <w:t>“</w:t>
      </w:r>
      <w:r>
        <w:rPr>
          <w:spacing w:val="-1"/>
        </w:rPr>
        <w:t>关于贯彻落实</w:t>
      </w:r>
      <w:r>
        <w:rPr>
          <w:rFonts w:ascii="Times New Roman" w:hAnsi="Times New Roman" w:cs="Times New Roman" w:eastAsia="Times New Roman" w:hint="default"/>
          <w:spacing w:val="-1"/>
        </w:rPr>
        <w:t>&lt;</w:t>
      </w:r>
      <w:r>
        <w:rPr>
          <w:spacing w:val="-1"/>
        </w:rPr>
        <w:t>中共中央国</w:t>
      </w:r>
      <w:r>
        <w:rPr>
          <w:spacing w:val="-84"/>
        </w:rPr>
        <w:t> </w:t>
      </w:r>
      <w:r>
        <w:rPr/>
        <w:t>务院关于加强技术创新，发展高科技，实现产业化的决定</w:t>
      </w:r>
      <w:r>
        <w:rPr>
          <w:rFonts w:ascii="Times New Roman" w:hAnsi="Times New Roman" w:cs="Times New Roman" w:eastAsia="Times New Roman" w:hint="default"/>
        </w:rPr>
        <w:t>&gt;</w:t>
      </w:r>
      <w:r>
        <w:rPr/>
        <w:t>有关税收问题的通知</w:t>
      </w:r>
      <w:r>
        <w:rPr>
          <w:rFonts w:ascii="Times New Roman" w:hAnsi="Times New Roman" w:cs="Times New Roman" w:eastAsia="Times New Roman" w:hint="default"/>
        </w:rPr>
        <w:t>”</w:t>
      </w:r>
      <w:r>
        <w:rPr/>
        <w:t>和本市实施意见的通知》</w:t>
      </w:r>
    </w:p>
    <w:p>
      <w:pPr>
        <w:pStyle w:val="Heading7"/>
        <w:spacing w:line="256" w:lineRule="auto" w:before="5"/>
        <w:ind w:right="0"/>
        <w:jc w:val="left"/>
      </w:pPr>
      <w:r>
        <w:rPr/>
        <w:t>（沪财办</w:t>
      </w:r>
      <w:r>
        <w:rPr>
          <w:rFonts w:ascii="Times New Roman" w:hAnsi="Times New Roman" w:cs="Times New Roman" w:eastAsia="Times New Roman" w:hint="default"/>
        </w:rPr>
        <w:t>[1999]93</w:t>
      </w:r>
      <w:r>
        <w:rPr/>
        <w:t>号）文件规定，本公司及子公司上海金档信息技术有限公司经主管税务机关按规定程序</w:t>
      </w:r>
      <w:r>
        <w:rPr>
          <w:spacing w:val="-66"/>
        </w:rPr>
        <w:t> </w:t>
      </w:r>
      <w:r>
        <w:rPr>
          <w:spacing w:val="-66"/>
        </w:rPr>
      </w:r>
      <w:r>
        <w:rPr/>
        <w:t>审批后的技术开发业务，可免征营业税。</w:t>
      </w:r>
    </w:p>
    <w:p>
      <w:pPr>
        <w:spacing w:line="240" w:lineRule="auto" w:before="7"/>
        <w:rPr>
          <w:rFonts w:ascii="宋体" w:hAnsi="宋体" w:cs="宋体" w:eastAsia="宋体" w:hint="default"/>
          <w:sz w:val="25"/>
          <w:szCs w:val="25"/>
        </w:rPr>
      </w:pPr>
    </w:p>
    <w:p>
      <w:pPr>
        <w:pStyle w:val="Heading6"/>
        <w:spacing w:line="240" w:lineRule="auto"/>
        <w:ind w:right="0"/>
        <w:jc w:val="left"/>
        <w:rPr>
          <w:b w:val="0"/>
          <w:bCs w:val="0"/>
        </w:rPr>
      </w:pPr>
      <w:r>
        <w:rPr>
          <w:rFonts w:ascii="Times New Roman" w:hAnsi="Times New Roman" w:cs="Times New Roman" w:eastAsia="Times New Roman" w:hint="default"/>
        </w:rPr>
        <w:t>3</w:t>
      </w:r>
      <w:r>
        <w:rPr/>
        <w:t>、企业所得税</w:t>
      </w:r>
      <w:r>
        <w:rPr>
          <w:b w:val="0"/>
          <w:bCs w:val="0"/>
        </w:rPr>
      </w:r>
    </w:p>
    <w:p>
      <w:pPr>
        <w:pStyle w:val="Heading7"/>
        <w:spacing w:line="256" w:lineRule="auto" w:before="21"/>
        <w:ind w:right="1021"/>
        <w:jc w:val="left"/>
      </w:pPr>
      <w:r>
        <w:rPr/>
        <w:t>（</w:t>
      </w:r>
      <w:r>
        <w:rPr>
          <w:rFonts w:ascii="Times New Roman" w:hAnsi="Times New Roman" w:cs="Times New Roman" w:eastAsia="Times New Roman" w:hint="default"/>
        </w:rPr>
        <w:t>1</w:t>
      </w:r>
      <w:r>
        <w:rPr/>
        <w:t>）根据上海市科学技术委员会、上海市财政局、上海市国家税务局和上海市地方税务局于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spacing w:val="-26"/>
        </w:rPr>
        <w:t> </w:t>
      </w:r>
      <w:r>
        <w:rPr>
          <w:rFonts w:ascii="Times New Roman" w:hAnsi="Times New Roman" w:cs="Times New Roman" w:eastAsia="Times New Roman" w:hint="default"/>
          <w:spacing w:val="-4"/>
        </w:rPr>
        <w:t>23</w:t>
      </w:r>
      <w:r>
        <w:rPr>
          <w:spacing w:val="-4"/>
        </w:rPr>
        <w:t>日向本公司颁发的编号为</w:t>
      </w:r>
      <w:r>
        <w:rPr>
          <w:rFonts w:ascii="Times New Roman" w:hAnsi="Times New Roman" w:cs="Times New Roman" w:eastAsia="Times New Roman" w:hint="default"/>
          <w:spacing w:val="-4"/>
        </w:rPr>
        <w:t>GR201431001160</w:t>
      </w:r>
      <w:r>
        <w:rPr>
          <w:spacing w:val="-4"/>
        </w:rPr>
        <w:t>的《高新技术企业证书》，本公司通过高新技术企业复审认定，</w:t>
      </w:r>
      <w:r>
        <w:rPr>
          <w:spacing w:val="-100"/>
        </w:rPr>
        <w:t> </w:t>
      </w:r>
      <w:r>
        <w:rPr>
          <w:spacing w:val="-100"/>
        </w:rPr>
      </w:r>
      <w:r>
        <w:rPr/>
        <w:t>有效期为三年，</w:t>
      </w:r>
      <w:r>
        <w:rPr>
          <w:rFonts w:ascii="Times New Roman" w:hAnsi="Times New Roman" w:cs="Times New Roman" w:eastAsia="Times New Roman" w:hint="default"/>
        </w:rPr>
        <w:t>2015</w:t>
      </w:r>
      <w:r>
        <w:rPr/>
        <w:t>年度减按</w:t>
      </w:r>
      <w:r>
        <w:rPr>
          <w:rFonts w:ascii="Times New Roman" w:hAnsi="Times New Roman" w:cs="Times New Roman" w:eastAsia="Times New Roman" w:hint="default"/>
        </w:rPr>
        <w:t>15</w:t>
      </w:r>
      <w:r>
        <w:rPr/>
        <w:t>％的税率缴纳企业所得税。</w:t>
      </w:r>
    </w:p>
    <w:p>
      <w:pPr>
        <w:pStyle w:val="Heading7"/>
        <w:spacing w:line="256" w:lineRule="auto" w:before="5"/>
        <w:ind w:right="1132"/>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19</w:t>
      </w:r>
      <w:r>
        <w:rPr/>
        <w:t>日，子公司上海金档信息技术有限公司被上海市科学技术委员会、上海市财政局、上</w:t>
      </w:r>
      <w:r>
        <w:rPr>
          <w:spacing w:val="-38"/>
        </w:rPr>
        <w:t> </w:t>
      </w:r>
      <w:r>
        <w:rPr>
          <w:spacing w:val="-38"/>
        </w:rPr>
      </w:r>
      <w:r>
        <w:rPr>
          <w:spacing w:val="-2"/>
        </w:rPr>
        <w:t>海市国家税务局、上海市地方税务局认定为高新科技企业，颁发了编号为</w:t>
      </w:r>
      <w:r>
        <w:rPr>
          <w:rFonts w:ascii="Times New Roman" w:hAnsi="Times New Roman" w:cs="Times New Roman" w:eastAsia="Times New Roman" w:hint="default"/>
          <w:spacing w:val="-2"/>
        </w:rPr>
        <w:t>GR201331000909</w:t>
      </w:r>
      <w:r>
        <w:rPr>
          <w:spacing w:val="-2"/>
        </w:rPr>
        <w:t>号的《高新技术</w:t>
      </w:r>
      <w:r>
        <w:rPr/>
        <w:t> </w:t>
      </w:r>
      <w:r>
        <w:rPr>
          <w:spacing w:val="-5"/>
        </w:rPr>
        <w:t>企业证书》，证书有效期为</w:t>
      </w:r>
      <w:r>
        <w:rPr>
          <w:rFonts w:ascii="Times New Roman" w:hAnsi="Times New Roman" w:cs="Times New Roman" w:eastAsia="Times New Roman" w:hint="default"/>
          <w:spacing w:val="-5"/>
        </w:rPr>
        <w:t>3</w:t>
      </w:r>
      <w:r>
        <w:rPr>
          <w:spacing w:val="-5"/>
        </w:rPr>
        <w:t>年。</w:t>
      </w: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4</w:t>
      </w:r>
      <w:r>
        <w:rPr>
          <w:spacing w:val="-5"/>
        </w:rPr>
        <w:t>月，上海市地方税务局普陀区分局出具了编号为</w:t>
      </w:r>
      <w:r>
        <w:rPr>
          <w:rFonts w:ascii="Times New Roman" w:hAnsi="Times New Roman" w:cs="Times New Roman" w:eastAsia="Times New Roman" w:hint="default"/>
          <w:spacing w:val="-5"/>
        </w:rPr>
        <w:t>3101071404001359</w:t>
      </w:r>
      <w:r>
        <w:rPr>
          <w:rFonts w:ascii="Times New Roman" w:hAnsi="Times New Roman" w:cs="Times New Roman" w:eastAsia="Times New Roman" w:hint="default"/>
        </w:rPr>
        <w:t> </w:t>
      </w:r>
      <w:r>
        <w:rPr/>
        <w:t>号企业所得税优惠事先备案结果通知书，</w:t>
      </w:r>
      <w:r>
        <w:rPr>
          <w:spacing w:val="-23"/>
        </w:rPr>
        <w:t> </w:t>
      </w:r>
      <w:r>
        <w:rPr>
          <w:rFonts w:ascii="Times New Roman" w:hAnsi="Times New Roman" w:cs="Times New Roman" w:eastAsia="Times New Roman" w:hint="default"/>
        </w:rPr>
        <w:t>2015</w:t>
      </w:r>
      <w:r>
        <w:rPr/>
        <w:t>年度减按</w:t>
      </w:r>
      <w:r>
        <w:rPr>
          <w:rFonts w:ascii="Times New Roman" w:hAnsi="Times New Roman" w:cs="Times New Roman" w:eastAsia="Times New Roman" w:hint="default"/>
        </w:rPr>
        <w:t>15%</w:t>
      </w:r>
      <w:r>
        <w:rPr/>
        <w:t>的税率缴纳企业所得税。</w:t>
      </w:r>
    </w:p>
    <w:p>
      <w:pPr>
        <w:pStyle w:val="Heading7"/>
        <w:spacing w:line="256" w:lineRule="auto" w:before="5"/>
        <w:ind w:right="0"/>
        <w:jc w:val="left"/>
      </w:pPr>
      <w:r>
        <w:rPr/>
        <w:t>（</w:t>
      </w:r>
      <w:r>
        <w:rPr>
          <w:rFonts w:ascii="Times New Roman" w:hAnsi="Times New Roman" w:cs="Times New Roman" w:eastAsia="Times New Roman" w:hint="default"/>
        </w:rPr>
        <w:t>3</w:t>
      </w:r>
      <w:r>
        <w:rPr/>
        <w:t>）根据财政部、国家税务总局颁发的《关于进一步鼓励软件产业和集成电路产业发展企业所得税政策</w:t>
      </w:r>
      <w:r>
        <w:rPr>
          <w:spacing w:val="-35"/>
        </w:rPr>
        <w:t> </w:t>
      </w:r>
      <w:r>
        <w:rPr>
          <w:spacing w:val="-35"/>
        </w:rPr>
      </w:r>
      <w:r>
        <w:rPr/>
        <w:t>的通知》（财税</w:t>
      </w:r>
      <w:r>
        <w:rPr>
          <w:rFonts w:ascii="Times New Roman" w:hAnsi="Times New Roman" w:cs="Times New Roman" w:eastAsia="Times New Roman" w:hint="default"/>
        </w:rPr>
        <w:t>[2012]27</w:t>
      </w:r>
      <w:r>
        <w:rPr/>
        <w:t>号）、国家税务总局《关于执行软件企业所得税优惠政策有关问题的公告》（国</w:t>
      </w:r>
      <w:r>
        <w:rPr>
          <w:spacing w:val="-65"/>
        </w:rPr>
        <w:t> </w:t>
      </w:r>
      <w:r>
        <w:rPr>
          <w:spacing w:val="-3"/>
        </w:rPr>
        <w:t>家税务总局公告</w:t>
      </w:r>
      <w:r>
        <w:rPr>
          <w:rFonts w:ascii="Times New Roman" w:hAnsi="Times New Roman" w:cs="Times New Roman" w:eastAsia="Times New Roman" w:hint="default"/>
          <w:spacing w:val="-3"/>
        </w:rPr>
        <w:t>2013</w:t>
      </w:r>
      <w:r>
        <w:rPr>
          <w:spacing w:val="-3"/>
        </w:rPr>
        <w:t>年第</w:t>
      </w:r>
      <w:r>
        <w:rPr>
          <w:rFonts w:ascii="Times New Roman" w:hAnsi="Times New Roman" w:cs="Times New Roman" w:eastAsia="Times New Roman" w:hint="default"/>
          <w:spacing w:val="-3"/>
        </w:rPr>
        <w:t>43</w:t>
      </w:r>
      <w:r>
        <w:rPr>
          <w:spacing w:val="-3"/>
        </w:rPr>
        <w:t>号）、国家税务总局《关于企业所得税减免税管理问题的通知》（财税【</w:t>
      </w:r>
      <w:r>
        <w:rPr>
          <w:rFonts w:ascii="Times New Roman" w:hAnsi="Times New Roman" w:cs="Times New Roman" w:eastAsia="Times New Roman" w:hint="default"/>
          <w:spacing w:val="-3"/>
        </w:rPr>
        <w:t>2008</w:t>
      </w:r>
      <w:r>
        <w:rPr>
          <w:spacing w:val="-3"/>
        </w:rPr>
        <w:t>】</w:t>
      </w:r>
      <w:r>
        <w:rPr>
          <w:spacing w:val="-79"/>
        </w:rPr>
        <w:t> </w:t>
      </w:r>
      <w:r>
        <w:rPr>
          <w:rFonts w:ascii="Times New Roman" w:hAnsi="Times New Roman" w:cs="Times New Roman" w:eastAsia="Times New Roman" w:hint="default"/>
        </w:rPr>
        <w:t>111</w:t>
      </w:r>
      <w:r>
        <w:rPr/>
        <w:t>号）、国家税务总局《关于印发（税收减免管理办法（试行））的通知》（国税发【</w:t>
      </w:r>
      <w:r>
        <w:rPr>
          <w:rFonts w:ascii="Times New Roman" w:hAnsi="Times New Roman" w:cs="Times New Roman" w:eastAsia="Times New Roman" w:hint="default"/>
        </w:rPr>
        <w:t>2005</w:t>
      </w:r>
      <w:r>
        <w:rPr/>
        <w:t>】</w:t>
      </w:r>
      <w:r>
        <w:rPr>
          <w:rFonts w:ascii="Times New Roman" w:hAnsi="Times New Roman" w:cs="Times New Roman" w:eastAsia="Times New Roman" w:hint="default"/>
        </w:rPr>
        <w:t>129</w:t>
      </w:r>
      <w:r>
        <w:rPr/>
        <w:t>号）、 国家税务总局《关于企业所得税税收优惠管理问题的补充通知》（国税函【</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255</w:t>
      </w:r>
      <w:r>
        <w:rPr/>
        <w:t>号）文件的规定，</w:t>
      </w:r>
      <w:r>
        <w:rPr>
          <w:spacing w:val="-28"/>
        </w:rPr>
        <w:t> </w:t>
      </w:r>
      <w:r>
        <w:rPr>
          <w:spacing w:val="-28"/>
        </w:rPr>
      </w:r>
      <w:r>
        <w:rPr/>
        <w:t>以及上海市青浦区国家税务局下发的</w:t>
      </w:r>
      <w:r>
        <w:rPr>
          <w:rFonts w:ascii="Times New Roman" w:hAnsi="Times New Roman" w:cs="Times New Roman" w:eastAsia="Times New Roman" w:hint="default"/>
        </w:rPr>
        <w:t>“</w:t>
      </w:r>
      <w:r>
        <w:rPr/>
        <w:t>企业所得税优惠审批结果通知书</w:t>
      </w:r>
      <w:r>
        <w:rPr>
          <w:rFonts w:ascii="Times New Roman" w:hAnsi="Times New Roman" w:cs="Times New Roman" w:eastAsia="Times New Roman" w:hint="default"/>
        </w:rPr>
        <w:t>”</w:t>
      </w:r>
      <w:r>
        <w:rPr/>
        <w:t>规定，子公司光典信息发展有限公 司</w:t>
      </w:r>
      <w:r>
        <w:rPr>
          <w:rFonts w:ascii="Times New Roman" w:hAnsi="Times New Roman" w:cs="Times New Roman" w:eastAsia="Times New Roman" w:hint="default"/>
        </w:rPr>
        <w:t>2013</w:t>
      </w:r>
      <w:r>
        <w:rPr/>
        <w:t>年度免征企业所得税一年，自</w:t>
      </w:r>
      <w:r>
        <w:rPr>
          <w:rFonts w:ascii="Times New Roman" w:hAnsi="Times New Roman" w:cs="Times New Roman" w:eastAsia="Times New Roman" w:hint="default"/>
        </w:rPr>
        <w:t>2014</w:t>
      </w:r>
      <w:r>
        <w:rPr/>
        <w:t>年至</w:t>
      </w:r>
      <w:r>
        <w:rPr>
          <w:rFonts w:ascii="Times New Roman" w:hAnsi="Times New Roman" w:cs="Times New Roman" w:eastAsia="Times New Roman" w:hint="default"/>
        </w:rPr>
        <w:t>2016</w:t>
      </w:r>
      <w:r>
        <w:rPr/>
        <w:t>年减半按</w:t>
      </w:r>
      <w:r>
        <w:rPr>
          <w:rFonts w:ascii="Times New Roman" w:hAnsi="Times New Roman" w:cs="Times New Roman" w:eastAsia="Times New Roman" w:hint="default"/>
        </w:rPr>
        <w:t>12.5%</w:t>
      </w:r>
      <w:r>
        <w:rPr/>
        <w:t>的税率缴纳企业所得税三年。</w:t>
      </w:r>
    </w:p>
    <w:p>
      <w:pPr>
        <w:pStyle w:val="Heading7"/>
        <w:spacing w:line="256" w:lineRule="auto" w:before="5"/>
        <w:ind w:right="1129"/>
        <w:jc w:val="both"/>
      </w:pPr>
      <w:r>
        <w:rPr/>
        <w:t>（</w:t>
      </w:r>
      <w:r>
        <w:rPr>
          <w:rFonts w:ascii="Times New Roman" w:hAnsi="Times New Roman" w:cs="Times New Roman" w:eastAsia="Times New Roman" w:hint="default"/>
        </w:rPr>
        <w:t>4</w:t>
      </w:r>
      <w:r>
        <w:rPr/>
        <w:t>）控股子公司上海追索信息科技有限公司于</w:t>
      </w:r>
      <w:r>
        <w:rPr>
          <w:rFonts w:ascii="Times New Roman" w:hAnsi="Times New Roman" w:cs="Times New Roman" w:eastAsia="Times New Roman" w:hint="default"/>
        </w:rPr>
        <w:t>2015</w:t>
      </w:r>
      <w:r>
        <w:rPr/>
        <w:t>年度被上海市科学技术委员会、上海市财政局、上海</w:t>
      </w:r>
      <w:r>
        <w:rPr>
          <w:spacing w:val="-31"/>
        </w:rPr>
        <w:t> </w:t>
      </w:r>
      <w:r>
        <w:rPr>
          <w:spacing w:val="-31"/>
        </w:rPr>
      </w:r>
      <w:r>
        <w:rPr>
          <w:spacing w:val="-2"/>
        </w:rPr>
        <w:t>市国家税务局、上海市地方税务局认定为高新科技企业，取得了编号为</w:t>
      </w:r>
      <w:r>
        <w:rPr>
          <w:rFonts w:ascii="Times New Roman" w:hAnsi="Times New Roman" w:cs="Times New Roman" w:eastAsia="Times New Roman" w:hint="default"/>
          <w:spacing w:val="-2"/>
        </w:rPr>
        <w:t>GF201531000244</w:t>
      </w:r>
      <w:r>
        <w:rPr>
          <w:spacing w:val="-2"/>
        </w:rPr>
        <w:t>号的《高新技术企</w:t>
      </w:r>
      <w:r>
        <w:rPr>
          <w:spacing w:val="-83"/>
        </w:rPr>
        <w:t> </w:t>
      </w:r>
      <w:r>
        <w:rPr>
          <w:spacing w:val="-83"/>
        </w:rPr>
      </w:r>
      <w:r>
        <w:rPr/>
        <w:t>业证书》，证书有效期为</w:t>
      </w:r>
      <w:r>
        <w:rPr>
          <w:rFonts w:ascii="Times New Roman" w:hAnsi="Times New Roman" w:cs="Times New Roman" w:eastAsia="Times New Roman" w:hint="default"/>
        </w:rPr>
        <w:t>3</w:t>
      </w:r>
      <w:r>
        <w:rPr/>
        <w:t>年。根据《关于印发</w:t>
      </w:r>
      <w:r>
        <w:rPr>
          <w:rFonts w:ascii="Times New Roman" w:hAnsi="Times New Roman" w:cs="Times New Roman" w:eastAsia="Times New Roman" w:hint="default"/>
        </w:rPr>
        <w:t>&lt;</w:t>
      </w:r>
      <w:r>
        <w:rPr/>
        <w:t>上海市高新技术企业认定管理实施办法</w:t>
      </w:r>
      <w:r>
        <w:rPr>
          <w:rFonts w:ascii="Times New Roman" w:hAnsi="Times New Roman" w:cs="Times New Roman" w:eastAsia="Times New Roman" w:hint="default"/>
        </w:rPr>
        <w:t>&gt;</w:t>
      </w:r>
      <w:r>
        <w:rPr/>
        <w:t>的通知》、《中</w:t>
      </w:r>
      <w:r>
        <w:rPr>
          <w:spacing w:val="-59"/>
        </w:rPr>
        <w:t> </w:t>
      </w:r>
      <w:r>
        <w:rPr/>
        <w:t>华人民共和国企业所得税法》的相关规定，上海追索信息科技有限公司自</w:t>
      </w:r>
      <w:r>
        <w:rPr>
          <w:rFonts w:ascii="Times New Roman" w:hAnsi="Times New Roman" w:cs="Times New Roman" w:eastAsia="Times New Roman" w:hint="default"/>
        </w:rPr>
        <w:t>2015</w:t>
      </w:r>
      <w:r>
        <w:rPr/>
        <w:t>年度起三年内减按</w:t>
      </w:r>
      <w:r>
        <w:rPr>
          <w:rFonts w:ascii="Times New Roman" w:hAnsi="Times New Roman" w:cs="Times New Roman" w:eastAsia="Times New Roman" w:hint="default"/>
        </w:rPr>
        <w:t>15%</w:t>
      </w:r>
      <w:r>
        <w:rPr/>
        <w:t>的税</w:t>
      </w:r>
      <w:r>
        <w:rPr>
          <w:spacing w:val="-97"/>
        </w:rPr>
        <w:t> </w:t>
      </w:r>
      <w:r>
        <w:rPr/>
        <w:t>率缴纳企业所得税。</w:t>
      </w:r>
    </w:p>
    <w:p>
      <w:pPr>
        <w:spacing w:after="0" w:line="256"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spacing w:line="487" w:lineRule="auto" w:before="35"/>
        <w:ind w:left="1133" w:right="7693" w:firstLine="0"/>
        <w:jc w:val="left"/>
        <w:rPr>
          <w:rFonts w:ascii="宋体" w:hAnsi="宋体" w:cs="宋体" w:eastAsia="宋体" w:hint="default"/>
          <w:sz w:val="21"/>
          <w:szCs w:val="21"/>
        </w:rPr>
      </w:pPr>
      <w:bookmarkStart w:name="3、其他" w:id="219"/>
      <w:bookmarkEnd w:id="21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20"/>
      <w:bookmarkEnd w:id="220"/>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21"/>
      <w:bookmarkEnd w:id="221"/>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181,055.16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61,485.09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231,375,384.60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109,496,592.67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8,583,735.43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12,658,952.07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240,140,175.19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122,217,029.83</w:t>
            </w:r>
          </w:p>
        </w:tc>
      </w:tr>
    </w:tbl>
    <w:p>
      <w:pPr>
        <w:pStyle w:val="BodyText"/>
        <w:spacing w:line="240" w:lineRule="auto" w:before="51"/>
        <w:ind w:left="1134" w:right="0"/>
        <w:jc w:val="left"/>
      </w:pPr>
      <w:r>
        <w:rPr/>
        <w:t>其他说明</w:t>
      </w:r>
    </w:p>
    <w:p>
      <w:pPr>
        <w:pStyle w:val="Heading7"/>
        <w:spacing w:line="240" w:lineRule="auto" w:before="90"/>
        <w:ind w:left="1702" w:right="0"/>
        <w:jc w:val="left"/>
      </w:pPr>
      <w:r>
        <w:rPr/>
        <w:t>其中受限制的货币资金明细如下：</w:t>
      </w:r>
    </w:p>
    <w:p>
      <w:pPr>
        <w:spacing w:line="240" w:lineRule="auto" w:before="13"/>
        <w:rPr>
          <w:rFonts w:ascii="宋体" w:hAnsi="宋体" w:cs="宋体" w:eastAsia="宋体" w:hint="default"/>
          <w:sz w:val="3"/>
          <w:szCs w:val="3"/>
        </w:rPr>
      </w:pPr>
    </w:p>
    <w:tbl>
      <w:tblPr>
        <w:tblW w:w="0" w:type="auto"/>
        <w:jc w:val="left"/>
        <w:tblInd w:w="1697" w:type="dxa"/>
        <w:tblLayout w:type="fixed"/>
        <w:tblCellMar>
          <w:top w:w="0" w:type="dxa"/>
          <w:left w:w="0" w:type="dxa"/>
          <w:bottom w:w="0" w:type="dxa"/>
          <w:right w:w="0" w:type="dxa"/>
        </w:tblCellMar>
        <w:tblLook w:val="01E0"/>
      </w:tblPr>
      <w:tblGrid>
        <w:gridCol w:w="3683"/>
        <w:gridCol w:w="2056"/>
        <w:gridCol w:w="2056"/>
      </w:tblGrid>
      <w:tr>
        <w:trPr>
          <w:trHeight w:val="355" w:hRule="exact"/>
        </w:trPr>
        <w:tc>
          <w:tcPr>
            <w:tcW w:w="3683"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1539"/>
              <w:jc w:val="righ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2056"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60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056" w:type="dxa"/>
            <w:tcBorders>
              <w:top w:val="single" w:sz="6" w:space="0" w:color="000000"/>
              <w:left w:val="single" w:sz="6" w:space="0" w:color="000000"/>
              <w:bottom w:val="single" w:sz="12" w:space="0" w:color="000000"/>
              <w:right w:val="nil" w:sz="6" w:space="0" w:color="auto"/>
            </w:tcBorders>
          </w:tcPr>
          <w:p>
            <w:pPr>
              <w:pStyle w:val="TableParagraph"/>
              <w:spacing w:line="270" w:lineRule="exact"/>
              <w:ind w:left="599"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52" w:hRule="exact"/>
        </w:trPr>
        <w:tc>
          <w:tcPr>
            <w:tcW w:w="368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保函保证金</w:t>
            </w:r>
          </w:p>
        </w:tc>
        <w:tc>
          <w:tcPr>
            <w:tcW w:w="20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8,583,735.43</w:t>
            </w:r>
          </w:p>
        </w:tc>
        <w:tc>
          <w:tcPr>
            <w:tcW w:w="205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12,658,952.07</w:t>
            </w:r>
          </w:p>
        </w:tc>
      </w:tr>
      <w:tr>
        <w:trPr>
          <w:trHeight w:val="352" w:hRule="exact"/>
        </w:trPr>
        <w:tc>
          <w:tcPr>
            <w:tcW w:w="3683" w:type="dxa"/>
            <w:tcBorders>
              <w:top w:val="single" w:sz="12" w:space="0" w:color="000000"/>
              <w:left w:val="single" w:sz="6" w:space="0" w:color="000000"/>
              <w:bottom w:val="single" w:sz="12" w:space="0" w:color="000000"/>
              <w:right w:val="single" w:sz="6" w:space="0" w:color="000000"/>
            </w:tcBorders>
          </w:tcPr>
          <w:p>
            <w:pPr>
              <w:pStyle w:val="TableParagraph"/>
              <w:tabs>
                <w:tab w:pos="419" w:val="left" w:leader="none"/>
              </w:tabs>
              <w:spacing w:line="260" w:lineRule="exact"/>
              <w:ind w:right="1518"/>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0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8,583,735.43</w:t>
            </w:r>
          </w:p>
        </w:tc>
        <w:tc>
          <w:tcPr>
            <w:tcW w:w="205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12,658,952.07</w:t>
            </w:r>
          </w:p>
        </w:tc>
      </w:tr>
    </w:tbl>
    <w:p>
      <w:pPr>
        <w:pStyle w:val="Heading7"/>
        <w:spacing w:line="276" w:lineRule="exact"/>
        <w:ind w:left="1554" w:right="0"/>
        <w:jc w:val="left"/>
      </w:pPr>
      <w:r>
        <w:rPr/>
        <w:t>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日，其他货币资金中保函保证金</w:t>
      </w:r>
      <w:r>
        <w:rPr>
          <w:rFonts w:ascii="Times New Roman" w:hAnsi="Times New Roman" w:cs="Times New Roman" w:eastAsia="Times New Roman" w:hint="default"/>
        </w:rPr>
        <w:t>8,583,735.43</w:t>
      </w:r>
      <w:r>
        <w:rPr/>
        <w:t>元，为本公司向银行申请开具无条件、</w:t>
      </w:r>
    </w:p>
    <w:p>
      <w:pPr>
        <w:pStyle w:val="Heading7"/>
        <w:spacing w:line="240" w:lineRule="auto" w:before="21"/>
        <w:ind w:right="0"/>
        <w:jc w:val="left"/>
      </w:pPr>
      <w:r>
        <w:rPr/>
        <w:t>不可撤销的担保函所存入的保证金存款。</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6"/>
        <w:spacing w:line="240" w:lineRule="auto"/>
        <w:ind w:right="0"/>
        <w:jc w:val="left"/>
        <w:rPr>
          <w:b w:val="0"/>
          <w:bCs w:val="0"/>
        </w:rPr>
      </w:pPr>
      <w:bookmarkStart w:name="2、以公允价值计量且其变动计入当期损益的金融资产" w:id="222"/>
      <w:bookmarkEnd w:id="222"/>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3、衍生金融资产" w:id="223"/>
      <w:bookmarkEnd w:id="223"/>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4、应收票据" w:id="224"/>
      <w:bookmarkEnd w:id="224"/>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应收票据分类列示" w:id="225"/>
      <w:bookmarkEnd w:id="225"/>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6"/>
        <w:spacing w:line="240" w:lineRule="auto" w:before="35"/>
        <w:ind w:left="1134" w:right="0"/>
        <w:jc w:val="left"/>
        <w:rPr>
          <w:b w:val="0"/>
          <w:bCs w:val="0"/>
        </w:rPr>
      </w:pPr>
      <w:bookmarkStart w:name="（2）期末公司已质押的应收票据" w:id="226"/>
      <w:bookmarkEnd w:id="226"/>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3"/>
          <w:szCs w:val="3"/>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332" w:hRule="exact"/>
        </w:trPr>
        <w:tc>
          <w:tcPr>
            <w:tcW w:w="4785" w:type="dxa"/>
            <w:tcBorders>
              <w:top w:val="nil" w:sz="6" w:space="0" w:color="auto"/>
              <w:left w:val="nil" w:sz="6" w:space="0" w:color="auto"/>
              <w:bottom w:val="single" w:sz="4" w:space="0" w:color="000000"/>
              <w:right w:val="nil" w:sz="6" w:space="0" w:color="auto"/>
            </w:tcBorders>
          </w:tcPr>
          <w:p>
            <w:pPr/>
          </w:p>
        </w:tc>
        <w:tc>
          <w:tcPr>
            <w:tcW w:w="4784"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2"/>
        <w:rPr>
          <w:rFonts w:ascii="宋体" w:hAnsi="宋体" w:cs="宋体" w:eastAsia="宋体" w:hint="default"/>
          <w:sz w:val="19"/>
          <w:szCs w:val="19"/>
        </w:rPr>
      </w:pPr>
    </w:p>
    <w:p>
      <w:pPr>
        <w:pStyle w:val="Heading6"/>
        <w:spacing w:line="240" w:lineRule="auto" w:before="35"/>
        <w:ind w:left="1134" w:right="0"/>
        <w:jc w:val="left"/>
        <w:rPr>
          <w:b w:val="0"/>
          <w:bCs w:val="0"/>
        </w:rPr>
      </w:pPr>
      <w:r>
        <w:rPr/>
        <w:pict>
          <v:group style="position:absolute;margin-left:55.200001pt;margin-top:-49.526318pt;width:485pt;height:.1pt;mso-position-horizontal-relative:page;mso-position-vertical-relative:paragraph;z-index:-1032544" coordorigin="1104,-991" coordsize="9700,2">
            <v:shape style="position:absolute;left:1104;top:-991;width:9700;height:2" coordorigin="1104,-991" coordsize="9700,0" path="m1104,-991l10804,-991e" filled="false" stroked="true" strokeweight=".72pt" strokecolor="#000000">
              <v:path arrowok="t"/>
            </v:shape>
            <w10:wrap type="none"/>
          </v:group>
        </w:pict>
      </w:r>
      <w:bookmarkStart w:name="（3）期末公司已背书或贴现且在资产负债表日尚未到期的应收票据" w:id="227"/>
      <w:bookmarkEnd w:id="227"/>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2"/>
        <w:rPr>
          <w:rFonts w:ascii="宋体" w:hAnsi="宋体" w:cs="宋体" w:eastAsia="宋体" w:hint="default"/>
          <w:sz w:val="19"/>
          <w:szCs w:val="19"/>
        </w:rPr>
      </w:pPr>
    </w:p>
    <w:p>
      <w:pPr>
        <w:pStyle w:val="Heading6"/>
        <w:spacing w:line="240" w:lineRule="auto" w:before="35"/>
        <w:ind w:left="1134" w:right="0"/>
        <w:jc w:val="left"/>
        <w:rPr>
          <w:b w:val="0"/>
          <w:bCs w:val="0"/>
        </w:rPr>
      </w:pPr>
      <w:bookmarkStart w:name="（4）期末公司因出票人未履约而将其转应收账款的票据" w:id="228"/>
      <w:bookmarkEnd w:id="228"/>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5、应收账款" w:id="229"/>
      <w:bookmarkEnd w:id="229"/>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134" w:right="0"/>
        <w:jc w:val="left"/>
        <w:rPr>
          <w:b w:val="0"/>
          <w:bCs w:val="0"/>
        </w:rPr>
      </w:pPr>
      <w:bookmarkStart w:name="（1）应收账款分类披露" w:id="230"/>
      <w:bookmarkEnd w:id="23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208,031,</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585.25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19,035,0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65.25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9.15%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188,996,5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123,004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,063.31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10,311,15</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1.65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8.38%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112,692,91</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1.66</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208,031,</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585.25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19,035,0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65.25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9.15%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188,996,5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20.00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123,004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,063.31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10,311,15</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1.65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8.38%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112,692,91</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1.66</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75"/>
        <w:gridCol w:w="2398"/>
        <w:gridCol w:w="2392"/>
        <w:gridCol w:w="2392"/>
      </w:tblGrid>
      <w:tr>
        <w:trPr>
          <w:trHeight w:val="206"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145,582,652.53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7,279,132.63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47,040,542.79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4,704,054.28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7,305,295.62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2,191,588.69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5,803,030.22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2,901,515.11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1,137,631.82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796,342.27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1,162,432.27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1,162,432.27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208,031,585.25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19,035,065.25</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134" w:right="6432"/>
        <w:jc w:val="left"/>
      </w:pPr>
      <w:r>
        <w:rPr/>
        <w:t>确定该组合依据的说明： 组合中，采用余额百分比法计提坏账准备的应收账款：</w:t>
      </w:r>
    </w:p>
    <w:p>
      <w:pPr>
        <w:pStyle w:val="BodyText"/>
        <w:spacing w:line="340" w:lineRule="auto" w:before="2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2"/>
        <w:rPr>
          <w:rFonts w:ascii="宋体" w:hAnsi="宋体" w:cs="宋体" w:eastAsia="宋体" w:hint="default"/>
          <w:sz w:val="20"/>
          <w:szCs w:val="20"/>
        </w:rPr>
      </w:pPr>
    </w:p>
    <w:p>
      <w:pPr>
        <w:pStyle w:val="Heading6"/>
        <w:spacing w:line="240" w:lineRule="auto"/>
        <w:ind w:right="0"/>
        <w:jc w:val="left"/>
        <w:rPr>
          <w:b w:val="0"/>
          <w:bCs w:val="0"/>
        </w:rPr>
      </w:pPr>
      <w:bookmarkStart w:name="（2）本期计提、收回或转回的坏账准备情况" w:id="231"/>
      <w:bookmarkEnd w:id="23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38" w:lineRule="auto"/>
        <w:ind w:right="-12"/>
        <w:jc w:val="left"/>
      </w:pPr>
      <w:r>
        <w:rPr/>
        <w:t>本期计提坏账准备金额</w:t>
      </w:r>
      <w:r>
        <w:rPr>
          <w:spacing w:val="-47"/>
        </w:rPr>
        <w:t> </w:t>
      </w:r>
      <w:r>
        <w:rPr>
          <w:rFonts w:ascii="Times New Roman" w:hAnsi="Times New Roman" w:cs="Times New Roman" w:eastAsia="Times New Roman" w:hint="default"/>
        </w:rPr>
        <w:t>8,723,913.60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7434" w:space="1395"/>
            <w:col w:w="3081"/>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6"/>
        <w:spacing w:line="240" w:lineRule="auto" w:before="35"/>
        <w:ind w:left="1134" w:right="0"/>
        <w:jc w:val="left"/>
        <w:rPr>
          <w:b w:val="0"/>
          <w:bCs w:val="0"/>
        </w:rPr>
      </w:pPr>
      <w:bookmarkStart w:name="（3）本期实际核销的应收账款情况" w:id="232"/>
      <w:bookmarkEnd w:id="23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left="1134" w:right="0"/>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134" w:right="0"/>
        <w:jc w:val="left"/>
      </w:pPr>
      <w:r>
        <w:rPr/>
        <w:t>应收账款核销说明：</w:t>
      </w:r>
    </w:p>
    <w:p>
      <w:pPr>
        <w:spacing w:line="240" w:lineRule="auto" w:before="11"/>
        <w:rPr>
          <w:rFonts w:ascii="宋体" w:hAnsi="宋体" w:cs="宋体" w:eastAsia="宋体" w:hint="default"/>
          <w:sz w:val="26"/>
          <w:szCs w:val="26"/>
        </w:rPr>
      </w:pPr>
    </w:p>
    <w:p>
      <w:pPr>
        <w:pStyle w:val="Heading6"/>
        <w:spacing w:line="240" w:lineRule="auto"/>
        <w:ind w:left="1134" w:right="0"/>
        <w:jc w:val="left"/>
        <w:rPr>
          <w:b w:val="0"/>
          <w:bCs w:val="0"/>
        </w:rPr>
      </w:pPr>
      <w:bookmarkStart w:name="（4）按欠款方归集的期末余额前五名的应收账款情况" w:id="233"/>
      <w:bookmarkEnd w:id="23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6" w:type="dxa"/>
        <w:tblLayout w:type="fixed"/>
        <w:tblCellMar>
          <w:top w:w="0" w:type="dxa"/>
          <w:left w:w="0" w:type="dxa"/>
          <w:bottom w:w="0" w:type="dxa"/>
          <w:right w:w="0" w:type="dxa"/>
        </w:tblCellMar>
        <w:tblLook w:val="01E0"/>
      </w:tblPr>
      <w:tblGrid>
        <w:gridCol w:w="2694"/>
        <w:gridCol w:w="2080"/>
        <w:gridCol w:w="2078"/>
        <w:gridCol w:w="2080"/>
      </w:tblGrid>
      <w:tr>
        <w:trPr>
          <w:trHeight w:val="355" w:hRule="exact"/>
        </w:trPr>
        <w:tc>
          <w:tcPr>
            <w:tcW w:w="2694" w:type="dxa"/>
            <w:vMerge w:val="restart"/>
            <w:tcBorders>
              <w:top w:val="single" w:sz="6" w:space="0" w:color="000000"/>
              <w:left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6238"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7"/>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64" w:hRule="exact"/>
        </w:trPr>
        <w:tc>
          <w:tcPr>
            <w:tcW w:w="2694" w:type="dxa"/>
            <w:vMerge/>
            <w:tcBorders>
              <w:left w:val="single" w:sz="6" w:space="0" w:color="000000"/>
              <w:bottom w:val="single" w:sz="12" w:space="0" w:color="000000"/>
              <w:right w:val="single" w:sz="6" w:space="0" w:color="000000"/>
            </w:tcBorders>
          </w:tcPr>
          <w:p>
            <w:pPr/>
          </w:p>
        </w:tc>
        <w:tc>
          <w:tcPr>
            <w:tcW w:w="20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6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占应收账款合计数的比例</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8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67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2" w:hRule="exact"/>
        </w:trPr>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0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19,598,030.00</w:t>
            </w:r>
          </w:p>
        </w:tc>
        <w:tc>
          <w:tcPr>
            <w:tcW w:w="2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9.42</w:t>
            </w:r>
          </w:p>
        </w:tc>
        <w:tc>
          <w:tcPr>
            <w:tcW w:w="208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979,901.50</w:t>
            </w:r>
          </w:p>
        </w:tc>
      </w:tr>
      <w:tr>
        <w:trPr>
          <w:trHeight w:val="353" w:hRule="exact"/>
        </w:trPr>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0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17,631,000.00</w:t>
            </w:r>
          </w:p>
        </w:tc>
        <w:tc>
          <w:tcPr>
            <w:tcW w:w="2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8.47</w:t>
            </w:r>
          </w:p>
        </w:tc>
        <w:tc>
          <w:tcPr>
            <w:tcW w:w="208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881,550.00</w:t>
            </w:r>
          </w:p>
        </w:tc>
      </w:tr>
      <w:tr>
        <w:trPr>
          <w:trHeight w:val="352" w:hRule="exact"/>
        </w:trPr>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0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10,726,088.04</w:t>
            </w:r>
          </w:p>
        </w:tc>
        <w:tc>
          <w:tcPr>
            <w:tcW w:w="2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5.16</w:t>
            </w:r>
          </w:p>
        </w:tc>
        <w:tc>
          <w:tcPr>
            <w:tcW w:w="208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1,072,608.80</w:t>
            </w:r>
          </w:p>
        </w:tc>
      </w:tr>
      <w:tr>
        <w:trPr>
          <w:trHeight w:val="352" w:hRule="exact"/>
        </w:trPr>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0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9,388,866.00</w:t>
            </w:r>
          </w:p>
        </w:tc>
        <w:tc>
          <w:tcPr>
            <w:tcW w:w="2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4.51</w:t>
            </w:r>
          </w:p>
        </w:tc>
        <w:tc>
          <w:tcPr>
            <w:tcW w:w="208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938,886.60</w:t>
            </w:r>
          </w:p>
        </w:tc>
      </w:tr>
      <w:tr>
        <w:trPr>
          <w:trHeight w:val="353" w:hRule="exact"/>
        </w:trPr>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0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8,090,000.00</w:t>
            </w:r>
          </w:p>
        </w:tc>
        <w:tc>
          <w:tcPr>
            <w:tcW w:w="2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3.89</w:t>
            </w:r>
          </w:p>
        </w:tc>
        <w:tc>
          <w:tcPr>
            <w:tcW w:w="208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404,500.00</w:t>
            </w:r>
          </w:p>
        </w:tc>
      </w:tr>
      <w:tr>
        <w:trPr>
          <w:trHeight w:val="352" w:hRule="exact"/>
        </w:trPr>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0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65,433,984.04</w:t>
            </w:r>
          </w:p>
        </w:tc>
        <w:tc>
          <w:tcPr>
            <w:tcW w:w="2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31.45</w:t>
            </w:r>
          </w:p>
        </w:tc>
        <w:tc>
          <w:tcPr>
            <w:tcW w:w="208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4,277,446.90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10"/>
        <w:rPr>
          <w:rFonts w:ascii="宋体" w:hAnsi="宋体" w:cs="宋体" w:eastAsia="宋体" w:hint="default"/>
          <w:b/>
          <w:bCs/>
          <w:sz w:val="24"/>
          <w:szCs w:val="24"/>
        </w:rPr>
      </w:pPr>
    </w:p>
    <w:p>
      <w:pPr>
        <w:pStyle w:val="Heading6"/>
        <w:spacing w:line="240" w:lineRule="auto" w:before="35"/>
        <w:ind w:right="0"/>
        <w:jc w:val="left"/>
        <w:rPr>
          <w:b w:val="0"/>
          <w:bCs w:val="0"/>
        </w:rPr>
      </w:pPr>
      <w:bookmarkStart w:name="（5）因金融资产转移而终止确认的应收账款" w:id="234"/>
      <w:bookmarkEnd w:id="234"/>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6）转移应收账款且继续涉入形成的资产、负债金额" w:id="235"/>
      <w:bookmarkEnd w:id="235"/>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6、预付款项" w:id="236"/>
      <w:bookmarkEnd w:id="236"/>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预付款项按账龄列示" w:id="237"/>
      <w:bookmarkEnd w:id="237"/>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5"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10,882,697.89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14,337,562.68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86.95%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334,411.00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955,873.08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112,245.08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1,195,818.87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11,360,153.97</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16,489,254.63</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1"/>
        <w:rPr>
          <w:rFonts w:ascii="宋体" w:hAnsi="宋体" w:cs="宋体" w:eastAsia="宋体" w:hint="default"/>
          <w:sz w:val="25"/>
          <w:szCs w:val="25"/>
        </w:rPr>
      </w:pPr>
    </w:p>
    <w:p>
      <w:pPr>
        <w:pStyle w:val="Heading6"/>
        <w:spacing w:line="240" w:lineRule="auto"/>
        <w:ind w:left="1134" w:right="0"/>
        <w:jc w:val="left"/>
        <w:rPr>
          <w:b w:val="0"/>
          <w:bCs w:val="0"/>
        </w:rPr>
      </w:pPr>
      <w:bookmarkStart w:name="（2）按预付对象归集的期末余额前五名的预付款情况" w:id="238"/>
      <w:bookmarkEnd w:id="238"/>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97" w:type="dxa"/>
        <w:tblLayout w:type="fixed"/>
        <w:tblCellMar>
          <w:top w:w="0" w:type="dxa"/>
          <w:left w:w="0" w:type="dxa"/>
          <w:bottom w:w="0" w:type="dxa"/>
          <w:right w:w="0" w:type="dxa"/>
        </w:tblCellMar>
        <w:tblLook w:val="01E0"/>
      </w:tblPr>
      <w:tblGrid>
        <w:gridCol w:w="3076"/>
        <w:gridCol w:w="2325"/>
        <w:gridCol w:w="2355"/>
      </w:tblGrid>
      <w:tr>
        <w:trPr>
          <w:trHeight w:val="668" w:hRule="exact"/>
        </w:trPr>
        <w:tc>
          <w:tcPr>
            <w:tcW w:w="30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3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55"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21"/>
              <w:ind w:left="374" w:right="380" w:firstLine="74"/>
              <w:jc w:val="left"/>
              <w:rPr>
                <w:rFonts w:ascii="宋体" w:hAnsi="宋体" w:cs="宋体" w:eastAsia="宋体" w:hint="default"/>
                <w:sz w:val="18"/>
                <w:szCs w:val="18"/>
              </w:rPr>
            </w:pPr>
            <w:r>
              <w:rPr>
                <w:rFonts w:ascii="宋体" w:hAnsi="宋体" w:cs="宋体" w:eastAsia="宋体" w:hint="default"/>
                <w:sz w:val="18"/>
                <w:szCs w:val="18"/>
              </w:rPr>
              <w:t>占预付款期末余额 合计数的比例（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2" w:hRule="exact"/>
        </w:trPr>
        <w:tc>
          <w:tcPr>
            <w:tcW w:w="3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634,800.80</w:t>
            </w:r>
          </w:p>
        </w:tc>
        <w:tc>
          <w:tcPr>
            <w:tcW w:w="235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5.59</w:t>
            </w:r>
          </w:p>
        </w:tc>
      </w:tr>
      <w:tr>
        <w:trPr>
          <w:trHeight w:val="352" w:hRule="exact"/>
        </w:trPr>
        <w:tc>
          <w:tcPr>
            <w:tcW w:w="3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615,000.00</w:t>
            </w:r>
          </w:p>
        </w:tc>
        <w:tc>
          <w:tcPr>
            <w:tcW w:w="235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5.41</w:t>
            </w:r>
          </w:p>
        </w:tc>
      </w:tr>
      <w:tr>
        <w:trPr>
          <w:trHeight w:val="353" w:hRule="exact"/>
        </w:trPr>
        <w:tc>
          <w:tcPr>
            <w:tcW w:w="3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610,500.00</w:t>
            </w:r>
          </w:p>
        </w:tc>
        <w:tc>
          <w:tcPr>
            <w:tcW w:w="235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5.37</w:t>
            </w:r>
          </w:p>
        </w:tc>
      </w:tr>
      <w:tr>
        <w:trPr>
          <w:trHeight w:val="352" w:hRule="exact"/>
        </w:trPr>
        <w:tc>
          <w:tcPr>
            <w:tcW w:w="3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562,111.41</w:t>
            </w:r>
          </w:p>
        </w:tc>
        <w:tc>
          <w:tcPr>
            <w:tcW w:w="235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4.95</w:t>
            </w:r>
          </w:p>
        </w:tc>
      </w:tr>
      <w:tr>
        <w:trPr>
          <w:trHeight w:val="352" w:hRule="exact"/>
        </w:trPr>
        <w:tc>
          <w:tcPr>
            <w:tcW w:w="3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560,000.00</w:t>
            </w:r>
          </w:p>
        </w:tc>
        <w:tc>
          <w:tcPr>
            <w:tcW w:w="235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4.93</w:t>
            </w:r>
          </w:p>
        </w:tc>
      </w:tr>
      <w:tr>
        <w:trPr>
          <w:trHeight w:val="353" w:hRule="exact"/>
        </w:trPr>
        <w:tc>
          <w:tcPr>
            <w:tcW w:w="3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3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2,982,412.21</w:t>
            </w:r>
          </w:p>
        </w:tc>
        <w:tc>
          <w:tcPr>
            <w:tcW w:w="235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26.25</w:t>
            </w:r>
          </w:p>
        </w:tc>
      </w:tr>
    </w:tbl>
    <w:p>
      <w:pPr>
        <w:spacing w:line="240" w:lineRule="auto" w:before="5"/>
        <w:rPr>
          <w:rFonts w:ascii="宋体" w:hAnsi="宋体" w:cs="宋体" w:eastAsia="宋体" w:hint="default"/>
          <w:b/>
          <w:bCs/>
          <w:sz w:val="24"/>
          <w:szCs w:val="24"/>
        </w:rPr>
      </w:pPr>
    </w:p>
    <w:p>
      <w:pPr>
        <w:pStyle w:val="BodyText"/>
        <w:spacing w:line="240" w:lineRule="auto"/>
        <w:ind w:left="1134"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7、应收利息" w:id="239"/>
      <w:bookmarkEnd w:id="239"/>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134" w:right="0"/>
        <w:jc w:val="left"/>
        <w:rPr>
          <w:b w:val="0"/>
          <w:bCs w:val="0"/>
        </w:rPr>
      </w:pPr>
      <w:bookmarkStart w:name="（1）应收利息分类" w:id="240"/>
      <w:bookmarkEnd w:id="240"/>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2）重要逾期利息" w:id="241"/>
      <w:bookmarkEnd w:id="241"/>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8、应收股利" w:id="242"/>
      <w:bookmarkEnd w:id="242"/>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134" w:right="0"/>
        <w:jc w:val="left"/>
        <w:rPr>
          <w:b w:val="0"/>
          <w:bCs w:val="0"/>
        </w:rPr>
      </w:pPr>
      <w:bookmarkStart w:name="（1）应收股利" w:id="243"/>
      <w:bookmarkEnd w:id="243"/>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6"/>
        <w:spacing w:line="240" w:lineRule="auto" w:before="35"/>
        <w:ind w:left="1134" w:right="0"/>
        <w:jc w:val="left"/>
        <w:rPr>
          <w:b w:val="0"/>
          <w:bCs w:val="0"/>
        </w:rPr>
      </w:pPr>
      <w:bookmarkStart w:name="（2）重要的账龄超过1年的应收股利" w:id="244"/>
      <w:bookmarkEnd w:id="244"/>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9、其他应收款" w:id="245"/>
      <w:bookmarkEnd w:id="245"/>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其他应收款分类披露" w:id="246"/>
      <w:bookmarkEnd w:id="246"/>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44,348,5</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84.40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6,173,96</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4.09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13.92%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38,174,62</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0.31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32,029,</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448.73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3,917,790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12.23%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28,111,658.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49</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44,348,5</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84.40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6,173,96</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4.09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13.92%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38,174,62</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0.31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32,029,</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448.73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3,917,790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12.23%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28,111,658.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49</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7177"/>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380"/>
        <w:gridCol w:w="2393"/>
        <w:gridCol w:w="2392"/>
        <w:gridCol w:w="2392"/>
      </w:tblGrid>
      <w:tr>
        <w:trPr>
          <w:trHeight w:val="407"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26,130,983.39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1,306,549.17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9,122,720.56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912,272.06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5,761,214.10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1,728,364.23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1,818,665.85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909,332.93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658,516.00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460,961.20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856,484.50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856,484.50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44,348,584.40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6,173,964.09</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134" w:right="6252"/>
        <w:jc w:val="left"/>
      </w:pPr>
      <w:r>
        <w:rPr/>
        <w:t>确定该组合依据的说明： 组合中，采用余额百分比法计提坏账准备的其他应收款：</w:t>
      </w:r>
    </w:p>
    <w:p>
      <w:pPr>
        <w:pStyle w:val="BodyText"/>
        <w:spacing w:line="340"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2）本期计提、收回或转回的坏账准备情况" w:id="247"/>
      <w:bookmarkEnd w:id="24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38" w:lineRule="auto"/>
        <w:ind w:right="-12"/>
        <w:jc w:val="left"/>
      </w:pPr>
      <w:r>
        <w:rPr/>
        <w:t>本期计提坏账准备金额</w:t>
      </w:r>
      <w:r>
        <w:rPr>
          <w:spacing w:val="-47"/>
        </w:rPr>
        <w:t> </w:t>
      </w:r>
      <w:r>
        <w:rPr>
          <w:rFonts w:ascii="Times New Roman" w:hAnsi="Times New Roman" w:cs="Times New Roman" w:eastAsia="Times New Roman" w:hint="default"/>
        </w:rPr>
        <w:t>2,256,173.85</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7434" w:space="1395"/>
            <w:col w:w="308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6"/>
        <w:spacing w:line="240" w:lineRule="auto" w:before="35"/>
        <w:ind w:left="1134" w:right="0"/>
        <w:jc w:val="left"/>
        <w:rPr>
          <w:b w:val="0"/>
          <w:bCs w:val="0"/>
        </w:rPr>
      </w:pPr>
      <w:bookmarkStart w:name="（3）本期实际核销的其他应收款情况" w:id="248"/>
      <w:bookmarkEnd w:id="248"/>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134" w:right="0"/>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134" w:right="0"/>
        <w:jc w:val="left"/>
      </w:pPr>
      <w:r>
        <w:rPr/>
        <w:t>其他应收款核销说明：</w:t>
      </w:r>
    </w:p>
    <w:p>
      <w:pPr>
        <w:spacing w:line="240" w:lineRule="auto" w:before="11"/>
        <w:rPr>
          <w:rFonts w:ascii="宋体" w:hAnsi="宋体" w:cs="宋体" w:eastAsia="宋体" w:hint="default"/>
          <w:sz w:val="26"/>
          <w:szCs w:val="26"/>
        </w:rPr>
      </w:pPr>
    </w:p>
    <w:p>
      <w:pPr>
        <w:pStyle w:val="Heading6"/>
        <w:spacing w:line="240" w:lineRule="auto"/>
        <w:ind w:left="1134" w:right="0"/>
        <w:jc w:val="left"/>
        <w:rPr>
          <w:b w:val="0"/>
          <w:bCs w:val="0"/>
        </w:rPr>
      </w:pPr>
      <w:bookmarkStart w:name="（4）其他应收款按款项性质分类情况" w:id="249"/>
      <w:bookmarkEnd w:id="249"/>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37,604,404.90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27,864,756.10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5,590,219.39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3,479,397.27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973,228.21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684,907.36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180,731.90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44,348,584.40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32,029,448.73</w:t>
            </w:r>
          </w:p>
        </w:tc>
      </w:tr>
    </w:tbl>
    <w:p>
      <w:pPr>
        <w:spacing w:line="240" w:lineRule="auto" w:before="3"/>
        <w:rPr>
          <w:rFonts w:ascii="宋体" w:hAnsi="宋体" w:cs="宋体" w:eastAsia="宋体" w:hint="default"/>
          <w:sz w:val="19"/>
          <w:szCs w:val="19"/>
        </w:rPr>
      </w:pPr>
    </w:p>
    <w:p>
      <w:pPr>
        <w:pStyle w:val="Heading6"/>
        <w:spacing w:line="240" w:lineRule="auto" w:before="35"/>
        <w:ind w:left="1134" w:right="0"/>
        <w:jc w:val="left"/>
        <w:rPr>
          <w:b w:val="0"/>
          <w:bCs w:val="0"/>
        </w:rPr>
      </w:pPr>
      <w:bookmarkStart w:name="（5）按欠款方归集的期末余额前五名的其他应收款情况" w:id="250"/>
      <w:bookmarkEnd w:id="250"/>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1,854,548.00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174,266.40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1,355,577.80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135,557.78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1,221,670.00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74,917.00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1,147,237.20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413,064.43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11,079,033.00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1,072,805.61</w:t>
            </w:r>
          </w:p>
        </w:tc>
      </w:tr>
    </w:tbl>
    <w:p>
      <w:pPr>
        <w:spacing w:line="240" w:lineRule="auto" w:before="2"/>
        <w:rPr>
          <w:rFonts w:ascii="宋体" w:hAnsi="宋体" w:cs="宋体" w:eastAsia="宋体" w:hint="default"/>
          <w:sz w:val="19"/>
          <w:szCs w:val="19"/>
        </w:rPr>
      </w:pPr>
    </w:p>
    <w:p>
      <w:pPr>
        <w:pStyle w:val="Heading6"/>
        <w:spacing w:line="240" w:lineRule="auto" w:before="35"/>
        <w:ind w:left="1134" w:right="0"/>
        <w:jc w:val="left"/>
        <w:rPr>
          <w:b w:val="0"/>
          <w:bCs w:val="0"/>
        </w:rPr>
      </w:pPr>
      <w:bookmarkStart w:name="（6）涉及政府补助的应收款项" w:id="251"/>
      <w:bookmarkEnd w:id="251"/>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6"/>
        <w:spacing w:line="240" w:lineRule="auto" w:before="35"/>
        <w:ind w:left="1134" w:right="0"/>
        <w:jc w:val="left"/>
        <w:rPr>
          <w:b w:val="0"/>
          <w:bCs w:val="0"/>
        </w:rPr>
      </w:pPr>
      <w:bookmarkStart w:name="（7）因金融资产转移而终止确认的其他应收款" w:id="252"/>
      <w:bookmarkEnd w:id="252"/>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0"/>
        <w:jc w:val="left"/>
        <w:rPr>
          <w:b w:val="0"/>
          <w:bCs w:val="0"/>
        </w:rPr>
      </w:pPr>
      <w:bookmarkStart w:name="（8）转移其他应收款且继续涉入形成的资产、负债金额" w:id="253"/>
      <w:bookmarkEnd w:id="253"/>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10、存货" w:id="254"/>
      <w:bookmarkEnd w:id="254"/>
      <w:r>
        <w:rPr>
          <w:b w:val="0"/>
          <w:bCs w:val="0"/>
        </w:rPr>
      </w:r>
      <w:r>
        <w:rPr>
          <w:rFonts w:ascii="Times New Roman" w:hAnsi="Times New Roman" w:cs="Times New Roman" w:eastAsia="Times New Roman" w:hint="default"/>
        </w:rPr>
        <w:t>10</w:t>
      </w:r>
      <w:r>
        <w:rPr/>
        <w:t>、存货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134" w:right="0"/>
        <w:jc w:val="left"/>
        <w:rPr>
          <w:b w:val="0"/>
          <w:bCs w:val="0"/>
        </w:rPr>
      </w:pPr>
      <w:bookmarkStart w:name="（1）存货分类" w:id="255"/>
      <w:bookmarkEnd w:id="255"/>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198,499.20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198,499.20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191,248.10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191,248.10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未完工项目成本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139,587,280.65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139,587,280.65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87,778,395.78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87,778,395.78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139,785,779.85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139,785,779.85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87,969,643.88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87,969,643.88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2）存货跌价准备" w:id="256"/>
      <w:bookmarkEnd w:id="256"/>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6"/>
        <w:spacing w:line="240" w:lineRule="auto" w:before="35"/>
        <w:ind w:left="1134" w:right="0"/>
        <w:jc w:val="left"/>
        <w:rPr>
          <w:b w:val="0"/>
          <w:bCs w:val="0"/>
        </w:rPr>
      </w:pPr>
      <w:bookmarkStart w:name="（3）存货期末余额含有借款费用资本化金额的说明" w:id="257"/>
      <w:bookmarkEnd w:id="257"/>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0"/>
        <w:jc w:val="left"/>
        <w:rPr>
          <w:b w:val="0"/>
          <w:bCs w:val="0"/>
        </w:rPr>
      </w:pPr>
      <w:bookmarkStart w:name="（4）期末建造合同形成的已完工未结算资产情况" w:id="258"/>
      <w:bookmarkEnd w:id="258"/>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11、划分为持有待售的资产" w:id="259"/>
      <w:bookmarkEnd w:id="259"/>
      <w:r>
        <w:rPr>
          <w:b w:val="0"/>
          <w:bCs w:val="0"/>
        </w:rPr>
      </w:r>
      <w:r>
        <w:rPr>
          <w:rFonts w:ascii="Times New Roman" w:hAnsi="Times New Roman" w:cs="Times New Roman" w:eastAsia="Times New Roman" w:hint="default"/>
        </w:rPr>
        <w:t>11</w:t>
      </w:r>
      <w:r>
        <w:rPr/>
        <w:t>、划分为持有待售的资产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12、一年内到期的非流动资产" w:id="260"/>
      <w:bookmarkEnd w:id="260"/>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13、其他流动资产" w:id="261"/>
      <w:bookmarkEnd w:id="261"/>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预缴增值税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236,610.37</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预缴营业税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333,644.63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50,728.92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增值税留抵税额</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647,124.10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预缴其他税费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9,700.60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579,955.60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697,853.02</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14、可供出售金融资产" w:id="262"/>
      <w:bookmarkEnd w:id="262"/>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可供出售金融资产情况" w:id="263"/>
      <w:bookmarkEnd w:id="263"/>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001"/>
        <w:gridCol w:w="1195"/>
        <w:gridCol w:w="1196"/>
        <w:gridCol w:w="1196"/>
        <w:gridCol w:w="1248"/>
        <w:gridCol w:w="1367"/>
        <w:gridCol w:w="1364"/>
      </w:tblGrid>
      <w:tr>
        <w:trPr>
          <w:trHeight w:val="402" w:hRule="exact"/>
        </w:trPr>
        <w:tc>
          <w:tcPr>
            <w:tcW w:w="2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1"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6"/>
        <w:spacing w:line="240" w:lineRule="auto" w:before="35"/>
        <w:ind w:left="1134" w:right="0"/>
        <w:jc w:val="left"/>
        <w:rPr>
          <w:b w:val="0"/>
          <w:bCs w:val="0"/>
        </w:rPr>
      </w:pPr>
      <w:bookmarkStart w:name="（2）期末按公允价值计量的可供出售金融资产" w:id="264"/>
      <w:bookmarkEnd w:id="264"/>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6"/>
        <w:spacing w:line="240" w:lineRule="auto" w:before="35"/>
        <w:ind w:left="1134" w:right="0"/>
        <w:jc w:val="left"/>
        <w:rPr>
          <w:b w:val="0"/>
          <w:bCs w:val="0"/>
        </w:rPr>
      </w:pPr>
      <w:bookmarkStart w:name="（3）期末按成本计量的可供出售金融资产" w:id="265"/>
      <w:bookmarkEnd w:id="265"/>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6"/>
        <w:spacing w:line="240" w:lineRule="auto" w:before="35"/>
        <w:ind w:left="1134" w:right="0"/>
        <w:jc w:val="left"/>
        <w:rPr>
          <w:b w:val="0"/>
          <w:bCs w:val="0"/>
        </w:rPr>
      </w:pPr>
      <w:bookmarkStart w:name="（4）报告期内可供出售金融资产减值的变动情况" w:id="266"/>
      <w:bookmarkEnd w:id="266"/>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6"/>
        <w:spacing w:line="240" w:lineRule="auto" w:before="35"/>
        <w:ind w:left="1134" w:right="0"/>
        <w:jc w:val="left"/>
        <w:rPr>
          <w:b w:val="0"/>
          <w:bCs w:val="0"/>
        </w:rPr>
      </w:pPr>
      <w:bookmarkStart w:name="（5）可供出售权益工具期末公允价值严重下跌或非暂时性下跌但未计提减值准备的相关说" w:id="267"/>
      <w:bookmarkEnd w:id="267"/>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15、持有至到期投资" w:id="268"/>
      <w:bookmarkEnd w:id="268"/>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持有至到期投资情况" w:id="269"/>
      <w:bookmarkEnd w:id="269"/>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2）期末重要的持有至到期投资" w:id="270"/>
      <w:bookmarkEnd w:id="270"/>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6"/>
        <w:spacing w:line="240" w:lineRule="auto" w:before="35"/>
        <w:ind w:left="1134" w:right="0"/>
        <w:jc w:val="left"/>
        <w:rPr>
          <w:b w:val="0"/>
          <w:bCs w:val="0"/>
        </w:rPr>
      </w:pPr>
      <w:bookmarkStart w:name="（3）本期重分类的持有至到期投资" w:id="271"/>
      <w:bookmarkEnd w:id="271"/>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left="1134" w:right="0"/>
        <w:jc w:val="left"/>
        <w:rPr>
          <w:b w:val="0"/>
          <w:bCs w:val="0"/>
        </w:rPr>
      </w:pPr>
      <w:bookmarkStart w:name="16、长期应收款" w:id="272"/>
      <w:bookmarkEnd w:id="272"/>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134" w:right="0"/>
        <w:jc w:val="left"/>
        <w:rPr>
          <w:b w:val="0"/>
          <w:bCs w:val="0"/>
        </w:rPr>
      </w:pPr>
      <w:bookmarkStart w:name="（1）长期应收款情况" w:id="273"/>
      <w:bookmarkEnd w:id="273"/>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6"/>
        <w:spacing w:line="240" w:lineRule="auto" w:before="35"/>
        <w:ind w:left="1134" w:right="0"/>
        <w:jc w:val="left"/>
        <w:rPr>
          <w:b w:val="0"/>
          <w:bCs w:val="0"/>
        </w:rPr>
      </w:pPr>
      <w:bookmarkStart w:name="（2）因金融资产转移而终止确认的长期应收款" w:id="274"/>
      <w:bookmarkEnd w:id="274"/>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0"/>
        <w:jc w:val="left"/>
        <w:rPr>
          <w:b w:val="0"/>
          <w:bCs w:val="0"/>
        </w:rPr>
      </w:pPr>
      <w:bookmarkStart w:name="（3）转移长期应收款且继续涉入形成的资产、负债金额" w:id="275"/>
      <w:bookmarkEnd w:id="275"/>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17、长期股权投资" w:id="276"/>
      <w:bookmarkEnd w:id="276"/>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18、投资性房地产" w:id="277"/>
      <w:bookmarkEnd w:id="277"/>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134" w:right="0"/>
        <w:jc w:val="left"/>
        <w:rPr>
          <w:b w:val="0"/>
          <w:bCs w:val="0"/>
        </w:rPr>
      </w:pPr>
      <w:bookmarkStart w:name="（1）采用成本计量模式的投资性房地产" w:id="278"/>
      <w:bookmarkEnd w:id="278"/>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2）采用公允价值计量模式的投资性房地产" w:id="279"/>
      <w:bookmarkEnd w:id="279"/>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3）未办妥产权证书的投资性房地产情况" w:id="280"/>
      <w:bookmarkEnd w:id="280"/>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19、固定资产" w:id="281"/>
      <w:bookmarkEnd w:id="281"/>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134" w:right="0"/>
        <w:jc w:val="left"/>
        <w:rPr>
          <w:b w:val="0"/>
          <w:bCs w:val="0"/>
        </w:rPr>
      </w:pPr>
      <w:bookmarkStart w:name="（1）固定资产情况" w:id="282"/>
      <w:bookmarkEnd w:id="282"/>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电子设备</w:t>
            </w:r>
          </w:p>
        </w:tc>
        <w:tc>
          <w:tcPr>
            <w:tcW w:w="2392"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3,020,354.67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10,485,302.79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13,505,657.46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712,975.00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7,771,098.91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8,484,073.91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712,975.00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7,771,098.91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8,484,073.91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6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6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3,733,329.67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18,256,401.70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21,989,731.37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1,916,455.90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6,128,941.03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8,045,396.93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625,845.94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2,691,753.56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3,317,599.50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625,845.94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2,691,753.56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3,317,599.50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2,542,301.84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8,820,694.59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11,362,996.43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1,191,027.83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9,435,707.11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10,626,734.94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1,103,898.77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4,356,361.76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5,460,260.53</w:t>
            </w:r>
          </w:p>
        </w:tc>
      </w:tr>
    </w:tbl>
    <w:p>
      <w:pPr>
        <w:spacing w:line="240" w:lineRule="auto" w:before="2"/>
        <w:rPr>
          <w:rFonts w:ascii="宋体" w:hAnsi="宋体" w:cs="宋体" w:eastAsia="宋体" w:hint="default"/>
          <w:sz w:val="19"/>
          <w:szCs w:val="19"/>
        </w:rPr>
      </w:pPr>
    </w:p>
    <w:p>
      <w:pPr>
        <w:pStyle w:val="Heading6"/>
        <w:spacing w:line="240" w:lineRule="auto" w:before="35"/>
        <w:ind w:left="1134" w:right="0"/>
        <w:jc w:val="left"/>
        <w:rPr>
          <w:b w:val="0"/>
          <w:bCs w:val="0"/>
        </w:rPr>
      </w:pPr>
      <w:bookmarkStart w:name="（2）暂时闲置的固定资产情况" w:id="283"/>
      <w:bookmarkEnd w:id="283"/>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6"/>
        <w:spacing w:line="240" w:lineRule="auto" w:before="35"/>
        <w:ind w:left="1134" w:right="0"/>
        <w:jc w:val="left"/>
        <w:rPr>
          <w:b w:val="0"/>
          <w:bCs w:val="0"/>
        </w:rPr>
      </w:pPr>
      <w:bookmarkStart w:name="（3）通过融资租赁租入的固定资产情况" w:id="284"/>
      <w:bookmarkEnd w:id="284"/>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6"/>
        <w:spacing w:line="240" w:lineRule="auto" w:before="35"/>
        <w:ind w:left="1134" w:right="0"/>
        <w:jc w:val="left"/>
        <w:rPr>
          <w:b w:val="0"/>
          <w:bCs w:val="0"/>
        </w:rPr>
      </w:pPr>
      <w:bookmarkStart w:name="（4）通过经营租赁租出的固定资产" w:id="285"/>
      <w:bookmarkEnd w:id="285"/>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6"/>
        <w:spacing w:line="240" w:lineRule="auto" w:before="35"/>
        <w:ind w:left="1134" w:right="0"/>
        <w:jc w:val="left"/>
        <w:rPr>
          <w:b w:val="0"/>
          <w:bCs w:val="0"/>
        </w:rPr>
      </w:pPr>
      <w:bookmarkStart w:name="（5）未办妥产权证书的固定资产情况" w:id="286"/>
      <w:bookmarkEnd w:id="286"/>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0、在建工程" w:id="287"/>
      <w:bookmarkEnd w:id="287"/>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134" w:right="0"/>
        <w:jc w:val="left"/>
        <w:rPr>
          <w:b w:val="0"/>
          <w:bCs w:val="0"/>
        </w:rPr>
      </w:pPr>
      <w:bookmarkStart w:name="（1）在建工程情况" w:id="288"/>
      <w:bookmarkEnd w:id="288"/>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4102"/>
        <w:gridCol w:w="4102"/>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光典食品追溯信 息服务云平台项 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8,910,316.81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8,910,316.81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2,293,266.38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2,293,266.38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8,910,316.81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8,910,316.81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2,293,266.38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2,293,266.38</w:t>
            </w:r>
          </w:p>
        </w:tc>
      </w:tr>
    </w:tbl>
    <w:p>
      <w:pPr>
        <w:spacing w:line="240" w:lineRule="auto" w:before="2"/>
        <w:rPr>
          <w:rFonts w:ascii="宋体" w:hAnsi="宋体" w:cs="宋体" w:eastAsia="宋体" w:hint="default"/>
          <w:sz w:val="19"/>
          <w:szCs w:val="19"/>
        </w:rPr>
      </w:pPr>
    </w:p>
    <w:p>
      <w:pPr>
        <w:pStyle w:val="Heading6"/>
        <w:spacing w:line="240" w:lineRule="auto" w:before="35"/>
        <w:ind w:left="1134" w:right="0"/>
        <w:jc w:val="left"/>
        <w:rPr>
          <w:b w:val="0"/>
          <w:bCs w:val="0"/>
        </w:rPr>
      </w:pPr>
      <w:bookmarkStart w:name="（2）重要在建工程项目本期变动情况" w:id="289"/>
      <w:bookmarkEnd w:id="289"/>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9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59"/>
              <w:jc w:val="both"/>
              <w:rPr>
                <w:rFonts w:ascii="宋体" w:hAnsi="宋体" w:cs="宋体" w:eastAsia="宋体" w:hint="default"/>
                <w:sz w:val="18"/>
                <w:szCs w:val="18"/>
              </w:rPr>
            </w:pPr>
            <w:r>
              <w:rPr>
                <w:rFonts w:ascii="宋体" w:hAnsi="宋体" w:cs="宋体" w:eastAsia="宋体" w:hint="default"/>
                <w:sz w:val="18"/>
                <w:szCs w:val="18"/>
              </w:rPr>
              <w:t>光典食 品追溯 信息服 务云平 台项目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63,100,0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2,293,26</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6.38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4,453,28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7.45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6,746,55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3.83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项目设 计与开 发基本 </w:t>
            </w:r>
            <w:r>
              <w:rPr>
                <w:rFonts w:ascii="宋体" w:hAnsi="宋体" w:cs="宋体" w:eastAsia="宋体" w:hint="default"/>
                <w:spacing w:val="-10"/>
                <w:sz w:val="18"/>
                <w:szCs w:val="18"/>
              </w:rPr>
              <w:t>完成，试</w:t>
            </w:r>
            <w:r>
              <w:rPr>
                <w:rFonts w:ascii="宋体" w:hAnsi="宋体" w:cs="宋体" w:eastAsia="宋体" w:hint="default"/>
                <w:sz w:val="18"/>
                <w:szCs w:val="18"/>
              </w:rPr>
              <w:t> 运行过 程中</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厂房</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2,163,76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2.98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2,163,76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2.98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both"/>
              <w:rPr>
                <w:rFonts w:ascii="宋体" w:hAnsi="宋体" w:cs="宋体" w:eastAsia="宋体" w:hint="default"/>
                <w:sz w:val="18"/>
                <w:szCs w:val="18"/>
              </w:rPr>
            </w:pPr>
            <w:r>
              <w:rPr>
                <w:rFonts w:ascii="宋体" w:hAnsi="宋体" w:cs="宋体" w:eastAsia="宋体" w:hint="default"/>
                <w:spacing w:val="-10"/>
                <w:sz w:val="18"/>
                <w:szCs w:val="18"/>
              </w:rPr>
              <w:t>设计、勘</w:t>
            </w:r>
            <w:r>
              <w:rPr>
                <w:rFonts w:ascii="宋体" w:hAnsi="宋体" w:cs="宋体" w:eastAsia="宋体" w:hint="default"/>
                <w:sz w:val="18"/>
                <w:szCs w:val="18"/>
              </w:rPr>
              <w:t> </w:t>
            </w:r>
            <w:r>
              <w:rPr>
                <w:rFonts w:ascii="宋体" w:hAnsi="宋体" w:cs="宋体" w:eastAsia="宋体" w:hint="default"/>
                <w:spacing w:val="-10"/>
                <w:sz w:val="18"/>
                <w:szCs w:val="18"/>
              </w:rPr>
              <w:t>测、筹备</w:t>
            </w:r>
            <w:r>
              <w:rPr>
                <w:rFonts w:ascii="宋体" w:hAnsi="宋体" w:cs="宋体" w:eastAsia="宋体" w:hint="default"/>
                <w:sz w:val="18"/>
                <w:szCs w:val="18"/>
              </w:rPr>
              <w:t> 阶段</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363,100,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2,293,26</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6.38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6,617,05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0.43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8,910,31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6.81</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6"/>
        <w:spacing w:line="240" w:lineRule="auto" w:before="35"/>
        <w:ind w:left="1134" w:right="0"/>
        <w:jc w:val="left"/>
        <w:rPr>
          <w:b w:val="0"/>
          <w:bCs w:val="0"/>
        </w:rPr>
      </w:pPr>
      <w:bookmarkStart w:name="（3）本期计提在建工程减值准备情况" w:id="290"/>
      <w:bookmarkEnd w:id="290"/>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21、工程物资" w:id="291"/>
      <w:bookmarkEnd w:id="291"/>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2、固定资产清理" w:id="292"/>
      <w:bookmarkEnd w:id="292"/>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23、生产性生物资产" w:id="293"/>
      <w:bookmarkEnd w:id="293"/>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采用成本计量模式的生产性生物资产" w:id="294"/>
      <w:bookmarkEnd w:id="294"/>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2）采用公允价值计量模式的生产性生物资产" w:id="295"/>
      <w:bookmarkEnd w:id="295"/>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bookmarkStart w:name="24、油气资产" w:id="296"/>
      <w:bookmarkEnd w:id="296"/>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bookmarkStart w:name="25、无形资产" w:id="297"/>
      <w:bookmarkEnd w:id="297"/>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0"/>
        <w:jc w:val="left"/>
        <w:rPr>
          <w:b w:val="0"/>
          <w:bCs w:val="0"/>
        </w:rPr>
      </w:pPr>
      <w:bookmarkStart w:name="（1）无形资产情况" w:id="298"/>
      <w:bookmarkEnd w:id="298"/>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32,388,620.00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2,324,481.35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34,713,101.35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131,076.92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131,076.92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131,076.92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131,076.92</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32,388,620.00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2,455,558.27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34,844,178.27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539,810.33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576,394.95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1,116,205.28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647,772.36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252,359.96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900,132.32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647,772.36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252,359.96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900,132.32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1,187,582.69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828,754.91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2,016,337.60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31,201,037.31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1,626,803.36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32,827,840.67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31,848,809.67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1,748,086.40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33,596,896.07</w:t>
            </w:r>
          </w:p>
        </w:tc>
      </w:tr>
    </w:tbl>
    <w:p>
      <w:pPr>
        <w:pStyle w:val="BodyText"/>
        <w:spacing w:line="240" w:lineRule="auto" w:before="51"/>
        <w:ind w:left="1134" w:right="0"/>
        <w:jc w:val="left"/>
      </w:pPr>
      <w:r>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未办妥产权证书的土地使用权情况" w:id="299"/>
      <w:bookmarkEnd w:id="299"/>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6、开发支出" w:id="300"/>
      <w:bookmarkEnd w:id="300"/>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4"/>
        <w:gridCol w:w="1063"/>
        <w:gridCol w:w="3189"/>
        <w:gridCol w:w="3190"/>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27、商誉" w:id="301"/>
      <w:bookmarkEnd w:id="301"/>
      <w:r>
        <w:rPr>
          <w:b w:val="0"/>
          <w:bCs w:val="0"/>
        </w:rPr>
      </w: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134" w:right="0"/>
        <w:jc w:val="left"/>
        <w:rPr>
          <w:b w:val="0"/>
          <w:bCs w:val="0"/>
        </w:rPr>
      </w:pPr>
      <w:bookmarkStart w:name="（1）商誉账面原值" w:id="302"/>
      <w:bookmarkEnd w:id="302"/>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上海追索信息科 技有限公司</w:t>
            </w:r>
          </w:p>
        </w:tc>
        <w:tc>
          <w:tcPr>
            <w:tcW w:w="136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8" w:right="0"/>
              <w:jc w:val="left"/>
              <w:rPr>
                <w:rFonts w:ascii="Times New Roman" w:hAnsi="Times New Roman" w:cs="Times New Roman" w:eastAsia="Times New Roman" w:hint="default"/>
                <w:sz w:val="18"/>
                <w:szCs w:val="18"/>
              </w:rPr>
            </w:pPr>
            <w:r>
              <w:rPr>
                <w:rFonts w:ascii="Times New Roman"/>
                <w:sz w:val="18"/>
              </w:rPr>
              <w:t>10,737,367.68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10,737,367.68</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88" w:right="0"/>
              <w:jc w:val="left"/>
              <w:rPr>
                <w:rFonts w:ascii="Times New Roman" w:hAnsi="Times New Roman" w:cs="Times New Roman" w:eastAsia="Times New Roman" w:hint="default"/>
                <w:sz w:val="18"/>
                <w:szCs w:val="18"/>
              </w:rPr>
            </w:pPr>
            <w:r>
              <w:rPr>
                <w:rFonts w:ascii="Times New Roman"/>
                <w:sz w:val="18"/>
              </w:rPr>
              <w:t>10,737,367.68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10,737,367.68</w:t>
            </w:r>
          </w:p>
        </w:tc>
      </w:tr>
    </w:tbl>
    <w:p>
      <w:pPr>
        <w:spacing w:line="240" w:lineRule="auto" w:before="2"/>
        <w:rPr>
          <w:rFonts w:ascii="宋体" w:hAnsi="宋体" w:cs="宋体" w:eastAsia="宋体" w:hint="default"/>
          <w:sz w:val="19"/>
          <w:szCs w:val="19"/>
        </w:rPr>
      </w:pPr>
    </w:p>
    <w:p>
      <w:pPr>
        <w:pStyle w:val="Heading6"/>
        <w:spacing w:line="240" w:lineRule="auto" w:before="35"/>
        <w:ind w:left="1134" w:right="0"/>
        <w:jc w:val="left"/>
        <w:rPr>
          <w:b w:val="0"/>
          <w:bCs w:val="0"/>
        </w:rPr>
      </w:pPr>
      <w:bookmarkStart w:name="（2）商誉减值准备" w:id="303"/>
      <w:bookmarkEnd w:id="303"/>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331" w:lineRule="auto" w:before="52"/>
        <w:ind w:left="1134" w:right="1023"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 </w:t>
      </w:r>
      <w:r>
        <w:rPr>
          <w:rFonts w:ascii="宋体" w:hAnsi="宋体" w:cs="宋体" w:eastAsia="宋体" w:hint="default"/>
          <w:spacing w:val="-3"/>
          <w:sz w:val="21"/>
          <w:szCs w:val="21"/>
        </w:rPr>
        <w:t>本期上海追索信息科技有限公司经营正常，盈利符合预期，经测试其商誉不存在减值情况，无需计提减值。</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18"/>
          <w:szCs w:val="18"/>
        </w:rPr>
        <w:t>其他说明</w:t>
      </w:r>
    </w:p>
    <w:p>
      <w:pPr>
        <w:spacing w:line="240" w:lineRule="auto" w:before="8"/>
        <w:rPr>
          <w:rFonts w:ascii="宋体" w:hAnsi="宋体" w:cs="宋体" w:eastAsia="宋体" w:hint="default"/>
          <w:sz w:val="21"/>
          <w:szCs w:val="21"/>
        </w:rPr>
      </w:pPr>
    </w:p>
    <w:p>
      <w:pPr>
        <w:pStyle w:val="Heading6"/>
        <w:spacing w:line="240" w:lineRule="auto"/>
        <w:ind w:left="1134" w:right="0"/>
        <w:jc w:val="left"/>
        <w:rPr>
          <w:b w:val="0"/>
          <w:bCs w:val="0"/>
        </w:rPr>
      </w:pPr>
      <w:bookmarkStart w:name="28、长期待摊费用" w:id="304"/>
      <w:bookmarkEnd w:id="304"/>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9、递延所得税资产/递延所得税负债" w:id="305"/>
      <w:bookmarkEnd w:id="305"/>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未经抵销的递延所得税资产" w:id="306"/>
      <w:bookmarkEnd w:id="306"/>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25,209,029.34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3,779,009.94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14,228,941.89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2,132,577.29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9,012,545.81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1,265,853.88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4,586,542.51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675,025.12</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原资本化开发支出摊销 年限差异</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4,288,656.07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643,298.41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5,914,349.83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887,152.47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38,510,231.22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5,688,162.23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24,729,834.23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3,694,754.88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2）未经抵销的递延所得税负债" w:id="307"/>
      <w:bookmarkEnd w:id="307"/>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合并中可辨认资产与计 税基础的差异</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1,203,333.45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180,500.02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1,393,333.41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209,000.01</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1,203,333.45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180,500.02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1,393,333.41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209,000.01</w:t>
            </w:r>
          </w:p>
        </w:tc>
      </w:tr>
    </w:tbl>
    <w:p>
      <w:pPr>
        <w:spacing w:line="240" w:lineRule="auto" w:before="2"/>
        <w:rPr>
          <w:rFonts w:ascii="宋体" w:hAnsi="宋体" w:cs="宋体" w:eastAsia="宋体" w:hint="default"/>
          <w:sz w:val="19"/>
          <w:szCs w:val="19"/>
        </w:rPr>
      </w:pPr>
    </w:p>
    <w:p>
      <w:pPr>
        <w:pStyle w:val="Heading6"/>
        <w:spacing w:line="240" w:lineRule="auto" w:before="35"/>
        <w:ind w:left="1134" w:right="0"/>
        <w:jc w:val="left"/>
        <w:rPr>
          <w:b w:val="0"/>
          <w:bCs w:val="0"/>
        </w:rPr>
      </w:pPr>
      <w:bookmarkStart w:name="（3）以抵销后净额列示的递延所得税资产或负债" w:id="308"/>
      <w:bookmarkEnd w:id="308"/>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61"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5,688,162.23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3,694,754.88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180,500.02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209,000.01</w:t>
            </w:r>
          </w:p>
        </w:tc>
      </w:tr>
    </w:tbl>
    <w:p>
      <w:pPr>
        <w:spacing w:line="240" w:lineRule="auto" w:before="2"/>
        <w:rPr>
          <w:rFonts w:ascii="宋体" w:hAnsi="宋体" w:cs="宋体" w:eastAsia="宋体" w:hint="default"/>
          <w:sz w:val="19"/>
          <w:szCs w:val="19"/>
        </w:rPr>
      </w:pPr>
    </w:p>
    <w:p>
      <w:pPr>
        <w:pStyle w:val="Heading6"/>
        <w:spacing w:line="240" w:lineRule="auto" w:before="35"/>
        <w:ind w:left="1134" w:right="0"/>
        <w:jc w:val="left"/>
        <w:rPr>
          <w:b w:val="0"/>
          <w:bCs w:val="0"/>
        </w:rPr>
      </w:pPr>
      <w:bookmarkStart w:name="（4）未确认递延所得税资产明细" w:id="309"/>
      <w:bookmarkEnd w:id="309"/>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6"/>
        <w:spacing w:line="240" w:lineRule="auto" w:before="35"/>
        <w:ind w:left="1134" w:right="0"/>
        <w:jc w:val="left"/>
        <w:rPr>
          <w:b w:val="0"/>
          <w:bCs w:val="0"/>
        </w:rPr>
      </w:pPr>
      <w:bookmarkStart w:name="（5）未确认递延所得税资产的可抵扣亏损将于以下年度到期" w:id="310"/>
      <w:bookmarkEnd w:id="310"/>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30、其他非流动资产" w:id="311"/>
      <w:bookmarkEnd w:id="311"/>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预付购建长期资产相关款项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327,000.00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320,754.72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327,000.00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320,754.72</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31、短期借款" w:id="312"/>
      <w:bookmarkEnd w:id="312"/>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134" w:right="0"/>
        <w:jc w:val="left"/>
        <w:rPr>
          <w:b w:val="0"/>
          <w:bCs w:val="0"/>
        </w:rPr>
      </w:pPr>
      <w:bookmarkStart w:name="（1）短期借款分类" w:id="313"/>
      <w:bookmarkEnd w:id="313"/>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83,000,000.00</w:t>
            </w:r>
          </w:p>
        </w:tc>
      </w:tr>
    </w:tbl>
    <w:p>
      <w:pPr>
        <w:pStyle w:val="BodyText"/>
        <w:spacing w:line="240" w:lineRule="auto" w:before="51"/>
        <w:ind w:left="1134" w:right="0"/>
        <w:jc w:val="left"/>
      </w:pPr>
      <w:r>
        <w:rPr/>
        <w:t>短期借款分类的说明：</w:t>
      </w:r>
    </w:p>
    <w:p>
      <w:pPr>
        <w:spacing w:line="240" w:lineRule="auto" w:before="10"/>
        <w:rPr>
          <w:rFonts w:ascii="宋体" w:hAnsi="宋体" w:cs="宋体" w:eastAsia="宋体" w:hint="default"/>
          <w:sz w:val="26"/>
          <w:szCs w:val="26"/>
        </w:rPr>
      </w:pPr>
    </w:p>
    <w:p>
      <w:pPr>
        <w:pStyle w:val="Heading6"/>
        <w:spacing w:line="240" w:lineRule="auto"/>
        <w:ind w:left="1134" w:right="0"/>
        <w:jc w:val="left"/>
        <w:rPr>
          <w:b w:val="0"/>
          <w:bCs w:val="0"/>
        </w:rPr>
      </w:pPr>
      <w:bookmarkStart w:name="（2）已逾期未偿还的短期借款情况" w:id="314"/>
      <w:bookmarkEnd w:id="314"/>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1134" w:right="0"/>
        <w:jc w:val="left"/>
      </w:pPr>
      <w:r>
        <w:rPr/>
        <w:t>本期末已逾期未偿还的短期借款总额为元，其中重要的已逾期未偿还的短期借款情况如下：</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32、以公允价值计量且其变动计入当期损益的金融负债" w:id="315"/>
      <w:bookmarkEnd w:id="315"/>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33、衍生金融负债" w:id="316"/>
      <w:bookmarkEnd w:id="316"/>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34、应付票据" w:id="317"/>
      <w:bookmarkEnd w:id="317"/>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本期末已到期未支付的应付票据总额为元。</w:t>
      </w:r>
    </w:p>
    <w:p>
      <w:pPr>
        <w:spacing w:line="240" w:lineRule="auto" w:before="11"/>
        <w:rPr>
          <w:rFonts w:ascii="宋体" w:hAnsi="宋体" w:cs="宋体" w:eastAsia="宋体" w:hint="default"/>
          <w:sz w:val="26"/>
          <w:szCs w:val="26"/>
        </w:rPr>
      </w:pPr>
    </w:p>
    <w:p>
      <w:pPr>
        <w:pStyle w:val="Heading6"/>
        <w:spacing w:line="240" w:lineRule="auto"/>
        <w:ind w:left="1134" w:right="0"/>
        <w:jc w:val="left"/>
        <w:rPr>
          <w:b w:val="0"/>
          <w:bCs w:val="0"/>
        </w:rPr>
      </w:pPr>
      <w:bookmarkStart w:name="35、应付账款" w:id="318"/>
      <w:bookmarkEnd w:id="318"/>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134" w:right="0"/>
        <w:jc w:val="left"/>
        <w:rPr>
          <w:b w:val="0"/>
          <w:bCs w:val="0"/>
        </w:rPr>
      </w:pPr>
      <w:bookmarkStart w:name="（1）应付账款列示" w:id="319"/>
      <w:bookmarkEnd w:id="319"/>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应付材料费用款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97,631,757.55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61,075,505.88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97,631,757.55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61,075,505.88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2）账龄超过1年的重要应付账款" w:id="320"/>
      <w:bookmarkEnd w:id="320"/>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36、预收款项" w:id="321"/>
      <w:bookmarkEnd w:id="321"/>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134" w:right="0"/>
        <w:jc w:val="left"/>
        <w:rPr>
          <w:b w:val="0"/>
          <w:bCs w:val="0"/>
        </w:rPr>
      </w:pPr>
      <w:bookmarkStart w:name="（1）预收款项列示" w:id="322"/>
      <w:bookmarkEnd w:id="322"/>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预收项目进度款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82,095,080.21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82,133,556.39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82,095,080.21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82,133,556.39</w:t>
            </w:r>
          </w:p>
        </w:tc>
      </w:tr>
    </w:tbl>
    <w:p>
      <w:pPr>
        <w:spacing w:line="240" w:lineRule="auto" w:before="2"/>
        <w:rPr>
          <w:rFonts w:ascii="宋体" w:hAnsi="宋体" w:cs="宋体" w:eastAsia="宋体" w:hint="default"/>
          <w:sz w:val="19"/>
          <w:szCs w:val="19"/>
        </w:rPr>
      </w:pPr>
    </w:p>
    <w:p>
      <w:pPr>
        <w:pStyle w:val="Heading6"/>
        <w:spacing w:line="240" w:lineRule="auto" w:before="35"/>
        <w:ind w:left="1134" w:right="0"/>
        <w:jc w:val="left"/>
        <w:rPr>
          <w:b w:val="0"/>
          <w:bCs w:val="0"/>
        </w:rPr>
      </w:pPr>
      <w:bookmarkStart w:name="（2）账龄超过1年的重要预收款项" w:id="323"/>
      <w:bookmarkEnd w:id="323"/>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6"/>
        <w:spacing w:line="240" w:lineRule="auto" w:before="35"/>
        <w:ind w:left="1134" w:right="0"/>
        <w:jc w:val="left"/>
        <w:rPr>
          <w:b w:val="0"/>
          <w:bCs w:val="0"/>
        </w:rPr>
      </w:pPr>
      <w:bookmarkStart w:name="（3）期末建造合同形成的已结算未完工项目情况" w:id="324"/>
      <w:bookmarkEnd w:id="324"/>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37、应付职工薪酬" w:id="325"/>
      <w:bookmarkEnd w:id="325"/>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134" w:right="0"/>
        <w:jc w:val="left"/>
        <w:rPr>
          <w:b w:val="0"/>
          <w:bCs w:val="0"/>
        </w:rPr>
      </w:pPr>
      <w:bookmarkStart w:name="（1）应付职工薪酬列示" w:id="326"/>
      <w:bookmarkEnd w:id="326"/>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1,496,026.72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177,673,822.73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177,460,432.66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1,709,416.79</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1,295,604.28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20,720,764.75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20,337,094.22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1,679,274.81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78,252.77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78,252.77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2,791,631.00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198,472,840.25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197,875,779.65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3,388,691.60</w:t>
            </w:r>
          </w:p>
        </w:tc>
      </w:tr>
    </w:tbl>
    <w:p>
      <w:pPr>
        <w:spacing w:line="240" w:lineRule="auto" w:before="2"/>
        <w:rPr>
          <w:rFonts w:ascii="宋体" w:hAnsi="宋体" w:cs="宋体" w:eastAsia="宋体" w:hint="default"/>
          <w:sz w:val="19"/>
          <w:szCs w:val="19"/>
        </w:rPr>
      </w:pPr>
    </w:p>
    <w:p>
      <w:pPr>
        <w:pStyle w:val="Heading6"/>
        <w:spacing w:line="240" w:lineRule="auto" w:before="35"/>
        <w:ind w:left="1134" w:right="0"/>
        <w:jc w:val="left"/>
        <w:rPr>
          <w:b w:val="0"/>
          <w:bCs w:val="0"/>
        </w:rPr>
      </w:pPr>
      <w:bookmarkStart w:name="（2）短期薪酬列示" w:id="327"/>
      <w:bookmarkEnd w:id="327"/>
      <w:r>
        <w:rPr>
          <w:b w:val="0"/>
          <w:bCs w:val="0"/>
        </w:rPr>
      </w:r>
      <w:r>
        <w:rPr/>
        <w:t>（</w:t>
      </w:r>
      <w:r>
        <w:rPr>
          <w:rFonts w:ascii="Times New Roman" w:hAnsi="Times New Roman" w:cs="Times New Roman" w:eastAsia="Times New Roman" w:hint="default"/>
        </w:rPr>
        <w:t>2</w:t>
      </w:r>
      <w:r>
        <w:rPr/>
        <w:t>）短期薪酬列示</w:t>
      </w:r>
      <w:r>
        <w:rPr>
          <w:b w:val="0"/>
          <w:bCs w:val="0"/>
        </w:rPr>
      </w:r>
    </w:p>
    <w:p>
      <w:pPr>
        <w:spacing w:after="0" w:line="240" w:lineRule="auto"/>
        <w:jc w:val="left"/>
        <w:sectPr>
          <w:footerReference w:type="default" r:id="rId18"/>
          <w:pgSz w:w="11910" w:h="16840"/>
          <w:pgMar w:footer="1483" w:header="747" w:top="1060" w:bottom="1680" w:left="0" w:right="0"/>
          <w:pgNumType w:start="131"/>
        </w:sectPr>
      </w:pPr>
    </w:p>
    <w:p>
      <w:pPr>
        <w:spacing w:line="240" w:lineRule="auto" w:before="6"/>
        <w:rPr>
          <w:rFonts w:ascii="宋体" w:hAnsi="宋体" w:cs="宋体" w:eastAsia="宋体" w:hint="default"/>
          <w:b/>
          <w:bCs/>
          <w:sz w:val="28"/>
          <w:szCs w:val="2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153,998,068.97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153,998,068.97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6,876,177.43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6,876,177.43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698,992.31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10,738,377.73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10,585,899.06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851,470.98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616,737.91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9,405,920.46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9,269,425.61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753,232.76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30,088.49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535,739.51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524,746.87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41,081.13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52,165.91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796,717.76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791,726.58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57,157.09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372,711.00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6,012,786.60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5,951,875.20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433,622.40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424,323.41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48,412.00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48,412.00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424,323.41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1,496,026.72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177,673,822.73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177,460,432.66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1,709,416.79</w:t>
            </w:r>
          </w:p>
        </w:tc>
      </w:tr>
    </w:tbl>
    <w:p>
      <w:pPr>
        <w:spacing w:line="240" w:lineRule="auto" w:before="2"/>
        <w:rPr>
          <w:rFonts w:ascii="宋体" w:hAnsi="宋体" w:cs="宋体" w:eastAsia="宋体" w:hint="default"/>
          <w:b/>
          <w:bCs/>
          <w:sz w:val="19"/>
          <w:szCs w:val="19"/>
        </w:rPr>
      </w:pPr>
    </w:p>
    <w:p>
      <w:pPr>
        <w:pStyle w:val="Heading6"/>
        <w:spacing w:line="240" w:lineRule="auto" w:before="35"/>
        <w:ind w:left="1134" w:right="0"/>
        <w:jc w:val="left"/>
        <w:rPr>
          <w:b w:val="0"/>
          <w:bCs w:val="0"/>
        </w:rPr>
      </w:pPr>
      <w:bookmarkStart w:name="（3）设定提存计划列示" w:id="328"/>
      <w:bookmarkEnd w:id="328"/>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1,214,196.91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19,530,615.65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19,158,008.48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1,586,804.08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81,407.37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1,190,149.10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1,179,085.74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92,470.73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1,295,604.28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20,720,764.75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20,337,094.22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1,679,274.81</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38、应交税费" w:id="329"/>
      <w:bookmarkEnd w:id="329"/>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26,093,081.03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13,771,959.26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5,931,504.85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5,567,703.64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579,447.25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311,515.37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1,760,227.23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810,259.61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1,333,274.38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616,289.73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245,738.59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100,187.26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35,943,273.33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21,177,914.87</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39、应付利息" w:id="330"/>
      <w:bookmarkEnd w:id="330"/>
      <w:r>
        <w:rPr>
          <w:b w:val="0"/>
          <w:bCs w:val="0"/>
        </w:rPr>
      </w:r>
      <w:r>
        <w:rPr>
          <w:rFonts w:ascii="Times New Roman" w:hAnsi="Times New Roman" w:cs="Times New Roman" w:eastAsia="Times New Roman" w:hint="default"/>
        </w:rPr>
        <w:t>39</w:t>
      </w:r>
      <w:r>
        <w:rPr/>
        <w:t>、应付利息</w:t>
      </w:r>
      <w:r>
        <w:rPr>
          <w:b w:val="0"/>
          <w:bCs w:val="0"/>
        </w:rPr>
      </w:r>
    </w:p>
    <w:p>
      <w:pPr>
        <w:spacing w:after="0" w:line="240" w:lineRule="auto"/>
        <w:jc w:val="left"/>
        <w:sectPr>
          <w:pgSz w:w="11910" w:h="16840"/>
          <w:pgMar w:header="747" w:footer="1483" w:top="1060" w:bottom="1680" w:left="0" w:right="0"/>
        </w:sectPr>
      </w:pPr>
    </w:p>
    <w:p>
      <w:pPr>
        <w:spacing w:line="240" w:lineRule="auto" w:before="6"/>
        <w:rPr>
          <w:rFonts w:ascii="宋体" w:hAnsi="宋体" w:cs="宋体" w:eastAsia="宋体" w:hint="default"/>
          <w:b/>
          <w:bCs/>
          <w:sz w:val="28"/>
          <w:szCs w:val="2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128,686.80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128,686.80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重要的已逾期未支付的利息情况：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40、应付股利" w:id="331"/>
      <w:bookmarkEnd w:id="331"/>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41、其他应付款" w:id="332"/>
      <w:bookmarkEnd w:id="332"/>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134" w:right="0"/>
        <w:jc w:val="left"/>
        <w:rPr>
          <w:b w:val="0"/>
          <w:bCs w:val="0"/>
        </w:rPr>
      </w:pPr>
      <w:bookmarkStart w:name="（1）按款项性质列示其他应付款" w:id="333"/>
      <w:bookmarkEnd w:id="333"/>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3,753,456.77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1,267,380.00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1,244,602.83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871,510.34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4,998,059.60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2,138,890.34</w:t>
            </w:r>
          </w:p>
        </w:tc>
      </w:tr>
    </w:tbl>
    <w:p>
      <w:pPr>
        <w:spacing w:line="240" w:lineRule="auto" w:before="2"/>
        <w:rPr>
          <w:rFonts w:ascii="宋体" w:hAnsi="宋体" w:cs="宋体" w:eastAsia="宋体" w:hint="default"/>
          <w:sz w:val="19"/>
          <w:szCs w:val="19"/>
        </w:rPr>
      </w:pPr>
    </w:p>
    <w:p>
      <w:pPr>
        <w:pStyle w:val="Heading6"/>
        <w:spacing w:line="240" w:lineRule="auto" w:before="35"/>
        <w:ind w:left="1134" w:right="0"/>
        <w:jc w:val="left"/>
        <w:rPr>
          <w:b w:val="0"/>
          <w:bCs w:val="0"/>
        </w:rPr>
      </w:pPr>
      <w:bookmarkStart w:name="（2）账龄超过1年的重要其他应付款" w:id="334"/>
      <w:bookmarkEnd w:id="334"/>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42、划分为持有待售的负债" w:id="335"/>
      <w:bookmarkEnd w:id="335"/>
      <w:r>
        <w:rPr>
          <w:b w:val="0"/>
          <w:bCs w:val="0"/>
        </w:rPr>
      </w:r>
      <w:r>
        <w:rPr>
          <w:rFonts w:ascii="Times New Roman" w:hAnsi="Times New Roman" w:cs="Times New Roman" w:eastAsia="Times New Roman" w:hint="default"/>
        </w:rPr>
        <w:t>42</w:t>
      </w:r>
      <w:r>
        <w:rPr/>
        <w:t>、划分为持有待售的负债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43、一年内到期的非流动负债" w:id="336"/>
      <w:bookmarkEnd w:id="336"/>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footerReference w:type="default" r:id="rId19"/>
          <w:pgSz w:w="11910" w:h="16840"/>
          <w:pgMar w:footer="979" w:header="747" w:top="1060" w:bottom="1160" w:left="0" w:right="0"/>
          <w:pgNumType w:start="133"/>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44、其他流动负债" w:id="337"/>
      <w:bookmarkEnd w:id="337"/>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短期应付债券的增减变动：</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45、长期借款" w:id="338"/>
      <w:bookmarkEnd w:id="338"/>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134" w:right="0"/>
        <w:jc w:val="left"/>
        <w:rPr>
          <w:b w:val="0"/>
          <w:bCs w:val="0"/>
        </w:rPr>
      </w:pPr>
      <w:bookmarkStart w:name="（1）长期借款分类" w:id="339"/>
      <w:bookmarkEnd w:id="339"/>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60" w:lineRule="auto" w:before="51"/>
        <w:ind w:left="1134" w:right="8592"/>
        <w:jc w:val="left"/>
      </w:pPr>
      <w:r>
        <w:rPr/>
        <w:t>长期借款分类的说明： 其他说明，包括利率区间：</w:t>
      </w:r>
    </w:p>
    <w:p>
      <w:pPr>
        <w:spacing w:line="240" w:lineRule="auto" w:before="11"/>
        <w:rPr>
          <w:rFonts w:ascii="宋体" w:hAnsi="宋体" w:cs="宋体" w:eastAsia="宋体" w:hint="default"/>
          <w:sz w:val="19"/>
          <w:szCs w:val="19"/>
        </w:rPr>
      </w:pPr>
    </w:p>
    <w:p>
      <w:pPr>
        <w:pStyle w:val="Heading6"/>
        <w:spacing w:line="240" w:lineRule="auto"/>
        <w:ind w:left="1134" w:right="0"/>
        <w:jc w:val="left"/>
        <w:rPr>
          <w:b w:val="0"/>
          <w:bCs w:val="0"/>
        </w:rPr>
      </w:pPr>
      <w:bookmarkStart w:name="46、应付债券" w:id="340"/>
      <w:bookmarkEnd w:id="340"/>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134" w:right="0"/>
        <w:jc w:val="left"/>
        <w:rPr>
          <w:b w:val="0"/>
          <w:bCs w:val="0"/>
        </w:rPr>
      </w:pPr>
      <w:bookmarkStart w:name="（1）应付债券" w:id="341"/>
      <w:bookmarkEnd w:id="341"/>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6"/>
        <w:spacing w:line="240" w:lineRule="auto" w:before="35"/>
        <w:ind w:left="1134" w:right="0"/>
        <w:jc w:val="left"/>
        <w:rPr>
          <w:b w:val="0"/>
          <w:bCs w:val="0"/>
        </w:rPr>
      </w:pPr>
      <w:bookmarkStart w:name="（2）应付债券的增减变动（不包括划分为金融负债的优先股、永续债等其他金融工具）" w:id="342"/>
      <w:bookmarkEnd w:id="342"/>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2"/>
        <w:rPr>
          <w:rFonts w:ascii="宋体" w:hAnsi="宋体" w:cs="宋体" w:eastAsia="宋体" w:hint="default"/>
          <w:sz w:val="24"/>
          <w:szCs w:val="24"/>
        </w:rPr>
      </w:pPr>
    </w:p>
    <w:p>
      <w:pPr>
        <w:pStyle w:val="Heading6"/>
        <w:spacing w:line="240" w:lineRule="auto" w:before="35"/>
        <w:ind w:right="0"/>
        <w:jc w:val="left"/>
        <w:rPr>
          <w:b w:val="0"/>
          <w:bCs w:val="0"/>
        </w:rPr>
      </w:pPr>
      <w:bookmarkStart w:name="（3）可转换公司债券的转股条件、转股时间说明" w:id="343"/>
      <w:bookmarkEnd w:id="343"/>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4）划分为金融负债的其他金融工具说明" w:id="344"/>
      <w:bookmarkEnd w:id="344"/>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57" w:lineRule="auto"/>
        <w:ind w:right="-19"/>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5635" w:space="3195"/>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2130"/>
        <w:gridCol w:w="2126"/>
        <w:gridCol w:w="2124"/>
        <w:gridCol w:w="2113"/>
      </w:tblGrid>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6" w:right="0"/>
              <w:jc w:val="left"/>
              <w:rPr>
                <w:rFonts w:ascii="宋体" w:hAnsi="宋体" w:cs="宋体" w:eastAsia="宋体" w:hint="default"/>
                <w:sz w:val="18"/>
                <w:szCs w:val="18"/>
              </w:rPr>
            </w:pPr>
            <w:r>
              <w:rPr>
                <w:rFonts w:ascii="宋体" w:hAnsi="宋体" w:cs="宋体" w:eastAsia="宋体" w:hint="default"/>
                <w:sz w:val="18"/>
                <w:szCs w:val="18"/>
              </w:rPr>
              <w:t>发行在外的</w:t>
            </w:r>
          </w:p>
        </w:tc>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bl>
    <w:p>
      <w:pPr>
        <w:spacing w:after="0" w:line="240" w:lineRule="auto"/>
        <w:jc w:val="center"/>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66" w:right="0"/>
              <w:jc w:val="left"/>
              <w:rPr>
                <w:rFonts w:ascii="宋体" w:hAnsi="宋体" w:cs="宋体" w:eastAsia="宋体" w:hint="default"/>
                <w:sz w:val="18"/>
                <w:szCs w:val="18"/>
              </w:rPr>
            </w:pPr>
            <w:r>
              <w:rPr>
                <w:rFonts w:ascii="宋体" w:hAnsi="宋体" w:cs="宋体" w:eastAsia="宋体" w:hint="default"/>
                <w:sz w:val="18"/>
                <w:szCs w:val="18"/>
              </w:rPr>
              <w:t>金融工具</w:t>
            </w: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left="1134" w:right="7512"/>
        <w:jc w:val="left"/>
      </w:pPr>
      <w:r>
        <w:rPr/>
        <w:t>其他金融工具划分为金融负债的依据说明 其他说明</w:t>
      </w:r>
    </w:p>
    <w:p>
      <w:pPr>
        <w:spacing w:line="240" w:lineRule="auto" w:before="12"/>
        <w:rPr>
          <w:rFonts w:ascii="宋体" w:hAnsi="宋体" w:cs="宋体" w:eastAsia="宋体" w:hint="default"/>
          <w:sz w:val="19"/>
          <w:szCs w:val="19"/>
        </w:rPr>
      </w:pPr>
    </w:p>
    <w:p>
      <w:pPr>
        <w:pStyle w:val="Heading6"/>
        <w:spacing w:line="240" w:lineRule="auto"/>
        <w:ind w:left="1134" w:right="0"/>
        <w:jc w:val="left"/>
        <w:rPr>
          <w:b w:val="0"/>
          <w:bCs w:val="0"/>
        </w:rPr>
      </w:pPr>
      <w:bookmarkStart w:name="47、长期应付款" w:id="345"/>
      <w:bookmarkEnd w:id="345"/>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134" w:right="0"/>
        <w:jc w:val="left"/>
        <w:rPr>
          <w:b w:val="0"/>
          <w:bCs w:val="0"/>
        </w:rPr>
      </w:pPr>
      <w:bookmarkStart w:name="（1）按款项性质列示长期应付款" w:id="346"/>
      <w:bookmarkEnd w:id="346"/>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48、长期应付职工薪酬" w:id="347"/>
      <w:bookmarkEnd w:id="347"/>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长期应付职工薪酬表" w:id="348"/>
      <w:bookmarkEnd w:id="348"/>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6"/>
        <w:spacing w:line="240" w:lineRule="auto" w:before="35"/>
        <w:ind w:left="1134" w:right="0"/>
        <w:jc w:val="left"/>
        <w:rPr>
          <w:b w:val="0"/>
          <w:bCs w:val="0"/>
        </w:rPr>
      </w:pPr>
      <w:bookmarkStart w:name="（2）设定受益计划变动情况" w:id="349"/>
      <w:bookmarkEnd w:id="349"/>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134" w:right="0"/>
        <w:jc w:val="left"/>
      </w:pPr>
      <w:r>
        <w:rPr/>
        <w:t>设定受益计划义务现值：</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134" w:right="0"/>
        <w:jc w:val="left"/>
      </w:pPr>
      <w:r>
        <w:rPr/>
        <w:t>计划资产：</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134" w:right="0"/>
        <w:jc w:val="left"/>
      </w:pPr>
      <w:r>
        <w:rPr/>
        <w:t>设定受益计划净负债（净资产）</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2"/>
        <w:ind w:right="3553"/>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9"/>
        <w:ind w:left="1134"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left="1134" w:right="0"/>
        <w:jc w:val="left"/>
        <w:rPr>
          <w:b w:val="0"/>
          <w:bCs w:val="0"/>
        </w:rPr>
      </w:pPr>
      <w:bookmarkStart w:name="49、专项应付款" w:id="350"/>
      <w:bookmarkEnd w:id="350"/>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50、预计负债" w:id="351"/>
      <w:bookmarkEnd w:id="351"/>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2"/>
        <w:ind w:left="1134" w:right="0"/>
        <w:jc w:val="left"/>
      </w:pPr>
      <w:r>
        <w:rPr/>
        <w:t>其他说明，包括重要预计负债的相关重要假设、估计说明：</w:t>
      </w:r>
    </w:p>
    <w:p>
      <w:pPr>
        <w:spacing w:line="240" w:lineRule="auto" w:before="10"/>
        <w:rPr>
          <w:rFonts w:ascii="宋体" w:hAnsi="宋体" w:cs="宋体" w:eastAsia="宋体" w:hint="default"/>
          <w:sz w:val="26"/>
          <w:szCs w:val="26"/>
        </w:rPr>
      </w:pPr>
    </w:p>
    <w:p>
      <w:pPr>
        <w:pStyle w:val="Heading6"/>
        <w:spacing w:line="240" w:lineRule="auto"/>
        <w:ind w:left="1134" w:right="0"/>
        <w:jc w:val="left"/>
        <w:rPr>
          <w:b w:val="0"/>
          <w:bCs w:val="0"/>
        </w:rPr>
      </w:pPr>
      <w:bookmarkStart w:name="51、递延收益" w:id="352"/>
      <w:bookmarkEnd w:id="352"/>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1"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5,245,000.00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345,000.00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5,245,000.00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345,000.00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科研计划项目资 助课题经费（金 档光典综合档案 管理软件）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科研计划项目资 助课题经费（肉 类蔬菜流通安全 追溯系统应用示 范与推广）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创新基金（基于 物联网技术的追 索蔬菜流通安全 信息追溯系统）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年上海市软 件和集成电路产 业发展专项资金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5,245,000.00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345,000.00</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52、其他非流动负债" w:id="353"/>
      <w:bookmarkEnd w:id="353"/>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53、股本" w:id="354"/>
      <w:bookmarkEnd w:id="354"/>
      <w:r>
        <w:rPr>
          <w:b w:val="0"/>
          <w:bCs w:val="0"/>
        </w:rPr>
      </w:r>
      <w:r>
        <w:rPr>
          <w:rFonts w:ascii="Times New Roman" w:hAnsi="Times New Roman" w:cs="Times New Roman" w:eastAsia="Times New Roman" w:hint="default"/>
        </w:rPr>
        <w:t>53</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122" w:right="0"/>
              <w:jc w:val="left"/>
              <w:rPr>
                <w:rFonts w:ascii="Times New Roman" w:hAnsi="Times New Roman" w:cs="Times New Roman" w:eastAsia="Times New Roman" w:hint="default"/>
                <w:sz w:val="18"/>
                <w:szCs w:val="18"/>
              </w:rPr>
            </w:pPr>
            <w:r>
              <w:rPr>
                <w:rFonts w:ascii="Times New Roman"/>
                <w:sz w:val="18"/>
              </w:rPr>
              <w:t>50,100,000.00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7" w:right="0"/>
              <w:jc w:val="left"/>
              <w:rPr>
                <w:rFonts w:ascii="Times New Roman" w:hAnsi="Times New Roman" w:cs="Times New Roman" w:eastAsia="Times New Roman" w:hint="default"/>
                <w:sz w:val="18"/>
                <w:szCs w:val="18"/>
              </w:rPr>
            </w:pPr>
            <w:r>
              <w:rPr>
                <w:rFonts w:ascii="Times New Roman"/>
                <w:sz w:val="18"/>
              </w:rPr>
              <w:t>16,700,000.00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16,700,000.00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0" w:right="0"/>
              <w:jc w:val="left"/>
              <w:rPr>
                <w:rFonts w:ascii="Times New Roman" w:hAnsi="Times New Roman" w:cs="Times New Roman" w:eastAsia="Times New Roman" w:hint="default"/>
                <w:sz w:val="18"/>
                <w:szCs w:val="18"/>
              </w:rPr>
            </w:pPr>
            <w:r>
              <w:rPr>
                <w:rFonts w:ascii="Times New Roman"/>
                <w:sz w:val="18"/>
              </w:rPr>
              <w:t>66,800,000.00</w:t>
            </w:r>
          </w:p>
        </w:tc>
      </w:tr>
    </w:tbl>
    <w:p>
      <w:pPr>
        <w:pStyle w:val="BodyText"/>
        <w:spacing w:line="240" w:lineRule="auto" w:before="51"/>
        <w:ind w:left="1134" w:right="0"/>
        <w:jc w:val="left"/>
      </w:pPr>
      <w:r>
        <w:rPr/>
        <w:t>其他说明：</w:t>
      </w:r>
    </w:p>
    <w:p>
      <w:pPr>
        <w:pStyle w:val="Heading6"/>
        <w:spacing w:line="256" w:lineRule="auto" w:before="89"/>
        <w:ind w:right="0"/>
        <w:jc w:val="left"/>
        <w:rPr>
          <w:b w:val="0"/>
          <w:bCs w:val="0"/>
        </w:rPr>
      </w:pPr>
      <w:r>
        <w:rPr>
          <w:w w:val="95"/>
        </w:rPr>
        <w:t>本期增加情况：本公司于</w:t>
      </w:r>
      <w:r>
        <w:rPr>
          <w:rFonts w:ascii="Times New Roman" w:hAnsi="Times New Roman" w:cs="Times New Roman" w:eastAsia="Times New Roman" w:hint="default"/>
          <w:w w:val="95"/>
        </w:rPr>
        <w:t>2015</w:t>
      </w:r>
      <w:r>
        <w:rPr>
          <w:w w:val="95"/>
        </w:rPr>
        <w:t>年</w:t>
      </w:r>
      <w:r>
        <w:rPr>
          <w:rFonts w:ascii="Times New Roman" w:hAnsi="Times New Roman" w:cs="Times New Roman" w:eastAsia="Times New Roman" w:hint="default"/>
          <w:w w:val="95"/>
        </w:rPr>
        <w:t>6</w:t>
      </w:r>
      <w:r>
        <w:rPr>
          <w:w w:val="95"/>
        </w:rPr>
        <w:t>月通过深圳证券交易所系统，采用网上向社会公众投资者定价与网下向</w:t>
      </w:r>
      <w:r>
        <w:rPr>
          <w:spacing w:val="68"/>
          <w:w w:val="95"/>
        </w:rPr>
        <w:t> </w:t>
      </w:r>
      <w:r>
        <w:rPr>
          <w:spacing w:val="68"/>
          <w:w w:val="95"/>
        </w:rPr>
      </w:r>
      <w:r>
        <w:rPr/>
        <w:t>配售对象询价配售相结合的发行方式公开发行人民币普通股（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1,670</w:t>
      </w:r>
      <w:r>
        <w:rPr/>
        <w:t>万股。</w:t>
      </w:r>
      <w:r>
        <w:rPr>
          <w:b w:val="0"/>
          <w:bCs w:val="0"/>
        </w:rPr>
      </w:r>
    </w:p>
    <w:p>
      <w:pPr>
        <w:spacing w:line="240" w:lineRule="auto" w:before="5"/>
        <w:rPr>
          <w:rFonts w:ascii="宋体" w:hAnsi="宋体" w:cs="宋体" w:eastAsia="宋体" w:hint="default"/>
          <w:b/>
          <w:bCs/>
          <w:sz w:val="23"/>
          <w:szCs w:val="23"/>
        </w:rPr>
      </w:pPr>
    </w:p>
    <w:p>
      <w:pPr>
        <w:pStyle w:val="Heading6"/>
        <w:spacing w:line="240" w:lineRule="auto"/>
        <w:ind w:right="0"/>
        <w:jc w:val="left"/>
        <w:rPr>
          <w:b w:val="0"/>
          <w:bCs w:val="0"/>
        </w:rPr>
      </w:pPr>
      <w:bookmarkStart w:name="54、其他权益工具" w:id="355"/>
      <w:bookmarkEnd w:id="355"/>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0"/>
        <w:jc w:val="left"/>
        <w:rPr>
          <w:b w:val="0"/>
          <w:bCs w:val="0"/>
        </w:rPr>
      </w:pPr>
      <w:bookmarkStart w:name="（1）期末发行在外的优先股、永续债等其他金融工具基本情况" w:id="356"/>
      <w:bookmarkEnd w:id="356"/>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134" w:right="0"/>
        <w:jc w:val="left"/>
        <w:rPr>
          <w:b w:val="0"/>
          <w:bCs w:val="0"/>
        </w:rPr>
      </w:pPr>
      <w:bookmarkStart w:name="（2）期末发行在外的优先股、永续债等金融工具变动情况表" w:id="357"/>
      <w:bookmarkEnd w:id="357"/>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4633"/>
        <w:jc w:val="left"/>
      </w:pPr>
      <w:r>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pStyle w:val="Heading6"/>
        <w:spacing w:line="240" w:lineRule="auto"/>
        <w:ind w:right="0"/>
        <w:jc w:val="left"/>
        <w:rPr>
          <w:b w:val="0"/>
          <w:bCs w:val="0"/>
        </w:rPr>
      </w:pPr>
      <w:bookmarkStart w:name="55、资本公积" w:id="358"/>
      <w:bookmarkEnd w:id="358"/>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10,339.37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127,005,696.49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127,016,035.86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10,339.37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127,005,696.49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127,016,035.86</w:t>
            </w:r>
          </w:p>
        </w:tc>
      </w:tr>
    </w:tbl>
    <w:p>
      <w:pPr>
        <w:pStyle w:val="BodyText"/>
        <w:spacing w:line="240" w:lineRule="auto" w:before="51"/>
        <w:ind w:left="1134" w:right="0"/>
        <w:jc w:val="both"/>
      </w:pPr>
      <w:r>
        <w:rPr/>
        <w:t>其他说明，包括本期增减变动情况、变动原因说明：</w:t>
      </w:r>
    </w:p>
    <w:p>
      <w:pPr>
        <w:pStyle w:val="Heading7"/>
        <w:spacing w:line="256" w:lineRule="auto" w:before="89"/>
        <w:ind w:right="1129"/>
        <w:jc w:val="both"/>
      </w:pPr>
      <w:r>
        <w:rPr/>
        <w:t>本期增加情况：本公司于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月通过深圳证券交易所系统，募集资金总额为人民币</w:t>
      </w:r>
      <w:r>
        <w:rPr>
          <w:rFonts w:ascii="Times New Roman" w:hAnsi="Times New Roman" w:cs="Times New Roman" w:eastAsia="Times New Roman" w:hint="default"/>
        </w:rPr>
        <w:t>169,338,000.00</w:t>
      </w:r>
      <w:r>
        <w:rPr/>
        <w:t>元；</w:t>
      </w:r>
      <w:r>
        <w:rPr>
          <w:spacing w:val="-77"/>
        </w:rPr>
        <w:t> </w:t>
      </w:r>
      <w:r>
        <w:rPr>
          <w:spacing w:val="-2"/>
        </w:rPr>
        <w:t>扣除本次支付的承销费、保荐费人民币</w:t>
      </w:r>
      <w:r>
        <w:rPr>
          <w:rFonts w:ascii="Times New Roman" w:hAnsi="Times New Roman" w:cs="Times New Roman" w:eastAsia="Times New Roman" w:hint="default"/>
          <w:spacing w:val="-2"/>
        </w:rPr>
        <w:t>17,200,000.00</w:t>
      </w:r>
      <w:r>
        <w:rPr>
          <w:spacing w:val="-2"/>
        </w:rPr>
        <w:t>元，扣除已预付的保荐费用人民币</w:t>
      </w:r>
      <w:r>
        <w:rPr>
          <w:rFonts w:ascii="Times New Roman" w:hAnsi="Times New Roman" w:cs="Times New Roman" w:eastAsia="Times New Roman" w:hint="default"/>
          <w:spacing w:val="-2"/>
        </w:rPr>
        <w:t>800,000.00</w:t>
      </w:r>
      <w:r>
        <w:rPr>
          <w:spacing w:val="-2"/>
        </w:rPr>
        <w:t>元及其他</w:t>
      </w:r>
      <w:r>
        <w:rPr>
          <w:spacing w:val="-66"/>
        </w:rPr>
        <w:t> </w:t>
      </w:r>
      <w:r>
        <w:rPr>
          <w:spacing w:val="-66"/>
        </w:rPr>
      </w:r>
      <w:r>
        <w:rPr/>
        <w:t>发行费用人民币</w:t>
      </w:r>
      <w:r>
        <w:rPr>
          <w:rFonts w:ascii="Times New Roman" w:hAnsi="Times New Roman" w:cs="Times New Roman" w:eastAsia="Times New Roman" w:hint="default"/>
        </w:rPr>
        <w:t>7,632,303.51</w:t>
      </w:r>
      <w:r>
        <w:rPr/>
        <w:t>元，实际募集资金净额为人民币</w:t>
      </w:r>
      <w:r>
        <w:rPr>
          <w:rFonts w:ascii="Times New Roman" w:hAnsi="Times New Roman" w:cs="Times New Roman" w:eastAsia="Times New Roman" w:hint="default"/>
        </w:rPr>
        <w:t>143,705,696.49</w:t>
      </w:r>
      <w:r>
        <w:rPr/>
        <w:t>元，其中：增加注册资本（股</w:t>
      </w:r>
      <w:r>
        <w:rPr>
          <w:spacing w:val="-33"/>
        </w:rPr>
        <w:t> </w:t>
      </w:r>
      <w:r>
        <w:rPr/>
        <w:t>本）人民币</w:t>
      </w:r>
      <w:r>
        <w:rPr>
          <w:rFonts w:ascii="Times New Roman" w:hAnsi="Times New Roman" w:cs="Times New Roman" w:eastAsia="Times New Roman" w:hint="default"/>
        </w:rPr>
        <w:t>16,700,000.00</w:t>
      </w:r>
      <w:r>
        <w:rPr/>
        <w:t>元，股本溢价人民币</w:t>
      </w:r>
      <w:r>
        <w:rPr>
          <w:rFonts w:ascii="Times New Roman" w:hAnsi="Times New Roman" w:cs="Times New Roman" w:eastAsia="Times New Roman" w:hint="default"/>
        </w:rPr>
        <w:t>127,005,696.49</w:t>
      </w:r>
      <w:r>
        <w:rPr/>
        <w:t>元计入资本公积。</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6"/>
        <w:spacing w:line="240" w:lineRule="auto"/>
        <w:ind w:right="0"/>
        <w:jc w:val="both"/>
        <w:rPr>
          <w:b w:val="0"/>
          <w:bCs w:val="0"/>
        </w:rPr>
      </w:pPr>
      <w:bookmarkStart w:name="56、库存股" w:id="359"/>
      <w:bookmarkEnd w:id="359"/>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134" w:right="0"/>
        <w:jc w:val="left"/>
      </w:pPr>
      <w:r>
        <w:rPr/>
        <w:t>其他说明，包括本期增减变动情况、变动原因说明：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57、其他综合收益" w:id="360"/>
      <w:bookmarkEnd w:id="360"/>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8"/>
      </w:tblGrid>
      <w:tr>
        <w:trPr>
          <w:trHeight w:val="402"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8"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2"/>
        <w:ind w:left="1134" w:right="0"/>
        <w:jc w:val="left"/>
      </w:pPr>
      <w:r>
        <w:rPr/>
        <w:t>其他说明，包括对现金流量套期损益的有效部分转为被套期项目初始确认金额调整：</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58、专项储备" w:id="361"/>
      <w:bookmarkEnd w:id="361"/>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left="1134" w:right="0"/>
        <w:jc w:val="left"/>
      </w:pPr>
      <w:r>
        <w:rPr/>
        <w:t>其他说明，包括本期增减变动情况、变动原因说明：</w:t>
      </w:r>
    </w:p>
    <w:p>
      <w:pPr>
        <w:spacing w:line="240" w:lineRule="auto" w:before="10"/>
        <w:rPr>
          <w:rFonts w:ascii="宋体" w:hAnsi="宋体" w:cs="宋体" w:eastAsia="宋体" w:hint="default"/>
          <w:sz w:val="26"/>
          <w:szCs w:val="26"/>
        </w:rPr>
      </w:pPr>
    </w:p>
    <w:p>
      <w:pPr>
        <w:pStyle w:val="Heading6"/>
        <w:spacing w:line="240" w:lineRule="auto"/>
        <w:ind w:left="1134" w:right="0"/>
        <w:jc w:val="left"/>
        <w:rPr>
          <w:b w:val="0"/>
          <w:bCs w:val="0"/>
        </w:rPr>
      </w:pPr>
      <w:bookmarkStart w:name="59、盈余公积" w:id="362"/>
      <w:bookmarkEnd w:id="362"/>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12,429,255.72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2,878,029.50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15,307,285.22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12,429,255.72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2,878,029.50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15,307,285.22</w:t>
            </w:r>
          </w:p>
        </w:tc>
      </w:tr>
    </w:tbl>
    <w:p>
      <w:pPr>
        <w:pStyle w:val="BodyText"/>
        <w:spacing w:line="240" w:lineRule="auto" w:before="51"/>
        <w:ind w:left="1134" w:right="0"/>
        <w:jc w:val="left"/>
      </w:pPr>
      <w:r>
        <w:rPr/>
        <w:t>盈余公积说明，包括本期增减变动情况、变动原因说明：</w:t>
      </w:r>
    </w:p>
    <w:p>
      <w:pPr>
        <w:spacing w:line="240" w:lineRule="auto" w:before="11"/>
        <w:rPr>
          <w:rFonts w:ascii="宋体" w:hAnsi="宋体" w:cs="宋体" w:eastAsia="宋体" w:hint="default"/>
          <w:sz w:val="26"/>
          <w:szCs w:val="26"/>
        </w:rPr>
      </w:pPr>
    </w:p>
    <w:p>
      <w:pPr>
        <w:pStyle w:val="Heading6"/>
        <w:spacing w:line="240" w:lineRule="auto"/>
        <w:ind w:left="1134" w:right="0"/>
        <w:jc w:val="left"/>
        <w:rPr>
          <w:b w:val="0"/>
          <w:bCs w:val="0"/>
        </w:rPr>
      </w:pPr>
      <w:bookmarkStart w:name="60、未分配利润" w:id="363"/>
      <w:bookmarkEnd w:id="363"/>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96,893,505.76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64,452,050.38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38,267,386.34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35,339,310.97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2,878,029.50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2,897,855.59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132,257,902.60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96,893,505.76</w:t>
            </w:r>
          </w:p>
        </w:tc>
      </w:tr>
    </w:tbl>
    <w:p>
      <w:pPr>
        <w:pStyle w:val="BodyText"/>
        <w:spacing w:line="240" w:lineRule="auto" w:before="51"/>
        <w:ind w:left="1134" w:right="0"/>
        <w:jc w:val="left"/>
      </w:pPr>
      <w:r>
        <w:rPr/>
        <w:t>调整期初未分配利润明细：</w:t>
      </w:r>
    </w:p>
    <w:p>
      <w:pPr>
        <w:pStyle w:val="BodyText"/>
        <w:spacing w:line="240" w:lineRule="auto" w:before="117"/>
        <w:ind w:left="1134"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2"/>
        <w:ind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3"/>
        <w:ind w:left="1134" w:right="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、其他调整合计影响期初未分配利润元。</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61、营业收入和营业成本" w:id="364"/>
      <w:bookmarkEnd w:id="364"/>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7"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437,900,031.09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259,160,895.01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368,328,787.20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220,620,385.69</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437,900,031.09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259,160,895.01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368,328,787.20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220,620,385.69</w:t>
            </w:r>
          </w:p>
        </w:tc>
      </w:tr>
    </w:tbl>
    <w:p>
      <w:pPr>
        <w:spacing w:line="240" w:lineRule="auto" w:before="2"/>
        <w:rPr>
          <w:rFonts w:ascii="宋体" w:hAnsi="宋体" w:cs="宋体" w:eastAsia="宋体" w:hint="default"/>
          <w:sz w:val="19"/>
          <w:szCs w:val="19"/>
        </w:rPr>
      </w:pPr>
    </w:p>
    <w:p>
      <w:pPr>
        <w:pStyle w:val="Heading6"/>
        <w:spacing w:line="240" w:lineRule="auto" w:before="35"/>
        <w:ind w:left="1134" w:right="0"/>
        <w:jc w:val="left"/>
        <w:rPr>
          <w:b w:val="0"/>
          <w:bCs w:val="0"/>
        </w:rPr>
      </w:pPr>
      <w:bookmarkStart w:name="62、营业税金及附加" w:id="365"/>
      <w:bookmarkEnd w:id="365"/>
      <w:r>
        <w:rPr>
          <w:b w:val="0"/>
          <w:bCs w:val="0"/>
        </w:rPr>
      </w:r>
      <w:r>
        <w:rPr>
          <w:rFonts w:ascii="Times New Roman" w:hAnsi="Times New Roman" w:cs="Times New Roman" w:eastAsia="Times New Roman" w:hint="default"/>
        </w:rPr>
        <w:t>62</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1,071,445.84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518,820.05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1,524,946.21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605,937.13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1,180,128.50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478,618.91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236,025.70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95,699.75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4,012,546.25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1,699,075.84</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63、销售费用" w:id="366"/>
      <w:bookmarkEnd w:id="366"/>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工资及附加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22,812,351.26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14,143,317.93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市内交通费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714,355.20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856,790.69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市外差旅费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3,565,552.23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3,585,331.68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5,628,178.61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4,417,850.71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215,369.87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329,812.51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2,824,745.79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2,712,926.19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317,250.41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356,197.22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售后服务费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1,755,518.51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2,710,097.68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1,173,998.46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1,037,973.59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2,238,233.73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2,119,229.77</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41,245,554.07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32,269,527.97</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64、管理费用" w:id="367"/>
      <w:bookmarkEnd w:id="367"/>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工资及附加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14,264,422.55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12,760,508.52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市内交通费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250,957.05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457,663.25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市外差旅费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1,798,691.52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1,845,747.49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1,885,955.14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1,837,445.23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165,519.98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283,428.70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3,941,167.49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3,875,884.58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143,010.04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83,220.00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车辆运杂费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1,569,438.79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1,156,947.23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5,055,497.13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4,592,658.39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3,317,599.50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2,015,022.05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52,101,129.10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33,967,732.57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699,443.24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758,019.23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900,132.32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768,341.57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572,533.72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239,744.88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3,191,941.98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3,273,249.63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89,857,439.55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67,915,613.32</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65、财务费用" w:id="368"/>
      <w:bookmarkEnd w:id="368"/>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8,380,574.20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7,386,921.37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478,855.64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281,881.77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296,397.90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350,138.22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8,198,116.46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7,455,177.82</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66、资产减值损失" w:id="369"/>
      <w:bookmarkEnd w:id="369"/>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10,980,087.45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3,550,847.98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10,980,087.45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3,550,847.98</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67、公允价值变动收益" w:id="370"/>
      <w:bookmarkEnd w:id="370"/>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68、投资收益" w:id="371"/>
      <w:bookmarkEnd w:id="371"/>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69、营业外收入" w:id="372"/>
      <w:bookmarkEnd w:id="372"/>
      <w:r>
        <w:rPr>
          <w:b w:val="0"/>
          <w:bCs w:val="0"/>
        </w:rPr>
      </w:r>
      <w:r>
        <w:rPr>
          <w:rFonts w:ascii="Times New Roman" w:hAnsi="Times New Roman" w:cs="Times New Roman" w:eastAsia="Times New Roman" w:hint="default"/>
        </w:rPr>
        <w:t>69</w:t>
      </w:r>
      <w:r>
        <w:rPr/>
        <w:t>、营业外收入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18,372,225.20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7,705,836.40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17,352,700.00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60,978.27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45,785.10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60,978.27</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18,433,203.47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7,751,621.50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计入当期损益的政府补助：</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光典食品追 溯系统服务 云平台</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8,490,000.00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基于国产终 端的数字档 案信息系统 应用研发与 示范</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静安区科委</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资助科技创 新贷款贴息</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1,366,800.00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977,300.00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31"/>
              <w:jc w:val="right"/>
              <w:rPr>
                <w:rFonts w:ascii="宋体" w:hAnsi="宋体" w:cs="宋体" w:eastAsia="宋体" w:hint="default"/>
                <w:sz w:val="18"/>
                <w:szCs w:val="18"/>
              </w:rPr>
            </w:pPr>
            <w:r>
              <w:rPr>
                <w:rFonts w:ascii="宋体" w:hAnsi="宋体" w:cs="宋体" w:eastAsia="宋体" w:hint="default"/>
                <w:sz w:val="18"/>
                <w:szCs w:val="18"/>
              </w:rPr>
              <w:t>增值税即征</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1,019,525.20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720,963.55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即退</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基于大数据 的猪肉安全 与质量综合 评测平台</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910,000.00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上海市认定 企业技术中 心奖励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肉类蔬菜流 通安全追溯 系统应用示 范与推广</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静安区</w:t>
            </w:r>
            <w:r>
              <w:rPr>
                <w:rFonts w:ascii="Times New Roman" w:hAnsi="Times New Roman" w:cs="Times New Roman" w:eastAsia="Times New Roman" w:hint="default"/>
                <w:sz w:val="18"/>
                <w:szCs w:val="18"/>
              </w:rPr>
              <w:t>"</w:t>
            </w:r>
            <w:r>
              <w:rPr>
                <w:rFonts w:ascii="宋体" w:hAnsi="宋体" w:cs="宋体" w:eastAsia="宋体" w:hint="default"/>
                <w:sz w:val="18"/>
                <w:szCs w:val="18"/>
              </w:rPr>
              <w:t>奖励 名牌</w:t>
            </w:r>
            <w:r>
              <w:rPr>
                <w:rFonts w:ascii="Times New Roman" w:hAnsi="Times New Roman" w:cs="Times New Roman" w:eastAsia="Times New Roman" w:hint="default"/>
                <w:sz w:val="18"/>
                <w:szCs w:val="18"/>
              </w:rPr>
              <w:t>"</w:t>
            </w:r>
            <w:r>
              <w:rPr>
                <w:rFonts w:ascii="宋体" w:hAnsi="宋体" w:cs="宋体" w:eastAsia="宋体" w:hint="default"/>
                <w:sz w:val="18"/>
                <w:szCs w:val="18"/>
              </w:rPr>
              <w:t>项目资 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扶持奖励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168,900.00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78,358.93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高新技术成 果转化奖励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基于物联网 技术的追索 蔬菜流通安 全信息追溯 系统</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上海市标准 化推进专项 资金项目资 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科技创新成 果奖励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上海市国库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年度软 件和集成电 路设计人员 专项</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高新技术成 果转化资助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专利资助费</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45,835.00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职工失业保 险基金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8,368.92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基于云计算</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1"/>
              <w:jc w:val="both"/>
              <w:rPr>
                <w:rFonts w:ascii="宋体" w:hAnsi="宋体" w:cs="宋体" w:eastAsia="宋体" w:hint="default"/>
                <w:sz w:val="18"/>
                <w:szCs w:val="18"/>
              </w:rPr>
            </w:pPr>
            <w:r>
              <w:rPr>
                <w:rFonts w:ascii="宋体" w:hAnsi="宋体" w:cs="宋体" w:eastAsia="宋体" w:hint="default"/>
                <w:sz w:val="18"/>
                <w:szCs w:val="18"/>
              </w:rPr>
              <w:t>的档案信息 资源管理平 台</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年度上 海市静安区 促进经济发 展专项资金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750,000.00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年度上 海市规划布 局内重点软 件和集成电 路企业专项 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静安区专利 工作培育企 业奖励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普陀区财政 营改增扶持 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67,010.00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18,372,225.2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7,705,836.40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70、营业外支出" w:id="373"/>
      <w:bookmarkEnd w:id="373"/>
      <w:r>
        <w:rPr>
          <w:b w:val="0"/>
          <w:bCs w:val="0"/>
        </w:rPr>
      </w:r>
      <w:r>
        <w:rPr>
          <w:rFonts w:ascii="Times New Roman" w:hAnsi="Times New Roman" w:cs="Times New Roman" w:eastAsia="Times New Roman" w:hint="default"/>
        </w:rPr>
        <w:t>70</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66"/>
        <w:gridCol w:w="2408"/>
        <w:gridCol w:w="2392"/>
        <w:gridCol w:w="2392"/>
      </w:tblGrid>
      <w:tr>
        <w:trPr>
          <w:trHeight w:val="161" w:hRule="exact"/>
        </w:trPr>
        <w:tc>
          <w:tcPr>
            <w:tcW w:w="2366"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66"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408"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14,329.09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14,329.09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71、所得税费用" w:id="374"/>
      <w:bookmarkEnd w:id="374"/>
      <w:r>
        <w:rPr>
          <w:b w:val="0"/>
          <w:bCs w:val="0"/>
        </w:rPr>
      </w:r>
      <w:r>
        <w:rPr>
          <w:rFonts w:ascii="Times New Roman" w:hAnsi="Times New Roman" w:cs="Times New Roman" w:eastAsia="Times New Roman" w:hint="default"/>
        </w:rPr>
        <w:t>71</w:t>
      </w:r>
      <w:r>
        <w:rPr/>
        <w:t>、所得税费用</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0"/>
        <w:jc w:val="left"/>
        <w:rPr>
          <w:b w:val="0"/>
          <w:bCs w:val="0"/>
        </w:rPr>
      </w:pPr>
      <w:bookmarkStart w:name="（1）所得税费用表" w:id="375"/>
      <w:bookmarkEnd w:id="375"/>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5,761,882.70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5,438,502.79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-2,021,907.34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-466,584.34</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3,739,975.36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4,971,918.45</w:t>
            </w:r>
          </w:p>
        </w:tc>
      </w:tr>
    </w:tbl>
    <w:p>
      <w:pPr>
        <w:spacing w:line="240" w:lineRule="auto" w:before="2"/>
        <w:rPr>
          <w:rFonts w:ascii="宋体" w:hAnsi="宋体" w:cs="宋体" w:eastAsia="宋体" w:hint="default"/>
          <w:sz w:val="19"/>
          <w:szCs w:val="19"/>
        </w:rPr>
      </w:pPr>
    </w:p>
    <w:p>
      <w:pPr>
        <w:pStyle w:val="Heading6"/>
        <w:spacing w:line="240" w:lineRule="auto" w:before="35"/>
        <w:ind w:left="1134" w:right="0"/>
        <w:jc w:val="left"/>
        <w:rPr>
          <w:b w:val="0"/>
          <w:bCs w:val="0"/>
        </w:rPr>
      </w:pPr>
      <w:bookmarkStart w:name="（2）会计利润与所得税费用调整过程" w:id="376"/>
      <w:bookmarkEnd w:id="376"/>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42,778,595.77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6,416,789.36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-101,998.95</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796,431.62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增值税退税收入扣除的纳税影响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-152,928.78</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研究开发费加成扣除的纳税影响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-3,218,317.89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3,739,975.36</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72、其他综合收益" w:id="377"/>
      <w:bookmarkEnd w:id="377"/>
      <w:r>
        <w:rPr>
          <w:b w:val="0"/>
          <w:bCs w:val="0"/>
        </w:rPr>
      </w:r>
      <w:r>
        <w:rPr>
          <w:rFonts w:ascii="Times New Roman" w:hAnsi="Times New Roman" w:cs="Times New Roman" w:eastAsia="Times New Roman" w:hint="default"/>
        </w:rPr>
        <w:t>72</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0"/>
        <w:jc w:val="left"/>
      </w:pPr>
      <w:r>
        <w:rPr/>
        <w:t>详见附注。</w:t>
      </w:r>
    </w:p>
    <w:p>
      <w:pPr>
        <w:spacing w:line="240" w:lineRule="auto" w:before="11"/>
        <w:rPr>
          <w:rFonts w:ascii="宋体" w:hAnsi="宋体" w:cs="宋体" w:eastAsia="宋体" w:hint="default"/>
          <w:sz w:val="26"/>
          <w:szCs w:val="26"/>
        </w:rPr>
      </w:pPr>
    </w:p>
    <w:p>
      <w:pPr>
        <w:pStyle w:val="Heading6"/>
        <w:spacing w:line="240" w:lineRule="auto"/>
        <w:ind w:left="1134" w:right="0"/>
        <w:jc w:val="left"/>
        <w:rPr>
          <w:b w:val="0"/>
          <w:bCs w:val="0"/>
        </w:rPr>
      </w:pPr>
      <w:bookmarkStart w:name="73、现金流量表项目" w:id="378"/>
      <w:bookmarkEnd w:id="378"/>
      <w:r>
        <w:rPr>
          <w:b w:val="0"/>
          <w:bCs w:val="0"/>
        </w:rPr>
      </w:r>
      <w:r>
        <w:rPr>
          <w:rFonts w:ascii="Times New Roman" w:hAnsi="Times New Roman" w:cs="Times New Roman" w:eastAsia="Times New Roman" w:hint="default"/>
        </w:rPr>
        <w:t>73</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收到的其他与经营活动有关的现金" w:id="379"/>
      <w:bookmarkEnd w:id="379"/>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收到的各项政府补助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12,454,300.00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8,084,872.85</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收回的项目质保金、保函保证金、职工 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10,237,185.68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12,256,731.85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收到的存款利息收入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478,855.64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281,881.77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收到的其他零星现金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2,449,218.30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1,128,716.94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25,619,559.62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21,752,203.41</w:t>
            </w:r>
          </w:p>
        </w:tc>
      </w:tr>
    </w:tbl>
    <w:p>
      <w:pPr>
        <w:pStyle w:val="BodyText"/>
        <w:spacing w:line="240" w:lineRule="auto" w:before="51"/>
        <w:ind w:left="1134" w:right="0"/>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6"/>
        <w:spacing w:line="240" w:lineRule="auto"/>
        <w:ind w:left="1134" w:right="0"/>
        <w:jc w:val="left"/>
        <w:rPr>
          <w:b w:val="0"/>
          <w:bCs w:val="0"/>
        </w:rPr>
      </w:pPr>
      <w:bookmarkStart w:name="（2）支付的其他与经营活动有关的现金" w:id="380"/>
      <w:bookmarkEnd w:id="380"/>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支付付现费用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44,441,756.93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41,231,506.60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支付银行手续费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296,397.90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350,138.22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支付的保函保证金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4,161,969.04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8,685,209.73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支付项目质保金等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13,525,214.80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11,938,315.78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支付的员工备用金及其他零星现金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424,591.64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2,843,908.70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62,849,930.31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65,049,079.03</w:t>
            </w:r>
          </w:p>
        </w:tc>
      </w:tr>
    </w:tbl>
    <w:p>
      <w:pPr>
        <w:pStyle w:val="BodyText"/>
        <w:spacing w:line="240" w:lineRule="auto" w:before="51"/>
        <w:ind w:left="1134" w:right="0"/>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6"/>
        <w:spacing w:line="240" w:lineRule="auto"/>
        <w:ind w:left="1134" w:right="0"/>
        <w:jc w:val="left"/>
        <w:rPr>
          <w:b w:val="0"/>
          <w:bCs w:val="0"/>
        </w:rPr>
      </w:pPr>
      <w:bookmarkStart w:name="（3）收到的其他与投资活动有关的现金" w:id="381"/>
      <w:bookmarkEnd w:id="381"/>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134" w:right="0"/>
        <w:jc w:val="left"/>
      </w:pPr>
      <w:r>
        <w:rPr/>
        <w:t>收到的其他与投资活动有关的现金说明：</w:t>
      </w:r>
    </w:p>
    <w:p>
      <w:pPr>
        <w:spacing w:line="240" w:lineRule="auto" w:before="11"/>
        <w:rPr>
          <w:rFonts w:ascii="宋体" w:hAnsi="宋体" w:cs="宋体" w:eastAsia="宋体" w:hint="default"/>
          <w:sz w:val="26"/>
          <w:szCs w:val="26"/>
        </w:rPr>
      </w:pPr>
    </w:p>
    <w:p>
      <w:pPr>
        <w:pStyle w:val="Heading6"/>
        <w:spacing w:line="240" w:lineRule="auto"/>
        <w:ind w:left="1134" w:right="0"/>
        <w:jc w:val="left"/>
        <w:rPr>
          <w:b w:val="0"/>
          <w:bCs w:val="0"/>
        </w:rPr>
      </w:pPr>
      <w:bookmarkStart w:name="（4）支付的其他与投资活动有关的现金" w:id="382"/>
      <w:bookmarkEnd w:id="382"/>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134" w:right="0"/>
        <w:jc w:val="left"/>
      </w:pPr>
      <w:r>
        <w:rPr/>
        <w:t>支付的其他与投资活动有关的现金说明：</w:t>
      </w:r>
    </w:p>
    <w:p>
      <w:pPr>
        <w:spacing w:line="240" w:lineRule="auto" w:before="11"/>
        <w:rPr>
          <w:rFonts w:ascii="宋体" w:hAnsi="宋体" w:cs="宋体" w:eastAsia="宋体" w:hint="default"/>
          <w:sz w:val="26"/>
          <w:szCs w:val="26"/>
        </w:rPr>
      </w:pPr>
    </w:p>
    <w:p>
      <w:pPr>
        <w:pStyle w:val="Heading6"/>
        <w:spacing w:line="240" w:lineRule="auto"/>
        <w:ind w:left="1134" w:right="0"/>
        <w:jc w:val="left"/>
        <w:rPr>
          <w:b w:val="0"/>
          <w:bCs w:val="0"/>
        </w:rPr>
      </w:pPr>
      <w:bookmarkStart w:name="（5）收到的其他与筹资活动有关的现金" w:id="383"/>
      <w:bookmarkEnd w:id="383"/>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收回短期借款保证金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w:t>
            </w:r>
          </w:p>
        </w:tc>
      </w:tr>
    </w:tbl>
    <w:p>
      <w:pPr>
        <w:pStyle w:val="BodyText"/>
        <w:spacing w:line="240" w:lineRule="auto" w:before="51"/>
        <w:ind w:left="1134" w:right="0"/>
        <w:jc w:val="left"/>
      </w:pPr>
      <w:r>
        <w:rPr/>
        <w:t>收到的其他与筹资活动有关的现金说明：</w:t>
      </w:r>
    </w:p>
    <w:p>
      <w:pPr>
        <w:spacing w:line="240" w:lineRule="auto" w:before="10"/>
        <w:rPr>
          <w:rFonts w:ascii="宋体" w:hAnsi="宋体" w:cs="宋体" w:eastAsia="宋体" w:hint="default"/>
          <w:sz w:val="26"/>
          <w:szCs w:val="26"/>
        </w:rPr>
      </w:pPr>
    </w:p>
    <w:p>
      <w:pPr>
        <w:pStyle w:val="Heading6"/>
        <w:spacing w:line="240" w:lineRule="auto"/>
        <w:ind w:left="1134" w:right="0"/>
        <w:jc w:val="left"/>
        <w:rPr>
          <w:b w:val="0"/>
          <w:bCs w:val="0"/>
        </w:rPr>
      </w:pPr>
      <w:bookmarkStart w:name="（6）支付的其他与筹资活动有关的现金" w:id="384"/>
      <w:bookmarkEnd w:id="384"/>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中介服务费用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5,559,068.32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5,559,068.32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530,000.00</w:t>
            </w:r>
          </w:p>
        </w:tc>
      </w:tr>
    </w:tbl>
    <w:p>
      <w:pPr>
        <w:pStyle w:val="BodyText"/>
        <w:spacing w:line="240" w:lineRule="auto" w:before="51"/>
        <w:ind w:left="1134" w:right="0"/>
        <w:jc w:val="left"/>
      </w:pPr>
      <w:r>
        <w:rPr/>
        <w:t>支付的其他与筹资活动有关的现金说明：</w:t>
      </w:r>
    </w:p>
    <w:p>
      <w:pPr>
        <w:spacing w:line="240" w:lineRule="auto" w:before="10"/>
        <w:rPr>
          <w:rFonts w:ascii="宋体" w:hAnsi="宋体" w:cs="宋体" w:eastAsia="宋体" w:hint="default"/>
          <w:sz w:val="26"/>
          <w:szCs w:val="26"/>
        </w:rPr>
      </w:pPr>
    </w:p>
    <w:p>
      <w:pPr>
        <w:pStyle w:val="Heading6"/>
        <w:spacing w:line="240" w:lineRule="auto"/>
        <w:ind w:left="1134" w:right="0"/>
        <w:jc w:val="left"/>
        <w:rPr>
          <w:b w:val="0"/>
          <w:bCs w:val="0"/>
        </w:rPr>
      </w:pPr>
      <w:bookmarkStart w:name="74、现金流量表补充资料" w:id="385"/>
      <w:bookmarkEnd w:id="385"/>
      <w:r>
        <w:rPr>
          <w:b w:val="0"/>
          <w:bCs w:val="0"/>
        </w:rPr>
      </w:r>
      <w:r>
        <w:rPr>
          <w:rFonts w:ascii="Times New Roman" w:hAnsi="Times New Roman" w:cs="Times New Roman" w:eastAsia="Times New Roman" w:hint="default"/>
        </w:rPr>
        <w:t>74</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现金流量表补充资料" w:id="386"/>
      <w:bookmarkEnd w:id="386"/>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r>
        <w:rPr/>
        <w:pict>
          <v:group style="position:absolute;margin-left:223.339996pt;margin-top:263.929993pt;width:151.25pt;height:40.9pt;mso-position-horizontal-relative:page;mso-position-vertical-relative:page;z-index:-1032496" coordorigin="4467,5279" coordsize="3025,818">
            <v:group style="position:absolute;left:4478;top:5290;width:2;height:393" coordorigin="4478,5290" coordsize="2,393">
              <v:shape style="position:absolute;left:4478;top:5290;width:2;height:393" coordorigin="4478,5290" coordsize="0,393" path="m4478,5290l4478,5682e" filled="false" stroked="true" strokeweight="1.140pt" strokecolor="#ffffff">
                <v:path arrowok="t"/>
              </v:shape>
            </v:group>
            <v:group style="position:absolute;left:4490;top:5290;width:3002;height:393" coordorigin="4490,5290" coordsize="3002,393">
              <v:shape style="position:absolute;left:4490;top:5290;width:3002;height:393" coordorigin="4490,5290" coordsize="3002,393" path="m4490,5682l7491,5682,7491,5290,4490,5290,4490,5682xe" filled="true" fillcolor="#ffffff" stroked="false">
                <v:path arrowok="t"/>
                <v:fill type="solid"/>
              </v:shape>
            </v:group>
            <v:group style="position:absolute;left:4478;top:5692;width:2;height:393" coordorigin="4478,5692" coordsize="2,393">
              <v:shape style="position:absolute;left:4478;top:5692;width:2;height:393" coordorigin="4478,5692" coordsize="0,393" path="m4478,5692l4478,6084e" filled="false" stroked="true" strokeweight="1.140pt" strokecolor="#ffffff">
                <v:path arrowok="t"/>
              </v:shape>
            </v:group>
            <v:group style="position:absolute;left:4490;top:5692;width:3002;height:393" coordorigin="4490,5692" coordsize="3002,393">
              <v:shape style="position:absolute;left:4490;top:5692;width:3002;height:393" coordorigin="4490,5692" coordsize="3002,393" path="m4490,6084l7491,6084,7491,5692,4490,5692,4490,6084xe" filled="true" fillcolor="#ffffff" stroked="false">
                <v:path arrowok="t"/>
                <v:fill type="solid"/>
              </v:shape>
            </v:group>
            <w10:wrap type="none"/>
          </v:group>
        </w:pict>
      </w:r>
    </w:p>
    <w:tbl>
      <w:tblPr>
        <w:tblW w:w="0" w:type="auto"/>
        <w:jc w:val="left"/>
        <w:tblInd w:w="1140" w:type="dxa"/>
        <w:tblLayout w:type="fixed"/>
        <w:tblCellMar>
          <w:top w:w="0" w:type="dxa"/>
          <w:left w:w="0" w:type="dxa"/>
          <w:bottom w:w="0" w:type="dxa"/>
          <w:right w:w="0" w:type="dxa"/>
        </w:tblCellMar>
        <w:tblLook w:val="01E0"/>
      </w:tblPr>
      <w:tblGrid>
        <w:gridCol w:w="3305"/>
        <w:gridCol w:w="1055"/>
        <w:gridCol w:w="2014"/>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39,038,620.41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37,583,532.54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10,980,087.45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3,550,847.98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3,317,599.50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2,015,022.05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900,132.32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768,341.57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14,329.09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8,380,574.20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7,386,921.37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-1,993,407.35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-279,751.01</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-28,499.99</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-186,833.33</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-51,816,135.97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-28,152,504.86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-94,972,894.72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-28,833,025.21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54,577,185.39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18,324,856.41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-824,783.36</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-2,826,848.89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-32,441,522.12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9,364,887.71</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231,556,439.76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109,558,077.76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109,558,077.76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112,640,727.71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121,998,362.00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-3,082,649.95</w:t>
            </w:r>
          </w:p>
        </w:tc>
      </w:tr>
    </w:tbl>
    <w:p>
      <w:pPr>
        <w:spacing w:line="240" w:lineRule="auto" w:before="2"/>
        <w:rPr>
          <w:rFonts w:ascii="宋体" w:hAnsi="宋体" w:cs="宋体" w:eastAsia="宋体" w:hint="default"/>
          <w:sz w:val="19"/>
          <w:szCs w:val="19"/>
        </w:rPr>
      </w:pPr>
    </w:p>
    <w:p>
      <w:pPr>
        <w:pStyle w:val="Heading6"/>
        <w:spacing w:line="240" w:lineRule="auto" w:before="35"/>
        <w:ind w:left="1134" w:right="0"/>
        <w:jc w:val="left"/>
        <w:rPr>
          <w:b w:val="0"/>
          <w:bCs w:val="0"/>
        </w:rPr>
      </w:pPr>
      <w:bookmarkStart w:name="（2）本期支付的取得子公司的现金净额" w:id="387"/>
      <w:bookmarkEnd w:id="387"/>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3）本期收到的处置子公司的现金净额" w:id="388"/>
      <w:bookmarkEnd w:id="388"/>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4）现金和现金等价物的构成" w:id="389"/>
      <w:bookmarkEnd w:id="389"/>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231,556,439.76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109,558,077.76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181,055.16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61,485.09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231,375,384.60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109,496,592.67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231,556,439.76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109,558,077.76</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spacing w:line="547" w:lineRule="auto" w:before="0"/>
        <w:ind w:left="1133" w:right="5373" w:firstLine="0"/>
        <w:jc w:val="left"/>
        <w:rPr>
          <w:rFonts w:ascii="宋体" w:hAnsi="宋体" w:cs="宋体" w:eastAsia="宋体" w:hint="default"/>
          <w:sz w:val="21"/>
          <w:szCs w:val="21"/>
        </w:rPr>
      </w:pPr>
      <w:bookmarkStart w:name="75、所有者权益变动表项目注释" w:id="390"/>
      <w:bookmarkEnd w:id="390"/>
      <w:r>
        <w:rPr/>
      </w: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6、所有权或使用权受到限制的资产" w:id="391"/>
      <w:bookmarkEnd w:id="391"/>
      <w:r>
        <w:rPr>
          <w:rFonts w:ascii="宋体" w:hAnsi="宋体" w:cs="宋体" w:eastAsia="宋体" w:hint="default"/>
          <w:sz w:val="18"/>
          <w:szCs w:val="18"/>
        </w:rPr>
      </w:r>
      <w:r>
        <w:rPr>
          <w:rFonts w:ascii="Times New Roman" w:hAnsi="Times New Roman" w:cs="Times New Roman" w:eastAsia="Times New Roman" w:hint="default"/>
          <w:b/>
          <w:bCs/>
          <w:sz w:val="21"/>
          <w:szCs w:val="21"/>
        </w:rPr>
        <w:t>76</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17"/>
        <w:gridCol w:w="3057"/>
        <w:gridCol w:w="3184"/>
      </w:tblGrid>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161" w:hRule="exact"/>
        </w:trPr>
        <w:tc>
          <w:tcPr>
            <w:tcW w:w="3317"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8,583,735.43</w:t>
            </w:r>
          </w:p>
        </w:tc>
        <w:tc>
          <w:tcPr>
            <w:tcW w:w="3184"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本公司向银行申请开具无条件、不可撤 销的担保函所存入的保证金</w:t>
            </w:r>
          </w:p>
        </w:tc>
      </w:tr>
      <w:tr>
        <w:trPr>
          <w:trHeight w:val="392" w:hRule="exact"/>
        </w:trPr>
        <w:tc>
          <w:tcPr>
            <w:tcW w:w="33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vMerge/>
            <w:tcBorders>
              <w:left w:val="single" w:sz="9" w:space="0" w:color="D2D2D2"/>
              <w:right w:val="single" w:sz="4" w:space="0" w:color="000000"/>
            </w:tcBorders>
          </w:tcPr>
          <w:p>
            <w:pPr/>
          </w:p>
        </w:tc>
        <w:tc>
          <w:tcPr>
            <w:tcW w:w="3184" w:type="dxa"/>
            <w:vMerge/>
            <w:tcBorders>
              <w:left w:val="single" w:sz="4" w:space="0" w:color="000000"/>
              <w:right w:val="single" w:sz="4" w:space="0" w:color="000000"/>
            </w:tcBorders>
          </w:tcPr>
          <w:p>
            <w:pPr/>
          </w:p>
        </w:tc>
      </w:tr>
      <w:tr>
        <w:trPr>
          <w:trHeight w:val="161" w:hRule="exact"/>
        </w:trPr>
        <w:tc>
          <w:tcPr>
            <w:tcW w:w="3317"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7" w:type="dxa"/>
            <w:vMerge/>
            <w:tcBorders>
              <w:left w:val="single" w:sz="9" w:space="0" w:color="D2D2D2"/>
              <w:bottom w:val="single" w:sz="4" w:space="0" w:color="000000"/>
              <w:right w:val="single" w:sz="4" w:space="0" w:color="000000"/>
            </w:tcBorders>
          </w:tcPr>
          <w:p>
            <w:pPr/>
          </w:p>
        </w:tc>
        <w:tc>
          <w:tcPr>
            <w:tcW w:w="3184" w:type="dxa"/>
            <w:vMerge/>
            <w:tcBorders>
              <w:left w:val="single" w:sz="4" w:space="0" w:color="000000"/>
              <w:bottom w:val="single" w:sz="4" w:space="0" w:color="000000"/>
              <w:right w:val="single" w:sz="4" w:space="0" w:color="000000"/>
            </w:tcBorders>
          </w:tcPr>
          <w:p>
            <w:pPr/>
          </w:p>
        </w:tc>
      </w:tr>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8,583,735.43</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77、外币货币性项目" w:id="392"/>
      <w:bookmarkEnd w:id="392"/>
      <w:r>
        <w:rPr>
          <w:b w:val="0"/>
          <w:bCs w:val="0"/>
        </w:rPr>
      </w:r>
      <w:r>
        <w:rPr>
          <w:rFonts w:ascii="Times New Roman" w:hAnsi="Times New Roman" w:cs="Times New Roman" w:eastAsia="Times New Roman" w:hint="default"/>
        </w:rPr>
        <w:t>77</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外币货币性项目" w:id="393"/>
      <w:bookmarkEnd w:id="393"/>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59" w:lineRule="auto" w:before="35"/>
        <w:ind w:right="0"/>
        <w:jc w:val="left"/>
        <w:rPr>
          <w:b w:val="0"/>
          <w:bCs w:val="0"/>
        </w:rPr>
      </w:pPr>
      <w:bookmarkStart w:name="（2）境外经营实体说明，包括对于重要的境外经营实体，应披露其境外主要经营地、记账" w:id="394"/>
      <w:bookmarkEnd w:id="394"/>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78、套期" w:id="395"/>
      <w:bookmarkEnd w:id="395"/>
      <w:r>
        <w:rPr>
          <w:b w:val="0"/>
          <w:bCs w:val="0"/>
        </w:rPr>
      </w:r>
      <w:r>
        <w:rPr>
          <w:rFonts w:ascii="Times New Roman" w:hAnsi="Times New Roman" w:cs="Times New Roman" w:eastAsia="Times New Roman" w:hint="default"/>
        </w:rPr>
        <w:t>78</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0"/>
        <w:jc w:val="left"/>
      </w:pPr>
      <w:r>
        <w:rPr/>
        <w:t>按照套期类别披露套期项目及相关套期工具、被套期风险的定性和定量信息：</w:t>
      </w:r>
    </w:p>
    <w:p>
      <w:pPr>
        <w:spacing w:line="240" w:lineRule="auto" w:before="11"/>
        <w:rPr>
          <w:rFonts w:ascii="宋体" w:hAnsi="宋体" w:cs="宋体" w:eastAsia="宋体" w:hint="default"/>
          <w:sz w:val="26"/>
          <w:szCs w:val="26"/>
        </w:rPr>
      </w:pPr>
    </w:p>
    <w:p>
      <w:pPr>
        <w:spacing w:line="487" w:lineRule="auto" w:before="0"/>
        <w:ind w:left="1133" w:right="8329" w:firstLine="0"/>
        <w:jc w:val="left"/>
        <w:rPr>
          <w:rFonts w:ascii="宋体" w:hAnsi="宋体" w:cs="宋体" w:eastAsia="宋体" w:hint="default"/>
          <w:sz w:val="21"/>
          <w:szCs w:val="21"/>
        </w:rPr>
      </w:pPr>
      <w:bookmarkStart w:name="79、其他" w:id="396"/>
      <w:bookmarkEnd w:id="396"/>
      <w:r>
        <w:rPr/>
      </w: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97"/>
      <w:bookmarkEnd w:id="397"/>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98"/>
      <w:bookmarkEnd w:id="39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6"/>
        <w:spacing w:line="240" w:lineRule="auto" w:before="83"/>
        <w:ind w:right="0"/>
        <w:jc w:val="left"/>
        <w:rPr>
          <w:b w:val="0"/>
          <w:bCs w:val="0"/>
        </w:rPr>
      </w:pPr>
      <w:bookmarkStart w:name="（1）本期发生的非同一控制下企业合并" w:id="399"/>
      <w:bookmarkEnd w:id="399"/>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合并成本及商誉" w:id="400"/>
      <w:bookmarkEnd w:id="400"/>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8"/>
        <w:rPr>
          <w:rFonts w:ascii="宋体" w:hAnsi="宋体" w:cs="宋体" w:eastAsia="宋体" w:hint="default"/>
          <w:sz w:val="7"/>
          <w:szCs w:val="7"/>
        </w:rPr>
      </w:pPr>
    </w:p>
    <w:p>
      <w:pPr>
        <w:spacing w:line="42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left="1134" w:right="6072"/>
        <w:jc w:val="left"/>
      </w:pPr>
      <w:r>
        <w:rPr/>
        <w:t>合并成本公允价值的确定方法、或有对价及其变动的说明： 大额商誉形成的主要原因：</w:t>
      </w:r>
    </w:p>
    <w:p>
      <w:pPr>
        <w:pStyle w:val="BodyText"/>
        <w:spacing w:line="240" w:lineRule="auto" w:before="26"/>
        <w:ind w:left="113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left="1134" w:right="0"/>
        <w:jc w:val="left"/>
        <w:rPr>
          <w:b w:val="0"/>
          <w:bCs w:val="0"/>
        </w:rPr>
      </w:pPr>
      <w:bookmarkStart w:name="（3）被购买方于购买日可辨认资产、负债" w:id="401"/>
      <w:bookmarkEnd w:id="401"/>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60" w:lineRule="auto" w:before="51"/>
        <w:ind w:left="1134" w:right="7530"/>
        <w:jc w:val="both"/>
      </w:pPr>
      <w:r>
        <w:rPr/>
        <w:t>可辨认资产、负债公允价值的确定方法： 企业合并中承担的被购买方的或有负债： 其他说明：</w:t>
      </w:r>
    </w:p>
    <w:p>
      <w:pPr>
        <w:spacing w:after="0" w:line="360"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4）购买日之前持有的股权按照公允价值重新计量产生的利得或损失" w:id="402"/>
      <w:bookmarkEnd w:id="402"/>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是否存在通过多次交易分步实现企业合并且在报告期内取得控制权的交易</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1"/>
        <w:rPr>
          <w:rFonts w:ascii="宋体" w:hAnsi="宋体" w:cs="宋体" w:eastAsia="宋体" w:hint="default"/>
          <w:sz w:val="25"/>
          <w:szCs w:val="25"/>
        </w:rPr>
      </w:pPr>
    </w:p>
    <w:p>
      <w:pPr>
        <w:pStyle w:val="Heading6"/>
        <w:spacing w:line="240" w:lineRule="auto"/>
        <w:ind w:right="0"/>
        <w:jc w:val="left"/>
        <w:rPr>
          <w:b w:val="0"/>
          <w:bCs w:val="0"/>
        </w:rPr>
      </w:pPr>
      <w:bookmarkStart w:name="（5）购买日或合并当期期末无法合理确定合并对价或被购买方可辨认资产、负债公允价值" w:id="403"/>
      <w:bookmarkEnd w:id="403"/>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6）其他说明" w:id="404"/>
      <w:bookmarkEnd w:id="404"/>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2、同一控制下企业合并" w:id="405"/>
      <w:bookmarkEnd w:id="405"/>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本期发生的同一控制下企业合并" w:id="406"/>
      <w:bookmarkEnd w:id="406"/>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合并成本" w:id="407"/>
      <w:bookmarkEnd w:id="407"/>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8"/>
        <w:rPr>
          <w:rFonts w:ascii="宋体" w:hAnsi="宋体" w:cs="宋体" w:eastAsia="宋体" w:hint="default"/>
          <w:sz w:val="7"/>
          <w:szCs w:val="7"/>
        </w:rPr>
      </w:pPr>
    </w:p>
    <w:p>
      <w:pPr>
        <w:spacing w:line="42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left="1134" w:right="8592"/>
        <w:jc w:val="left"/>
      </w:pPr>
      <w:r>
        <w:rPr/>
        <w:t>或有对价及其变动的说明： 其他说明：</w:t>
      </w:r>
    </w:p>
    <w:p>
      <w:pPr>
        <w:spacing w:line="240" w:lineRule="auto" w:before="11"/>
        <w:rPr>
          <w:rFonts w:ascii="宋体" w:hAnsi="宋体" w:cs="宋体" w:eastAsia="宋体" w:hint="default"/>
          <w:sz w:val="19"/>
          <w:szCs w:val="19"/>
        </w:rPr>
      </w:pPr>
    </w:p>
    <w:p>
      <w:pPr>
        <w:pStyle w:val="Heading6"/>
        <w:spacing w:line="240" w:lineRule="auto"/>
        <w:ind w:right="0"/>
        <w:jc w:val="left"/>
        <w:rPr>
          <w:b w:val="0"/>
          <w:bCs w:val="0"/>
        </w:rPr>
      </w:pPr>
      <w:bookmarkStart w:name="（3）合并日被合并方资产、负债的账面价值" w:id="408"/>
      <w:bookmarkEnd w:id="408"/>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9"/>
        <w:rPr>
          <w:rFonts w:ascii="宋体" w:hAnsi="宋体" w:cs="宋体" w:eastAsia="宋体" w:hint="default"/>
          <w:sz w:val="7"/>
          <w:szCs w:val="7"/>
        </w:rPr>
      </w:pPr>
    </w:p>
    <w:p>
      <w:pPr>
        <w:spacing w:line="823" w:lineRule="exact"/>
        <w:ind w:left="112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pt;mso-position-horizontal-relative:char;mso-position-vertical-relative:line" coordorigin="0,0" coordsize="9581,824">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3179;top:14;width:2;height:393" coordorigin="3179,14" coordsize="2,393">
              <v:shape style="position:absolute;left:3179;top:14;width:2;height:393" coordorigin="3179,14" coordsize="0,393" path="m3179,14l3179,407e" filled="false" stroked="true" strokeweight="1.140pt" strokecolor="#d2d2d2">
                <v:path arrowok="t"/>
              </v:shape>
            </v:group>
            <v:group style="position:absolute;left:32;top:14;width:3135;height:393" coordorigin="32,14" coordsize="3135,393">
              <v:shape style="position:absolute;left:32;top:14;width:3135;height:393" coordorigin="32,14" coordsize="3135,393" path="m32,407l3167,407,3167,14,32,14,32,407xe" filled="true" fillcolor="#d2d2d2" stroked="false">
                <v:path arrowok="t"/>
                <v:fill type="solid"/>
              </v:shape>
            </v:group>
            <v:group style="position:absolute;left:3212;top:14;width:2;height:393" coordorigin="3212,14" coordsize="2,393">
              <v:shape style="position:absolute;left:3212;top:14;width:2;height:393" coordorigin="3212,14" coordsize="0,393" path="m3212,14l3212,407e" filled="false" stroked="true" strokeweight="1.2pt" strokecolor="#e0ffff">
                <v:path arrowok="t"/>
              </v:shape>
            </v:group>
            <v:group style="position:absolute;left:9560;top:14;width:2;height:393" coordorigin="9560,14" coordsize="2,393">
              <v:shape style="position:absolute;left:9560;top:14;width:2;height:393" coordorigin="9560,14" coordsize="0,393" path="m9560,14l9560,407e" filled="false" stroked="true" strokeweight="1.140pt" strokecolor="#e0ffff">
                <v:path arrowok="t"/>
              </v:shape>
            </v:group>
            <v:group style="position:absolute;left:3224;top:14;width:6325;height:393" coordorigin="3224,14" coordsize="6325,393">
              <v:shape style="position:absolute;left:3224;top:14;width:6325;height:393" coordorigin="3224,14" coordsize="6325,393" path="m3224,407l9548,407,9548,14,3224,14,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pt" strokecolor="#000000">
                <v:path arrowok="t"/>
              </v:shape>
            </v:group>
            <v:group style="position:absolute;left:21;top:416;width:2;height:393" coordorigin="21,416" coordsize="2,393">
              <v:shape style="position:absolute;left:21;top:416;width:2;height:393" coordorigin="21,416" coordsize="0,393" path="m21,416l21,809e" filled="false" stroked="true" strokeweight="1.140pt" strokecolor="#d2d2d2">
                <v:path arrowok="t"/>
              </v:shape>
            </v:group>
            <v:group style="position:absolute;left:3179;top:416;width:2;height:393" coordorigin="3179,416" coordsize="2,393">
              <v:shape style="position:absolute;left:3179;top:416;width:2;height:393" coordorigin="3179,416" coordsize="0,393" path="m3179,416l3179,809e" filled="false" stroked="true" strokeweight="1.140pt" strokecolor="#d2d2d2">
                <v:path arrowok="t"/>
              </v:shape>
            </v:group>
            <v:group style="position:absolute;left:32;top:416;width:3135;height:393" coordorigin="32,416" coordsize="3135,393">
              <v:shape style="position:absolute;left:32;top:416;width:3135;height:393" coordorigin="32,416" coordsize="3135,393" path="m32,809l3167,809,3167,416,32,416,32,809xe" filled="true" fillcolor="#d2d2d2" stroked="false">
                <v:path arrowok="t"/>
                <v:fill type="solid"/>
              </v:shape>
            </v:group>
            <v:group style="position:absolute;left:3212;top:416;width:2;height:393" coordorigin="3212,416" coordsize="2,393">
              <v:shape style="position:absolute;left:3212;top:416;width:2;height:393" coordorigin="3212,416" coordsize="0,393" path="m3212,416l3212,809e" filled="false" stroked="true" strokeweight="1.2pt" strokecolor="#d2d2d2">
                <v:path arrowok="t"/>
              </v:shape>
            </v:group>
            <v:group style="position:absolute;left:6369;top:416;width:2;height:393" coordorigin="6369,416" coordsize="2,393">
              <v:shape style="position:absolute;left:6369;top:416;width:2;height:393" coordorigin="6369,416" coordsize="0,393" path="m6369,416l6369,809e" filled="false" stroked="true" strokeweight="1.140pt" strokecolor="#d2d2d2">
                <v:path arrowok="t"/>
              </v:shape>
            </v:group>
            <v:group style="position:absolute;left:3224;top:416;width:3134;height:393" coordorigin="3224,416" coordsize="3134,393">
              <v:shape style="position:absolute;left:3224;top:416;width:3134;height:393" coordorigin="3224,416" coordsize="3134,393" path="m3224,809l6357,809,6357,416,3224,416,3224,809xe" filled="true" fillcolor="#d2d2d2" stroked="false">
                <v:path arrowok="t"/>
                <v:fill type="solid"/>
              </v:shape>
            </v:group>
            <v:group style="position:absolute;left:6402;top:416;width:2;height:393" coordorigin="6402,416" coordsize="2,393">
              <v:shape style="position:absolute;left:6402;top:416;width:2;height:393" coordorigin="6402,416" coordsize="0,393" path="m6402,416l6402,809e" filled="false" stroked="true" strokeweight="1.140pt" strokecolor="#d2d2d2">
                <v:path arrowok="t"/>
              </v:shape>
            </v:group>
            <v:group style="position:absolute;left:9560;top:416;width:2;height:393" coordorigin="9560,416" coordsize="2,393">
              <v:shape style="position:absolute;left:9560;top:416;width:2;height:393" coordorigin="9560,416" coordsize="0,393" path="m9560,416l9560,809e" filled="false" stroked="true" strokeweight="1.140pt" strokecolor="#d2d2d2">
                <v:path arrowok="t"/>
              </v:shape>
            </v:group>
            <v:group style="position:absolute;left:6414;top:416;width:3135;height:393" coordorigin="6414,416" coordsize="3135,393">
              <v:shape style="position:absolute;left:6414;top:416;width:3135;height:393" coordorigin="6414,416" coordsize="3135,393" path="m6414,809l9548,809,9548,416,6414,416,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0,814e" filled="false" stroked="true" strokeweight=".48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2;height:2" coordorigin="3200,814" coordsize="3182,2">
              <v:shape style="position:absolute;left:3200;top:814;width:3182;height:2" coordorigin="3200,814" coordsize="3182,0" path="m3200,814l6381,814e" filled="false" stroked="true" strokeweight=".48pt" strokecolor="#000000">
                <v:path arrowok="t"/>
              </v:shape>
            </v:group>
            <v:group style="position:absolute;left:6386;top:407;width:2;height:412" coordorigin="6386,407" coordsize="2,412">
              <v:shape style="position:absolute;left:6386;top:407;width:2;height:412" coordorigin="6386,407" coordsize="0,412" path="m6386,407l6386,818e" filled="false" stroked="true" strokeweight=".48pt" strokecolor="#000000">
                <v:path arrowok="t"/>
              </v:shape>
            </v:group>
            <v:group style="position:absolute;left:6391;top:814;width:3181;height:2" coordorigin="6391,814" coordsize="3181,2">
              <v:shape style="position:absolute;left:6391;top:814;width:3181;height:2" coordorigin="6391,814" coordsize="3181,0" path="m6391,814l9571,814e" filled="false" stroked="true" strokeweight=".48pt" strokecolor="#000000">
                <v:path arrowok="t"/>
              </v:shape>
            </v:group>
            <v:group style="position:absolute;left:9576;top:5;width:2;height:814" coordorigin="9576,5" coordsize="2,814">
              <v:shape style="position:absolute;left:9576;top:5;width:2;height:814" coordorigin="9576,5" coordsize="0,814" path="m9576,5l9576,818e" filled="false" stroked="true" strokeweight=".48pt" strokecolor="#000000">
                <v:path arrowok="t"/>
              </v:shape>
              <v:shape style="position:absolute;left:3183;top:412;width:3202;height:402"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80;height:402"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60" w:lineRule="auto" w:before="46"/>
        <w:ind w:left="1134" w:right="7512"/>
        <w:jc w:val="left"/>
      </w:pPr>
      <w:r>
        <w:rPr/>
        <w:t>企业合并中承担的被合并方的或有负债： 其他说明：</w:t>
      </w:r>
    </w:p>
    <w:p>
      <w:pPr>
        <w:spacing w:line="240" w:lineRule="auto" w:before="11"/>
        <w:rPr>
          <w:rFonts w:ascii="宋体" w:hAnsi="宋体" w:cs="宋体" w:eastAsia="宋体" w:hint="default"/>
          <w:sz w:val="19"/>
          <w:szCs w:val="19"/>
        </w:rPr>
      </w:pPr>
    </w:p>
    <w:p>
      <w:pPr>
        <w:pStyle w:val="Heading6"/>
        <w:spacing w:line="240" w:lineRule="auto"/>
        <w:ind w:left="1134" w:right="0"/>
        <w:jc w:val="left"/>
        <w:rPr>
          <w:b w:val="0"/>
          <w:bCs w:val="0"/>
        </w:rPr>
      </w:pPr>
      <w:bookmarkStart w:name="3、反向购买" w:id="409"/>
      <w:bookmarkEnd w:id="409"/>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before="0"/>
        <w:ind w:left="1134"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after="0" w:line="319"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4、处置子公司" w:id="410"/>
      <w:bookmarkEnd w:id="410"/>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是否存在单次处置对子公司投资即丧失控制权的情形</w:t>
      </w:r>
    </w:p>
    <w:p>
      <w:pPr>
        <w:pStyle w:val="BodyText"/>
        <w:spacing w:line="340" w:lineRule="auto" w:before="116"/>
        <w:ind w:right="4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5、其他原因的合并范围变动" w:id="411"/>
      <w:bookmarkEnd w:id="411"/>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说明其他原因导致的合并范围变动（如，新设子公司、清算子公司等）及其相关情况：</w:t>
      </w:r>
    </w:p>
    <w:p>
      <w:pPr>
        <w:spacing w:line="240" w:lineRule="auto" w:before="10"/>
        <w:rPr>
          <w:rFonts w:ascii="宋体" w:hAnsi="宋体" w:cs="宋体" w:eastAsia="宋体" w:hint="default"/>
          <w:sz w:val="26"/>
          <w:szCs w:val="26"/>
        </w:rPr>
      </w:pPr>
    </w:p>
    <w:p>
      <w:pPr>
        <w:spacing w:line="487" w:lineRule="auto" w:before="0"/>
        <w:ind w:left="1133" w:right="7693" w:firstLine="0"/>
        <w:jc w:val="left"/>
        <w:rPr>
          <w:rFonts w:ascii="宋体" w:hAnsi="宋体" w:cs="宋体" w:eastAsia="宋体" w:hint="default"/>
          <w:sz w:val="21"/>
          <w:szCs w:val="21"/>
        </w:rPr>
      </w:pPr>
      <w:bookmarkStart w:name="6、其他" w:id="412"/>
      <w:bookmarkEnd w:id="412"/>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13"/>
      <w:bookmarkEnd w:id="413"/>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14"/>
      <w:bookmarkEnd w:id="414"/>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6"/>
        <w:spacing w:line="240" w:lineRule="auto" w:before="83"/>
        <w:ind w:right="0"/>
        <w:jc w:val="left"/>
        <w:rPr>
          <w:b w:val="0"/>
          <w:bCs w:val="0"/>
        </w:rPr>
      </w:pPr>
      <w:bookmarkStart w:name="（1）企业集团的构成" w:id="415"/>
      <w:bookmarkEnd w:id="415"/>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7"/>
              <w:jc w:val="left"/>
              <w:rPr>
                <w:rFonts w:ascii="宋体" w:hAnsi="宋体" w:cs="宋体" w:eastAsia="宋体" w:hint="default"/>
                <w:sz w:val="18"/>
                <w:szCs w:val="18"/>
              </w:rPr>
            </w:pPr>
            <w:r>
              <w:rPr>
                <w:rFonts w:ascii="宋体" w:hAnsi="宋体" w:cs="宋体" w:eastAsia="宋体" w:hint="default"/>
                <w:sz w:val="18"/>
                <w:szCs w:val="18"/>
              </w:rPr>
              <w:t>上海金档信息技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光典信息发展有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软、硬件开发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上海追索信息科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软、硬件开发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pStyle w:val="BodyText"/>
        <w:spacing w:line="360" w:lineRule="auto" w:before="51"/>
        <w:ind w:right="283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6"/>
        <w:ind w:left="1134" w:right="7692"/>
        <w:jc w:val="left"/>
      </w:pPr>
      <w:r>
        <w:rPr/>
        <w:t>确定公司是代理人还是委托人的依据： 其他说明：</w:t>
      </w:r>
    </w:p>
    <w:p>
      <w:pPr>
        <w:spacing w:line="240" w:lineRule="auto" w:before="1"/>
        <w:rPr>
          <w:rFonts w:ascii="宋体" w:hAnsi="宋体" w:cs="宋体" w:eastAsia="宋体" w:hint="default"/>
          <w:sz w:val="20"/>
          <w:szCs w:val="20"/>
        </w:rPr>
      </w:pPr>
    </w:p>
    <w:p>
      <w:pPr>
        <w:pStyle w:val="Heading6"/>
        <w:spacing w:line="240" w:lineRule="auto"/>
        <w:ind w:left="1134" w:right="0"/>
        <w:jc w:val="left"/>
        <w:rPr>
          <w:b w:val="0"/>
          <w:bCs w:val="0"/>
        </w:rPr>
      </w:pPr>
      <w:bookmarkStart w:name="（2）重要的非全资子公司" w:id="416"/>
      <w:bookmarkEnd w:id="416"/>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5"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上海追索信息科技有限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0" w:right="0"/>
              <w:jc w:val="left"/>
              <w:rPr>
                <w:rFonts w:ascii="Times New Roman" w:hAnsi="Times New Roman" w:cs="Times New Roman" w:eastAsia="Times New Roman" w:hint="default"/>
                <w:sz w:val="18"/>
                <w:szCs w:val="18"/>
              </w:rPr>
            </w:pPr>
            <w:r>
              <w:rPr>
                <w:rFonts w:ascii="Times New Roman"/>
                <w:sz w:val="18"/>
              </w:rPr>
              <w:t>796,194.07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0" w:right="0"/>
              <w:jc w:val="left"/>
              <w:rPr>
                <w:rFonts w:ascii="Times New Roman" w:hAnsi="Times New Roman" w:cs="Times New Roman" w:eastAsia="Times New Roman" w:hint="default"/>
                <w:sz w:val="18"/>
                <w:szCs w:val="18"/>
              </w:rPr>
            </w:pPr>
            <w:r>
              <w:rPr>
                <w:rFonts w:ascii="Times New Roman"/>
                <w:sz w:val="18"/>
              </w:rPr>
              <w:t>810,892.04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7,062,354.46</w:t>
            </w:r>
          </w:p>
        </w:tc>
      </w:tr>
    </w:tbl>
    <w:p>
      <w:pPr>
        <w:pStyle w:val="BodyText"/>
        <w:spacing w:line="240" w:lineRule="auto" w:before="51"/>
        <w:ind w:left="1134" w:right="0"/>
        <w:jc w:val="left"/>
      </w:pPr>
      <w:r>
        <w:rPr/>
        <w:t>子公司少数股东的持股比例不同于表决权比例的说明：</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3）重要非全资子公司的主要财务信息" w:id="417"/>
      <w:bookmarkEnd w:id="417"/>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9"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上海追 索信息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14,280,2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60.59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1,258,05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0.15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15,538,3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10.74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764,842.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1,125,34</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2.45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15,332,6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12.12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1,444,58</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6.63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16,777,1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98.75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1,945,23</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4.59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389,000.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2,334,23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4.60</w:t>
            </w:r>
          </w:p>
        </w:tc>
      </w:tr>
    </w:tbl>
    <w:p>
      <w:pPr>
        <w:pStyle w:val="BodyText"/>
        <w:spacing w:line="240" w:lineRule="auto" w:before="51"/>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6"/>
              <w:jc w:val="both"/>
              <w:rPr>
                <w:rFonts w:ascii="宋体" w:hAnsi="宋体" w:cs="宋体" w:eastAsia="宋体" w:hint="default"/>
                <w:sz w:val="18"/>
                <w:szCs w:val="18"/>
              </w:rPr>
            </w:pPr>
            <w:r>
              <w:rPr>
                <w:rFonts w:ascii="宋体" w:hAnsi="宋体" w:cs="宋体" w:eastAsia="宋体" w:hint="default"/>
                <w:sz w:val="18"/>
                <w:szCs w:val="18"/>
              </w:rPr>
              <w:t>上海追索信 息科技有限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8,948,150.59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1,624,885.85</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1,066,508.09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11,992,576.5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4,580,044.03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198,884.38</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4）使用企业集团资产和清偿企业集团债务的重大限制" w:id="418"/>
      <w:bookmarkEnd w:id="418"/>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5）向纳入合并财务报表范围的结构化主体提供的财务支持或其他支持" w:id="419"/>
      <w:bookmarkEnd w:id="419"/>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在子公司的所有者权益份额发生变化且仍控制子公司的交易" w:id="420"/>
      <w:bookmarkEnd w:id="420"/>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0"/>
        <w:jc w:val="left"/>
        <w:rPr>
          <w:b w:val="0"/>
          <w:bCs w:val="0"/>
        </w:rPr>
      </w:pPr>
      <w:bookmarkStart w:name="（1）在子公司所有者权益份额发生变化的情况说明" w:id="421"/>
      <w:bookmarkEnd w:id="421"/>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0"/>
        <w:jc w:val="left"/>
        <w:rPr>
          <w:b w:val="0"/>
          <w:bCs w:val="0"/>
        </w:rPr>
      </w:pPr>
      <w:bookmarkStart w:name="（2）交易对于少数股东权益及归属于母公司所有者权益的影响" w:id="422"/>
      <w:bookmarkEnd w:id="422"/>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group>
          </v:group>
        </w:pict>
      </w:r>
      <w:r>
        <w:rPr>
          <w:rFonts w:ascii="宋体" w:hAnsi="宋体" w:cs="宋体" w:eastAsia="宋体" w:hint="default"/>
          <w:position w:val="-7"/>
          <w:sz w:val="20"/>
          <w:szCs w:val="20"/>
        </w:rPr>
      </w:r>
    </w:p>
    <w:p>
      <w:pPr>
        <w:pStyle w:val="BodyText"/>
        <w:spacing w:line="240" w:lineRule="auto" w:before="46"/>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3、在合营安排或联营企业中的权益" w:id="423"/>
      <w:bookmarkEnd w:id="423"/>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重要的合营企业或联营企业" w:id="424"/>
      <w:bookmarkEnd w:id="424"/>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left="1134" w:right="0"/>
        <w:jc w:val="left"/>
      </w:pPr>
      <w:r>
        <w:rPr/>
        <w:t>在合营企业或联营企业的持股比例不同于表决权比例的说明：</w:t>
      </w:r>
    </w:p>
    <w:p>
      <w:pPr>
        <w:pStyle w:val="BodyText"/>
        <w:spacing w:line="240" w:lineRule="auto" w:before="117"/>
        <w:ind w:left="1134"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2）重要合营企业的主要财务信息" w:id="425"/>
      <w:bookmarkEnd w:id="425"/>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79"/>
        <w:gridCol w:w="3191"/>
        <w:gridCol w:w="3179"/>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3）重要联营企业的主要财务信息" w:id="426"/>
      <w:bookmarkEnd w:id="426"/>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3"/>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4）不重要的合营企业和联营企业的汇总财务信息" w:id="427"/>
      <w:bookmarkEnd w:id="427"/>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5）合营企业或联营企业向本公司转移资金的能力存在重大限制的说明" w:id="428"/>
      <w:bookmarkEnd w:id="428"/>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134" w:right="0"/>
        <w:jc w:val="left"/>
        <w:rPr>
          <w:b w:val="0"/>
          <w:bCs w:val="0"/>
        </w:rPr>
      </w:pPr>
      <w:bookmarkStart w:name="（6）合营企业或联营企业发生的超额亏损" w:id="429"/>
      <w:bookmarkEnd w:id="429"/>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79"/>
        <w:gridCol w:w="2393"/>
        <w:gridCol w:w="2393"/>
        <w:gridCol w:w="2382"/>
      </w:tblGrid>
      <w:tr>
        <w:trPr>
          <w:trHeight w:val="382"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87"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0" w:right="0"/>
              <w:jc w:val="left"/>
              <w:rPr>
                <w:rFonts w:ascii="宋体" w:hAnsi="宋体" w:cs="宋体" w:eastAsia="宋体" w:hint="default"/>
                <w:sz w:val="18"/>
                <w:szCs w:val="18"/>
              </w:rPr>
            </w:pPr>
            <w:r>
              <w:rPr>
                <w:rFonts w:ascii="宋体" w:hAnsi="宋体" w:cs="宋体" w:eastAsia="宋体" w:hint="default"/>
                <w:sz w:val="18"/>
                <w:szCs w:val="18"/>
              </w:rPr>
              <w:t>累积未确认前期累计认的损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本期未确认的损失（或本期分</w:t>
            </w:r>
          </w:p>
        </w:tc>
        <w:tc>
          <w:tcPr>
            <w:tcW w:w="2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1"/>
        <w:gridCol w:w="2392"/>
        <w:gridCol w:w="2392"/>
        <w:gridCol w:w="2394"/>
      </w:tblGrid>
      <w:tr>
        <w:trPr>
          <w:trHeight w:val="36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50" w:right="0"/>
              <w:jc w:val="left"/>
              <w:rPr>
                <w:rFonts w:ascii="宋体" w:hAnsi="宋体" w:cs="宋体" w:eastAsia="宋体" w:hint="default"/>
                <w:sz w:val="18"/>
                <w:szCs w:val="18"/>
              </w:rPr>
            </w:pPr>
            <w:r>
              <w:rPr>
                <w:rFonts w:ascii="宋体" w:hAnsi="宋体" w:cs="宋体" w:eastAsia="宋体" w:hint="default"/>
                <w:sz w:val="18"/>
                <w:szCs w:val="18"/>
              </w:rPr>
              <w:t>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7）与合营企业投资相关的未确认承诺" w:id="430"/>
      <w:bookmarkEnd w:id="430"/>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8）与合营企业或联营企业投资相关的或有负债" w:id="431"/>
      <w:bookmarkEnd w:id="431"/>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4、重要的共同经营" w:id="432"/>
      <w:bookmarkEnd w:id="432"/>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0" w:lineRule="auto" w:before="51"/>
        <w:ind w:right="5533"/>
        <w:jc w:val="left"/>
      </w:pPr>
      <w:r>
        <w:rPr/>
        <w:t>在共同经营中的持股比例或享有的份额不同于表决权比例的说明： 共同经营为单独主体的，分类为共同经营的依据：</w:t>
      </w:r>
    </w:p>
    <w:p>
      <w:pPr>
        <w:pStyle w:val="BodyText"/>
        <w:spacing w:line="240" w:lineRule="auto" w:before="26"/>
        <w:ind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5、在未纳入合并财务报表范围的结构化主体中的权益" w:id="433"/>
      <w:bookmarkEnd w:id="433"/>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0"/>
        <w:jc w:val="left"/>
      </w:pPr>
      <w:r>
        <w:rPr/>
        <w:t>未纳入合并财务报表范围的结构化主体的相关说明：</w:t>
      </w:r>
    </w:p>
    <w:p>
      <w:pPr>
        <w:spacing w:line="240" w:lineRule="auto" w:before="10"/>
        <w:rPr>
          <w:rFonts w:ascii="宋体" w:hAnsi="宋体" w:cs="宋体" w:eastAsia="宋体" w:hint="default"/>
          <w:sz w:val="26"/>
          <w:szCs w:val="26"/>
        </w:rPr>
      </w:pPr>
    </w:p>
    <w:p>
      <w:pPr>
        <w:pStyle w:val="Heading6"/>
        <w:spacing w:line="240" w:lineRule="auto"/>
        <w:ind w:left="1134" w:right="0"/>
        <w:jc w:val="left"/>
        <w:rPr>
          <w:b w:val="0"/>
          <w:bCs w:val="0"/>
        </w:rPr>
      </w:pPr>
      <w:bookmarkStart w:name="6、其他" w:id="434"/>
      <w:bookmarkEnd w:id="434"/>
      <w:r>
        <w:rPr>
          <w:b w:val="0"/>
          <w:bCs w:val="0"/>
        </w:rPr>
      </w:r>
      <w:r>
        <w:rPr>
          <w:rFonts w:ascii="Times New Roman" w:hAnsi="Times New Roman" w:cs="Times New Roman" w:eastAsia="Times New Roman" w:hint="default"/>
        </w:rPr>
        <w:t>6</w:t>
      </w:r>
      <w:r>
        <w:rPr/>
        <w:t>、其他</w:t>
      </w:r>
      <w:r>
        <w:rPr>
          <w:b w:val="0"/>
          <w:bCs w:val="0"/>
        </w:rPr>
      </w:r>
    </w:p>
    <w:p>
      <w:pPr>
        <w:spacing w:line="240" w:lineRule="auto" w:before="0"/>
        <w:rPr>
          <w:rFonts w:ascii="宋体" w:hAnsi="宋体" w:cs="宋体" w:eastAsia="宋体" w:hint="default"/>
          <w:b/>
          <w:bCs/>
          <w:sz w:val="23"/>
          <w:szCs w:val="23"/>
        </w:rPr>
      </w:pPr>
    </w:p>
    <w:p>
      <w:pPr>
        <w:pStyle w:val="Heading4"/>
        <w:spacing w:line="240" w:lineRule="auto"/>
        <w:ind w:left="1134" w:right="0"/>
        <w:jc w:val="left"/>
        <w:rPr>
          <w:b w:val="0"/>
          <w:bCs w:val="0"/>
        </w:rPr>
      </w:pPr>
      <w:bookmarkStart w:name="十、与金融工具相关的风险" w:id="435"/>
      <w:bookmarkEnd w:id="435"/>
      <w:r>
        <w:rPr>
          <w:b w:val="0"/>
          <w:bCs w:val="0"/>
        </w:rPr>
      </w:r>
      <w:r>
        <w:rPr/>
        <w:t>十、与金融工具相关的风险</w:t>
      </w:r>
      <w:r>
        <w:rPr>
          <w:b w:val="0"/>
          <w:bCs w:val="0"/>
        </w:rPr>
      </w:r>
    </w:p>
    <w:p>
      <w:pPr>
        <w:spacing w:line="240" w:lineRule="auto" w:before="7"/>
        <w:rPr>
          <w:rFonts w:ascii="宋体" w:hAnsi="宋体" w:cs="宋体" w:eastAsia="宋体" w:hint="default"/>
          <w:b/>
          <w:bCs/>
          <w:sz w:val="24"/>
          <w:szCs w:val="24"/>
        </w:rPr>
      </w:pPr>
    </w:p>
    <w:p>
      <w:pPr>
        <w:pStyle w:val="Heading7"/>
        <w:spacing w:line="273" w:lineRule="auto"/>
        <w:ind w:right="0"/>
        <w:jc w:val="left"/>
      </w:pPr>
      <w:r>
        <w:rPr>
          <w:spacing w:val="-1"/>
        </w:rPr>
        <w:t>本公司董事会全面负责风险管理目标和政策的确定，并对风险管理目标和政策承担最终责任，管理层对这</w:t>
      </w:r>
      <w:r>
        <w:rPr>
          <w:spacing w:val="-81"/>
        </w:rPr>
        <w:t> </w:t>
      </w:r>
      <w:r>
        <w:rPr>
          <w:spacing w:val="-81"/>
        </w:rPr>
      </w:r>
      <w:r>
        <w:rPr>
          <w:spacing w:val="-1"/>
        </w:rPr>
        <w:t>些风险敞口进行管理和监控以确保将上述风险控制在限定的范围之内。本公司的主要金融工具包括应收账</w:t>
      </w:r>
      <w:r>
        <w:rPr>
          <w:spacing w:val="-81"/>
        </w:rPr>
        <w:t> </w:t>
      </w:r>
      <w:r>
        <w:rPr>
          <w:spacing w:val="-81"/>
        </w:rPr>
      </w:r>
      <w:r>
        <w:rPr>
          <w:spacing w:val="-1"/>
        </w:rPr>
        <w:t>款、应付账款、短期借款等，各项金融工具的详细情况说明见本附注五相关项目。与这些金融工具有关的</w:t>
      </w:r>
      <w:r>
        <w:rPr>
          <w:spacing w:val="-86"/>
        </w:rPr>
        <w:t> </w:t>
      </w:r>
      <w:r>
        <w:rPr>
          <w:spacing w:val="-86"/>
        </w:rPr>
      </w:r>
      <w:r>
        <w:rPr/>
        <w:t>风险，以及本公司为降低这些风险所采取的风险管理政策如下所述： </w:t>
      </w:r>
      <w:r>
        <w:rPr>
          <w:spacing w:val="-1"/>
        </w:rPr>
        <w:t>本公司采用敏感性分析技术分析风险变量的合理性、可能变化对当期损益或股东权益可能产生的影响。由</w:t>
      </w:r>
      <w:r>
        <w:rPr>
          <w:spacing w:val="-81"/>
        </w:rPr>
        <w:t> </w:t>
      </w:r>
      <w:r>
        <w:rPr>
          <w:spacing w:val="-81"/>
        </w:rPr>
      </w:r>
      <w:r>
        <w:rPr>
          <w:spacing w:val="-1"/>
        </w:rPr>
        <w:t>于任何风险变量很少孤立地发生变化，而变量之间存在的相关性对某一风险变量的变化的最终影响金额将</w:t>
      </w:r>
      <w:r>
        <w:rPr>
          <w:spacing w:val="-81"/>
        </w:rPr>
        <w:t> </w:t>
      </w:r>
      <w:r>
        <w:rPr>
          <w:spacing w:val="-81"/>
        </w:rPr>
      </w:r>
      <w:r>
        <w:rPr/>
        <w:t>产生重大作用，因此下述内容是在假设每一变量的变化是在独立的情况下进行的。 </w:t>
      </w:r>
      <w:r>
        <w:rPr>
          <w:spacing w:val="-1"/>
        </w:rPr>
        <w:t>本公司从事风险管理的目标是在风险和收益之间取得适当的平衡，将风险对本公司经营业绩的负面影响降</w:t>
      </w:r>
      <w:r>
        <w:rPr>
          <w:spacing w:val="-81"/>
        </w:rPr>
        <w:t> </w:t>
      </w:r>
      <w:r>
        <w:rPr>
          <w:spacing w:val="-81"/>
        </w:rPr>
      </w:r>
      <w:r>
        <w:rPr>
          <w:spacing w:val="-1"/>
        </w:rPr>
        <w:t>低到最低水平，使股东及其他权益投资者的利益最大化。基于该风险管理目标，本公司风险管理的基本策</w:t>
      </w:r>
      <w:r>
        <w:rPr>
          <w:spacing w:val="-83"/>
        </w:rPr>
        <w:t> </w:t>
      </w:r>
      <w:r>
        <w:rPr>
          <w:spacing w:val="-83"/>
        </w:rPr>
      </w:r>
      <w:r>
        <w:rPr>
          <w:spacing w:val="-1"/>
        </w:rPr>
        <w:t>略是确定和分析本公司所面临的各种风险，建立适当的风险承受底线和进行风险管理，并及时可靠地对各</w:t>
      </w:r>
      <w:r>
        <w:rPr>
          <w:spacing w:val="-80"/>
        </w:rPr>
        <w:t> </w:t>
      </w:r>
      <w:r>
        <w:rPr>
          <w:spacing w:val="-80"/>
        </w:rPr>
      </w:r>
      <w:r>
        <w:rPr/>
        <w:t>种风险进行监督，在不过度影响公司竞争力和应变力的情况下，制定尽可能降低风险的风险管理政策。</w:t>
      </w:r>
    </w:p>
    <w:p>
      <w:pPr>
        <w:spacing w:line="240" w:lineRule="auto" w:before="6"/>
        <w:rPr>
          <w:rFonts w:ascii="宋体" w:hAnsi="宋体" w:cs="宋体" w:eastAsia="宋体" w:hint="default"/>
          <w:sz w:val="24"/>
          <w:szCs w:val="24"/>
        </w:rPr>
      </w:pPr>
    </w:p>
    <w:p>
      <w:pPr>
        <w:pStyle w:val="Heading7"/>
        <w:spacing w:line="268" w:lineRule="auto"/>
        <w:ind w:right="1117"/>
        <w:jc w:val="left"/>
      </w:pPr>
      <w:r>
        <w:rPr>
          <w:rFonts w:ascii="Times New Roman" w:hAnsi="Times New Roman" w:cs="Times New Roman" w:eastAsia="Times New Roman" w:hint="default"/>
          <w:b/>
          <w:bCs/>
        </w:rPr>
        <w:t>(</w:t>
      </w:r>
      <w:r>
        <w:rPr>
          <w:rFonts w:ascii="宋体" w:hAnsi="宋体" w:cs="宋体" w:eastAsia="宋体" w:hint="default"/>
          <w:b/>
          <w:bCs/>
        </w:rPr>
        <w:t>一</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36"/>
        </w:rPr>
        <w:t> </w:t>
      </w:r>
      <w:r>
        <w:rPr>
          <w:rFonts w:ascii="宋体" w:hAnsi="宋体" w:cs="宋体" w:eastAsia="宋体" w:hint="default"/>
          <w:b/>
          <w:bCs/>
        </w:rPr>
        <w:t>信用风险</w:t>
      </w:r>
      <w:r>
        <w:rPr>
          <w:rFonts w:ascii="宋体" w:hAnsi="宋体" w:cs="宋体" w:eastAsia="宋体" w:hint="default"/>
          <w:b/>
          <w:bCs/>
          <w:w w:val="99"/>
        </w:rPr>
        <w:t> </w:t>
      </w:r>
      <w:r>
        <w:rPr>
          <w:spacing w:val="-1"/>
        </w:rPr>
        <w:t>信用风险是指金融工具的一方不履行义务，造成另一方发生财务损失的风险。本公司主要面临赊销导致的</w:t>
      </w:r>
      <w:r>
        <w:rPr>
          <w:spacing w:val="-81"/>
        </w:rPr>
        <w:t> </w:t>
      </w:r>
      <w:r>
        <w:rPr>
          <w:spacing w:val="-81"/>
        </w:rPr>
      </w:r>
      <w:r>
        <w:rPr>
          <w:spacing w:val="-1"/>
        </w:rPr>
        <w:t>客户信用风险。在签订新合同之前，本公司会对新客户的信用风险进行评估，包括外部信用评级和在某些</w:t>
      </w:r>
      <w:r>
        <w:rPr>
          <w:spacing w:val="-83"/>
        </w:rPr>
        <w:t> </w:t>
      </w:r>
      <w:r>
        <w:rPr>
          <w:spacing w:val="-83"/>
        </w:rPr>
      </w:r>
      <w:r>
        <w:rPr/>
        <w:t>情况下的银行资信证明（当此信息可获取时）。 </w:t>
      </w:r>
      <w:r>
        <w:rPr>
          <w:spacing w:val="3"/>
        </w:rPr>
        <w:t>公司通过对已有客户信用评级的季度监控以及应收账款账龄分析的月度审核来确保公司的整体信用风险</w:t>
      </w:r>
      <w:r>
        <w:rPr>
          <w:spacing w:val="-82"/>
        </w:rPr>
        <w:t> </w:t>
      </w:r>
      <w:r>
        <w:rPr>
          <w:spacing w:val="-82"/>
        </w:rPr>
      </w:r>
      <w:r>
        <w:rPr/>
        <w:t>在可控的范围内。在监控客户的信用风险时，按照客户的信用特征对其分组。被评为</w:t>
      </w:r>
      <w:r>
        <w:rPr>
          <w:rFonts w:ascii="Times New Roman" w:hAnsi="Times New Roman" w:cs="Times New Roman" w:eastAsia="Times New Roman" w:hint="default"/>
        </w:rPr>
        <w:t>“</w:t>
      </w:r>
      <w:r>
        <w:rPr/>
        <w:t>高风险</w:t>
      </w:r>
      <w:r>
        <w:rPr>
          <w:rFonts w:ascii="Times New Roman" w:hAnsi="Times New Roman" w:cs="Times New Roman" w:eastAsia="Times New Roman" w:hint="default"/>
        </w:rPr>
        <w:t>”</w:t>
      </w:r>
      <w:r>
        <w:rPr/>
        <w:t>级别的客户 </w:t>
      </w:r>
      <w:r>
        <w:rPr>
          <w:spacing w:val="-1"/>
        </w:rPr>
        <w:t>会放在受限制客户名单里，并且只有在额外批准的前提下，公司才可在未来期间内对其赊销，否则必须要</w:t>
      </w:r>
      <w:r>
        <w:rPr>
          <w:spacing w:val="-83"/>
        </w:rPr>
        <w:t> </w:t>
      </w:r>
      <w:r>
        <w:rPr>
          <w:spacing w:val="-83"/>
        </w:rPr>
      </w:r>
      <w:r>
        <w:rPr/>
        <w:t>求其提前支付相应款项。</w:t>
      </w:r>
    </w:p>
    <w:p>
      <w:pPr>
        <w:spacing w:after="0" w:line="26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7"/>
        <w:spacing w:line="268" w:lineRule="auto" w:before="35"/>
        <w:ind w:right="0"/>
        <w:jc w:val="left"/>
      </w:pPr>
      <w:r>
        <w:rPr>
          <w:rFonts w:ascii="Times New Roman" w:hAnsi="Times New Roman" w:cs="Times New Roman" w:eastAsia="Times New Roman" w:hint="default"/>
          <w:b/>
          <w:bCs/>
        </w:rPr>
        <w:t>(</w:t>
      </w:r>
      <w:r>
        <w:rPr>
          <w:rFonts w:ascii="宋体" w:hAnsi="宋体" w:cs="宋体" w:eastAsia="宋体" w:hint="default"/>
          <w:b/>
          <w:bCs/>
        </w:rPr>
        <w:t>二</w:t>
      </w:r>
      <w:r>
        <w:rPr>
          <w:rFonts w:ascii="Times New Roman" w:hAnsi="Times New Roman" w:cs="Times New Roman" w:eastAsia="Times New Roman" w:hint="default"/>
          <w:b/>
          <w:bCs/>
        </w:rPr>
        <w:t>)</w:t>
      </w:r>
      <w:r>
        <w:rPr>
          <w:rFonts w:ascii="宋体" w:hAnsi="宋体" w:cs="宋体" w:eastAsia="宋体" w:hint="default"/>
          <w:b/>
          <w:bCs/>
        </w:rPr>
        <w:t>市场风险</w:t>
      </w:r>
      <w:r>
        <w:rPr>
          <w:rFonts w:ascii="宋体" w:hAnsi="宋体" w:cs="宋体" w:eastAsia="宋体" w:hint="default"/>
          <w:b/>
          <w:bCs/>
          <w:spacing w:val="1"/>
          <w:w w:val="99"/>
        </w:rPr>
        <w:t> </w:t>
      </w:r>
      <w:r>
        <w:rPr>
          <w:spacing w:val="-1"/>
        </w:rPr>
        <w:t>金融工具的市场风险，是指金融工具的公允价值或未来现金流量因市场价格变动而发生波动的风险。利率</w:t>
      </w:r>
      <w:r>
        <w:rPr>
          <w:spacing w:val="-81"/>
        </w:rPr>
        <w:t> </w:t>
      </w:r>
      <w:r>
        <w:rPr>
          <w:spacing w:val="-81"/>
        </w:rPr>
      </w:r>
      <w:r>
        <w:rPr>
          <w:spacing w:val="-1"/>
        </w:rPr>
        <w:t>风险，是指金融工具的公允价值或未来现金流量因市场利率变动而发生波动的风险。本公司面临的利率风</w:t>
      </w:r>
      <w:r>
        <w:rPr>
          <w:spacing w:val="-81"/>
        </w:rPr>
        <w:t> </w:t>
      </w:r>
      <w:r>
        <w:rPr>
          <w:spacing w:val="-81"/>
        </w:rPr>
      </w:r>
      <w:r>
        <w:rPr>
          <w:spacing w:val="-1"/>
        </w:rPr>
        <w:t>险主要来源于银行借款。公司通过建立良好的银企关系，对授信额度、授信品种以及授信期限进行合理的</w:t>
      </w:r>
      <w:r>
        <w:rPr>
          <w:spacing w:val="-83"/>
        </w:rPr>
        <w:t> </w:t>
      </w:r>
      <w:r>
        <w:rPr>
          <w:spacing w:val="-83"/>
        </w:rPr>
      </w:r>
      <w:r>
        <w:rPr>
          <w:spacing w:val="-1"/>
        </w:rPr>
        <w:t>设计，保障银行授信额度充足，满足公司各类短期融资需求。并且通过缩短单笔借款的期限，特别约定提</w:t>
      </w:r>
      <w:r>
        <w:rPr>
          <w:spacing w:val="-85"/>
        </w:rPr>
        <w:t> </w:t>
      </w:r>
      <w:r>
        <w:rPr>
          <w:spacing w:val="-85"/>
        </w:rPr>
      </w:r>
      <w:r>
        <w:rPr/>
        <w:t>前还款条款，合理降低利率波动风险。</w:t>
      </w:r>
    </w:p>
    <w:p>
      <w:pPr>
        <w:spacing w:line="240" w:lineRule="auto" w:before="10"/>
        <w:rPr>
          <w:rFonts w:ascii="宋体" w:hAnsi="宋体" w:cs="宋体" w:eastAsia="宋体" w:hint="default"/>
          <w:sz w:val="24"/>
          <w:szCs w:val="24"/>
        </w:rPr>
      </w:pPr>
    </w:p>
    <w:p>
      <w:pPr>
        <w:pStyle w:val="Heading7"/>
        <w:spacing w:line="264" w:lineRule="auto"/>
        <w:ind w:right="0"/>
        <w:jc w:val="left"/>
      </w:pPr>
      <w:r>
        <w:rPr>
          <w:rFonts w:ascii="Times New Roman" w:hAnsi="Times New Roman" w:cs="Times New Roman" w:eastAsia="Times New Roman" w:hint="default"/>
          <w:b/>
          <w:bCs/>
        </w:rPr>
        <w:t>(</w:t>
      </w:r>
      <w:r>
        <w:rPr>
          <w:rFonts w:ascii="宋体" w:hAnsi="宋体" w:cs="宋体" w:eastAsia="宋体" w:hint="default"/>
          <w:b/>
          <w:bCs/>
        </w:rPr>
        <w:t>三</w:t>
      </w:r>
      <w:r>
        <w:rPr>
          <w:rFonts w:ascii="Times New Roman" w:hAnsi="Times New Roman" w:cs="Times New Roman" w:eastAsia="Times New Roman" w:hint="default"/>
          <w:b/>
          <w:bCs/>
        </w:rPr>
        <w:t>)</w:t>
      </w:r>
      <w:r>
        <w:rPr>
          <w:rFonts w:ascii="宋体" w:hAnsi="宋体" w:cs="宋体" w:eastAsia="宋体" w:hint="default"/>
          <w:b/>
          <w:bCs/>
        </w:rPr>
        <w:t>流动性风险</w:t>
      </w:r>
      <w:r>
        <w:rPr>
          <w:rFonts w:ascii="宋体" w:hAnsi="宋体" w:cs="宋体" w:eastAsia="宋体" w:hint="default"/>
          <w:b/>
          <w:bCs/>
          <w:w w:val="99"/>
        </w:rPr>
        <w:t> </w:t>
      </w:r>
      <w:r>
        <w:rPr>
          <w:spacing w:val="-1"/>
        </w:rPr>
        <w:t>流动风险，是指公司在履行以交付现金或其他金融资产的方式结算的义务时发生资金短缺的风险。本公司</w:t>
      </w:r>
      <w:r>
        <w:rPr>
          <w:spacing w:val="-81"/>
        </w:rPr>
        <w:t> </w:t>
      </w:r>
      <w:r>
        <w:rPr>
          <w:spacing w:val="-81"/>
        </w:rPr>
      </w:r>
      <w:r>
        <w:rPr>
          <w:spacing w:val="-1"/>
        </w:rPr>
        <w:t>的政策是确保拥有充足的现金以偿还到期债务。流动性风险由本公司的财务部门集中控制。财务部门通过</w:t>
      </w:r>
      <w:r>
        <w:rPr>
          <w:spacing w:val="-81"/>
        </w:rPr>
        <w:t> </w:t>
      </w:r>
      <w:r>
        <w:rPr>
          <w:spacing w:val="-81"/>
        </w:rPr>
      </w:r>
      <w:r>
        <w:rPr>
          <w:spacing w:val="-1"/>
        </w:rPr>
        <w:t>监控现金余额、可随时变现的有价证券以及对未来</w:t>
      </w:r>
      <w:r>
        <w:rPr>
          <w:rFonts w:ascii="Times New Roman" w:hAnsi="Times New Roman" w:cs="Times New Roman" w:eastAsia="Times New Roman" w:hint="default"/>
          <w:spacing w:val="-1"/>
        </w:rPr>
        <w:t>12</w:t>
      </w:r>
      <w:r>
        <w:rPr>
          <w:spacing w:val="-1"/>
        </w:rPr>
        <w:t>个月现金流量的滚动预测，确保公司在所有合理预测</w:t>
      </w:r>
      <w:r>
        <w:rPr>
          <w:spacing w:val="-82"/>
        </w:rPr>
        <w:t> </w:t>
      </w:r>
      <w:r>
        <w:rPr>
          <w:spacing w:val="-82"/>
        </w:rPr>
      </w:r>
      <w:r>
        <w:rPr/>
        <w:t>的情况下拥有充足的资金偿还债务。本公司各项金融负债预计</w:t>
      </w:r>
      <w:r>
        <w:rPr>
          <w:rFonts w:ascii="Times New Roman" w:hAnsi="Times New Roman" w:cs="Times New Roman" w:eastAsia="Times New Roman" w:hint="default"/>
        </w:rPr>
        <w:t>1</w:t>
      </w:r>
      <w:r>
        <w:rPr/>
        <w:t>年内到期。</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2"/>
          <w:szCs w:val="22"/>
        </w:rPr>
      </w:pPr>
    </w:p>
    <w:p>
      <w:pPr>
        <w:pStyle w:val="Heading4"/>
        <w:spacing w:line="240" w:lineRule="auto"/>
        <w:ind w:right="0"/>
        <w:jc w:val="left"/>
        <w:rPr>
          <w:b w:val="0"/>
          <w:bCs w:val="0"/>
        </w:rPr>
      </w:pPr>
      <w:bookmarkStart w:name="十一、公允价值的披露" w:id="436"/>
      <w:bookmarkEnd w:id="436"/>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以公允价值计量的资产和负债的期末公允价值" w:id="437"/>
      <w:bookmarkEnd w:id="437"/>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2、持续和非持续第一层次公允价值计量项目市价的确定依据" w:id="438"/>
      <w:bookmarkEnd w:id="438"/>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3、持续和非持续第二层次公允价值计量项目，采用的估值技术和重要参数的定性及定量信" w:id="439"/>
      <w:bookmarkEnd w:id="439"/>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4、持续和非持续第三层次公允价值计量项目，采用的估值技术和重要参数的定性及定量信" w:id="440"/>
      <w:bookmarkEnd w:id="440"/>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5、持续的第三层次公允价值计量项目，期初与期末账面价值间的调节信息及不可观察参数" w:id="441"/>
      <w:bookmarkEnd w:id="441"/>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6、持续的公允价值计量项目，本期内发生各层级之间转换的，转换的原因及确定转换时点" w:id="442"/>
      <w:bookmarkEnd w:id="442"/>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7、本期内发生的估值技术变更及变更原因" w:id="443"/>
      <w:bookmarkEnd w:id="443"/>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8、不以公允价值计量的金融资产和金融负债的公允价值情况" w:id="444"/>
      <w:bookmarkEnd w:id="444"/>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134" w:right="7693" w:firstLine="0"/>
        <w:jc w:val="left"/>
        <w:rPr>
          <w:rFonts w:ascii="宋体" w:hAnsi="宋体" w:cs="宋体" w:eastAsia="宋体" w:hint="default"/>
          <w:sz w:val="21"/>
          <w:szCs w:val="21"/>
        </w:rPr>
      </w:pPr>
      <w:bookmarkStart w:name="9、其他" w:id="445"/>
      <w:bookmarkEnd w:id="445"/>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46"/>
      <w:bookmarkEnd w:id="446"/>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47"/>
      <w:bookmarkEnd w:id="447"/>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20"/>
              <w:jc w:val="left"/>
              <w:rPr>
                <w:rFonts w:ascii="宋体" w:hAnsi="宋体" w:cs="宋体" w:eastAsia="宋体" w:hint="default"/>
                <w:sz w:val="18"/>
                <w:szCs w:val="18"/>
              </w:rPr>
            </w:pPr>
            <w:r>
              <w:rPr>
                <w:rFonts w:ascii="宋体" w:hAnsi="宋体" w:cs="宋体" w:eastAsia="宋体" w:hint="default"/>
                <w:sz w:val="18"/>
                <w:szCs w:val="18"/>
              </w:rPr>
              <w:t>上海中信电子发展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91"/>
              <w:jc w:val="both"/>
              <w:rPr>
                <w:rFonts w:ascii="宋体" w:hAnsi="宋体" w:cs="宋体" w:eastAsia="宋体" w:hint="default"/>
                <w:sz w:val="18"/>
                <w:szCs w:val="18"/>
              </w:rPr>
            </w:pPr>
            <w:r>
              <w:rPr>
                <w:rFonts w:ascii="宋体" w:hAnsi="宋体" w:cs="宋体" w:eastAsia="宋体" w:hint="default"/>
                <w:sz w:val="18"/>
                <w:szCs w:val="18"/>
              </w:rPr>
              <w:t>上海市静安区昌平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区 </w:t>
            </w:r>
            <w:r>
              <w:rPr>
                <w:rFonts w:ascii="Times New Roman" w:hAnsi="Times New Roman" w:cs="Times New Roman" w:eastAsia="Times New Roman" w:hint="default"/>
                <w:sz w:val="18"/>
                <w:szCs w:val="18"/>
              </w:rPr>
              <w:t>299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10"/>
                <w:sz w:val="18"/>
                <w:szCs w:val="18"/>
              </w:rPr>
              <w:t>商务咨询，企业管理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咨询等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5,600,000.00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31.80%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31.80%</w:t>
            </w:r>
          </w:p>
        </w:tc>
      </w:tr>
    </w:tbl>
    <w:p>
      <w:pPr>
        <w:pStyle w:val="BodyText"/>
        <w:spacing w:line="240" w:lineRule="auto" w:before="51"/>
        <w:ind w:left="1134" w:right="0"/>
        <w:jc w:val="left"/>
      </w:pPr>
      <w:r>
        <w:rPr/>
        <w:t>本企业的母公司情况的说明</w:t>
      </w:r>
    </w:p>
    <w:p>
      <w:pPr>
        <w:pStyle w:val="Heading7"/>
        <w:spacing w:line="273" w:lineRule="auto" w:before="90"/>
        <w:ind w:left="1134" w:right="0"/>
        <w:jc w:val="left"/>
      </w:pPr>
      <w:r>
        <w:rPr>
          <w:spacing w:val="-1"/>
        </w:rPr>
        <w:t>本公司的母公司情况的说明：上海中信电子发展有限公司是张曙华出资成立的一人有限公司，另外张曙华</w:t>
      </w:r>
      <w:r>
        <w:rPr>
          <w:spacing w:val="-81"/>
        </w:rPr>
        <w:t> </w:t>
      </w:r>
      <w:r>
        <w:rPr>
          <w:spacing w:val="-81"/>
        </w:rPr>
      </w:r>
      <w:r>
        <w:rPr/>
        <w:t>还直接持有本公司股份</w:t>
      </w:r>
      <w:r>
        <w:rPr>
          <w:rFonts w:ascii="Times New Roman" w:hAnsi="Times New Roman" w:cs="Times New Roman" w:eastAsia="Times New Roman" w:hint="default"/>
        </w:rPr>
        <w:t>1,507.008</w:t>
      </w:r>
      <w:r>
        <w:rPr/>
        <w:t>万股，持股比例</w:t>
      </w:r>
      <w:r>
        <w:rPr>
          <w:rFonts w:ascii="Times New Roman" w:hAnsi="Times New Roman" w:cs="Times New Roman" w:eastAsia="Times New Roman" w:hint="default"/>
        </w:rPr>
        <w:t>22.56%</w:t>
      </w:r>
      <w:r>
        <w:rPr/>
        <w:t>，本公司的实际控制人为张曙华。</w:t>
      </w:r>
    </w:p>
    <w:p>
      <w:pPr>
        <w:spacing w:line="240" w:lineRule="auto" w:before="1"/>
        <w:rPr>
          <w:rFonts w:ascii="宋体" w:hAnsi="宋体" w:cs="宋体" w:eastAsia="宋体" w:hint="default"/>
          <w:sz w:val="28"/>
          <w:szCs w:val="28"/>
        </w:rPr>
      </w:pPr>
    </w:p>
    <w:p>
      <w:pPr>
        <w:pStyle w:val="BodyText"/>
        <w:spacing w:line="357" w:lineRule="auto" w:before="0"/>
        <w:ind w:left="1134" w:right="8412"/>
        <w:jc w:val="left"/>
      </w:pPr>
      <w:r>
        <w:rPr/>
        <w:t>本企业最终控制方是张曙华。 其他说明：</w:t>
      </w:r>
    </w:p>
    <w:p>
      <w:pPr>
        <w:spacing w:line="240" w:lineRule="auto" w:before="1"/>
        <w:rPr>
          <w:rFonts w:ascii="宋体" w:hAnsi="宋体" w:cs="宋体" w:eastAsia="宋体" w:hint="default"/>
          <w:sz w:val="20"/>
          <w:szCs w:val="20"/>
        </w:rPr>
      </w:pPr>
    </w:p>
    <w:p>
      <w:pPr>
        <w:pStyle w:val="Heading6"/>
        <w:spacing w:line="240" w:lineRule="auto"/>
        <w:ind w:left="1134" w:right="0"/>
        <w:jc w:val="left"/>
        <w:rPr>
          <w:b w:val="0"/>
          <w:bCs w:val="0"/>
        </w:rPr>
      </w:pPr>
      <w:bookmarkStart w:name="2、本企业的子公司情况" w:id="448"/>
      <w:bookmarkEnd w:id="448"/>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0"/>
        <w:jc w:val="left"/>
      </w:pPr>
      <w:r>
        <w:rPr/>
        <w:t>本企业子公司的情况详见附注九。</w:t>
      </w:r>
    </w:p>
    <w:p>
      <w:pPr>
        <w:spacing w:line="240" w:lineRule="auto" w:before="10"/>
        <w:rPr>
          <w:rFonts w:ascii="宋体" w:hAnsi="宋体" w:cs="宋体" w:eastAsia="宋体" w:hint="default"/>
          <w:sz w:val="26"/>
          <w:szCs w:val="26"/>
        </w:rPr>
      </w:pPr>
    </w:p>
    <w:p>
      <w:pPr>
        <w:pStyle w:val="Heading6"/>
        <w:spacing w:line="240" w:lineRule="auto"/>
        <w:ind w:left="1134" w:right="0"/>
        <w:jc w:val="left"/>
        <w:rPr>
          <w:b w:val="0"/>
          <w:bCs w:val="0"/>
        </w:rPr>
      </w:pPr>
      <w:bookmarkStart w:name="3、本企业合营和联营企业情况" w:id="449"/>
      <w:bookmarkEnd w:id="449"/>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left="1134" w:right="2292"/>
        <w:jc w:val="left"/>
      </w:pPr>
      <w:r>
        <w:rPr/>
        <w:t>本企业重要的合营或联营企业详见附注。 本期与本公司发生关联方交易，或前期与本公司发生关联方交易形成余额的其他合营或联营企业情况如下：</w:t>
      </w: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68"/>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4、其他关联方情况" w:id="450"/>
      <w:bookmarkEnd w:id="450"/>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庞文莉</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实际控制人张曙华之配偶</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5、关联交易情况" w:id="451"/>
      <w:bookmarkEnd w:id="451"/>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134" w:right="0"/>
        <w:jc w:val="left"/>
        <w:rPr>
          <w:b w:val="0"/>
          <w:bCs w:val="0"/>
        </w:rPr>
      </w:pPr>
      <w:bookmarkStart w:name="（1）购销商品、提供和接受劳务的关联交易" w:id="452"/>
      <w:bookmarkEnd w:id="452"/>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134"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40"/>
        <w:gridCol w:w="1454"/>
        <w:gridCol w:w="1455"/>
        <w:gridCol w:w="1706"/>
        <w:gridCol w:w="1708"/>
        <w:gridCol w:w="1695"/>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13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134" w:right="0"/>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6"/>
        <w:spacing w:line="240" w:lineRule="auto"/>
        <w:ind w:left="1134" w:right="0"/>
        <w:jc w:val="left"/>
        <w:rPr>
          <w:b w:val="0"/>
          <w:bCs w:val="0"/>
        </w:rPr>
      </w:pPr>
      <w:bookmarkStart w:name="（2）关联受托管理/承包及委托管理/出包情况" w:id="453"/>
      <w:bookmarkEnd w:id="453"/>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1134"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pStyle w:val="BodyText"/>
        <w:spacing w:line="338" w:lineRule="auto" w:before="52"/>
        <w:ind w:left="1134"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3525" w:space="5304"/>
            <w:col w:w="308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1"/>
        <w:ind w:left="1134" w:right="0"/>
        <w:jc w:val="left"/>
      </w:pPr>
      <w:r>
        <w:rPr/>
        <w:t>关联管理</w:t>
      </w:r>
      <w:r>
        <w:rPr>
          <w:rFonts w:ascii="Times New Roman" w:hAnsi="Times New Roman" w:cs="Times New Roman" w:eastAsia="Times New Roman" w:hint="default"/>
        </w:rPr>
        <w:t>/</w:t>
      </w:r>
      <w:r>
        <w:rPr/>
        <w:t>出包情况说明</w:t>
      </w:r>
    </w:p>
    <w:p>
      <w:pPr>
        <w:spacing w:line="240" w:lineRule="auto" w:before="10"/>
        <w:rPr>
          <w:rFonts w:ascii="宋体" w:hAnsi="宋体" w:cs="宋体" w:eastAsia="宋体" w:hint="default"/>
          <w:sz w:val="25"/>
          <w:szCs w:val="25"/>
        </w:rPr>
      </w:pPr>
    </w:p>
    <w:p>
      <w:pPr>
        <w:pStyle w:val="Heading6"/>
        <w:spacing w:line="240" w:lineRule="auto"/>
        <w:ind w:left="1134" w:right="0"/>
        <w:jc w:val="left"/>
        <w:rPr>
          <w:b w:val="0"/>
          <w:bCs w:val="0"/>
        </w:rPr>
      </w:pPr>
      <w:bookmarkStart w:name="（3）关联租赁情况" w:id="454"/>
      <w:bookmarkEnd w:id="454"/>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1134" w:right="0"/>
        <w:jc w:val="left"/>
      </w:pPr>
      <w:r>
        <w:rPr/>
        <w:t>本公司作为出租方：</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2"/>
        <w:ind w:left="1134" w:right="0"/>
        <w:jc w:val="left"/>
      </w:pPr>
      <w:r>
        <w:rPr/>
        <w:t>本公司作为承租方：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1"/>
        <w:ind w:left="1134" w:right="0"/>
        <w:jc w:val="left"/>
      </w:pPr>
      <w:r>
        <w:rPr/>
        <w:t>关联租赁情况说明</w:t>
      </w:r>
    </w:p>
    <w:p>
      <w:pPr>
        <w:spacing w:after="0" w:line="240" w:lineRule="auto"/>
        <w:jc w:val="left"/>
        <w:sectPr>
          <w:type w:val="continuous"/>
          <w:pgSz w:w="11910" w:h="16840"/>
          <w:pgMar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4）关联担保情况" w:id="455"/>
      <w:bookmarkEnd w:id="455"/>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t>本公司作为担保方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光典信息发展有限公司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12,730,000.00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光典信息发展有限公司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134" w:right="0"/>
        <w:jc w:val="left"/>
      </w:pPr>
      <w:r>
        <w:rPr/>
        <w:t>本公司作为被担保方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张曙华、庞文莉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张曙华，庞文莉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张曙华，庞文莉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张曙华，庞文莉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张曙华、庞文莉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张曙华、庞文莉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张曙华，庞文莉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张曙华、庞文莉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张曙华、庞文莉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张曙华、庞文莉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134" w:right="0"/>
        <w:jc w:val="left"/>
      </w:pPr>
      <w:r>
        <w:rPr/>
        <w:t>关联担保情况说明</w:t>
      </w:r>
    </w:p>
    <w:p>
      <w:pPr>
        <w:spacing w:line="240" w:lineRule="auto" w:before="11"/>
        <w:rPr>
          <w:rFonts w:ascii="宋体" w:hAnsi="宋体" w:cs="宋体" w:eastAsia="宋体" w:hint="default"/>
          <w:sz w:val="26"/>
          <w:szCs w:val="26"/>
        </w:rPr>
      </w:pPr>
    </w:p>
    <w:p>
      <w:pPr>
        <w:pStyle w:val="Heading6"/>
        <w:spacing w:line="240" w:lineRule="auto"/>
        <w:ind w:left="1134" w:right="0"/>
        <w:jc w:val="left"/>
        <w:rPr>
          <w:b w:val="0"/>
          <w:bCs w:val="0"/>
        </w:rPr>
      </w:pPr>
      <w:bookmarkStart w:name="（5）关联方资金拆借" w:id="456"/>
      <w:bookmarkEnd w:id="456"/>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2"/>
        <w:rPr>
          <w:rFonts w:ascii="宋体" w:hAnsi="宋体" w:cs="宋体" w:eastAsia="宋体" w:hint="default"/>
          <w:sz w:val="19"/>
          <w:szCs w:val="19"/>
        </w:rPr>
      </w:pPr>
    </w:p>
    <w:p>
      <w:pPr>
        <w:pStyle w:val="Heading6"/>
        <w:spacing w:line="240" w:lineRule="auto" w:before="35"/>
        <w:ind w:left="1134" w:right="0"/>
        <w:jc w:val="left"/>
        <w:rPr>
          <w:b w:val="0"/>
          <w:bCs w:val="0"/>
        </w:rPr>
      </w:pPr>
      <w:bookmarkStart w:name="（6）关联方资产转让、债务重组情况" w:id="457"/>
      <w:bookmarkEnd w:id="457"/>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6"/>
        <w:spacing w:line="240" w:lineRule="auto" w:before="35"/>
        <w:ind w:left="1134" w:right="0"/>
        <w:jc w:val="left"/>
        <w:rPr>
          <w:b w:val="0"/>
          <w:bCs w:val="0"/>
        </w:rPr>
      </w:pPr>
      <w:bookmarkStart w:name="（7）关键管理人员报酬" w:id="458"/>
      <w:bookmarkEnd w:id="458"/>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8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6"/>
        <w:spacing w:line="240" w:lineRule="auto" w:before="35"/>
        <w:ind w:left="1134" w:right="0"/>
        <w:jc w:val="left"/>
        <w:rPr>
          <w:b w:val="0"/>
          <w:bCs w:val="0"/>
        </w:rPr>
      </w:pPr>
      <w:bookmarkStart w:name="（8）其他关联交易" w:id="459"/>
      <w:bookmarkEnd w:id="459"/>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0"/>
        <w:jc w:val="left"/>
        <w:rPr>
          <w:b w:val="0"/>
          <w:bCs w:val="0"/>
        </w:rPr>
      </w:pPr>
      <w:bookmarkStart w:name="6、关联方应收应付款项" w:id="460"/>
      <w:bookmarkEnd w:id="460"/>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0"/>
        <w:jc w:val="left"/>
        <w:rPr>
          <w:b w:val="0"/>
          <w:bCs w:val="0"/>
        </w:rPr>
      </w:pPr>
      <w:bookmarkStart w:name="（1）应收项目" w:id="461"/>
      <w:bookmarkEnd w:id="461"/>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line="240" w:lineRule="auto" w:before="3"/>
        <w:rPr>
          <w:rFonts w:ascii="宋体" w:hAnsi="宋体" w:cs="宋体" w:eastAsia="宋体" w:hint="default"/>
          <w:sz w:val="19"/>
          <w:szCs w:val="19"/>
        </w:rPr>
      </w:pPr>
    </w:p>
    <w:p>
      <w:pPr>
        <w:pStyle w:val="Heading6"/>
        <w:spacing w:line="240" w:lineRule="auto" w:before="35"/>
        <w:ind w:left="1134" w:right="0"/>
        <w:jc w:val="left"/>
        <w:rPr>
          <w:b w:val="0"/>
          <w:bCs w:val="0"/>
        </w:rPr>
      </w:pPr>
      <w:bookmarkStart w:name="（2）应付项目" w:id="462"/>
      <w:bookmarkEnd w:id="462"/>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2"/>
        <w:rPr>
          <w:rFonts w:ascii="宋体" w:hAnsi="宋体" w:cs="宋体" w:eastAsia="宋体" w:hint="default"/>
          <w:sz w:val="19"/>
          <w:szCs w:val="19"/>
        </w:rPr>
      </w:pPr>
    </w:p>
    <w:p>
      <w:pPr>
        <w:pStyle w:val="Heading6"/>
        <w:spacing w:line="240" w:lineRule="auto" w:before="35"/>
        <w:ind w:left="1134" w:right="0"/>
        <w:jc w:val="left"/>
        <w:rPr>
          <w:b w:val="0"/>
          <w:bCs w:val="0"/>
        </w:rPr>
      </w:pPr>
      <w:bookmarkStart w:name="7、关联方承诺" w:id="463"/>
      <w:bookmarkEnd w:id="463"/>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9"/>
        <w:rPr>
          <w:rFonts w:ascii="宋体" w:hAnsi="宋体" w:cs="宋体" w:eastAsia="宋体" w:hint="default"/>
          <w:b/>
          <w:bCs/>
          <w:sz w:val="24"/>
          <w:szCs w:val="24"/>
        </w:rPr>
      </w:pPr>
    </w:p>
    <w:p>
      <w:pPr>
        <w:spacing w:line="487" w:lineRule="auto" w:before="0"/>
        <w:ind w:left="1133" w:right="8751" w:firstLine="0"/>
        <w:jc w:val="left"/>
        <w:rPr>
          <w:rFonts w:ascii="宋体" w:hAnsi="宋体" w:cs="宋体" w:eastAsia="宋体" w:hint="default"/>
          <w:sz w:val="21"/>
          <w:szCs w:val="21"/>
        </w:rPr>
      </w:pPr>
      <w:bookmarkStart w:name="8、其他" w:id="464"/>
      <w:bookmarkEnd w:id="464"/>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65"/>
      <w:bookmarkEnd w:id="465"/>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66"/>
      <w:bookmarkEnd w:id="46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2、以权益结算的股份支付情况" w:id="467"/>
      <w:bookmarkEnd w:id="467"/>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3、以现金结算的股份支付情况" w:id="468"/>
      <w:bookmarkEnd w:id="468"/>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4、股份支付的修改、终止情况" w:id="469"/>
      <w:bookmarkEnd w:id="469"/>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133" w:right="8344" w:firstLine="0"/>
        <w:jc w:val="left"/>
        <w:rPr>
          <w:rFonts w:ascii="宋体" w:hAnsi="宋体" w:cs="宋体" w:eastAsia="宋体" w:hint="default"/>
          <w:sz w:val="21"/>
          <w:szCs w:val="21"/>
        </w:rPr>
      </w:pPr>
      <w:bookmarkStart w:name="5、其他" w:id="470"/>
      <w:bookmarkEnd w:id="470"/>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71"/>
      <w:bookmarkEnd w:id="471"/>
      <w:r>
        <w:rPr>
          <w:rFonts w:ascii="宋体" w:hAnsi="宋体" w:cs="宋体" w:eastAsia="宋体" w:hint="default"/>
          <w:b/>
          <w:bCs/>
          <w:spacing w:val="1"/>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72"/>
      <w:bookmarkEnd w:id="47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8"/>
        <w:ind w:left="1134" w:right="0"/>
        <w:jc w:val="left"/>
      </w:pPr>
      <w:r>
        <w:rPr/>
        <w:t>资产负债表日存在的重要承诺</w:t>
      </w:r>
    </w:p>
    <w:p>
      <w:pPr>
        <w:pStyle w:val="Heading6"/>
        <w:spacing w:line="240" w:lineRule="auto" w:before="89"/>
        <w:ind w:left="1890" w:right="0"/>
        <w:jc w:val="left"/>
        <w:rPr>
          <w:b w:val="0"/>
          <w:bCs w:val="0"/>
        </w:rPr>
      </w:pPr>
      <w:r>
        <w:rPr/>
        <w:t>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日，本公司开具的尚未到期保函如下：</w:t>
      </w:r>
      <w:r>
        <w:rPr>
          <w:b w:val="0"/>
          <w:bCs w:val="0"/>
        </w:rPr>
      </w:r>
    </w:p>
    <w:p>
      <w:pPr>
        <w:spacing w:line="240" w:lineRule="auto" w:before="10"/>
        <w:rPr>
          <w:rFonts w:ascii="宋体" w:hAnsi="宋体" w:cs="宋体" w:eastAsia="宋体" w:hint="default"/>
          <w:b/>
          <w:bCs/>
          <w:sz w:val="2"/>
          <w:szCs w:val="2"/>
        </w:rPr>
      </w:pPr>
    </w:p>
    <w:tbl>
      <w:tblPr>
        <w:tblW w:w="0" w:type="auto"/>
        <w:jc w:val="left"/>
        <w:tblInd w:w="1126" w:type="dxa"/>
        <w:tblLayout w:type="fixed"/>
        <w:tblCellMar>
          <w:top w:w="0" w:type="dxa"/>
          <w:left w:w="0" w:type="dxa"/>
          <w:bottom w:w="0" w:type="dxa"/>
          <w:right w:w="0" w:type="dxa"/>
        </w:tblCellMar>
        <w:tblLook w:val="01E0"/>
      </w:tblPr>
      <w:tblGrid>
        <w:gridCol w:w="1382"/>
        <w:gridCol w:w="2834"/>
        <w:gridCol w:w="1907"/>
        <w:gridCol w:w="1377"/>
        <w:gridCol w:w="1374"/>
      </w:tblGrid>
      <w:tr>
        <w:trPr>
          <w:trHeight w:val="356" w:hRule="exact"/>
        </w:trPr>
        <w:tc>
          <w:tcPr>
            <w:tcW w:w="13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22" w:right="0"/>
              <w:jc w:val="left"/>
              <w:rPr>
                <w:rFonts w:ascii="宋体" w:hAnsi="宋体" w:cs="宋体" w:eastAsia="宋体" w:hint="default"/>
                <w:sz w:val="18"/>
                <w:szCs w:val="18"/>
              </w:rPr>
            </w:pPr>
            <w:r>
              <w:rPr>
                <w:rFonts w:ascii="宋体" w:hAnsi="宋体" w:cs="宋体" w:eastAsia="宋体" w:hint="default"/>
                <w:sz w:val="18"/>
                <w:szCs w:val="18"/>
              </w:rPr>
              <w:t>保函类别</w:t>
            </w:r>
          </w:p>
        </w:tc>
        <w:tc>
          <w:tcPr>
            <w:tcW w:w="28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保函受益人</w:t>
            </w:r>
          </w:p>
        </w:tc>
        <w:tc>
          <w:tcPr>
            <w:tcW w:w="19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585" w:right="0"/>
              <w:jc w:val="left"/>
              <w:rPr>
                <w:rFonts w:ascii="宋体" w:hAnsi="宋体" w:cs="宋体" w:eastAsia="宋体" w:hint="default"/>
                <w:sz w:val="18"/>
                <w:szCs w:val="18"/>
              </w:rPr>
            </w:pPr>
            <w:r>
              <w:rPr>
                <w:rFonts w:ascii="宋体" w:hAnsi="宋体" w:cs="宋体" w:eastAsia="宋体" w:hint="default"/>
                <w:sz w:val="18"/>
                <w:szCs w:val="18"/>
              </w:rPr>
              <w:t>保函金额</w:t>
            </w:r>
          </w:p>
        </w:tc>
        <w:tc>
          <w:tcPr>
            <w:tcW w:w="13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410" w:right="0"/>
              <w:jc w:val="left"/>
              <w:rPr>
                <w:rFonts w:ascii="宋体" w:hAnsi="宋体" w:cs="宋体" w:eastAsia="宋体" w:hint="default"/>
                <w:sz w:val="18"/>
                <w:szCs w:val="18"/>
              </w:rPr>
            </w:pPr>
            <w:r>
              <w:rPr>
                <w:rFonts w:ascii="宋体" w:hAnsi="宋体" w:cs="宋体" w:eastAsia="宋体" w:hint="default"/>
                <w:sz w:val="18"/>
                <w:szCs w:val="18"/>
              </w:rPr>
              <w:t>起始日</w:t>
            </w:r>
          </w:p>
        </w:tc>
        <w:tc>
          <w:tcPr>
            <w:tcW w:w="137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409" w:right="0"/>
              <w:jc w:val="left"/>
              <w:rPr>
                <w:rFonts w:ascii="宋体" w:hAnsi="宋体" w:cs="宋体" w:eastAsia="宋体" w:hint="default"/>
                <w:sz w:val="18"/>
                <w:szCs w:val="18"/>
              </w:rPr>
            </w:pPr>
            <w:r>
              <w:rPr>
                <w:rFonts w:ascii="宋体" w:hAnsi="宋体" w:cs="宋体" w:eastAsia="宋体" w:hint="default"/>
                <w:sz w:val="18"/>
                <w:szCs w:val="18"/>
              </w:rPr>
              <w:t>到期日</w:t>
            </w:r>
          </w:p>
        </w:tc>
      </w:tr>
      <w:tr>
        <w:trPr>
          <w:trHeight w:val="352" w:hRule="exact"/>
        </w:trPr>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2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国家档案局行政财务司</w:t>
            </w:r>
          </w:p>
        </w:tc>
        <w:tc>
          <w:tcPr>
            <w:tcW w:w="19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516,600.00</w:t>
            </w:r>
          </w:p>
        </w:tc>
        <w:tc>
          <w:tcPr>
            <w:tcW w:w="13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2013.1.14</w:t>
            </w:r>
          </w:p>
        </w:tc>
        <w:tc>
          <w:tcPr>
            <w:tcW w:w="13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2016.1.14</w:t>
            </w:r>
          </w:p>
        </w:tc>
      </w:tr>
      <w:tr>
        <w:trPr>
          <w:trHeight w:val="352" w:hRule="exact"/>
        </w:trPr>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质量保函</w:t>
            </w:r>
          </w:p>
        </w:tc>
        <w:tc>
          <w:tcPr>
            <w:tcW w:w="2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上海市商务委员会</w:t>
            </w:r>
          </w:p>
        </w:tc>
        <w:tc>
          <w:tcPr>
            <w:tcW w:w="19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773,400.00</w:t>
            </w:r>
          </w:p>
        </w:tc>
        <w:tc>
          <w:tcPr>
            <w:tcW w:w="13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2013.11.11</w:t>
            </w:r>
          </w:p>
        </w:tc>
        <w:tc>
          <w:tcPr>
            <w:tcW w:w="13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2016.11.11</w:t>
            </w:r>
          </w:p>
        </w:tc>
      </w:tr>
      <w:tr>
        <w:trPr>
          <w:trHeight w:val="353" w:hRule="exact"/>
        </w:trPr>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质量保函</w:t>
            </w:r>
          </w:p>
        </w:tc>
        <w:tc>
          <w:tcPr>
            <w:tcW w:w="2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上海市商务委员会</w:t>
            </w:r>
          </w:p>
        </w:tc>
        <w:tc>
          <w:tcPr>
            <w:tcW w:w="19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149,400.00</w:t>
            </w:r>
          </w:p>
        </w:tc>
        <w:tc>
          <w:tcPr>
            <w:tcW w:w="13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2013.11.11</w:t>
            </w:r>
          </w:p>
        </w:tc>
        <w:tc>
          <w:tcPr>
            <w:tcW w:w="13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2016.11.11</w:t>
            </w:r>
          </w:p>
        </w:tc>
      </w:tr>
      <w:tr>
        <w:trPr>
          <w:trHeight w:val="352" w:hRule="exact"/>
        </w:trPr>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质量保函</w:t>
            </w:r>
          </w:p>
        </w:tc>
        <w:tc>
          <w:tcPr>
            <w:tcW w:w="2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上海市商务委员会</w:t>
            </w:r>
          </w:p>
        </w:tc>
        <w:tc>
          <w:tcPr>
            <w:tcW w:w="19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159,640.00</w:t>
            </w:r>
          </w:p>
        </w:tc>
        <w:tc>
          <w:tcPr>
            <w:tcW w:w="13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2013.11.11</w:t>
            </w:r>
          </w:p>
        </w:tc>
        <w:tc>
          <w:tcPr>
            <w:tcW w:w="13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2016.11.11</w:t>
            </w:r>
          </w:p>
        </w:tc>
      </w:tr>
      <w:tr>
        <w:trPr>
          <w:trHeight w:val="352" w:hRule="exact"/>
        </w:trPr>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质量保函</w:t>
            </w:r>
          </w:p>
        </w:tc>
        <w:tc>
          <w:tcPr>
            <w:tcW w:w="2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上海市商务委员会</w:t>
            </w:r>
          </w:p>
        </w:tc>
        <w:tc>
          <w:tcPr>
            <w:tcW w:w="19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317,271.00</w:t>
            </w:r>
          </w:p>
        </w:tc>
        <w:tc>
          <w:tcPr>
            <w:tcW w:w="13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2013.11.11</w:t>
            </w:r>
          </w:p>
        </w:tc>
        <w:tc>
          <w:tcPr>
            <w:tcW w:w="13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2016.11.11</w:t>
            </w:r>
          </w:p>
        </w:tc>
      </w:tr>
      <w:tr>
        <w:trPr>
          <w:trHeight w:val="353" w:hRule="exact"/>
        </w:trPr>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质量保函</w:t>
            </w:r>
          </w:p>
        </w:tc>
        <w:tc>
          <w:tcPr>
            <w:tcW w:w="2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上海市商务委员会</w:t>
            </w:r>
          </w:p>
        </w:tc>
        <w:tc>
          <w:tcPr>
            <w:tcW w:w="19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326,609.00</w:t>
            </w:r>
          </w:p>
        </w:tc>
        <w:tc>
          <w:tcPr>
            <w:tcW w:w="13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2013.11.11</w:t>
            </w:r>
          </w:p>
        </w:tc>
        <w:tc>
          <w:tcPr>
            <w:tcW w:w="13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2016.11.11</w:t>
            </w:r>
          </w:p>
        </w:tc>
      </w:tr>
      <w:tr>
        <w:trPr>
          <w:trHeight w:val="352" w:hRule="exact"/>
        </w:trPr>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质量保函</w:t>
            </w:r>
          </w:p>
        </w:tc>
        <w:tc>
          <w:tcPr>
            <w:tcW w:w="2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上海市周浦监狱</w:t>
            </w:r>
          </w:p>
        </w:tc>
        <w:tc>
          <w:tcPr>
            <w:tcW w:w="19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60,497.06</w:t>
            </w:r>
          </w:p>
        </w:tc>
        <w:tc>
          <w:tcPr>
            <w:tcW w:w="13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2013.12.9</w:t>
            </w:r>
          </w:p>
        </w:tc>
        <w:tc>
          <w:tcPr>
            <w:tcW w:w="13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2016.12.9</w:t>
            </w:r>
          </w:p>
        </w:tc>
      </w:tr>
      <w:tr>
        <w:trPr>
          <w:trHeight w:val="352" w:hRule="exact"/>
        </w:trPr>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2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政协上海市委员会办公厅</w:t>
            </w:r>
          </w:p>
        </w:tc>
        <w:tc>
          <w:tcPr>
            <w:tcW w:w="19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31,850.00</w:t>
            </w:r>
          </w:p>
        </w:tc>
        <w:tc>
          <w:tcPr>
            <w:tcW w:w="13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2013.12.11</w:t>
            </w:r>
          </w:p>
        </w:tc>
        <w:tc>
          <w:tcPr>
            <w:tcW w:w="13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2016.12.11</w:t>
            </w:r>
          </w:p>
        </w:tc>
      </w:tr>
      <w:tr>
        <w:trPr>
          <w:trHeight w:val="353" w:hRule="exact"/>
        </w:trPr>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2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75" w:right="0"/>
              <w:jc w:val="left"/>
              <w:rPr>
                <w:rFonts w:ascii="宋体" w:hAnsi="宋体" w:cs="宋体" w:eastAsia="宋体" w:hint="default"/>
                <w:sz w:val="18"/>
                <w:szCs w:val="18"/>
              </w:rPr>
            </w:pPr>
            <w:r>
              <w:rPr>
                <w:rFonts w:ascii="宋体" w:hAnsi="宋体" w:cs="宋体" w:eastAsia="宋体" w:hint="default"/>
                <w:sz w:val="18"/>
                <w:szCs w:val="18"/>
              </w:rPr>
              <w:t>重庆市商业委员会</w:t>
            </w:r>
          </w:p>
        </w:tc>
        <w:tc>
          <w:tcPr>
            <w:tcW w:w="19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1,271,000.00</w:t>
            </w:r>
          </w:p>
        </w:tc>
        <w:tc>
          <w:tcPr>
            <w:tcW w:w="13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2013.12.23</w:t>
            </w:r>
          </w:p>
        </w:tc>
        <w:tc>
          <w:tcPr>
            <w:tcW w:w="13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2016.12.23</w:t>
            </w:r>
          </w:p>
        </w:tc>
      </w:tr>
      <w:tr>
        <w:trPr>
          <w:trHeight w:val="352" w:hRule="exact"/>
        </w:trPr>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质量保函</w:t>
            </w:r>
          </w:p>
        </w:tc>
        <w:tc>
          <w:tcPr>
            <w:tcW w:w="2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上海市第一强制隔离戒毒所</w:t>
            </w:r>
          </w:p>
        </w:tc>
        <w:tc>
          <w:tcPr>
            <w:tcW w:w="19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83,400.00</w:t>
            </w:r>
          </w:p>
        </w:tc>
        <w:tc>
          <w:tcPr>
            <w:tcW w:w="13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2014.06.05</w:t>
            </w:r>
          </w:p>
        </w:tc>
        <w:tc>
          <w:tcPr>
            <w:tcW w:w="13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2016.07.17</w:t>
            </w:r>
          </w:p>
        </w:tc>
      </w:tr>
      <w:tr>
        <w:trPr>
          <w:trHeight w:val="352" w:hRule="exact"/>
        </w:trPr>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2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北京星震同源数字系统有限公司</w:t>
            </w:r>
          </w:p>
        </w:tc>
        <w:tc>
          <w:tcPr>
            <w:tcW w:w="19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64,000.00</w:t>
            </w:r>
          </w:p>
        </w:tc>
        <w:tc>
          <w:tcPr>
            <w:tcW w:w="13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2014.07.03</w:t>
            </w:r>
          </w:p>
        </w:tc>
        <w:tc>
          <w:tcPr>
            <w:tcW w:w="13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2017.01.31</w:t>
            </w:r>
          </w:p>
        </w:tc>
      </w:tr>
      <w:tr>
        <w:trPr>
          <w:trHeight w:val="353" w:hRule="exact"/>
        </w:trPr>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质量保函</w:t>
            </w:r>
          </w:p>
        </w:tc>
        <w:tc>
          <w:tcPr>
            <w:tcW w:w="2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上海市商务委员会</w:t>
            </w:r>
          </w:p>
        </w:tc>
        <w:tc>
          <w:tcPr>
            <w:tcW w:w="19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785,000.00</w:t>
            </w:r>
          </w:p>
        </w:tc>
        <w:tc>
          <w:tcPr>
            <w:tcW w:w="13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2014.10.27</w:t>
            </w:r>
          </w:p>
        </w:tc>
        <w:tc>
          <w:tcPr>
            <w:tcW w:w="13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2017.08.10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6" w:type="dxa"/>
        <w:tblLayout w:type="fixed"/>
        <w:tblCellMar>
          <w:top w:w="0" w:type="dxa"/>
          <w:left w:w="0" w:type="dxa"/>
          <w:bottom w:w="0" w:type="dxa"/>
          <w:right w:w="0" w:type="dxa"/>
        </w:tblCellMar>
        <w:tblLook w:val="01E0"/>
      </w:tblPr>
      <w:tblGrid>
        <w:gridCol w:w="1382"/>
        <w:gridCol w:w="2834"/>
        <w:gridCol w:w="1907"/>
        <w:gridCol w:w="1377"/>
        <w:gridCol w:w="1374"/>
      </w:tblGrid>
      <w:tr>
        <w:trPr>
          <w:trHeight w:val="355" w:hRule="exact"/>
        </w:trPr>
        <w:tc>
          <w:tcPr>
            <w:tcW w:w="13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质量保函</w:t>
            </w:r>
          </w:p>
        </w:tc>
        <w:tc>
          <w:tcPr>
            <w:tcW w:w="28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75" w:right="0"/>
              <w:jc w:val="left"/>
              <w:rPr>
                <w:rFonts w:ascii="宋体" w:hAnsi="宋体" w:cs="宋体" w:eastAsia="宋体" w:hint="default"/>
                <w:sz w:val="18"/>
                <w:szCs w:val="18"/>
              </w:rPr>
            </w:pPr>
            <w:r>
              <w:rPr>
                <w:rFonts w:ascii="宋体" w:hAnsi="宋体" w:cs="宋体" w:eastAsia="宋体" w:hint="default"/>
                <w:sz w:val="18"/>
                <w:szCs w:val="18"/>
              </w:rPr>
              <w:t>上海市商务委员会</w:t>
            </w:r>
          </w:p>
        </w:tc>
        <w:tc>
          <w:tcPr>
            <w:tcW w:w="19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41,850.00</w:t>
            </w:r>
          </w:p>
        </w:tc>
        <w:tc>
          <w:tcPr>
            <w:tcW w:w="13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2014.11.04</w:t>
            </w:r>
          </w:p>
        </w:tc>
        <w:tc>
          <w:tcPr>
            <w:tcW w:w="137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2017.11.04</w:t>
            </w:r>
          </w:p>
        </w:tc>
      </w:tr>
      <w:tr>
        <w:trPr>
          <w:trHeight w:val="352" w:hRule="exact"/>
        </w:trPr>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质量保函</w:t>
            </w:r>
          </w:p>
        </w:tc>
        <w:tc>
          <w:tcPr>
            <w:tcW w:w="2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上海市商务委员会</w:t>
            </w:r>
          </w:p>
        </w:tc>
        <w:tc>
          <w:tcPr>
            <w:tcW w:w="19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48,900.00</w:t>
            </w:r>
          </w:p>
        </w:tc>
        <w:tc>
          <w:tcPr>
            <w:tcW w:w="13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2014.11.04</w:t>
            </w:r>
          </w:p>
        </w:tc>
        <w:tc>
          <w:tcPr>
            <w:tcW w:w="13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2017.11.04</w:t>
            </w:r>
          </w:p>
        </w:tc>
      </w:tr>
      <w:tr>
        <w:trPr>
          <w:trHeight w:val="353" w:hRule="exact"/>
        </w:trPr>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质量保函</w:t>
            </w:r>
          </w:p>
        </w:tc>
        <w:tc>
          <w:tcPr>
            <w:tcW w:w="2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浙江自然博物馆</w:t>
            </w:r>
          </w:p>
        </w:tc>
        <w:tc>
          <w:tcPr>
            <w:tcW w:w="19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4,500.00</w:t>
            </w:r>
          </w:p>
        </w:tc>
        <w:tc>
          <w:tcPr>
            <w:tcW w:w="13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2014.12.04</w:t>
            </w:r>
          </w:p>
        </w:tc>
        <w:tc>
          <w:tcPr>
            <w:tcW w:w="13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2016.06.04</w:t>
            </w:r>
          </w:p>
        </w:tc>
      </w:tr>
      <w:tr>
        <w:trPr>
          <w:trHeight w:val="352" w:hRule="exact"/>
        </w:trPr>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质量保函</w:t>
            </w:r>
          </w:p>
        </w:tc>
        <w:tc>
          <w:tcPr>
            <w:tcW w:w="2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上海市宝山区人民检察院</w:t>
            </w:r>
          </w:p>
        </w:tc>
        <w:tc>
          <w:tcPr>
            <w:tcW w:w="19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479,550.40</w:t>
            </w:r>
          </w:p>
        </w:tc>
        <w:tc>
          <w:tcPr>
            <w:tcW w:w="13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2015.02.16</w:t>
            </w:r>
          </w:p>
        </w:tc>
        <w:tc>
          <w:tcPr>
            <w:tcW w:w="13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2016.02.16</w:t>
            </w:r>
          </w:p>
        </w:tc>
      </w:tr>
      <w:tr>
        <w:trPr>
          <w:trHeight w:val="352" w:hRule="exact"/>
        </w:trPr>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质量保函</w:t>
            </w:r>
          </w:p>
        </w:tc>
        <w:tc>
          <w:tcPr>
            <w:tcW w:w="2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国家卫生计生委统计信息中心</w:t>
            </w:r>
          </w:p>
        </w:tc>
        <w:tc>
          <w:tcPr>
            <w:tcW w:w="19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27,800.00</w:t>
            </w:r>
          </w:p>
        </w:tc>
        <w:tc>
          <w:tcPr>
            <w:tcW w:w="13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2015.02.12</w:t>
            </w:r>
          </w:p>
        </w:tc>
        <w:tc>
          <w:tcPr>
            <w:tcW w:w="13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2016.02.12</w:t>
            </w:r>
          </w:p>
        </w:tc>
      </w:tr>
      <w:tr>
        <w:trPr>
          <w:trHeight w:val="353" w:hRule="exact"/>
        </w:trPr>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质量保函</w:t>
            </w:r>
          </w:p>
        </w:tc>
        <w:tc>
          <w:tcPr>
            <w:tcW w:w="2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上海市公安局长宁分局</w:t>
            </w:r>
          </w:p>
        </w:tc>
        <w:tc>
          <w:tcPr>
            <w:tcW w:w="19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14,400.00</w:t>
            </w:r>
          </w:p>
        </w:tc>
        <w:tc>
          <w:tcPr>
            <w:tcW w:w="13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2015.04.10</w:t>
            </w:r>
          </w:p>
        </w:tc>
        <w:tc>
          <w:tcPr>
            <w:tcW w:w="13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2016.04.10</w:t>
            </w:r>
          </w:p>
        </w:tc>
      </w:tr>
      <w:tr>
        <w:trPr>
          <w:trHeight w:val="352" w:hRule="exact"/>
        </w:trPr>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2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淮安市清浦区人民法院</w:t>
            </w:r>
          </w:p>
        </w:tc>
        <w:tc>
          <w:tcPr>
            <w:tcW w:w="19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28,125.00</w:t>
            </w:r>
          </w:p>
        </w:tc>
        <w:tc>
          <w:tcPr>
            <w:tcW w:w="13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2015.04.29</w:t>
            </w:r>
          </w:p>
        </w:tc>
        <w:tc>
          <w:tcPr>
            <w:tcW w:w="13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2016.04.29</w:t>
            </w:r>
          </w:p>
        </w:tc>
      </w:tr>
      <w:tr>
        <w:trPr>
          <w:trHeight w:val="352" w:hRule="exact"/>
        </w:trPr>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2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襄阳市商务局</w:t>
            </w:r>
          </w:p>
        </w:tc>
        <w:tc>
          <w:tcPr>
            <w:tcW w:w="19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485,400.00</w:t>
            </w:r>
          </w:p>
        </w:tc>
        <w:tc>
          <w:tcPr>
            <w:tcW w:w="13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2015.06.09</w:t>
            </w:r>
          </w:p>
        </w:tc>
        <w:tc>
          <w:tcPr>
            <w:tcW w:w="13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2018.06.09</w:t>
            </w:r>
          </w:p>
        </w:tc>
      </w:tr>
      <w:tr>
        <w:trPr>
          <w:trHeight w:val="353" w:hRule="exact"/>
        </w:trPr>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2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上海市公安局信访处</w:t>
            </w:r>
          </w:p>
        </w:tc>
        <w:tc>
          <w:tcPr>
            <w:tcW w:w="19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11,050.00</w:t>
            </w:r>
          </w:p>
        </w:tc>
        <w:tc>
          <w:tcPr>
            <w:tcW w:w="13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2015.07.23</w:t>
            </w:r>
          </w:p>
        </w:tc>
        <w:tc>
          <w:tcPr>
            <w:tcW w:w="13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2016.07.23</w:t>
            </w:r>
          </w:p>
        </w:tc>
      </w:tr>
      <w:tr>
        <w:trPr>
          <w:trHeight w:val="352" w:hRule="exact"/>
        </w:trPr>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2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上海市公安局信访处</w:t>
            </w:r>
          </w:p>
        </w:tc>
        <w:tc>
          <w:tcPr>
            <w:tcW w:w="19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5,925.00</w:t>
            </w:r>
          </w:p>
        </w:tc>
        <w:tc>
          <w:tcPr>
            <w:tcW w:w="13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2015.07.23</w:t>
            </w:r>
          </w:p>
        </w:tc>
        <w:tc>
          <w:tcPr>
            <w:tcW w:w="13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2016.07.23</w:t>
            </w:r>
          </w:p>
        </w:tc>
      </w:tr>
      <w:tr>
        <w:trPr>
          <w:trHeight w:val="352" w:hRule="exact"/>
        </w:trPr>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2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遵义市商务局</w:t>
            </w:r>
          </w:p>
        </w:tc>
        <w:tc>
          <w:tcPr>
            <w:tcW w:w="19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649,232.50</w:t>
            </w:r>
          </w:p>
        </w:tc>
        <w:tc>
          <w:tcPr>
            <w:tcW w:w="13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2015.08.21</w:t>
            </w:r>
          </w:p>
        </w:tc>
        <w:tc>
          <w:tcPr>
            <w:tcW w:w="13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2016.02.21</w:t>
            </w:r>
          </w:p>
        </w:tc>
      </w:tr>
      <w:tr>
        <w:trPr>
          <w:trHeight w:val="353" w:hRule="exact"/>
        </w:trPr>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2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江苏省龙潭监狱</w:t>
            </w:r>
          </w:p>
        </w:tc>
        <w:tc>
          <w:tcPr>
            <w:tcW w:w="19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243,000.00</w:t>
            </w:r>
          </w:p>
        </w:tc>
        <w:tc>
          <w:tcPr>
            <w:tcW w:w="13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2015.08.21</w:t>
            </w:r>
          </w:p>
        </w:tc>
        <w:tc>
          <w:tcPr>
            <w:tcW w:w="13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2016.08.21</w:t>
            </w:r>
          </w:p>
        </w:tc>
      </w:tr>
      <w:tr>
        <w:trPr>
          <w:trHeight w:val="352" w:hRule="exact"/>
        </w:trPr>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质量保函</w:t>
            </w:r>
          </w:p>
        </w:tc>
        <w:tc>
          <w:tcPr>
            <w:tcW w:w="2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上海市黄浦区电子政务管理中心</w:t>
            </w:r>
          </w:p>
        </w:tc>
        <w:tc>
          <w:tcPr>
            <w:tcW w:w="19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71,500.00</w:t>
            </w:r>
          </w:p>
        </w:tc>
        <w:tc>
          <w:tcPr>
            <w:tcW w:w="13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2015.09.24</w:t>
            </w:r>
          </w:p>
        </w:tc>
        <w:tc>
          <w:tcPr>
            <w:tcW w:w="13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2016.09.28</w:t>
            </w:r>
          </w:p>
        </w:tc>
      </w:tr>
      <w:tr>
        <w:trPr>
          <w:trHeight w:val="352" w:hRule="exact"/>
        </w:trPr>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预付款保函</w:t>
            </w:r>
          </w:p>
        </w:tc>
        <w:tc>
          <w:tcPr>
            <w:tcW w:w="2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上海市财政局</w:t>
            </w:r>
          </w:p>
        </w:tc>
        <w:tc>
          <w:tcPr>
            <w:tcW w:w="19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235,000.00</w:t>
            </w:r>
          </w:p>
        </w:tc>
        <w:tc>
          <w:tcPr>
            <w:tcW w:w="13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2015.10.19</w:t>
            </w:r>
          </w:p>
        </w:tc>
        <w:tc>
          <w:tcPr>
            <w:tcW w:w="13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2016.10.19</w:t>
            </w:r>
          </w:p>
        </w:tc>
      </w:tr>
      <w:tr>
        <w:trPr>
          <w:trHeight w:val="353" w:hRule="exact"/>
        </w:trPr>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预付款保函</w:t>
            </w:r>
          </w:p>
        </w:tc>
        <w:tc>
          <w:tcPr>
            <w:tcW w:w="2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上海市财政局</w:t>
            </w:r>
          </w:p>
        </w:tc>
        <w:tc>
          <w:tcPr>
            <w:tcW w:w="19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240,000.00</w:t>
            </w:r>
          </w:p>
        </w:tc>
        <w:tc>
          <w:tcPr>
            <w:tcW w:w="13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2015.10.19</w:t>
            </w:r>
          </w:p>
        </w:tc>
        <w:tc>
          <w:tcPr>
            <w:tcW w:w="13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2016.10.19</w:t>
            </w:r>
          </w:p>
        </w:tc>
      </w:tr>
      <w:tr>
        <w:trPr>
          <w:trHeight w:val="352" w:hRule="exact"/>
        </w:trPr>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预付款保函</w:t>
            </w:r>
          </w:p>
        </w:tc>
        <w:tc>
          <w:tcPr>
            <w:tcW w:w="2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上海市财政局</w:t>
            </w:r>
          </w:p>
        </w:tc>
        <w:tc>
          <w:tcPr>
            <w:tcW w:w="19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225,000.00</w:t>
            </w:r>
          </w:p>
        </w:tc>
        <w:tc>
          <w:tcPr>
            <w:tcW w:w="13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2015.10.19</w:t>
            </w:r>
          </w:p>
        </w:tc>
        <w:tc>
          <w:tcPr>
            <w:tcW w:w="13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2016.10.19</w:t>
            </w:r>
          </w:p>
        </w:tc>
      </w:tr>
      <w:tr>
        <w:trPr>
          <w:trHeight w:val="352" w:hRule="exact"/>
        </w:trPr>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预付款保函</w:t>
            </w:r>
          </w:p>
        </w:tc>
        <w:tc>
          <w:tcPr>
            <w:tcW w:w="2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国家卫生计生委统计信息中心</w:t>
            </w:r>
          </w:p>
        </w:tc>
        <w:tc>
          <w:tcPr>
            <w:tcW w:w="19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648,000.00</w:t>
            </w:r>
          </w:p>
        </w:tc>
        <w:tc>
          <w:tcPr>
            <w:tcW w:w="13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2015.11.16</w:t>
            </w:r>
          </w:p>
        </w:tc>
        <w:tc>
          <w:tcPr>
            <w:tcW w:w="13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2016.05.16</w:t>
            </w:r>
          </w:p>
        </w:tc>
      </w:tr>
      <w:tr>
        <w:trPr>
          <w:trHeight w:val="353" w:hRule="exact"/>
        </w:trPr>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质量保函</w:t>
            </w:r>
          </w:p>
        </w:tc>
        <w:tc>
          <w:tcPr>
            <w:tcW w:w="2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国家卫生计生委统计信息中心</w:t>
            </w:r>
          </w:p>
        </w:tc>
        <w:tc>
          <w:tcPr>
            <w:tcW w:w="19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162,000.00</w:t>
            </w:r>
          </w:p>
        </w:tc>
        <w:tc>
          <w:tcPr>
            <w:tcW w:w="13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2015.11.16</w:t>
            </w:r>
          </w:p>
        </w:tc>
        <w:tc>
          <w:tcPr>
            <w:tcW w:w="13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2016.11.16</w:t>
            </w:r>
          </w:p>
        </w:tc>
      </w:tr>
      <w:tr>
        <w:trPr>
          <w:trHeight w:val="352" w:hRule="exact"/>
        </w:trPr>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质量保函</w:t>
            </w:r>
          </w:p>
        </w:tc>
        <w:tc>
          <w:tcPr>
            <w:tcW w:w="2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上海市公安局信访处</w:t>
            </w:r>
          </w:p>
        </w:tc>
        <w:tc>
          <w:tcPr>
            <w:tcW w:w="19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18,825.00</w:t>
            </w:r>
          </w:p>
        </w:tc>
        <w:tc>
          <w:tcPr>
            <w:tcW w:w="13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2015.11.18</w:t>
            </w:r>
          </w:p>
        </w:tc>
        <w:tc>
          <w:tcPr>
            <w:tcW w:w="13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2016.02.18</w:t>
            </w:r>
          </w:p>
        </w:tc>
      </w:tr>
      <w:tr>
        <w:trPr>
          <w:trHeight w:val="352" w:hRule="exact"/>
        </w:trPr>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质量保函</w:t>
            </w:r>
          </w:p>
        </w:tc>
        <w:tc>
          <w:tcPr>
            <w:tcW w:w="2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上海市公安局指挥部信访处</w:t>
            </w:r>
          </w:p>
        </w:tc>
        <w:tc>
          <w:tcPr>
            <w:tcW w:w="19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22,450.00</w:t>
            </w:r>
          </w:p>
        </w:tc>
        <w:tc>
          <w:tcPr>
            <w:tcW w:w="13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2015.11.18</w:t>
            </w:r>
          </w:p>
        </w:tc>
        <w:tc>
          <w:tcPr>
            <w:tcW w:w="13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2016.02.18</w:t>
            </w:r>
          </w:p>
        </w:tc>
      </w:tr>
      <w:tr>
        <w:trPr>
          <w:trHeight w:val="353" w:hRule="exact"/>
        </w:trPr>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质量保函</w:t>
            </w:r>
          </w:p>
        </w:tc>
        <w:tc>
          <w:tcPr>
            <w:tcW w:w="2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上海市宝山区人民检察院</w:t>
            </w:r>
          </w:p>
        </w:tc>
        <w:tc>
          <w:tcPr>
            <w:tcW w:w="19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959,100.80</w:t>
            </w:r>
          </w:p>
        </w:tc>
        <w:tc>
          <w:tcPr>
            <w:tcW w:w="13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2015.11.24</w:t>
            </w:r>
          </w:p>
        </w:tc>
        <w:tc>
          <w:tcPr>
            <w:tcW w:w="13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2016.11.23</w:t>
            </w:r>
          </w:p>
        </w:tc>
      </w:tr>
      <w:tr>
        <w:trPr>
          <w:trHeight w:val="352" w:hRule="exact"/>
        </w:trPr>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预付款保函</w:t>
            </w:r>
          </w:p>
        </w:tc>
        <w:tc>
          <w:tcPr>
            <w:tcW w:w="2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上海市黄浦区档案局</w:t>
            </w:r>
          </w:p>
        </w:tc>
        <w:tc>
          <w:tcPr>
            <w:tcW w:w="19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700,000.00</w:t>
            </w:r>
          </w:p>
        </w:tc>
        <w:tc>
          <w:tcPr>
            <w:tcW w:w="13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2015.11.26</w:t>
            </w:r>
          </w:p>
        </w:tc>
        <w:tc>
          <w:tcPr>
            <w:tcW w:w="13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2016.11.26</w:t>
            </w:r>
          </w:p>
        </w:tc>
      </w:tr>
      <w:tr>
        <w:trPr>
          <w:trHeight w:val="352" w:hRule="exact"/>
        </w:trPr>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质量保函</w:t>
            </w:r>
          </w:p>
        </w:tc>
        <w:tc>
          <w:tcPr>
            <w:tcW w:w="2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上海市宝山区档案局</w:t>
            </w:r>
          </w:p>
        </w:tc>
        <w:tc>
          <w:tcPr>
            <w:tcW w:w="19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39,000.00</w:t>
            </w:r>
          </w:p>
        </w:tc>
        <w:tc>
          <w:tcPr>
            <w:tcW w:w="13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2015.11.26</w:t>
            </w:r>
          </w:p>
        </w:tc>
        <w:tc>
          <w:tcPr>
            <w:tcW w:w="13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2016.11.26</w:t>
            </w:r>
          </w:p>
        </w:tc>
      </w:tr>
      <w:tr>
        <w:trPr>
          <w:trHeight w:val="353" w:hRule="exact"/>
        </w:trPr>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2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上海市公安局档案处</w:t>
            </w:r>
          </w:p>
        </w:tc>
        <w:tc>
          <w:tcPr>
            <w:tcW w:w="19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418,250.00</w:t>
            </w:r>
          </w:p>
        </w:tc>
        <w:tc>
          <w:tcPr>
            <w:tcW w:w="13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2015.11.27</w:t>
            </w:r>
          </w:p>
        </w:tc>
        <w:tc>
          <w:tcPr>
            <w:tcW w:w="13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2016.11.26</w:t>
            </w:r>
          </w:p>
        </w:tc>
      </w:tr>
      <w:tr>
        <w:trPr>
          <w:trHeight w:val="352" w:hRule="exact"/>
        </w:trPr>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质量保函</w:t>
            </w:r>
          </w:p>
        </w:tc>
        <w:tc>
          <w:tcPr>
            <w:tcW w:w="2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上海市民防指挥信息保障中心</w:t>
            </w:r>
          </w:p>
        </w:tc>
        <w:tc>
          <w:tcPr>
            <w:tcW w:w="19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17,945.00</w:t>
            </w:r>
          </w:p>
        </w:tc>
        <w:tc>
          <w:tcPr>
            <w:tcW w:w="13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2015.12.03</w:t>
            </w:r>
          </w:p>
        </w:tc>
        <w:tc>
          <w:tcPr>
            <w:tcW w:w="13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2016.12.03</w:t>
            </w:r>
          </w:p>
        </w:tc>
      </w:tr>
      <w:tr>
        <w:trPr>
          <w:trHeight w:val="352" w:hRule="exact"/>
        </w:trPr>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质量保函</w:t>
            </w:r>
          </w:p>
        </w:tc>
        <w:tc>
          <w:tcPr>
            <w:tcW w:w="2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上海市民防办公室</w:t>
            </w:r>
          </w:p>
        </w:tc>
        <w:tc>
          <w:tcPr>
            <w:tcW w:w="19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40,350.00</w:t>
            </w:r>
          </w:p>
        </w:tc>
        <w:tc>
          <w:tcPr>
            <w:tcW w:w="13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2015.12.03</w:t>
            </w:r>
          </w:p>
        </w:tc>
        <w:tc>
          <w:tcPr>
            <w:tcW w:w="13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2016.12.03</w:t>
            </w:r>
          </w:p>
        </w:tc>
      </w:tr>
      <w:tr>
        <w:trPr>
          <w:trHeight w:val="353" w:hRule="exact"/>
        </w:trPr>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质量保函</w:t>
            </w:r>
          </w:p>
        </w:tc>
        <w:tc>
          <w:tcPr>
            <w:tcW w:w="2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上海市未成年犯管教所</w:t>
            </w:r>
          </w:p>
        </w:tc>
        <w:tc>
          <w:tcPr>
            <w:tcW w:w="19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59,311.40</w:t>
            </w:r>
          </w:p>
        </w:tc>
        <w:tc>
          <w:tcPr>
            <w:tcW w:w="13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2015.12.03</w:t>
            </w:r>
          </w:p>
        </w:tc>
        <w:tc>
          <w:tcPr>
            <w:tcW w:w="13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2016.12.03</w:t>
            </w:r>
          </w:p>
        </w:tc>
      </w:tr>
      <w:tr>
        <w:trPr>
          <w:trHeight w:val="352" w:hRule="exact"/>
        </w:trPr>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质量保函</w:t>
            </w:r>
          </w:p>
        </w:tc>
        <w:tc>
          <w:tcPr>
            <w:tcW w:w="2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上海市宝山区档案局</w:t>
            </w:r>
          </w:p>
        </w:tc>
        <w:tc>
          <w:tcPr>
            <w:tcW w:w="19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33,800.00</w:t>
            </w:r>
          </w:p>
        </w:tc>
        <w:tc>
          <w:tcPr>
            <w:tcW w:w="13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2015.12.09</w:t>
            </w:r>
          </w:p>
        </w:tc>
        <w:tc>
          <w:tcPr>
            <w:tcW w:w="13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2016.12.09</w:t>
            </w:r>
          </w:p>
        </w:tc>
      </w:tr>
      <w:tr>
        <w:trPr>
          <w:trHeight w:val="352" w:hRule="exact"/>
        </w:trPr>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质量保函</w:t>
            </w:r>
          </w:p>
        </w:tc>
        <w:tc>
          <w:tcPr>
            <w:tcW w:w="2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上海政法学院</w:t>
            </w:r>
          </w:p>
        </w:tc>
        <w:tc>
          <w:tcPr>
            <w:tcW w:w="19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779,915.17</w:t>
            </w:r>
          </w:p>
        </w:tc>
        <w:tc>
          <w:tcPr>
            <w:tcW w:w="13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2015.12.04</w:t>
            </w:r>
          </w:p>
        </w:tc>
        <w:tc>
          <w:tcPr>
            <w:tcW w:w="13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2016.12.04</w:t>
            </w:r>
          </w:p>
        </w:tc>
      </w:tr>
      <w:tr>
        <w:trPr>
          <w:trHeight w:val="353" w:hRule="exact"/>
        </w:trPr>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质量保函</w:t>
            </w:r>
          </w:p>
        </w:tc>
        <w:tc>
          <w:tcPr>
            <w:tcW w:w="2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晋城市档案局</w:t>
            </w:r>
          </w:p>
        </w:tc>
        <w:tc>
          <w:tcPr>
            <w:tcW w:w="19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600,000.00</w:t>
            </w:r>
          </w:p>
        </w:tc>
        <w:tc>
          <w:tcPr>
            <w:tcW w:w="13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2015.12.11</w:t>
            </w:r>
          </w:p>
        </w:tc>
        <w:tc>
          <w:tcPr>
            <w:tcW w:w="13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2016.07.30</w:t>
            </w:r>
          </w:p>
        </w:tc>
      </w:tr>
      <w:tr>
        <w:trPr>
          <w:trHeight w:val="352" w:hRule="exact"/>
        </w:trPr>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质量保函</w:t>
            </w:r>
          </w:p>
        </w:tc>
        <w:tc>
          <w:tcPr>
            <w:tcW w:w="2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上海市宝山区人民检察院</w:t>
            </w:r>
          </w:p>
        </w:tc>
        <w:tc>
          <w:tcPr>
            <w:tcW w:w="19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2,038,998.10</w:t>
            </w:r>
          </w:p>
        </w:tc>
        <w:tc>
          <w:tcPr>
            <w:tcW w:w="13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2015.12.11</w:t>
            </w:r>
          </w:p>
        </w:tc>
        <w:tc>
          <w:tcPr>
            <w:tcW w:w="13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2016.12.11</w:t>
            </w:r>
          </w:p>
        </w:tc>
      </w:tr>
      <w:tr>
        <w:trPr>
          <w:trHeight w:val="352" w:hRule="exact"/>
        </w:trPr>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预付款保函</w:t>
            </w:r>
          </w:p>
        </w:tc>
        <w:tc>
          <w:tcPr>
            <w:tcW w:w="2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上海市财政局</w:t>
            </w:r>
          </w:p>
        </w:tc>
        <w:tc>
          <w:tcPr>
            <w:tcW w:w="19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161,000.00</w:t>
            </w:r>
          </w:p>
        </w:tc>
        <w:tc>
          <w:tcPr>
            <w:tcW w:w="13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2015.3.11</w:t>
            </w:r>
          </w:p>
        </w:tc>
        <w:tc>
          <w:tcPr>
            <w:tcW w:w="13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2015.12.31</w:t>
            </w:r>
          </w:p>
        </w:tc>
      </w:tr>
      <w:tr>
        <w:trPr>
          <w:trHeight w:val="353" w:hRule="exact"/>
        </w:trPr>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2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宁海县档案局</w:t>
            </w:r>
          </w:p>
        </w:tc>
        <w:tc>
          <w:tcPr>
            <w:tcW w:w="19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51,205.00</w:t>
            </w:r>
          </w:p>
        </w:tc>
        <w:tc>
          <w:tcPr>
            <w:tcW w:w="13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2014.11.21</w:t>
            </w:r>
          </w:p>
        </w:tc>
        <w:tc>
          <w:tcPr>
            <w:tcW w:w="13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2015.12.31</w:t>
            </w:r>
          </w:p>
        </w:tc>
      </w:tr>
      <w:tr>
        <w:trPr>
          <w:trHeight w:val="352" w:hRule="exact"/>
        </w:trPr>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2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宜昌市商务局</w:t>
            </w:r>
          </w:p>
        </w:tc>
        <w:tc>
          <w:tcPr>
            <w:tcW w:w="19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593,000.00</w:t>
            </w:r>
          </w:p>
        </w:tc>
        <w:tc>
          <w:tcPr>
            <w:tcW w:w="13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2014.12.25</w:t>
            </w:r>
          </w:p>
        </w:tc>
        <w:tc>
          <w:tcPr>
            <w:tcW w:w="13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2015.12.25</w:t>
            </w:r>
          </w:p>
        </w:tc>
      </w:tr>
      <w:tr>
        <w:trPr>
          <w:trHeight w:val="352" w:hRule="exact"/>
        </w:trPr>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30"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834" w:type="dxa"/>
            <w:tcBorders>
              <w:top w:val="single" w:sz="12" w:space="0" w:color="000000"/>
              <w:left w:val="single" w:sz="6" w:space="0" w:color="000000"/>
              <w:bottom w:val="single" w:sz="12" w:space="0" w:color="000000"/>
              <w:right w:val="single" w:sz="6" w:space="0" w:color="000000"/>
            </w:tcBorders>
          </w:tcPr>
          <w:p>
            <w:pPr/>
          </w:p>
        </w:tc>
        <w:tc>
          <w:tcPr>
            <w:tcW w:w="19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14,693,050.43</w:t>
            </w:r>
          </w:p>
        </w:tc>
        <w:tc>
          <w:tcPr>
            <w:tcW w:w="1377" w:type="dxa"/>
            <w:tcBorders>
              <w:top w:val="single" w:sz="12" w:space="0" w:color="000000"/>
              <w:left w:val="single" w:sz="6" w:space="0" w:color="000000"/>
              <w:bottom w:val="single" w:sz="12" w:space="0" w:color="000000"/>
              <w:right w:val="single" w:sz="6" w:space="0" w:color="000000"/>
            </w:tcBorders>
          </w:tcPr>
          <w:p>
            <w:pPr/>
          </w:p>
        </w:tc>
        <w:tc>
          <w:tcPr>
            <w:tcW w:w="1374" w:type="dxa"/>
            <w:tcBorders>
              <w:top w:val="single" w:sz="12" w:space="0" w:color="000000"/>
              <w:left w:val="single" w:sz="6" w:space="0" w:color="000000"/>
              <w:bottom w:val="single" w:sz="12" w:space="0" w:color="000000"/>
              <w:right w:val="nil" w:sz="6" w:space="0" w:color="auto"/>
            </w:tcBorders>
          </w:tcPr>
          <w:p>
            <w:pPr/>
          </w:p>
        </w:tc>
      </w:tr>
    </w:tbl>
    <w:p>
      <w:pPr>
        <w:pStyle w:val="Heading6"/>
        <w:spacing w:line="276" w:lineRule="exact"/>
        <w:ind w:left="1134" w:right="0"/>
        <w:jc w:val="left"/>
        <w:rPr>
          <w:b w:val="0"/>
          <w:bCs w:val="0"/>
        </w:rPr>
      </w:pPr>
      <w:r>
        <w:rPr/>
        <w:t>开具上述保函，公司存入的保证金金额为</w:t>
      </w:r>
      <w:r>
        <w:rPr>
          <w:rFonts w:ascii="Times New Roman" w:hAnsi="Times New Roman" w:cs="Times New Roman" w:eastAsia="Times New Roman" w:hint="default"/>
        </w:rPr>
        <w:t>8,583,735.43</w:t>
      </w:r>
      <w:r>
        <w:rPr/>
        <w:t>元。</w:t>
      </w:r>
      <w:r>
        <w:rPr>
          <w:b w:val="0"/>
          <w:bCs w:val="0"/>
        </w:rPr>
      </w:r>
    </w:p>
    <w:p>
      <w:pPr>
        <w:pStyle w:val="Heading6"/>
        <w:spacing w:line="240" w:lineRule="auto" w:before="21"/>
        <w:ind w:right="0"/>
        <w:jc w:val="left"/>
        <w:rPr>
          <w:b w:val="0"/>
          <w:bCs w:val="0"/>
        </w:rPr>
      </w:pPr>
      <w:r>
        <w:rPr/>
        <w:t>除上述承诺事项外，截止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日，本公司无其他需要披露的重要承诺事项。</w:t>
      </w:r>
      <w:r>
        <w:rPr>
          <w:b w:val="0"/>
          <w:bCs w:val="0"/>
        </w:rPr>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b/>
          <w:bCs/>
          <w:sz w:val="24"/>
          <w:szCs w:val="24"/>
        </w:rPr>
      </w:pPr>
    </w:p>
    <w:p>
      <w:pPr>
        <w:pStyle w:val="Heading6"/>
        <w:spacing w:line="240" w:lineRule="auto" w:before="35"/>
        <w:ind w:right="0"/>
        <w:jc w:val="left"/>
        <w:rPr>
          <w:b w:val="0"/>
          <w:bCs w:val="0"/>
        </w:rPr>
      </w:pPr>
      <w:bookmarkStart w:name="2、或有事项" w:id="473"/>
      <w:bookmarkEnd w:id="473"/>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资产负债表日存在的重要或有事项" w:id="474"/>
      <w:bookmarkEnd w:id="474"/>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pPr>
      <w:r>
        <w:rPr>
          <w:rFonts w:ascii="Times New Roman" w:hAnsi="Times New Roman" w:cs="Times New Roman" w:eastAsia="Times New Roman" w:hint="default"/>
        </w:rPr>
        <w:t>1</w:t>
      </w:r>
      <w:r>
        <w:rPr/>
        <w:t>、本公司为子公司光典信息发展有限公司的银行借款提供担保金额为</w:t>
      </w:r>
      <w:r>
        <w:rPr>
          <w:rFonts w:ascii="Times New Roman" w:hAnsi="Times New Roman" w:cs="Times New Roman" w:eastAsia="Times New Roman" w:hint="default"/>
        </w:rPr>
        <w:t>1,500.00</w:t>
      </w:r>
      <w:r>
        <w:rPr/>
        <w:t>万元。</w:t>
      </w:r>
    </w:p>
    <w:p>
      <w:pPr>
        <w:pStyle w:val="Heading7"/>
        <w:spacing w:line="240" w:lineRule="auto" w:before="21"/>
        <w:ind w:right="0"/>
        <w:jc w:val="left"/>
      </w:pPr>
      <w:r>
        <w:rPr>
          <w:rFonts w:ascii="Times New Roman" w:hAnsi="Times New Roman" w:cs="Times New Roman" w:eastAsia="Times New Roman" w:hint="default"/>
        </w:rPr>
        <w:t>2</w:t>
      </w:r>
      <w:r>
        <w:rPr/>
        <w:t>、截止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日，本公司无其他需要披露的或有事项。</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6"/>
        <w:spacing w:line="240" w:lineRule="auto"/>
        <w:ind w:left="1134" w:right="0"/>
        <w:jc w:val="left"/>
        <w:rPr>
          <w:b w:val="0"/>
          <w:bCs w:val="0"/>
        </w:rPr>
      </w:pPr>
      <w:bookmarkStart w:name="（2）公司没有需要披露的重要或有事项，也应予以说明" w:id="475"/>
      <w:bookmarkEnd w:id="475"/>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0"/>
        <w:jc w:val="left"/>
      </w:pPr>
      <w:r>
        <w:rPr/>
        <w:t>公司不存在需要披露的重要或有事项。</w:t>
      </w:r>
    </w:p>
    <w:p>
      <w:pPr>
        <w:spacing w:line="240" w:lineRule="auto" w:before="11"/>
        <w:rPr>
          <w:rFonts w:ascii="宋体" w:hAnsi="宋体" w:cs="宋体" w:eastAsia="宋体" w:hint="default"/>
          <w:sz w:val="26"/>
          <w:szCs w:val="26"/>
        </w:rPr>
      </w:pPr>
    </w:p>
    <w:p>
      <w:pPr>
        <w:spacing w:line="487" w:lineRule="auto" w:before="0"/>
        <w:ind w:left="1134" w:right="7693" w:firstLine="0"/>
        <w:jc w:val="left"/>
        <w:rPr>
          <w:rFonts w:ascii="宋体" w:hAnsi="宋体" w:cs="宋体" w:eastAsia="宋体" w:hint="default"/>
          <w:sz w:val="21"/>
          <w:szCs w:val="21"/>
        </w:rPr>
      </w:pPr>
      <w:bookmarkStart w:name="3、其他" w:id="476"/>
      <w:bookmarkEnd w:id="47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77"/>
      <w:bookmarkEnd w:id="477"/>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78"/>
      <w:bookmarkEnd w:id="478"/>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6"/>
        <w:spacing w:line="240" w:lineRule="auto" w:before="35"/>
        <w:ind w:left="1134" w:right="0"/>
        <w:jc w:val="left"/>
        <w:rPr>
          <w:b w:val="0"/>
          <w:bCs w:val="0"/>
        </w:rPr>
      </w:pPr>
      <w:bookmarkStart w:name="2、利润分配情况" w:id="479"/>
      <w:bookmarkEnd w:id="479"/>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13,360,000.00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13,360,000.00</w:t>
            </w:r>
          </w:p>
        </w:tc>
      </w:tr>
    </w:tbl>
    <w:p>
      <w:pPr>
        <w:spacing w:line="240" w:lineRule="auto" w:before="2"/>
        <w:rPr>
          <w:rFonts w:ascii="宋体" w:hAnsi="宋体" w:cs="宋体" w:eastAsia="宋体" w:hint="default"/>
          <w:sz w:val="19"/>
          <w:szCs w:val="19"/>
        </w:rPr>
      </w:pPr>
    </w:p>
    <w:p>
      <w:pPr>
        <w:pStyle w:val="Heading6"/>
        <w:spacing w:line="240" w:lineRule="auto" w:before="35"/>
        <w:ind w:left="1134" w:right="0"/>
        <w:jc w:val="left"/>
        <w:rPr>
          <w:b w:val="0"/>
          <w:bCs w:val="0"/>
        </w:rPr>
      </w:pPr>
      <w:bookmarkStart w:name="3、销售退回" w:id="480"/>
      <w:bookmarkEnd w:id="480"/>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0"/>
        <w:jc w:val="left"/>
        <w:rPr>
          <w:b w:val="0"/>
          <w:bCs w:val="0"/>
        </w:rPr>
      </w:pPr>
      <w:bookmarkStart w:name="4、其他资产负债表日后事项说明" w:id="481"/>
      <w:bookmarkEnd w:id="481"/>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4"/>
          <w:szCs w:val="24"/>
        </w:rPr>
      </w:pPr>
    </w:p>
    <w:p>
      <w:pPr>
        <w:pStyle w:val="Heading7"/>
        <w:spacing w:line="256" w:lineRule="auto"/>
        <w:ind w:right="0"/>
        <w:jc w:val="left"/>
      </w:pPr>
      <w:r>
        <w:rPr>
          <w:rFonts w:ascii="Times New Roman" w:hAnsi="Times New Roman" w:cs="Times New Roman" w:eastAsia="Times New Roman" w:hint="default"/>
        </w:rPr>
        <w:t>1</w:t>
      </w:r>
      <w:r>
        <w:rPr/>
        <w:t>、利润分配预案 本公司</w:t>
      </w:r>
      <w:r>
        <w:rPr>
          <w:rFonts w:ascii="Times New Roman" w:hAnsi="Times New Roman" w:cs="Times New Roman" w:eastAsia="Times New Roman" w:hint="default"/>
        </w:rPr>
        <w:t>2015</w:t>
      </w:r>
      <w:r>
        <w:rPr/>
        <w:t>年度利润分配预案已经本公司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日召开的第三届董事会第七次会议决议，拟按照本</w:t>
      </w:r>
      <w:r>
        <w:rPr>
          <w:spacing w:val="-34"/>
        </w:rPr>
        <w:t> </w:t>
      </w:r>
      <w:r>
        <w:rPr>
          <w:spacing w:val="-34"/>
        </w:rPr>
      </w:r>
      <w:r>
        <w:rPr/>
        <w:t>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6,680</w:t>
      </w:r>
      <w:r>
        <w:rPr/>
        <w:t>万股为基数，向全体股东每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2</w:t>
      </w:r>
      <w:r>
        <w:rPr/>
        <w:t>元（含税）。上述利润分</w:t>
      </w:r>
      <w:r>
        <w:rPr>
          <w:spacing w:val="-83"/>
        </w:rPr>
        <w:t> </w:t>
      </w:r>
      <w:r>
        <w:rPr>
          <w:spacing w:val="-83"/>
        </w:rPr>
      </w:r>
      <w:r>
        <w:rPr/>
        <w:t>配方案，尚需提交公司股东大会审议。</w:t>
      </w:r>
    </w:p>
    <w:p>
      <w:pPr>
        <w:spacing w:line="240" w:lineRule="auto" w:before="7"/>
        <w:rPr>
          <w:rFonts w:ascii="宋体" w:hAnsi="宋体" w:cs="宋体" w:eastAsia="宋体" w:hint="default"/>
          <w:sz w:val="25"/>
          <w:szCs w:val="25"/>
        </w:rPr>
      </w:pPr>
    </w:p>
    <w:p>
      <w:pPr>
        <w:pStyle w:val="Heading7"/>
        <w:spacing w:line="240" w:lineRule="auto"/>
        <w:ind w:right="0"/>
        <w:jc w:val="left"/>
      </w:pPr>
      <w:r>
        <w:rPr>
          <w:rFonts w:ascii="Times New Roman" w:hAnsi="Times New Roman" w:cs="Times New Roman" w:eastAsia="Times New Roman" w:hint="default"/>
        </w:rPr>
        <w:t>2</w:t>
      </w:r>
      <w:r>
        <w:rPr/>
        <w:t>、截止财务报告日，除上述期后事项外，本公司无其他需要披露的重大日后事项。</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4"/>
        <w:spacing w:line="240" w:lineRule="auto" w:before="26"/>
        <w:ind w:right="0"/>
        <w:jc w:val="left"/>
        <w:rPr>
          <w:b w:val="0"/>
          <w:bCs w:val="0"/>
        </w:rPr>
      </w:pPr>
      <w:bookmarkStart w:name="十六、其他重要事项" w:id="482"/>
      <w:bookmarkEnd w:id="482"/>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前期会计差错更正" w:id="483"/>
      <w:bookmarkEnd w:id="483"/>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追溯重述法" w:id="484"/>
      <w:bookmarkEnd w:id="484"/>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6"/>
        <w:spacing w:line="240" w:lineRule="auto" w:before="35"/>
        <w:ind w:left="1134" w:right="0"/>
        <w:jc w:val="left"/>
        <w:rPr>
          <w:b w:val="0"/>
          <w:bCs w:val="0"/>
        </w:rPr>
      </w:pPr>
      <w:bookmarkStart w:name="（2）未来适用法" w:id="485"/>
      <w:bookmarkEnd w:id="485"/>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2"/>
        <w:rPr>
          <w:rFonts w:ascii="宋体" w:hAnsi="宋体" w:cs="宋体" w:eastAsia="宋体" w:hint="default"/>
          <w:b/>
          <w:bCs/>
          <w:sz w:val="19"/>
          <w:szCs w:val="19"/>
        </w:rPr>
      </w:pPr>
    </w:p>
    <w:p>
      <w:pPr>
        <w:pStyle w:val="Heading6"/>
        <w:spacing w:line="240" w:lineRule="auto" w:before="35"/>
        <w:ind w:left="1134" w:right="0"/>
        <w:jc w:val="left"/>
        <w:rPr>
          <w:b w:val="0"/>
          <w:bCs w:val="0"/>
        </w:rPr>
      </w:pPr>
      <w:bookmarkStart w:name="2、债务重组" w:id="486"/>
      <w:bookmarkEnd w:id="486"/>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0"/>
        <w:jc w:val="left"/>
        <w:rPr>
          <w:b w:val="0"/>
          <w:bCs w:val="0"/>
        </w:rPr>
      </w:pPr>
      <w:bookmarkStart w:name="3、资产置换" w:id="487"/>
      <w:bookmarkEnd w:id="487"/>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0"/>
        <w:jc w:val="left"/>
        <w:rPr>
          <w:b w:val="0"/>
          <w:bCs w:val="0"/>
        </w:rPr>
      </w:pPr>
      <w:bookmarkStart w:name="（1）非货币性资产交换" w:id="488"/>
      <w:bookmarkEnd w:id="488"/>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134" w:right="0"/>
        <w:jc w:val="left"/>
        <w:rPr>
          <w:b w:val="0"/>
          <w:bCs w:val="0"/>
        </w:rPr>
      </w:pPr>
      <w:bookmarkStart w:name="（2）其他资产置换" w:id="489"/>
      <w:bookmarkEnd w:id="489"/>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134" w:right="0"/>
        <w:jc w:val="left"/>
        <w:rPr>
          <w:b w:val="0"/>
          <w:bCs w:val="0"/>
        </w:rPr>
      </w:pPr>
      <w:bookmarkStart w:name="4、年金计划" w:id="490"/>
      <w:bookmarkEnd w:id="490"/>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0"/>
        <w:jc w:val="left"/>
        <w:rPr>
          <w:b w:val="0"/>
          <w:bCs w:val="0"/>
        </w:rPr>
      </w:pPr>
      <w:bookmarkStart w:name="5、终止经营" w:id="491"/>
      <w:bookmarkEnd w:id="491"/>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6、分部信息" w:id="492"/>
      <w:bookmarkEnd w:id="492"/>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134" w:right="0"/>
        <w:jc w:val="left"/>
        <w:rPr>
          <w:b w:val="0"/>
          <w:bCs w:val="0"/>
        </w:rPr>
      </w:pPr>
      <w:bookmarkStart w:name="（1）报告分部的确定依据与会计政策" w:id="493"/>
      <w:bookmarkEnd w:id="493"/>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0"/>
        <w:jc w:val="left"/>
        <w:rPr>
          <w:b w:val="0"/>
          <w:bCs w:val="0"/>
        </w:rPr>
      </w:pPr>
      <w:bookmarkStart w:name="（2）报告分部的财务信息" w:id="494"/>
      <w:bookmarkEnd w:id="494"/>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04"/>
        <w:gridCol w:w="2381"/>
        <w:gridCol w:w="2392"/>
        <w:gridCol w:w="2392"/>
      </w:tblGrid>
      <w:tr>
        <w:trPr>
          <w:trHeight w:val="404" w:hRule="exact"/>
        </w:trPr>
        <w:tc>
          <w:tcPr>
            <w:tcW w:w="240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3）公司无报告分部的，或者不能披露各报告分部的资产总额和负债总额的，应说明原因" w:id="495"/>
      <w:bookmarkEnd w:id="495"/>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4）其他说明" w:id="496"/>
      <w:bookmarkEnd w:id="496"/>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7、其他对投资者决策有影响的重要交易和事项" w:id="497"/>
      <w:bookmarkEnd w:id="497"/>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spacing w:line="506" w:lineRule="auto" w:before="0"/>
        <w:ind w:left="1133" w:right="6793" w:firstLine="0"/>
        <w:jc w:val="left"/>
        <w:rPr>
          <w:rFonts w:ascii="宋体" w:hAnsi="宋体" w:cs="宋体" w:eastAsia="宋体" w:hint="default"/>
          <w:sz w:val="21"/>
          <w:szCs w:val="21"/>
        </w:rPr>
      </w:pPr>
      <w:bookmarkStart w:name="8、其他" w:id="498"/>
      <w:bookmarkEnd w:id="498"/>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sz w:val="21"/>
          <w:szCs w:val="21"/>
        </w:rPr>
        <w:t>本期未发生前期会计差错更正事项。</w:t>
      </w:r>
    </w:p>
    <w:p>
      <w:pPr>
        <w:spacing w:line="240" w:lineRule="auto" w:before="0"/>
        <w:rPr>
          <w:rFonts w:ascii="宋体" w:hAnsi="宋体" w:cs="宋体" w:eastAsia="宋体" w:hint="default"/>
          <w:sz w:val="20"/>
          <w:szCs w:val="20"/>
        </w:rPr>
      </w:pPr>
    </w:p>
    <w:p>
      <w:pPr>
        <w:pStyle w:val="Heading4"/>
        <w:spacing w:line="240" w:lineRule="auto" w:before="132"/>
        <w:ind w:right="0"/>
        <w:jc w:val="left"/>
        <w:rPr>
          <w:b w:val="0"/>
          <w:bCs w:val="0"/>
        </w:rPr>
      </w:pPr>
      <w:bookmarkStart w:name="十七、母公司财务报表主要项目注释" w:id="499"/>
      <w:bookmarkEnd w:id="499"/>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应收账款" w:id="500"/>
      <w:bookmarkEnd w:id="500"/>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应收账款分类披露" w:id="501"/>
      <w:bookmarkEnd w:id="501"/>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206,921,</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790.25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18,664,8</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85.75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9.02%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188,256,9</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04.50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121,951</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,168.31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10,067,97</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3.90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8.26%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111,883,19</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4.41</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206,921,</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790.25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18,664,8</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85.75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9.02%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188,256,9</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04.50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121,951</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,168.31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10,067,97</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3.90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8.26%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111,883,19</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4.41</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145,320,652.53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7,266,032.63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46,599,407.79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4,659,940.78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7,220,295.62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2,166,088.69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5,803,030.22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2,901,515.11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1,023,651.82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716,556.27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954,752.27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954,752.27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206,921,790.25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18,664,885.75</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134" w:right="6432"/>
        <w:jc w:val="left"/>
      </w:pPr>
      <w:r>
        <w:rPr/>
        <w:t>确定该组合依据的说明： 组合中，采用余额百分比法计提坏账准备的应收账款：</w:t>
      </w:r>
    </w:p>
    <w:p>
      <w:pPr>
        <w:pStyle w:val="BodyText"/>
        <w:spacing w:line="340" w:lineRule="auto" w:before="2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2"/>
        <w:rPr>
          <w:rFonts w:ascii="宋体" w:hAnsi="宋体" w:cs="宋体" w:eastAsia="宋体" w:hint="default"/>
          <w:sz w:val="20"/>
          <w:szCs w:val="20"/>
        </w:rPr>
      </w:pPr>
    </w:p>
    <w:p>
      <w:pPr>
        <w:pStyle w:val="Heading6"/>
        <w:spacing w:line="240" w:lineRule="auto"/>
        <w:ind w:right="0"/>
        <w:jc w:val="left"/>
        <w:rPr>
          <w:b w:val="0"/>
          <w:bCs w:val="0"/>
        </w:rPr>
      </w:pPr>
      <w:bookmarkStart w:name="（2）本期计提、收回或转回的坏账准备情况" w:id="502"/>
      <w:bookmarkEnd w:id="50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38" w:lineRule="auto"/>
        <w:ind w:right="-11"/>
        <w:jc w:val="left"/>
      </w:pPr>
      <w:r>
        <w:rPr/>
        <w:t>本期计提坏账准备金额</w:t>
      </w:r>
      <w:r>
        <w:rPr>
          <w:spacing w:val="-49"/>
        </w:rPr>
        <w:t> </w:t>
      </w:r>
      <w:r>
        <w:rPr>
          <w:rFonts w:ascii="Times New Roman" w:hAnsi="Times New Roman" w:cs="Times New Roman" w:eastAsia="Times New Roman" w:hint="default"/>
        </w:rPr>
        <w:t>8,596,911.85</w:t>
      </w:r>
      <w:r>
        <w:rPr>
          <w:rFonts w:ascii="Times New Roman" w:hAnsi="Times New Roman" w:cs="Times New Roman" w:eastAsia="Times New Roman" w:hint="default"/>
          <w:spacing w:val="-4"/>
        </w:rPr>
        <w:t> </w:t>
      </w:r>
      <w:r>
        <w:rPr/>
        <w:t>元；本期收回或转回坏账准备金额</w:t>
      </w:r>
      <w:r>
        <w:rPr>
          <w:spacing w:val="-49"/>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7427" w:space="1403"/>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6"/>
        <w:spacing w:line="240" w:lineRule="auto" w:before="35"/>
        <w:ind w:left="1134" w:right="0"/>
        <w:jc w:val="left"/>
        <w:rPr>
          <w:b w:val="0"/>
          <w:bCs w:val="0"/>
        </w:rPr>
      </w:pPr>
      <w:bookmarkStart w:name="（3）本期实际核销的应收账款情况" w:id="503"/>
      <w:bookmarkEnd w:id="503"/>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left="1134" w:right="0"/>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134" w:right="0"/>
        <w:jc w:val="left"/>
      </w:pPr>
      <w:r>
        <w:rPr/>
        <w:t>应收账款核销说明：</w:t>
      </w:r>
    </w:p>
    <w:p>
      <w:pPr>
        <w:spacing w:line="240" w:lineRule="auto" w:before="11"/>
        <w:rPr>
          <w:rFonts w:ascii="宋体" w:hAnsi="宋体" w:cs="宋体" w:eastAsia="宋体" w:hint="default"/>
          <w:sz w:val="26"/>
          <w:szCs w:val="26"/>
        </w:rPr>
      </w:pPr>
    </w:p>
    <w:p>
      <w:pPr>
        <w:pStyle w:val="Heading6"/>
        <w:spacing w:line="240" w:lineRule="auto"/>
        <w:ind w:left="1134" w:right="0"/>
        <w:jc w:val="left"/>
        <w:rPr>
          <w:b w:val="0"/>
          <w:bCs w:val="0"/>
        </w:rPr>
      </w:pPr>
      <w:bookmarkStart w:name="（4）按欠款方归集的期末余额前五名的应收账款情况" w:id="504"/>
      <w:bookmarkEnd w:id="504"/>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6" w:type="dxa"/>
        <w:tblLayout w:type="fixed"/>
        <w:tblCellMar>
          <w:top w:w="0" w:type="dxa"/>
          <w:left w:w="0" w:type="dxa"/>
          <w:bottom w:w="0" w:type="dxa"/>
          <w:right w:w="0" w:type="dxa"/>
        </w:tblCellMar>
        <w:tblLook w:val="01E0"/>
      </w:tblPr>
      <w:tblGrid>
        <w:gridCol w:w="2694"/>
        <w:gridCol w:w="2080"/>
        <w:gridCol w:w="2078"/>
        <w:gridCol w:w="2080"/>
      </w:tblGrid>
      <w:tr>
        <w:trPr>
          <w:trHeight w:val="355" w:hRule="exact"/>
        </w:trPr>
        <w:tc>
          <w:tcPr>
            <w:tcW w:w="2694" w:type="dxa"/>
            <w:vMerge w:val="restart"/>
            <w:tcBorders>
              <w:top w:val="single" w:sz="6" w:space="0" w:color="000000"/>
              <w:left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6238"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7"/>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64" w:hRule="exact"/>
        </w:trPr>
        <w:tc>
          <w:tcPr>
            <w:tcW w:w="2694" w:type="dxa"/>
            <w:vMerge/>
            <w:tcBorders>
              <w:left w:val="single" w:sz="6" w:space="0" w:color="000000"/>
              <w:bottom w:val="single" w:sz="12" w:space="0" w:color="000000"/>
              <w:right w:val="single" w:sz="6" w:space="0" w:color="000000"/>
            </w:tcBorders>
          </w:tcPr>
          <w:p>
            <w:pPr/>
          </w:p>
        </w:tc>
        <w:tc>
          <w:tcPr>
            <w:tcW w:w="20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6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占应收账款合计数的比例</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8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67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2" w:hRule="exact"/>
        </w:trPr>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0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19,598,030.00</w:t>
            </w:r>
          </w:p>
        </w:tc>
        <w:tc>
          <w:tcPr>
            <w:tcW w:w="2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9.47</w:t>
            </w:r>
          </w:p>
        </w:tc>
        <w:tc>
          <w:tcPr>
            <w:tcW w:w="208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979,901.50</w:t>
            </w:r>
          </w:p>
        </w:tc>
      </w:tr>
      <w:tr>
        <w:trPr>
          <w:trHeight w:val="353" w:hRule="exact"/>
        </w:trPr>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0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17,631,000.00</w:t>
            </w:r>
          </w:p>
        </w:tc>
        <w:tc>
          <w:tcPr>
            <w:tcW w:w="2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8.52</w:t>
            </w:r>
          </w:p>
        </w:tc>
        <w:tc>
          <w:tcPr>
            <w:tcW w:w="208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881,550.00</w:t>
            </w:r>
          </w:p>
        </w:tc>
      </w:tr>
      <w:tr>
        <w:trPr>
          <w:trHeight w:val="352" w:hRule="exact"/>
        </w:trPr>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0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10,726,088.04</w:t>
            </w:r>
          </w:p>
        </w:tc>
        <w:tc>
          <w:tcPr>
            <w:tcW w:w="2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5.18</w:t>
            </w:r>
          </w:p>
        </w:tc>
        <w:tc>
          <w:tcPr>
            <w:tcW w:w="208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1,072,608.80</w:t>
            </w:r>
          </w:p>
        </w:tc>
      </w:tr>
      <w:tr>
        <w:trPr>
          <w:trHeight w:val="352" w:hRule="exact"/>
        </w:trPr>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0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9,388,866.00</w:t>
            </w:r>
          </w:p>
        </w:tc>
        <w:tc>
          <w:tcPr>
            <w:tcW w:w="2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4.54</w:t>
            </w:r>
          </w:p>
        </w:tc>
        <w:tc>
          <w:tcPr>
            <w:tcW w:w="208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938,886.60</w:t>
            </w:r>
          </w:p>
        </w:tc>
      </w:tr>
      <w:tr>
        <w:trPr>
          <w:trHeight w:val="353" w:hRule="exact"/>
        </w:trPr>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0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8,090,000.00</w:t>
            </w:r>
          </w:p>
        </w:tc>
        <w:tc>
          <w:tcPr>
            <w:tcW w:w="2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3.91</w:t>
            </w:r>
          </w:p>
        </w:tc>
        <w:tc>
          <w:tcPr>
            <w:tcW w:w="208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404,500.00</w:t>
            </w:r>
          </w:p>
        </w:tc>
      </w:tr>
      <w:tr>
        <w:trPr>
          <w:trHeight w:val="352" w:hRule="exact"/>
        </w:trPr>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65,433,984.04</w:t>
            </w:r>
          </w:p>
        </w:tc>
        <w:tc>
          <w:tcPr>
            <w:tcW w:w="2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31.62</w:t>
            </w:r>
          </w:p>
        </w:tc>
        <w:tc>
          <w:tcPr>
            <w:tcW w:w="208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4,277,446.90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10"/>
        <w:rPr>
          <w:rFonts w:ascii="宋体" w:hAnsi="宋体" w:cs="宋体" w:eastAsia="宋体" w:hint="default"/>
          <w:b/>
          <w:bCs/>
          <w:sz w:val="24"/>
          <w:szCs w:val="24"/>
        </w:rPr>
      </w:pPr>
    </w:p>
    <w:p>
      <w:pPr>
        <w:pStyle w:val="Heading6"/>
        <w:spacing w:line="240" w:lineRule="auto" w:before="35"/>
        <w:ind w:right="0"/>
        <w:jc w:val="left"/>
        <w:rPr>
          <w:b w:val="0"/>
          <w:bCs w:val="0"/>
        </w:rPr>
      </w:pPr>
      <w:bookmarkStart w:name="（5）因金融资产转移而终止确认的应收账款" w:id="505"/>
      <w:bookmarkEnd w:id="505"/>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6）转移应收账款且继续涉入形成的资产、负债金额" w:id="506"/>
      <w:bookmarkEnd w:id="506"/>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2、其他应收款" w:id="507"/>
      <w:bookmarkEnd w:id="507"/>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其他应收款分类披露" w:id="508"/>
      <w:bookmarkEnd w:id="508"/>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42,652,5</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37.16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6,054,01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14.19%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36,598,52</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1.93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30,386,</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891.37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3,834,517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12.62%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26,552,374.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42,652,5</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37.16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6,054,01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5.23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14.19%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36,598,52</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1.93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30,386,</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891.37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3,834,517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12.62%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26,552,374.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25,090,666.01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1,254,533.30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8,475,090.70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847,509.07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5,756,214.10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1,726,864.23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1,816,165.85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908,082.93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657,916.00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460,541.20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856,484.50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856,484.50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42,652,537.16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6,054,015.23</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134" w:right="6252"/>
        <w:jc w:val="left"/>
      </w:pPr>
      <w:r>
        <w:rPr/>
        <w:t>确定该组合依据的说明： 组合中，采用余额百分比法计提坏账准备的其他应收款：</w:t>
      </w:r>
    </w:p>
    <w:p>
      <w:pPr>
        <w:pStyle w:val="BodyText"/>
        <w:spacing w:line="340"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spacing w:after="0" w:line="340" w:lineRule="auto"/>
        <w:jc w:val="left"/>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2）本期计提、收回或转回的坏账准备情况" w:id="509"/>
      <w:bookmarkEnd w:id="50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38" w:lineRule="auto"/>
        <w:ind w:right="-12"/>
        <w:jc w:val="left"/>
      </w:pPr>
      <w:r>
        <w:rPr/>
        <w:t>本期计提坏账准备金额</w:t>
      </w:r>
      <w:r>
        <w:rPr>
          <w:spacing w:val="-47"/>
        </w:rPr>
        <w:t> </w:t>
      </w:r>
      <w:r>
        <w:rPr>
          <w:rFonts w:ascii="Times New Roman" w:hAnsi="Times New Roman" w:cs="Times New Roman" w:eastAsia="Times New Roman" w:hint="default"/>
        </w:rPr>
        <w:t>2,219,497.86</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7434" w:space="1395"/>
            <w:col w:w="308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6"/>
        <w:spacing w:line="240" w:lineRule="auto" w:before="35"/>
        <w:ind w:left="1134" w:right="0"/>
        <w:jc w:val="left"/>
        <w:rPr>
          <w:b w:val="0"/>
          <w:bCs w:val="0"/>
        </w:rPr>
      </w:pPr>
      <w:bookmarkStart w:name="（3）本期实际核销的其他应收款情况" w:id="510"/>
      <w:bookmarkEnd w:id="510"/>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134" w:right="0"/>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134" w:right="0"/>
        <w:jc w:val="left"/>
      </w:pPr>
      <w:r>
        <w:rPr/>
        <w:t>其他应收款核销说明：</w:t>
      </w:r>
    </w:p>
    <w:p>
      <w:pPr>
        <w:spacing w:line="240" w:lineRule="auto" w:before="11"/>
        <w:rPr>
          <w:rFonts w:ascii="宋体" w:hAnsi="宋体" w:cs="宋体" w:eastAsia="宋体" w:hint="default"/>
          <w:sz w:val="26"/>
          <w:szCs w:val="26"/>
        </w:rPr>
      </w:pPr>
    </w:p>
    <w:p>
      <w:pPr>
        <w:pStyle w:val="Heading6"/>
        <w:spacing w:line="240" w:lineRule="auto"/>
        <w:ind w:left="1134" w:right="0"/>
        <w:jc w:val="left"/>
        <w:rPr>
          <w:b w:val="0"/>
          <w:bCs w:val="0"/>
        </w:rPr>
      </w:pPr>
      <w:bookmarkStart w:name="（4）其他应收款按款项性质分类情况" w:id="511"/>
      <w:bookmarkEnd w:id="511"/>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36,973,834.90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26,556,256.10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4,692,605.76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3,184,657.77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805,764.60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645,977.50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180,331.90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42,652,537.16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30,386,891.37</w:t>
            </w:r>
          </w:p>
        </w:tc>
      </w:tr>
    </w:tbl>
    <w:p>
      <w:pPr>
        <w:spacing w:line="240" w:lineRule="auto" w:before="2"/>
        <w:rPr>
          <w:rFonts w:ascii="宋体" w:hAnsi="宋体" w:cs="宋体" w:eastAsia="宋体" w:hint="default"/>
          <w:sz w:val="19"/>
          <w:szCs w:val="19"/>
        </w:rPr>
      </w:pPr>
    </w:p>
    <w:p>
      <w:pPr>
        <w:pStyle w:val="Heading6"/>
        <w:spacing w:line="240" w:lineRule="auto" w:before="35"/>
        <w:ind w:left="1134" w:right="0"/>
        <w:jc w:val="left"/>
        <w:rPr>
          <w:b w:val="0"/>
          <w:bCs w:val="0"/>
        </w:rPr>
      </w:pPr>
      <w:bookmarkStart w:name="（5）按欠款方归集的期末余额前五名的其他应收款情况" w:id="512"/>
      <w:bookmarkEnd w:id="512"/>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1,854,548.00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174,266.40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1,355,577.80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135,557.78</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1,221,670.00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74,917.00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1,147,237.20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413,064.43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85"/>
        <w:gridCol w:w="1551"/>
        <w:gridCol w:w="1552"/>
        <w:gridCol w:w="1552"/>
        <w:gridCol w:w="1615"/>
        <w:gridCol w:w="1615"/>
      </w:tblGrid>
      <w:tr>
        <w:trPr>
          <w:trHeight w:val="402"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0" w:right="0"/>
              <w:jc w:val="left"/>
              <w:rPr>
                <w:rFonts w:ascii="Times New Roman" w:hAnsi="Times New Roman" w:cs="Times New Roman" w:eastAsia="Times New Roman" w:hint="default"/>
                <w:sz w:val="18"/>
                <w:szCs w:val="18"/>
              </w:rPr>
            </w:pPr>
            <w:r>
              <w:rPr>
                <w:rFonts w:ascii="Times New Roman"/>
                <w:sz w:val="18"/>
              </w:rPr>
              <w:t>11,079,033.00</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8" w:right="0"/>
              <w:jc w:val="left"/>
              <w:rPr>
                <w:rFonts w:ascii="Times New Roman" w:hAnsi="Times New Roman" w:cs="Times New Roman" w:eastAsia="Times New Roman" w:hint="default"/>
                <w:sz w:val="18"/>
                <w:szCs w:val="18"/>
              </w:rPr>
            </w:pPr>
            <w:r>
              <w:rPr>
                <w:rFonts w:ascii="Times New Roman"/>
                <w:sz w:val="18"/>
              </w:rPr>
              <w:t>25.98%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8" w:right="0"/>
              <w:jc w:val="left"/>
              <w:rPr>
                <w:rFonts w:ascii="Times New Roman" w:hAnsi="Times New Roman" w:cs="Times New Roman" w:eastAsia="Times New Roman" w:hint="default"/>
                <w:sz w:val="18"/>
                <w:szCs w:val="18"/>
              </w:rPr>
            </w:pPr>
            <w:r>
              <w:rPr>
                <w:rFonts w:ascii="Times New Roman"/>
                <w:sz w:val="18"/>
              </w:rPr>
              <w:t>1,072,805.61</w:t>
            </w:r>
          </w:p>
        </w:tc>
      </w:tr>
    </w:tbl>
    <w:p>
      <w:pPr>
        <w:spacing w:line="240" w:lineRule="auto" w:before="2"/>
        <w:rPr>
          <w:rFonts w:ascii="宋体" w:hAnsi="宋体" w:cs="宋体" w:eastAsia="宋体" w:hint="default"/>
          <w:sz w:val="19"/>
          <w:szCs w:val="19"/>
        </w:rPr>
      </w:pPr>
    </w:p>
    <w:p>
      <w:pPr>
        <w:pStyle w:val="Heading6"/>
        <w:spacing w:line="240" w:lineRule="auto" w:before="35"/>
        <w:ind w:left="1134" w:right="0"/>
        <w:jc w:val="left"/>
        <w:rPr>
          <w:b w:val="0"/>
          <w:bCs w:val="0"/>
        </w:rPr>
      </w:pPr>
      <w:bookmarkStart w:name="（6）涉及政府补助的应收款项" w:id="513"/>
      <w:bookmarkEnd w:id="513"/>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2"/>
        <w:rPr>
          <w:rFonts w:ascii="宋体" w:hAnsi="宋体" w:cs="宋体" w:eastAsia="宋体" w:hint="default"/>
          <w:sz w:val="19"/>
          <w:szCs w:val="19"/>
        </w:rPr>
      </w:pPr>
    </w:p>
    <w:p>
      <w:pPr>
        <w:pStyle w:val="Heading6"/>
        <w:spacing w:line="240" w:lineRule="auto" w:before="35"/>
        <w:ind w:left="1134" w:right="0"/>
        <w:jc w:val="left"/>
        <w:rPr>
          <w:b w:val="0"/>
          <w:bCs w:val="0"/>
        </w:rPr>
      </w:pPr>
      <w:bookmarkStart w:name="（7）因金融资产转移而终止确认的其他应收款" w:id="514"/>
      <w:bookmarkEnd w:id="514"/>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0"/>
        <w:jc w:val="left"/>
        <w:rPr>
          <w:b w:val="0"/>
          <w:bCs w:val="0"/>
        </w:rPr>
      </w:pPr>
      <w:bookmarkStart w:name="（8）转移其他应收款且继续涉入形成的资产、负债金额" w:id="515"/>
      <w:bookmarkEnd w:id="515"/>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3、长期股权投资" w:id="516"/>
      <w:bookmarkEnd w:id="516"/>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5"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104,100,000.00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104,100,000.00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104,100,000.00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104,100,000.00</w:t>
            </w:r>
          </w:p>
        </w:tc>
      </w:tr>
    </w:tbl>
    <w:p>
      <w:pPr>
        <w:spacing w:line="240" w:lineRule="auto" w:before="2"/>
        <w:rPr>
          <w:rFonts w:ascii="宋体" w:hAnsi="宋体" w:cs="宋体" w:eastAsia="宋体" w:hint="default"/>
          <w:sz w:val="19"/>
          <w:szCs w:val="19"/>
        </w:rPr>
      </w:pPr>
    </w:p>
    <w:p>
      <w:pPr>
        <w:pStyle w:val="Heading6"/>
        <w:spacing w:line="240" w:lineRule="auto" w:before="35"/>
        <w:ind w:left="1134" w:right="0"/>
        <w:jc w:val="left"/>
        <w:rPr>
          <w:b w:val="0"/>
          <w:bCs w:val="0"/>
        </w:rPr>
      </w:pPr>
      <w:bookmarkStart w:name="（1）对子公司投资" w:id="517"/>
      <w:bookmarkEnd w:id="517"/>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上海金档信息技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光典信息发展有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89,100,000.00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89,100,000.00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104,100,000.00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104,100,000.00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left="1134" w:right="0"/>
        <w:jc w:val="left"/>
        <w:rPr>
          <w:b w:val="0"/>
          <w:bCs w:val="0"/>
        </w:rPr>
      </w:pPr>
      <w:bookmarkStart w:name="（2）对联营、合营企业投资" w:id="518"/>
      <w:bookmarkEnd w:id="518"/>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9574"/>
      </w:tblGrid>
      <w:tr>
        <w:trPr>
          <w:trHeight w:val="402" w:hRule="exact"/>
        </w:trPr>
        <w:tc>
          <w:tcPr>
            <w:tcW w:w="9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2"/>
        <w:rPr>
          <w:rFonts w:ascii="宋体" w:hAnsi="宋体" w:cs="宋体" w:eastAsia="宋体" w:hint="default"/>
          <w:sz w:val="19"/>
          <w:szCs w:val="19"/>
        </w:rPr>
      </w:pPr>
    </w:p>
    <w:p>
      <w:pPr>
        <w:pStyle w:val="Heading6"/>
        <w:spacing w:line="240" w:lineRule="auto" w:before="35"/>
        <w:ind w:left="1134" w:right="0"/>
        <w:jc w:val="left"/>
        <w:rPr>
          <w:b w:val="0"/>
          <w:bCs w:val="0"/>
        </w:rPr>
      </w:pPr>
      <w:bookmarkStart w:name="（3）其他说明" w:id="519"/>
      <w:bookmarkEnd w:id="519"/>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134" w:right="0"/>
        <w:jc w:val="left"/>
        <w:rPr>
          <w:b w:val="0"/>
          <w:bCs w:val="0"/>
        </w:rPr>
      </w:pPr>
      <w:bookmarkStart w:name="4、营业收入和营业成本" w:id="520"/>
      <w:bookmarkEnd w:id="520"/>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435,668,404.97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292,714,555.91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364,521,812.22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242,179,044.27</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435,668,404.97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292,714,555.91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364,521,812.22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242,179,044.27</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5、投资收益" w:id="521"/>
      <w:bookmarkEnd w:id="521"/>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6"/>
        <w:spacing w:line="240" w:lineRule="auto" w:before="35"/>
        <w:ind w:left="1134" w:right="0"/>
        <w:jc w:val="left"/>
        <w:rPr>
          <w:b w:val="0"/>
          <w:bCs w:val="0"/>
        </w:rPr>
      </w:pPr>
      <w:bookmarkStart w:name="6、其他" w:id="522"/>
      <w:bookmarkEnd w:id="522"/>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4"/>
        <w:spacing w:line="240" w:lineRule="auto"/>
        <w:ind w:left="1134" w:right="0"/>
        <w:jc w:val="left"/>
        <w:rPr>
          <w:b w:val="0"/>
          <w:bCs w:val="0"/>
        </w:rPr>
      </w:pPr>
      <w:bookmarkStart w:name="十八、补充资料" w:id="523"/>
      <w:bookmarkEnd w:id="523"/>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当期非经常性损益明细表" w:id="524"/>
      <w:bookmarkEnd w:id="524"/>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17,352,700.00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-39,021.73</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营业外收入与营业外支出之差</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2,382,457.12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25,656.40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14,905,564.75</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2、净资产收益率及每股收益" w:id="525"/>
      <w:bookmarkEnd w:id="525"/>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0.654</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0.399</w:t>
            </w:r>
          </w:p>
        </w:tc>
      </w:tr>
    </w:tbl>
    <w:p>
      <w:pPr>
        <w:spacing w:line="240" w:lineRule="auto" w:before="2"/>
        <w:rPr>
          <w:rFonts w:ascii="宋体" w:hAnsi="宋体" w:cs="宋体" w:eastAsia="宋体" w:hint="default"/>
          <w:b/>
          <w:bCs/>
          <w:sz w:val="19"/>
          <w:szCs w:val="19"/>
        </w:rPr>
      </w:pPr>
    </w:p>
    <w:p>
      <w:pPr>
        <w:pStyle w:val="Heading6"/>
        <w:spacing w:line="240" w:lineRule="auto" w:before="35"/>
        <w:ind w:left="1134" w:right="0"/>
        <w:jc w:val="left"/>
        <w:rPr>
          <w:b w:val="0"/>
          <w:bCs w:val="0"/>
        </w:rPr>
      </w:pPr>
      <w:bookmarkStart w:name="3、境内外会计准则下会计数据差异" w:id="526"/>
      <w:bookmarkEnd w:id="526"/>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34" w:right="0"/>
        <w:jc w:val="left"/>
        <w:rPr>
          <w:b w:val="0"/>
          <w:bCs w:val="0"/>
        </w:rPr>
      </w:pPr>
      <w:bookmarkStart w:name="（1）同时按照国际会计准则与按中国会计准则披露的财务报告中净利润和净资产差异情况" w:id="527"/>
      <w:bookmarkEnd w:id="527"/>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2）同时按照境外会计准则与按中国会计准则披露的财务报告中净利润和净资产差异情况" w:id="528"/>
      <w:bookmarkEnd w:id="528"/>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59" w:lineRule="auto"/>
        <w:ind w:right="0"/>
        <w:jc w:val="left"/>
        <w:rPr>
          <w:b w:val="0"/>
          <w:bCs w:val="0"/>
        </w:rPr>
      </w:pPr>
      <w:bookmarkStart w:name="（3）境内外会计准则下会计数据差异原因说明，对已经境外审计机构审计的数据进行差异" w:id="529"/>
      <w:bookmarkEnd w:id="529"/>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4"/>
        </w:rPr>
        <w:t> </w:t>
      </w:r>
      <w:r>
        <w:rPr>
          <w:spacing w:val="-6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4、其他" w:id="530"/>
      <w:bookmarkEnd w:id="530"/>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402" w:right="3403"/>
        <w:jc w:val="center"/>
        <w:rPr>
          <w:b w:val="0"/>
          <w:bCs w:val="0"/>
        </w:rPr>
      </w:pPr>
      <w:bookmarkStart w:name="_TOC_250000" w:id="531"/>
      <w:bookmarkStart w:name="第十一节 备查文件目录" w:id="532"/>
      <w:r>
        <w:rPr>
          <w:b w:val="0"/>
          <w:bCs w:val="0"/>
        </w:rPr>
      </w:r>
      <w:r>
        <w:rPr/>
        <w:t>第十一节</w:t>
      </w:r>
      <w:r>
        <w:rPr>
          <w:spacing w:val="-8"/>
        </w:rPr>
        <w:t> </w:t>
      </w:r>
      <w:r>
        <w:rPr/>
        <w:t>备查文件目录</w:t>
      </w:r>
      <w:bookmarkEnd w:id="531"/>
      <w:r>
        <w:rPr>
          <w:b w:val="0"/>
          <w:bCs w:val="0"/>
        </w:rPr>
      </w:r>
    </w:p>
    <w:p>
      <w:pPr>
        <w:spacing w:line="240" w:lineRule="auto" w:before="6"/>
        <w:rPr>
          <w:rFonts w:ascii="宋体" w:hAnsi="宋体" w:cs="宋体" w:eastAsia="宋体" w:hint="default"/>
          <w:b/>
          <w:bCs/>
          <w:sz w:val="42"/>
          <w:szCs w:val="42"/>
        </w:rPr>
      </w:pPr>
    </w:p>
    <w:p>
      <w:pPr>
        <w:pStyle w:val="BodyText"/>
        <w:spacing w:line="314" w:lineRule="auto" w:before="0"/>
        <w:ind w:right="2473"/>
        <w:jc w:val="left"/>
      </w:pPr>
      <w:r>
        <w:rPr/>
        <w:t>一、载有法定代表人张曙华签名的</w:t>
      </w:r>
      <w:r>
        <w:rPr>
          <w:rFonts w:ascii="Times New Roman" w:hAnsi="Times New Roman" w:cs="Times New Roman" w:eastAsia="Times New Roman" w:hint="default"/>
        </w:rPr>
        <w:t>2015</w:t>
      </w:r>
      <w:r>
        <w:rPr/>
        <w:t>年年度报告文本原件； 二、载有法定代表人张曙华、主管会计工作负责人张颖、会计机构负责人汤泓涛签名并盖章的财务报表； 三、载有会计师事务所盖章、注册会计师签名并盖章的审计报告原件； 四、报告期内在中国证监会指定信息披露载体上公开披露过的所有公司文件的正本及公告的原稿； 五、其他有关资料。</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240" w:lineRule="auto" w:before="0"/>
        <w:ind w:right="0"/>
        <w:jc w:val="left"/>
      </w:pPr>
      <w:r>
        <w:rPr/>
        <w:t>以上备查文件的备置地点：董事会办公室证券部</w:t>
      </w:r>
    </w:p>
    <w:sectPr>
      <w:pgSz w:w="11910" w:h="16840"/>
      <w:pgMar w:header="747" w:footer="979" w:top="106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2880" type="#_x0000_t75" stroked="false">
          <v:imagedata r:id="rId1" o:title=""/>
        </v:shape>
      </w:pict>
    </w:r>
    <w:r>
      <w:rPr/>
      <w:pict>
        <v:shape style="position:absolute;margin-left:533.179993pt;margin-top:795.517944pt;width:6.5pt;height:11pt;mso-position-horizontal-relative:page;mso-position-vertical-relative:page;z-index:-1032856"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2832" type="#_x0000_t75" stroked="false">
          <v:imagedata r:id="rId1" o:title=""/>
        </v:shape>
      </w:pict>
    </w:r>
    <w:r>
      <w:rPr/>
      <w:pict>
        <v:shape style="position:absolute;margin-left:527.679993pt;margin-top:781.957947pt;width:13pt;height:11pt;mso-position-horizontal-relative:page;mso-position-vertical-relative:page;z-index:-103280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2784" type="#_x0000_t75" stroked="false">
          <v:imagedata r:id="rId1" o:title=""/>
        </v:shape>
      </w:pict>
    </w:r>
    <w:r>
      <w:rPr/>
      <w:pict>
        <v:shape style="position:absolute;margin-left:524.179993pt;margin-top:781.957947pt;width:15.5pt;height:11pt;mso-position-horizontal-relative:page;mso-position-vertical-relative:page;z-index:-1032760"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2736" type="#_x0000_t75" stroked="false">
          <v:imagedata r:id="rId1" o:title=""/>
        </v:shape>
      </w:pict>
    </w:r>
    <w:r>
      <w:rPr/>
      <w:pict>
        <v:shape style="position:absolute;margin-left:523.179993pt;margin-top:781.957947pt;width:17.5pt;height:11pt;mso-position-horizontal-relative:page;mso-position-vertical-relative:page;z-index:-103271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2688" type="#_x0000_t75" stroked="false">
          <v:imagedata r:id="rId1" o:title=""/>
        </v:shape>
      </w:pict>
    </w:r>
    <w:r>
      <w:rPr/>
      <w:pict>
        <v:shape style="position:absolute;margin-left:497.179993pt;margin-top:757.165588pt;width:42.5pt;height:11pt;mso-position-horizontal-relative:page;mso-position-vertical-relative:page;z-index:-1032664" type="#_x0000_t202" filled="false" stroked="false">
          <v:textbox inset="0,0,0,0">
            <w:txbxContent>
              <w:p>
                <w:pPr>
                  <w:pStyle w:val="BodyText"/>
                  <w:spacing w:line="200" w:lineRule="exact" w:before="0"/>
                  <w:ind w:left="20" w:right="0"/>
                  <w:jc w:val="left"/>
                </w:pPr>
                <w:r>
                  <w:rPr/>
                  <w:t>单位： 元</w:t>
                </w:r>
              </w:p>
            </w:txbxContent>
          </v:textbox>
          <w10:wrap type="none"/>
        </v:shape>
      </w:pict>
    </w:r>
    <w:r>
      <w:rPr/>
      <w:pict>
        <v:shape style="position:absolute;margin-left:523.179993pt;margin-top:781.957947pt;width:17.5pt;height:11pt;mso-position-horizontal-relative:page;mso-position-vertical-relative:page;z-index:-103264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2616" type="#_x0000_t75" stroked="false">
          <v:imagedata r:id="rId1" o:title=""/>
        </v:shape>
      </w:pict>
    </w:r>
    <w:r>
      <w:rPr/>
      <w:pict>
        <v:shape style="position:absolute;margin-left:523.179993pt;margin-top:781.957947pt;width:17.5pt;height:11pt;mso-position-horizontal-relative:page;mso-position-vertical-relative:page;z-index:-103259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1032904" type="#_x0000_t202" filled="false" stroked="false">
          <v:textbox inset="0,0,0,0">
            <w:txbxContent>
              <w:p>
                <w:pPr>
                  <w:pStyle w:val="BodyText"/>
                  <w:spacing w:line="214" w:lineRule="exact" w:before="0"/>
                  <w:ind w:left="20" w:right="0"/>
                  <w:jc w:val="left"/>
                </w:pPr>
                <w:r>
                  <w:rPr/>
                  <w:t>上海中信信息发展股份有限公司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33"/>
    </w:pPr>
    <w:rPr>
      <w:rFonts w:ascii="宋体" w:hAnsi="宋体" w:eastAsia="宋体"/>
      <w:b/>
      <w:bCs/>
      <w:sz w:val="24"/>
      <w:szCs w:val="24"/>
    </w:rPr>
  </w:style>
  <w:style w:styleId="BodyText" w:type="paragraph">
    <w:name w:val="Body Text"/>
    <w:basedOn w:val="Normal"/>
    <w:uiPriority w:val="1"/>
    <w:qFormat/>
    <w:pPr>
      <w:spacing w:before="44"/>
      <w:ind w:left="1133"/>
    </w:pPr>
    <w:rPr>
      <w:rFonts w:ascii="宋体" w:hAnsi="宋体" w:eastAsia="宋体"/>
      <w:sz w:val="18"/>
      <w:szCs w:val="18"/>
    </w:rPr>
  </w:style>
  <w:style w:styleId="Heading1" w:type="paragraph">
    <w:name w:val="Heading 1"/>
    <w:basedOn w:val="Normal"/>
    <w:uiPriority w:val="1"/>
    <w:qFormat/>
    <w:pPr>
      <w:spacing w:before="1"/>
      <w:ind w:left="3403"/>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8"/>
      <w:szCs w:val="28"/>
    </w:rPr>
  </w:style>
  <w:style w:styleId="Heading3" w:type="paragraph">
    <w:name w:val="Heading 3"/>
    <w:basedOn w:val="Normal"/>
    <w:uiPriority w:val="1"/>
    <w:qFormat/>
    <w:pPr>
      <w:ind w:left="1133" w:firstLine="560"/>
      <w:outlineLvl w:val="3"/>
    </w:pPr>
    <w:rPr>
      <w:rFonts w:ascii="宋体" w:hAnsi="宋体" w:eastAsia="宋体"/>
      <w:sz w:val="28"/>
      <w:szCs w:val="28"/>
    </w:rPr>
  </w:style>
  <w:style w:styleId="Heading4" w:type="paragraph">
    <w:name w:val="Heading 4"/>
    <w:basedOn w:val="Normal"/>
    <w:uiPriority w:val="1"/>
    <w:qFormat/>
    <w:pPr>
      <w:ind w:left="1133"/>
      <w:outlineLvl w:val="4"/>
    </w:pPr>
    <w:rPr>
      <w:rFonts w:ascii="宋体" w:hAnsi="宋体" w:eastAsia="宋体"/>
      <w:b/>
      <w:bCs/>
      <w:sz w:val="24"/>
      <w:szCs w:val="24"/>
    </w:rPr>
  </w:style>
  <w:style w:styleId="Heading5" w:type="paragraph">
    <w:name w:val="Heading 5"/>
    <w:basedOn w:val="Normal"/>
    <w:uiPriority w:val="1"/>
    <w:qFormat/>
    <w:pPr>
      <w:ind w:left="1133"/>
      <w:outlineLvl w:val="5"/>
    </w:pPr>
    <w:rPr>
      <w:rFonts w:ascii="宋体" w:hAnsi="宋体" w:eastAsia="宋体"/>
      <w:sz w:val="24"/>
      <w:szCs w:val="24"/>
    </w:rPr>
  </w:style>
  <w:style w:styleId="Heading6" w:type="paragraph">
    <w:name w:val="Heading 6"/>
    <w:basedOn w:val="Normal"/>
    <w:uiPriority w:val="1"/>
    <w:qFormat/>
    <w:pPr>
      <w:ind w:left="1133"/>
      <w:outlineLvl w:val="6"/>
    </w:pPr>
    <w:rPr>
      <w:rFonts w:ascii="宋体" w:hAnsi="宋体" w:eastAsia="宋体"/>
      <w:b/>
      <w:bCs/>
      <w:sz w:val="21"/>
      <w:szCs w:val="21"/>
    </w:rPr>
  </w:style>
  <w:style w:styleId="Heading7" w:type="paragraph">
    <w:name w:val="Heading 7"/>
    <w:basedOn w:val="Normal"/>
    <w:uiPriority w:val="1"/>
    <w:qFormat/>
    <w:pPr>
      <w:ind w:left="1133"/>
      <w:outlineLvl w:val="7"/>
    </w:pPr>
    <w:rPr>
      <w:rFonts w:ascii="宋体" w:hAnsi="宋体" w:eastAsia="宋体"/>
      <w:sz w:val="21"/>
      <w:szCs w:val="21"/>
    </w:rPr>
  </w:style>
  <w:style w:styleId="Heading8" w:type="paragraph">
    <w:name w:val="Heading 8"/>
    <w:basedOn w:val="Normal"/>
    <w:uiPriority w:val="1"/>
    <w:qFormat/>
    <w:pPr>
      <w:ind w:left="1557"/>
      <w:outlineLvl w:val="8"/>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cesgroup.com.cn/" TargetMode="External"/><Relationship Id="rId10" Type="http://schemas.openxmlformats.org/officeDocument/2006/relationships/hyperlink" Target="mailto:ir@cesgroup.com.cn" TargetMode="External"/><Relationship Id="rId11" Type="http://schemas.openxmlformats.org/officeDocument/2006/relationships/hyperlink" Target="http://www.cninfo.com.cn/" TargetMode="External"/><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jpeg"/><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上海中信信息发展股份有限公司</dc:creator>
  <dc:title>上海中信信息发展股份有限公司2015年年度报告全文</dc:title>
  <dcterms:created xsi:type="dcterms:W3CDTF">2020-05-04T17:06:30Z</dcterms:created>
  <dcterms:modified xsi:type="dcterms:W3CDTF">2020-05-04T17:06:30Z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2016-03-29T00:00:00Z</vt:filetime>
  </property>
  <property fmtid="{D5CDD505-2E9C-101B-9397-08002B2CF9AE}" pid="3" name="Creator">
    <vt:lpwstr>Microsoft® Office Word 2007</vt:lpwstr>
  </property>
  <property fmtid="{D5CDD505-2E9C-101B-9397-08002B2CF9AE}" pid="4" name="LastSaved">
    <vt:filetime>2020-05-04T00:00:00Z</vt:filetime>
  </property>
</Properties>
</file>