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spacing w:line="262" w:lineRule="exact"/>
        <w:ind w:left="53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03510" cy="16668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03510" cy="166687"/>
                    </a:xfrm>
                    <a:prstGeom prst="rect">
                      <a:avLst/>
                    </a:prstGeom>
                  </pic:spPr>
                </pic:pic>
              </a:graphicData>
            </a:graphic>
          </wp:inline>
        </w:drawing>
      </w:r>
      <w:r>
        <w:rPr>
          <w:rFonts w:ascii="Times New Roman" w:hAnsi="Times New Roman" w:cs="Times New Roman" w:eastAsia="Times New Roman" w:hint="default"/>
          <w:position w:val="-4"/>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上海中信信息发展股份有限公司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985"/>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2" w:firstLine="562"/>
        <w:jc w:val="both"/>
        <w:rPr>
          <w:b w:val="0"/>
          <w:bCs w:val="0"/>
        </w:rPr>
      </w:pPr>
      <w:r>
        <w:rPr>
          <w:w w:val="95"/>
        </w:rPr>
        <w:t>公司负责人张曙华、主管会计工作负责人张颖及会计机构负责人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张颖声明：保证年度报告中财务报告的真实、准确、完整。</w:t>
      </w:r>
      <w:r>
        <w:rPr>
          <w:b w:val="0"/>
          <w:bCs w:val="0"/>
        </w:rPr>
      </w:r>
    </w:p>
    <w:p>
      <w:pPr>
        <w:pStyle w:val="Heading2"/>
        <w:spacing w:line="472" w:lineRule="auto" w:before="147"/>
        <w:ind w:left="1696" w:right="985"/>
        <w:jc w:val="left"/>
        <w:rPr>
          <w:b w:val="0"/>
          <w:bCs w:val="0"/>
        </w:rPr>
      </w:pPr>
      <w:r>
        <w:rPr/>
        <w:t>所有董事均已出席了审议本报告的董事会会议。</w:t>
      </w:r>
      <w:r>
        <w:rPr>
          <w:w w:val="99"/>
        </w:rPr>
        <w:t> </w:t>
      </w:r>
      <w:r>
        <w:rPr>
          <w:spacing w:val="3"/>
          <w:w w:val="95"/>
        </w:rPr>
        <w:t>本报告中如有涉及未来的计划、业绩预测等方面的内容，均不构成本公司</w:t>
      </w:r>
      <w:r>
        <w:rPr>
          <w:b w:val="0"/>
          <w:bCs w:val="0"/>
          <w:spacing w:val="3"/>
        </w:rPr>
      </w:r>
    </w:p>
    <w:p>
      <w:pPr>
        <w:pStyle w:val="Heading2"/>
        <w:spacing w:line="410" w:lineRule="auto"/>
        <w:ind w:left="1134" w:right="985"/>
        <w:jc w:val="left"/>
        <w:rPr>
          <w:b w:val="0"/>
          <w:bCs w:val="0"/>
        </w:rPr>
      </w:pPr>
      <w:r>
        <w:rPr>
          <w:spacing w:val="3"/>
          <w:w w:val="95"/>
        </w:rPr>
        <w:t>对任何投资者及相关人士的承诺，投资者及相关人士均应对此保持足够的风险</w:t>
      </w:r>
      <w:r>
        <w:rPr>
          <w:spacing w:val="23"/>
          <w:w w:val="95"/>
        </w:rPr>
        <w:t> </w:t>
      </w:r>
      <w:r>
        <w:rPr>
          <w:spacing w:val="23"/>
          <w:w w:val="95"/>
        </w:rPr>
      </w:r>
      <w:r>
        <w:rPr/>
        <w:t>认识，并且应当理解计划、预测与承诺之间的差异。</w:t>
      </w:r>
      <w:r>
        <w:rPr>
          <w:b w:val="0"/>
          <w:bCs w:val="0"/>
        </w:rPr>
      </w:r>
    </w:p>
    <w:p>
      <w:pPr>
        <w:pStyle w:val="Heading2"/>
        <w:spacing w:line="240" w:lineRule="auto" w:before="159"/>
        <w:ind w:left="1695" w:right="985"/>
        <w:jc w:val="left"/>
        <w:rPr>
          <w:b w:val="0"/>
          <w:bCs w:val="0"/>
        </w:rPr>
      </w:pPr>
      <w:r>
        <w:rPr/>
        <w:t>（一）行业政策变动风险</w:t>
      </w:r>
      <w:r>
        <w:rPr>
          <w:b w:val="0"/>
          <w:bCs w:val="0"/>
        </w:rPr>
      </w:r>
    </w:p>
    <w:p>
      <w:pPr>
        <w:spacing w:line="240" w:lineRule="auto" w:before="4"/>
        <w:rPr>
          <w:rFonts w:ascii="宋体" w:hAnsi="宋体" w:cs="宋体" w:eastAsia="宋体" w:hint="default"/>
          <w:b/>
          <w:bCs/>
          <w:sz w:val="27"/>
          <w:szCs w:val="27"/>
        </w:rPr>
      </w:pPr>
    </w:p>
    <w:p>
      <w:pPr>
        <w:pStyle w:val="Heading2"/>
        <w:spacing w:line="240" w:lineRule="auto"/>
        <w:ind w:left="1695" w:right="985"/>
        <w:jc w:val="left"/>
        <w:rPr>
          <w:b w:val="0"/>
          <w:bCs w:val="0"/>
        </w:rPr>
      </w:pPr>
      <w:r>
        <w:rPr>
          <w:rFonts w:ascii="Times New Roman" w:hAnsi="Times New Roman" w:cs="Times New Roman" w:eastAsia="Times New Roman" w:hint="default"/>
        </w:rPr>
        <w:t>1</w:t>
      </w:r>
      <w:r>
        <w:rPr/>
        <w:t>、软件与信息技术服务</w:t>
      </w:r>
      <w:r>
        <w:rPr>
          <w:b w:val="0"/>
          <w:bCs w:val="0"/>
        </w:rPr>
      </w:r>
    </w:p>
    <w:p>
      <w:pPr>
        <w:spacing w:line="240" w:lineRule="auto" w:before="8"/>
        <w:rPr>
          <w:rFonts w:ascii="宋体" w:hAnsi="宋体" w:cs="宋体" w:eastAsia="宋体" w:hint="default"/>
          <w:b/>
          <w:bCs/>
          <w:sz w:val="25"/>
          <w:szCs w:val="25"/>
        </w:rPr>
      </w:pPr>
    </w:p>
    <w:p>
      <w:pPr>
        <w:pStyle w:val="Heading2"/>
        <w:spacing w:line="393" w:lineRule="auto"/>
        <w:ind w:right="1130" w:firstLine="562"/>
        <w:jc w:val="both"/>
        <w:rPr>
          <w:b w:val="0"/>
          <w:bCs w:val="0"/>
        </w:rPr>
      </w:pPr>
      <w:r>
        <w:rPr>
          <w:rFonts w:ascii="Times New Roman" w:hAnsi="Times New Roman" w:cs="Times New Roman" w:eastAsia="Times New Roman" w:hint="default"/>
          <w:w w:val="99"/>
        </w:rPr>
        <w:t>2016</w:t>
      </w:r>
      <w:r>
        <w:rPr>
          <w:rFonts w:ascii="Times New Roman" w:hAnsi="Times New Roman" w:cs="Times New Roman" w:eastAsia="Times New Roman" w:hint="default"/>
          <w:spacing w:val="6"/>
          <w:w w:val="99"/>
        </w:rPr>
        <w:t> </w:t>
      </w:r>
      <w:r>
        <w:rPr>
          <w:w w:val="99"/>
        </w:rPr>
        <w:t>年</w:t>
      </w:r>
      <w:r>
        <w:rPr>
          <w:spacing w:val="-63"/>
          <w:w w:val="99"/>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6"/>
          <w:w w:val="99"/>
        </w:rPr>
        <w:t> </w:t>
      </w:r>
      <w:r>
        <w:rPr>
          <w:w w:val="99"/>
        </w:rPr>
        <w:t>月</w:t>
      </w:r>
      <w:r>
        <w:rPr>
          <w:spacing w:val="-63"/>
          <w:w w:val="99"/>
        </w:rPr>
        <w:t> </w:t>
      </w:r>
      <w:r>
        <w:rPr>
          <w:rFonts w:ascii="Times New Roman" w:hAnsi="Times New Roman" w:cs="Times New Roman" w:eastAsia="Times New Roman" w:hint="default"/>
          <w:w w:val="99"/>
        </w:rPr>
        <w:t>28</w:t>
      </w:r>
      <w:r>
        <w:rPr>
          <w:rFonts w:ascii="Times New Roman" w:hAnsi="Times New Roman" w:cs="Times New Roman" w:eastAsia="Times New Roman" w:hint="default"/>
          <w:spacing w:val="6"/>
          <w:w w:val="99"/>
        </w:rPr>
        <w:t> </w:t>
      </w:r>
      <w:r>
        <w:rPr>
          <w:spacing w:val="-5"/>
          <w:w w:val="99"/>
        </w:rPr>
        <w:t>日，国务院印发《</w:t>
      </w:r>
      <w:r>
        <w:rPr>
          <w:rFonts w:ascii="Times New Roman" w:hAnsi="Times New Roman" w:cs="Times New Roman" w:eastAsia="Times New Roman" w:hint="default"/>
          <w:spacing w:val="-5"/>
          <w:w w:val="99"/>
        </w:rPr>
        <w:t>“</w:t>
      </w:r>
      <w:r>
        <w:rPr>
          <w:spacing w:val="-5"/>
          <w:w w:val="99"/>
        </w:rPr>
        <w:t>十三五</w:t>
      </w:r>
      <w:r>
        <w:rPr>
          <w:rFonts w:ascii="Times New Roman" w:hAnsi="Times New Roman" w:cs="Times New Roman" w:eastAsia="Times New Roman" w:hint="default"/>
          <w:spacing w:val="-5"/>
          <w:w w:val="99"/>
        </w:rPr>
        <w:t>”</w:t>
      </w:r>
      <w:r>
        <w:rPr>
          <w:spacing w:val="-5"/>
          <w:w w:val="99"/>
        </w:rPr>
        <w:t>国家科技创新规划》。</w:t>
      </w:r>
      <w:r>
        <w:rPr>
          <w:rFonts w:ascii="Times New Roman" w:hAnsi="Times New Roman" w:cs="Times New Roman" w:eastAsia="Times New Roman" w:hint="default"/>
          <w:spacing w:val="-5"/>
          <w:w w:val="99"/>
        </w:rPr>
        <w:t>“</w:t>
      </w:r>
      <w:r>
        <w:rPr>
          <w:spacing w:val="-5"/>
          <w:w w:val="99"/>
        </w:rPr>
        <w:t>十三五</w:t>
      </w:r>
      <w:r>
        <w:rPr>
          <w:rFonts w:ascii="Times New Roman" w:hAnsi="Times New Roman" w:cs="Times New Roman" w:eastAsia="Times New Roman" w:hint="default"/>
          <w:spacing w:val="-5"/>
          <w:w w:val="99"/>
        </w:rPr>
        <w:t>”</w:t>
      </w:r>
      <w:r>
        <w:rPr>
          <w:rFonts w:ascii="Times New Roman" w:hAnsi="Times New Roman" w:cs="Times New Roman" w:eastAsia="Times New Roman" w:hint="default"/>
          <w:w w:val="99"/>
        </w:rPr>
        <w:t> </w:t>
      </w:r>
      <w:r>
        <w:rPr>
          <w:spacing w:val="3"/>
          <w:w w:val="95"/>
        </w:rPr>
        <w:t>科技创新的总体目标是：国家科技实力和创新能力大幅跃升，创新驱动发展成</w:t>
      </w:r>
      <w:r>
        <w:rPr>
          <w:spacing w:val="23"/>
          <w:w w:val="95"/>
        </w:rPr>
        <w:t> </w:t>
      </w:r>
      <w:r>
        <w:rPr>
          <w:spacing w:val="23"/>
          <w:w w:val="95"/>
        </w:rPr>
      </w:r>
      <w:r>
        <w:rPr/>
        <w:t>效显著，国家综合创新能力世界排名进入前</w:t>
      </w:r>
      <w:r>
        <w:rPr>
          <w:spacing w:val="-87"/>
        </w:rPr>
        <w:t> </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spacing w:val="-3"/>
        </w:rPr>
        <w:t>位，迈进创新型国家行列。总体</w:t>
      </w:r>
      <w:r>
        <w:rPr>
          <w:w w:val="99"/>
        </w:rPr>
        <w:t> </w:t>
      </w:r>
      <w:r>
        <w:rPr>
          <w:spacing w:val="3"/>
          <w:w w:val="95"/>
        </w:rPr>
        <w:t>部署：未来五年，我国科技创新工作将紧紧围绕深入实施国家</w:t>
      </w:r>
      <w:r>
        <w:rPr>
          <w:rFonts w:ascii="Times New Roman" w:hAnsi="Times New Roman" w:cs="Times New Roman" w:eastAsia="Times New Roman" w:hint="default"/>
          <w:spacing w:val="3"/>
          <w:w w:val="95"/>
        </w:rPr>
        <w:t>“</w:t>
      </w:r>
      <w:r>
        <w:rPr>
          <w:spacing w:val="3"/>
          <w:w w:val="95"/>
        </w:rPr>
        <w:t>十三五</w:t>
      </w:r>
      <w:r>
        <w:rPr>
          <w:rFonts w:ascii="Times New Roman" w:hAnsi="Times New Roman" w:cs="Times New Roman" w:eastAsia="Times New Roman" w:hint="default"/>
          <w:spacing w:val="3"/>
          <w:w w:val="95"/>
        </w:rPr>
        <w:t>”</w:t>
      </w:r>
      <w:r>
        <w:rPr>
          <w:spacing w:val="3"/>
          <w:w w:val="95"/>
        </w:rPr>
        <w:t>规划纲</w:t>
      </w:r>
      <w:r>
        <w:rPr>
          <w:spacing w:val="33"/>
          <w:w w:val="95"/>
        </w:rPr>
        <w:t> </w:t>
      </w:r>
      <w:r>
        <w:rPr>
          <w:spacing w:val="2"/>
        </w:rPr>
        <w:t>要和创新驱动发展战略纲要，有力支撑</w:t>
      </w:r>
      <w:r>
        <w:rPr>
          <w:rFonts w:ascii="Times New Roman" w:hAnsi="Times New Roman" w:cs="Times New Roman" w:eastAsia="Times New Roman" w:hint="default"/>
          <w:spacing w:val="2"/>
        </w:rPr>
        <w:t>“</w:t>
      </w:r>
      <w:r>
        <w:rPr>
          <w:spacing w:val="2"/>
        </w:rPr>
        <w:t>中国制造</w:t>
      </w:r>
      <w:r>
        <w:rPr>
          <w:spacing w:val="4"/>
        </w:rPr>
        <w:t> </w:t>
      </w:r>
      <w:r>
        <w:rPr>
          <w:rFonts w:ascii="Times New Roman" w:hAnsi="Times New Roman" w:cs="Times New Roman" w:eastAsia="Times New Roman" w:hint="default"/>
        </w:rPr>
        <w:t>2025”</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、网络强</w:t>
      </w:r>
      <w:r>
        <w:rPr>
          <w:w w:val="99"/>
        </w:rPr>
        <w:t> </w:t>
      </w:r>
      <w:r>
        <w:rPr>
          <w:spacing w:val="3"/>
          <w:w w:val="95"/>
        </w:rPr>
        <w:t>国、</w:t>
      </w:r>
      <w:r>
        <w:rPr>
          <w:rFonts w:ascii="Times New Roman" w:hAnsi="Times New Roman" w:cs="Times New Roman" w:eastAsia="Times New Roman" w:hint="default"/>
          <w:spacing w:val="3"/>
          <w:w w:val="95"/>
        </w:rPr>
        <w:t>“</w:t>
      </w:r>
      <w:r>
        <w:rPr>
          <w:spacing w:val="3"/>
          <w:w w:val="95"/>
        </w:rPr>
        <w:t>一带一路</w:t>
      </w:r>
      <w:r>
        <w:rPr>
          <w:rFonts w:ascii="Times New Roman" w:hAnsi="Times New Roman" w:cs="Times New Roman" w:eastAsia="Times New Roman" w:hint="default"/>
          <w:spacing w:val="3"/>
          <w:w w:val="95"/>
        </w:rPr>
        <w:t>”</w:t>
      </w:r>
      <w:r>
        <w:rPr>
          <w:spacing w:val="3"/>
          <w:w w:val="95"/>
        </w:rPr>
        <w:t>建设等国家战略实施，充分发挥科技创新在推动产业迈向中高</w:t>
      </w:r>
      <w:r>
        <w:rPr>
          <w:spacing w:val="23"/>
          <w:w w:val="95"/>
        </w:rPr>
        <w:t> </w:t>
      </w:r>
      <w:r>
        <w:rPr>
          <w:spacing w:val="23"/>
          <w:w w:val="95"/>
        </w:rPr>
      </w:r>
      <w:r>
        <w:rPr>
          <w:spacing w:val="3"/>
          <w:w w:val="95"/>
        </w:rPr>
        <w:t>端、增添发展新动能、拓展发展新空间、提高发展质量和效益中的核心引领作  </w:t>
      </w:r>
      <w:r>
        <w:rPr>
          <w:spacing w:val="23"/>
          <w:w w:val="95"/>
        </w:rPr>
        <w:t> </w:t>
      </w:r>
      <w:r>
        <w:rPr>
          <w:spacing w:val="23"/>
          <w:w w:val="95"/>
        </w:rPr>
      </w:r>
      <w:r>
        <w:rPr/>
        <w:t>用。</w:t>
      </w:r>
      <w:r>
        <w:rPr>
          <w:b w:val="0"/>
          <w:bCs w:val="0"/>
        </w:rPr>
      </w:r>
    </w:p>
    <w:p>
      <w:pPr>
        <w:spacing w:after="0" w:line="393"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pStyle w:val="Heading2"/>
        <w:spacing w:line="240" w:lineRule="auto" w:before="13"/>
        <w:ind w:left="1695" w:right="985"/>
        <w:jc w:val="left"/>
        <w:rPr>
          <w:b w:val="0"/>
          <w:bCs w:val="0"/>
        </w:rPr>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17  </w:t>
      </w:r>
      <w:r>
        <w:rPr>
          <w:rFonts w:ascii="Times New Roman" w:hAnsi="Times New Roman" w:cs="Times New Roman" w:eastAsia="Times New Roman" w:hint="default"/>
          <w:spacing w:val="36"/>
        </w:rPr>
        <w:t> </w:t>
      </w:r>
      <w:r>
        <w:rPr>
          <w:spacing w:val="24"/>
        </w:rPr>
        <w:t>日，工信部发布《软件和信息技术服务业发展规划</w:t>
      </w:r>
      <w:r>
        <w:rPr>
          <w:spacing w:val="-115"/>
        </w:rPr>
        <w:t> </w:t>
      </w:r>
      <w:r>
        <w:rPr>
          <w:b w:val="0"/>
          <w:bCs w:val="0"/>
        </w:rPr>
      </w:r>
    </w:p>
    <w:p>
      <w:pPr>
        <w:pStyle w:val="Heading2"/>
        <w:spacing w:line="386" w:lineRule="auto" w:before="236"/>
        <w:ind w:right="985"/>
        <w:jc w:val="left"/>
        <w:rPr>
          <w:b w:val="0"/>
          <w:bCs w:val="0"/>
        </w:rPr>
      </w:pPr>
      <w:r>
        <w:rPr>
          <w:w w:val="99"/>
        </w:rPr>
        <w:t>（</w:t>
      </w:r>
      <w:r>
        <w:rPr>
          <w:rFonts w:ascii="Times New Roman" w:hAnsi="Times New Roman" w:cs="Times New Roman" w:eastAsia="Times New Roman" w:hint="default"/>
          <w:w w:val="99"/>
        </w:rPr>
        <w:t>2016</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2020 </w:t>
      </w:r>
      <w:r>
        <w:rPr>
          <w:spacing w:val="-18"/>
          <w:w w:val="99"/>
        </w:rPr>
        <w:t>年）》。《规划》提出，</w:t>
      </w:r>
      <w:r>
        <w:rPr>
          <w:rFonts w:ascii="Times New Roman" w:hAnsi="Times New Roman" w:cs="Times New Roman" w:eastAsia="Times New Roman" w:hint="default"/>
          <w:spacing w:val="-18"/>
          <w:w w:val="99"/>
        </w:rPr>
        <w:t>“</w:t>
      </w:r>
      <w:r>
        <w:rPr>
          <w:spacing w:val="-18"/>
          <w:w w:val="99"/>
        </w:rPr>
        <w:t>十三五</w:t>
      </w:r>
      <w:r>
        <w:rPr>
          <w:rFonts w:ascii="Times New Roman" w:hAnsi="Times New Roman" w:cs="Times New Roman" w:eastAsia="Times New Roman" w:hint="default"/>
          <w:spacing w:val="-18"/>
          <w:w w:val="99"/>
        </w:rPr>
        <w:t>”</w:t>
      </w:r>
      <w:r>
        <w:rPr>
          <w:spacing w:val="-18"/>
          <w:w w:val="99"/>
        </w:rPr>
        <w:t>期间软件和信息技术服务产业年均</w:t>
      </w:r>
      <w:r>
        <w:rPr>
          <w:spacing w:val="-110"/>
          <w:w w:val="99"/>
        </w:rPr>
        <w:t> </w:t>
      </w:r>
      <w:r>
        <w:rPr>
          <w:spacing w:val="-110"/>
          <w:w w:val="99"/>
        </w:rPr>
      </w:r>
      <w:r>
        <w:rPr/>
        <w:t>增速定为</w:t>
      </w:r>
      <w:r>
        <w:rPr>
          <w:spacing w:val="-76"/>
        </w:rPr>
        <w:t> </w:t>
      </w:r>
      <w:r>
        <w:rPr>
          <w:rFonts w:ascii="Times New Roman" w:hAnsi="Times New Roman" w:cs="Times New Roman" w:eastAsia="Times New Roman" w:hint="default"/>
          <w:spacing w:val="-6"/>
        </w:rPr>
        <w:t>13%</w:t>
      </w:r>
      <w:r>
        <w:rPr>
          <w:spacing w:val="-6"/>
        </w:rPr>
        <w:t>以上，到</w:t>
      </w:r>
      <w:r>
        <w:rPr>
          <w:spacing w:val="-7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spacing w:val="-4"/>
        </w:rPr>
        <w:t>年，产业业务收入突破</w:t>
      </w:r>
      <w:r>
        <w:rPr>
          <w:spacing w:val="-7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3"/>
        </w:rPr>
        <w:t>万亿元。</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期间培</w:t>
      </w:r>
      <w:r>
        <w:rPr>
          <w:b w:val="0"/>
          <w:bCs w:val="0"/>
          <w:spacing w:val="-3"/>
        </w:rPr>
      </w:r>
    </w:p>
    <w:p>
      <w:pPr>
        <w:pStyle w:val="Heading2"/>
        <w:spacing w:line="240" w:lineRule="auto" w:before="47"/>
        <w:ind w:right="985"/>
        <w:jc w:val="left"/>
        <w:rPr>
          <w:b w:val="0"/>
          <w:bCs w:val="0"/>
        </w:rPr>
      </w:pPr>
      <w:r>
        <w:rPr/>
        <w:t>育软件和信息技术服务收入百亿级企业达</w:t>
      </w:r>
      <w:r>
        <w:rPr>
          <w:spacing w:val="-70"/>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10"/>
        </w:rPr>
        <w:t>家以上，产生</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家到</w:t>
      </w:r>
      <w:r>
        <w:rPr>
          <w:spacing w:val="-76"/>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家收入千亿</w:t>
      </w:r>
      <w:r>
        <w:rPr>
          <w:b w:val="0"/>
          <w:bCs w:val="0"/>
        </w:rPr>
      </w:r>
    </w:p>
    <w:p>
      <w:pPr>
        <w:pStyle w:val="Heading2"/>
        <w:spacing w:line="400" w:lineRule="auto" w:before="236"/>
        <w:ind w:right="985"/>
        <w:jc w:val="left"/>
        <w:rPr>
          <w:b w:val="0"/>
          <w:bCs w:val="0"/>
        </w:rPr>
      </w:pPr>
      <w:r>
        <w:rPr>
          <w:spacing w:val="-1"/>
          <w:w w:val="99"/>
        </w:rPr>
        <w:t>元级企业，产业收入超千亿元的城市</w:t>
      </w:r>
      <w:r>
        <w:rPr>
          <w:spacing w:val="-60"/>
          <w:w w:val="99"/>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3"/>
          <w:w w:val="99"/>
        </w:rPr>
        <w:t> </w:t>
      </w:r>
      <w:r>
        <w:rPr>
          <w:spacing w:val="-9"/>
          <w:w w:val="99"/>
        </w:rPr>
        <w:t>个以上。《规划》还设置了软件</w:t>
      </w:r>
      <w:r>
        <w:rPr>
          <w:rFonts w:ascii="Times New Roman" w:hAnsi="Times New Roman" w:cs="Times New Roman" w:eastAsia="Times New Roman" w:hint="default"/>
          <w:spacing w:val="-9"/>
          <w:w w:val="99"/>
        </w:rPr>
        <w:t>“</w:t>
      </w:r>
      <w:r>
        <w:rPr>
          <w:spacing w:val="-9"/>
          <w:w w:val="99"/>
        </w:rPr>
        <w:t>铸魂</w:t>
      </w:r>
      <w:r>
        <w:rPr>
          <w:rFonts w:ascii="Times New Roman" w:hAnsi="Times New Roman" w:cs="Times New Roman" w:eastAsia="Times New Roman" w:hint="default"/>
          <w:spacing w:val="-9"/>
          <w:w w:val="99"/>
        </w:rPr>
        <w:t>”</w:t>
      </w:r>
      <w:r>
        <w:rPr>
          <w:spacing w:val="-9"/>
          <w:w w:val="99"/>
        </w:rPr>
        <w:t>、</w:t>
      </w:r>
      <w:r>
        <w:rPr>
          <w:w w:val="99"/>
        </w:rPr>
        <w:t> </w:t>
      </w:r>
      <w:r>
        <w:rPr>
          <w:spacing w:val="3"/>
        </w:rPr>
        <w:t>信息技术服务能力跃升、云计算能力提升、大数据技术研发和应用示范、工业</w:t>
      </w:r>
      <w:r>
        <w:rPr>
          <w:w w:val="99"/>
        </w:rPr>
        <w:t> </w:t>
      </w:r>
      <w:r>
        <w:rPr>
          <w:spacing w:val="3"/>
        </w:rPr>
        <w:t>技术软件化推进、面向服务型制造的信息技术服务发展、软件和信息技术服务</w:t>
      </w:r>
      <w:r>
        <w:rPr>
          <w:w w:val="99"/>
        </w:rPr>
        <w:t> </w:t>
      </w:r>
      <w:r>
        <w:rPr/>
        <w:t>驱动信息消费、信息安全保障能力提升、公共服务体系建设等 </w:t>
      </w:r>
      <w:r>
        <w:rPr>
          <w:rFonts w:ascii="Times New Roman" w:hAnsi="Times New Roman" w:cs="Times New Roman" w:eastAsia="Times New Roman" w:hint="default"/>
        </w:rPr>
        <w:t>9 </w:t>
      </w:r>
      <w:r>
        <w:rPr/>
        <w:t>项重大工程。</w:t>
      </w:r>
      <w:r>
        <w:rPr>
          <w:w w:val="99"/>
        </w:rPr>
        <w:t> </w:t>
      </w:r>
      <w:r>
        <w:rPr>
          <w:spacing w:val="3"/>
        </w:rPr>
        <w:t>信息产业作为国民经济的战略性、基础性和先导性支柱产业，在当今我国经济</w:t>
      </w:r>
      <w:r>
        <w:rPr>
          <w:w w:val="99"/>
        </w:rPr>
        <w:t> </w:t>
      </w:r>
      <w:r>
        <w:rPr/>
        <w:t>转型期已成为重要支撑力量和发展新动力，将迎来战略机遇期！</w:t>
      </w:r>
      <w:r>
        <w:rPr>
          <w:b w:val="0"/>
          <w:bCs w:val="0"/>
        </w:rPr>
      </w:r>
    </w:p>
    <w:p>
      <w:pPr>
        <w:pStyle w:val="Heading2"/>
        <w:spacing w:line="240" w:lineRule="auto" w:before="169"/>
        <w:ind w:left="1695" w:right="985"/>
        <w:jc w:val="left"/>
        <w:rPr>
          <w:b w:val="0"/>
          <w:bCs w:val="0"/>
        </w:rPr>
      </w:pPr>
      <w:r>
        <w:rPr>
          <w:rFonts w:ascii="Times New Roman" w:hAnsi="Times New Roman" w:cs="Times New Roman" w:eastAsia="Times New Roman" w:hint="default"/>
        </w:rPr>
        <w:t>2</w:t>
      </w:r>
      <w:r>
        <w:rPr/>
        <w:t>、食品安全全程追溯领域</w:t>
      </w:r>
      <w:r>
        <w:rPr>
          <w:b w:val="0"/>
          <w:bCs w:val="0"/>
        </w:rPr>
      </w:r>
    </w:p>
    <w:p>
      <w:pPr>
        <w:spacing w:line="240" w:lineRule="auto" w:before="9"/>
        <w:rPr>
          <w:rFonts w:ascii="宋体" w:hAnsi="宋体" w:cs="宋体" w:eastAsia="宋体" w:hint="default"/>
          <w:b/>
          <w:bCs/>
          <w:sz w:val="25"/>
          <w:szCs w:val="25"/>
        </w:rPr>
      </w:pPr>
    </w:p>
    <w:p>
      <w:pPr>
        <w:pStyle w:val="Heading2"/>
        <w:spacing w:line="405" w:lineRule="auto"/>
        <w:ind w:right="1141" w:firstLine="562"/>
        <w:jc w:val="both"/>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7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7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日起实行的《中华人民共和国食品安全法》第四十二条</w:t>
      </w:r>
      <w:r>
        <w:rPr>
          <w:w w:val="99"/>
        </w:rPr>
        <w:t> </w:t>
      </w:r>
      <w:r>
        <w:rPr>
          <w:spacing w:val="3"/>
          <w:w w:val="95"/>
        </w:rPr>
        <w:t>明确规定国家建立食品全程追溯制度，国家首次以法律的形式提出完善食品追</w:t>
      </w:r>
      <w:r>
        <w:rPr>
          <w:spacing w:val="23"/>
          <w:w w:val="95"/>
        </w:rPr>
        <w:t> </w:t>
      </w:r>
      <w:r>
        <w:rPr>
          <w:spacing w:val="23"/>
          <w:w w:val="95"/>
        </w:rPr>
      </w:r>
      <w:r>
        <w:rPr>
          <w:spacing w:val="3"/>
          <w:w w:val="95"/>
        </w:rPr>
        <w:t>溯制度、细化生产经营者索证索票、进货查验记录等制度，增加规定食品和食</w:t>
      </w:r>
      <w:r>
        <w:rPr>
          <w:spacing w:val="23"/>
          <w:w w:val="95"/>
        </w:rPr>
        <w:t> </w:t>
      </w:r>
      <w:r>
        <w:rPr>
          <w:spacing w:val="23"/>
          <w:w w:val="95"/>
        </w:rPr>
      </w:r>
      <w:r>
        <w:rPr>
          <w:spacing w:val="3"/>
          <w:w w:val="95"/>
        </w:rPr>
        <w:t>用农产品全程追溯协作机制。该安全法同时还提出我国将逐步建立食品原产地</w:t>
      </w:r>
      <w:r>
        <w:rPr>
          <w:spacing w:val="23"/>
          <w:w w:val="95"/>
        </w:rPr>
        <w:t> </w:t>
      </w:r>
      <w:r>
        <w:rPr>
          <w:spacing w:val="23"/>
          <w:w w:val="95"/>
        </w:rPr>
      </w:r>
      <w:r>
        <w:rPr>
          <w:spacing w:val="3"/>
          <w:w w:val="95"/>
        </w:rPr>
        <w:t>可追溯制度和质量标识制度，加快建立食品安全全程追溯体系，研究起草重要</w:t>
      </w:r>
      <w:r>
        <w:rPr>
          <w:spacing w:val="23"/>
          <w:w w:val="95"/>
        </w:rPr>
        <w:t> </w:t>
      </w:r>
      <w:r>
        <w:rPr>
          <w:spacing w:val="23"/>
          <w:w w:val="95"/>
        </w:rPr>
      </w:r>
      <w:r>
        <w:rPr>
          <w:spacing w:val="3"/>
          <w:w w:val="95"/>
        </w:rPr>
        <w:t>食用农产品追溯管理办法，稳步推进农产品质量安全追溯、肉菜流通追溯、酒</w:t>
      </w:r>
      <w:r>
        <w:rPr>
          <w:spacing w:val="23"/>
          <w:w w:val="95"/>
        </w:rPr>
        <w:t> </w:t>
      </w:r>
      <w:r>
        <w:rPr>
          <w:spacing w:val="23"/>
          <w:w w:val="95"/>
        </w:rPr>
      </w:r>
      <w:r>
        <w:rPr/>
        <w:t>类流通追溯、乳制品安全追溯体系建设。</w:t>
      </w:r>
      <w:r>
        <w:rPr>
          <w:b w:val="0"/>
          <w:bCs w:val="0"/>
        </w:rPr>
      </w:r>
    </w:p>
    <w:p>
      <w:pPr>
        <w:pStyle w:val="Heading2"/>
        <w:spacing w:line="398" w:lineRule="auto" w:before="162"/>
        <w:ind w:right="1140" w:firstLine="562"/>
        <w:jc w:val="both"/>
        <w:rPr>
          <w:b w:val="0"/>
          <w:bCs w:val="0"/>
        </w:rPr>
      </w:pPr>
      <w:r>
        <w:rPr>
          <w:rFonts w:ascii="Times New Roman" w:hAnsi="Times New Roman" w:cs="Times New Roman" w:eastAsia="Times New Roman" w:hint="default"/>
        </w:rPr>
        <w:t>2</w:t>
      </w:r>
      <w:r>
        <w:rPr/>
        <w:t>）</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75"/>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75"/>
        </w:rPr>
        <w:t> </w:t>
      </w:r>
      <w:r>
        <w:rPr>
          <w:rFonts w:ascii="Times New Roman" w:hAnsi="Times New Roman" w:cs="Times New Roman" w:eastAsia="Times New Roman" w:hint="default"/>
          <w:spacing w:val="-9"/>
        </w:rPr>
        <w:t>11</w:t>
      </w:r>
      <w:r>
        <w:rPr>
          <w:rFonts w:ascii="Times New Roman" w:hAnsi="Times New Roman" w:cs="Times New Roman" w:eastAsia="Times New Roman" w:hint="default"/>
          <w:spacing w:val="-4"/>
        </w:rPr>
        <w:t> </w:t>
      </w:r>
      <w:r>
        <w:rPr>
          <w:spacing w:val="-3"/>
        </w:rPr>
        <w:t>日商务部办公厅、财政部办公厅《关于开展供应链体系</w:t>
      </w:r>
      <w:r>
        <w:rPr>
          <w:w w:val="99"/>
        </w:rPr>
        <w:t> </w:t>
      </w:r>
      <w:r>
        <w:rPr>
          <w:spacing w:val="-6"/>
          <w:w w:val="99"/>
        </w:rPr>
        <w:t>建设工作的通知》，明确提出通过建设重要产品追溯体系，来提高供应链产品质</w:t>
      </w:r>
      <w:r>
        <w:rPr>
          <w:spacing w:val="-114"/>
          <w:w w:val="99"/>
        </w:rPr>
        <w:t> </w:t>
      </w:r>
      <w:r>
        <w:rPr>
          <w:spacing w:val="-114"/>
          <w:w w:val="99"/>
        </w:rPr>
      </w:r>
      <w:r>
        <w:rPr/>
        <w:t>量保障能力。</w:t>
      </w:r>
      <w:r>
        <w:rPr>
          <w:b w:val="0"/>
          <w:bCs w:val="0"/>
        </w:rPr>
      </w:r>
    </w:p>
    <w:p>
      <w:pPr>
        <w:spacing w:after="0" w:line="398" w:lineRule="auto"/>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400" w:lineRule="auto" w:before="13"/>
        <w:ind w:right="985" w:firstLine="562"/>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2 </w:t>
      </w:r>
      <w:r>
        <w:rPr/>
        <w:t>月商务部、工业和信息化部</w:t>
      </w:r>
      <w:r>
        <w:rPr>
          <w:spacing w:val="-74"/>
        </w:rPr>
        <w:t> </w:t>
      </w:r>
      <w:r>
        <w:rPr/>
        <w:t>、公安部、农业部、质检总局、</w:t>
      </w:r>
      <w:r>
        <w:rPr>
          <w:w w:val="99"/>
        </w:rPr>
        <w:t> </w:t>
      </w:r>
      <w:r>
        <w:rPr>
          <w:spacing w:val="3"/>
        </w:rPr>
        <w:t>安全监管总局、食品药品监管总局发布《关于推进重要产品信息化追溯体系建</w:t>
      </w:r>
      <w:r>
        <w:rPr>
          <w:w w:val="99"/>
        </w:rPr>
        <w:t> </w:t>
      </w:r>
      <w:r>
        <w:rPr>
          <w:spacing w:val="-15"/>
          <w:w w:val="99"/>
        </w:rPr>
        <w:t>设的指导意见》，</w:t>
      </w:r>
      <w:r>
        <w:rPr>
          <w:rFonts w:ascii="Times New Roman" w:hAnsi="Times New Roman" w:cs="Times New Roman" w:eastAsia="Times New Roman" w:hint="default"/>
          <w:spacing w:val="-15"/>
          <w:w w:val="99"/>
        </w:rPr>
        <w:t>2017</w:t>
      </w:r>
      <w:r>
        <w:rPr>
          <w:rFonts w:ascii="Times New Roman" w:hAnsi="Times New Roman" w:cs="Times New Roman" w:eastAsia="Times New Roman" w:hint="default"/>
          <w:w w:val="99"/>
        </w:rPr>
        <w:t> </w:t>
      </w:r>
      <w:r>
        <w:rPr>
          <w:w w:val="99"/>
        </w:rPr>
        <w:t>年 </w:t>
      </w:r>
      <w:r>
        <w:rPr>
          <w:rFonts w:ascii="Times New Roman" w:hAnsi="Times New Roman" w:cs="Times New Roman" w:eastAsia="Times New Roman" w:hint="default"/>
          <w:w w:val="99"/>
        </w:rPr>
        <w:t>10 </w:t>
      </w:r>
      <w:r>
        <w:rPr>
          <w:spacing w:val="-2"/>
          <w:w w:val="99"/>
        </w:rPr>
        <w:t>月质检总局、商务部等十部门联合印发</w:t>
      </w:r>
      <w:r>
        <w:rPr>
          <w:spacing w:val="-103"/>
          <w:w w:val="99"/>
        </w:rPr>
        <w:t> </w:t>
      </w:r>
      <w:r>
        <w:rPr>
          <w:w w:val="99"/>
        </w:rPr>
        <w:t>《关于开展</w:t>
      </w:r>
      <w:r>
        <w:rPr>
          <w:w w:val="99"/>
        </w:rPr>
        <w:t> </w:t>
      </w:r>
      <w:r>
        <w:rPr/>
        <w:t>重要产品追溯标准化工作的指导意见》</w:t>
      </w:r>
      <w:r>
        <w:rPr>
          <w:spacing w:val="-51"/>
        </w:rPr>
        <w:t> </w:t>
      </w:r>
      <w:r>
        <w:rPr/>
        <w:t>，这两个指导意见对全国产品追溯信息</w:t>
      </w:r>
      <w:r>
        <w:rPr>
          <w:w w:val="99"/>
        </w:rPr>
        <w:t> </w:t>
      </w:r>
      <w:r>
        <w:rPr/>
        <w:t>化体系建设工作在</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t>年的目标提出了明确的要求：到</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t>年，初步建成全</w:t>
      </w:r>
      <w:r>
        <w:rPr>
          <w:w w:val="99"/>
        </w:rPr>
        <w:t> </w:t>
      </w:r>
      <w:r>
        <w:rPr>
          <w:spacing w:val="3"/>
        </w:rPr>
        <w:t>国上下一体、协同运作的重要产品追溯管理体制、统一协调的追溯标准体系和</w:t>
      </w:r>
      <w:r>
        <w:rPr>
          <w:w w:val="99"/>
        </w:rPr>
        <w:t> </w:t>
      </w:r>
      <w:r>
        <w:rPr>
          <w:spacing w:val="-5"/>
          <w:w w:val="99"/>
        </w:rPr>
        <w:t>追溯信息服务体系。新《食品安全法》的修订与多份重要《意见》、《通知》的</w:t>
      </w:r>
      <w:r>
        <w:rPr>
          <w:spacing w:val="-136"/>
          <w:w w:val="99"/>
        </w:rPr>
        <w:t> </w:t>
      </w:r>
      <w:r>
        <w:rPr>
          <w:spacing w:val="-136"/>
          <w:w w:val="99"/>
        </w:rPr>
      </w:r>
      <w:r>
        <w:rPr>
          <w:spacing w:val="-2"/>
          <w:w w:val="95"/>
        </w:rPr>
        <w:t>连续出台，不仅体现了我国政府对食品安全与追溯体系建设的持续性、有效性、</w:t>
      </w:r>
      <w:r>
        <w:rPr>
          <w:spacing w:val="65"/>
          <w:w w:val="95"/>
        </w:rPr>
        <w:t> </w:t>
      </w:r>
      <w:r>
        <w:rPr>
          <w:spacing w:val="65"/>
          <w:w w:val="95"/>
        </w:rPr>
      </w:r>
      <w:r>
        <w:rPr>
          <w:spacing w:val="-2"/>
          <w:w w:val="95"/>
        </w:rPr>
        <w:t>延展性、深入性，而且对食品安全全程追溯与企业主体监管提出了更高的要求，</w:t>
      </w:r>
      <w:r>
        <w:rPr>
          <w:spacing w:val="63"/>
          <w:w w:val="95"/>
        </w:rPr>
        <w:t> </w:t>
      </w:r>
      <w:r>
        <w:rPr>
          <w:spacing w:val="63"/>
          <w:w w:val="95"/>
        </w:rPr>
      </w:r>
      <w:r>
        <w:rPr/>
        <w:t>也为公司食品安全全程追溯领域的布局创造了更大的空间；同时根据国家</w:t>
      </w:r>
      <w:r>
        <w:rPr>
          <w:spacing w:val="-59"/>
        </w:rPr>
        <w:t> </w:t>
      </w:r>
      <w:r>
        <w:rPr>
          <w:rFonts w:ascii="Times New Roman" w:hAnsi="Times New Roman" w:cs="Times New Roman" w:eastAsia="Times New Roman" w:hint="default"/>
        </w:rPr>
        <w:t>2020</w:t>
      </w:r>
      <w:r>
        <w:rPr>
          <w:rFonts w:ascii="Times New Roman" w:hAnsi="Times New Roman" w:cs="Times New Roman" w:eastAsia="Times New Roman" w:hint="default"/>
          <w:w w:val="99"/>
        </w:rPr>
        <w:t> </w:t>
      </w:r>
      <w:r>
        <w:rPr>
          <w:spacing w:val="3"/>
        </w:rPr>
        <w:t>年对产品追溯信息化目标的要求，不排除可能会产生更广泛领域的行业竞争以</w:t>
      </w:r>
      <w:r>
        <w:rPr>
          <w:w w:val="99"/>
        </w:rPr>
        <w:t> </w:t>
      </w:r>
      <w:r>
        <w:rPr/>
        <w:t>及数据标准化体系建设方面的不可控影响。</w:t>
      </w:r>
      <w:r>
        <w:rPr>
          <w:b w:val="0"/>
          <w:bCs w:val="0"/>
        </w:rPr>
      </w:r>
    </w:p>
    <w:p>
      <w:pPr>
        <w:pStyle w:val="Heading2"/>
        <w:spacing w:line="240" w:lineRule="auto" w:before="169"/>
        <w:ind w:left="1696" w:right="985"/>
        <w:jc w:val="left"/>
        <w:rPr>
          <w:b w:val="0"/>
          <w:bCs w:val="0"/>
        </w:rPr>
      </w:pPr>
      <w:r>
        <w:rPr>
          <w:rFonts w:ascii="Times New Roman" w:hAnsi="Times New Roman" w:cs="Times New Roman" w:eastAsia="Times New Roman" w:hint="default"/>
        </w:rPr>
        <w:t>3</w:t>
      </w:r>
      <w:r>
        <w:rPr/>
        <w:t>、档案信息化领域</w:t>
      </w:r>
      <w:r>
        <w:rPr>
          <w:b w:val="0"/>
          <w:bCs w:val="0"/>
        </w:rPr>
      </w:r>
    </w:p>
    <w:p>
      <w:pPr>
        <w:spacing w:line="240" w:lineRule="auto" w:before="9"/>
        <w:rPr>
          <w:rFonts w:ascii="宋体" w:hAnsi="宋体" w:cs="宋体" w:eastAsia="宋体" w:hint="default"/>
          <w:b/>
          <w:bCs/>
          <w:sz w:val="25"/>
          <w:szCs w:val="25"/>
        </w:rPr>
      </w:pPr>
    </w:p>
    <w:p>
      <w:pPr>
        <w:pStyle w:val="Heading2"/>
        <w:spacing w:line="398" w:lineRule="auto"/>
        <w:ind w:right="1134" w:firstLine="562"/>
        <w:jc w:val="both"/>
        <w:rPr>
          <w:b w:val="0"/>
          <w:bCs w:val="0"/>
        </w:rPr>
      </w:pPr>
      <w:r>
        <w:rPr>
          <w:rFonts w:ascii="Times New Roman" w:hAnsi="Times New Roman" w:cs="Times New Roman" w:eastAsia="Times New Roman" w:hint="default"/>
          <w:spacing w:val="-2"/>
          <w:w w:val="99"/>
        </w:rPr>
        <w:t>1</w:t>
      </w:r>
      <w:r>
        <w:rPr>
          <w:spacing w:val="-2"/>
          <w:w w:val="99"/>
        </w:rPr>
        <w:t>）《全国档案事业发展</w:t>
      </w:r>
      <w:r>
        <w:rPr>
          <w:rFonts w:ascii="Times New Roman" w:hAnsi="Times New Roman" w:cs="Times New Roman" w:eastAsia="Times New Roman" w:hint="default"/>
          <w:spacing w:val="-2"/>
          <w:w w:val="99"/>
        </w:rPr>
        <w:t>"</w:t>
      </w:r>
      <w:r>
        <w:rPr>
          <w:spacing w:val="-2"/>
          <w:w w:val="99"/>
        </w:rPr>
        <w:t>十三五</w:t>
      </w:r>
      <w:r>
        <w:rPr>
          <w:rFonts w:ascii="Times New Roman" w:hAnsi="Times New Roman" w:cs="Times New Roman" w:eastAsia="Times New Roman" w:hint="default"/>
          <w:spacing w:val="-2"/>
          <w:w w:val="99"/>
        </w:rPr>
        <w:t>"</w:t>
      </w:r>
      <w:r>
        <w:rPr>
          <w:spacing w:val="-2"/>
          <w:w w:val="99"/>
        </w:rPr>
        <w:t>规划纲要》确定了档案事业发展的指导思</w:t>
      </w:r>
      <w:r>
        <w:rPr>
          <w:w w:val="99"/>
        </w:rPr>
        <w:t> </w:t>
      </w:r>
      <w:r>
        <w:rPr>
          <w:spacing w:val="-11"/>
        </w:rPr>
        <w:t>想和目标：到</w:t>
      </w:r>
      <w:r>
        <w:rPr>
          <w:spacing w:val="-10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7"/>
        </w:rPr>
        <w:t> </w:t>
      </w:r>
      <w:r>
        <w:rPr/>
        <w:t>年，实现以信息化为核心的档案管理现代化</w:t>
      </w:r>
      <w:r>
        <w:rPr>
          <w:rFonts w:ascii="Times New Roman" w:hAnsi="Times New Roman" w:cs="Times New Roman" w:eastAsia="Times New Roman" w:hint="default"/>
        </w:rPr>
        <w:t>,</w:t>
      </w:r>
      <w:r>
        <w:rPr/>
        <w:t>加快档案管理信</w:t>
      </w:r>
      <w:r>
        <w:rPr>
          <w:w w:val="99"/>
        </w:rPr>
        <w:t> </w:t>
      </w:r>
      <w:r>
        <w:rPr>
          <w:spacing w:val="-3"/>
        </w:rPr>
        <w:t>息化进程</w:t>
      </w:r>
      <w:r>
        <w:rPr>
          <w:rFonts w:ascii="Times New Roman" w:hAnsi="Times New Roman" w:cs="Times New Roman" w:eastAsia="Times New Roman" w:hint="default"/>
          <w:spacing w:val="-3"/>
        </w:rPr>
        <w:t>,</w:t>
      </w:r>
      <w:r>
        <w:rPr>
          <w:spacing w:val="-3"/>
        </w:rPr>
        <w:t>持续推进数字档案馆建设，全国</w:t>
      </w:r>
      <w:r>
        <w:rPr>
          <w:spacing w:val="-89"/>
        </w:rPr>
        <w:t> </w:t>
      </w:r>
      <w:r>
        <w:rPr>
          <w:rFonts w:ascii="Times New Roman" w:hAnsi="Times New Roman" w:cs="Times New Roman" w:eastAsia="Times New Roman" w:hint="default"/>
        </w:rPr>
        <w:t>50%</w:t>
      </w:r>
      <w:r>
        <w:rPr/>
        <w:t>的县建成数字档案馆或启动数字</w:t>
      </w:r>
      <w:r>
        <w:rPr>
          <w:w w:val="99"/>
        </w:rPr>
        <w:t> </w:t>
      </w:r>
      <w:r>
        <w:rPr>
          <w:spacing w:val="3"/>
          <w:w w:val="95"/>
        </w:rPr>
        <w:t>档案馆建设项目，全国省级、地市级和县级国家综合档案馆馆藏永久档案数字</w:t>
      </w:r>
      <w:r>
        <w:rPr>
          <w:spacing w:val="23"/>
          <w:w w:val="95"/>
        </w:rPr>
        <w:t> </w:t>
      </w:r>
      <w:r>
        <w:rPr>
          <w:spacing w:val="23"/>
          <w:w w:val="95"/>
        </w:rPr>
      </w:r>
      <w:r>
        <w:rPr/>
        <w:t>化的比例，分别达到</w:t>
      </w:r>
      <w:r>
        <w:rPr>
          <w:spacing w:val="-99"/>
        </w:rPr>
        <w:t> </w:t>
      </w:r>
      <w:r>
        <w:rPr>
          <w:rFonts w:ascii="Times New Roman" w:hAnsi="Times New Roman" w:cs="Times New Roman" w:eastAsia="Times New Roman" w:hint="default"/>
        </w:rPr>
        <w:t>30</w:t>
      </w:r>
      <w:r>
        <w:rPr>
          <w:rFonts w:ascii="Times New Roman" w:hAnsi="Times New Roman" w:cs="Times New Roman" w:eastAsia="Times New Roman" w:hint="default"/>
        </w:rPr>
        <w:t>—</w:t>
      </w:r>
      <w:r>
        <w:rPr>
          <w:rFonts w:ascii="Times New Roman" w:hAnsi="Times New Roman" w:cs="Times New Roman" w:eastAsia="Times New Roman" w:hint="default"/>
        </w:rPr>
        <w:t>60%</w:t>
      </w:r>
      <w:r>
        <w:rPr/>
        <w:t>、</w:t>
      </w:r>
      <w:r>
        <w:rPr>
          <w:rFonts w:ascii="Times New Roman" w:hAnsi="Times New Roman" w:cs="Times New Roman" w:eastAsia="Times New Roman" w:hint="default"/>
        </w:rPr>
        <w:t>40</w:t>
      </w:r>
      <w:r>
        <w:rPr>
          <w:rFonts w:ascii="Times New Roman" w:hAnsi="Times New Roman" w:cs="Times New Roman" w:eastAsia="Times New Roman" w:hint="default"/>
        </w:rPr>
        <w:t>—</w:t>
      </w:r>
      <w:r>
        <w:rPr>
          <w:rFonts w:ascii="Times New Roman" w:hAnsi="Times New Roman" w:cs="Times New Roman" w:eastAsia="Times New Roman" w:hint="default"/>
        </w:rPr>
        <w:t>75%</w:t>
      </w:r>
      <w:r>
        <w:rPr/>
        <w:t>和</w:t>
      </w:r>
      <w:r>
        <w:rPr>
          <w:spacing w:val="-101"/>
        </w:rPr>
        <w:t> </w:t>
      </w:r>
      <w:r>
        <w:rPr>
          <w:rFonts w:ascii="Times New Roman" w:hAnsi="Times New Roman" w:cs="Times New Roman" w:eastAsia="Times New Roman" w:hint="default"/>
        </w:rPr>
        <w:t>25</w:t>
      </w:r>
      <w:r>
        <w:rPr>
          <w:rFonts w:ascii="Times New Roman" w:hAnsi="Times New Roman" w:cs="Times New Roman" w:eastAsia="Times New Roman" w:hint="default"/>
        </w:rPr>
        <w:t>—</w:t>
      </w:r>
      <w:r>
        <w:rPr>
          <w:rFonts w:ascii="Times New Roman" w:hAnsi="Times New Roman" w:cs="Times New Roman" w:eastAsia="Times New Roman" w:hint="default"/>
        </w:rPr>
        <w:t>50%</w:t>
      </w:r>
      <w:r>
        <w:rPr/>
        <w:t>。编制数字档案馆业务系</w:t>
      </w:r>
      <w:r>
        <w:rPr>
          <w:w w:val="99"/>
        </w:rPr>
        <w:t> </w:t>
      </w:r>
      <w:r>
        <w:rPr>
          <w:spacing w:val="3"/>
          <w:w w:val="95"/>
        </w:rPr>
        <w:t>统功能需求标准；采用大数据、智慧管理、智能楼宇管理等技术，提高档案馆</w:t>
      </w:r>
      <w:r>
        <w:rPr>
          <w:spacing w:val="23"/>
          <w:w w:val="95"/>
        </w:rPr>
        <w:t> </w:t>
      </w:r>
      <w:r>
        <w:rPr>
          <w:spacing w:val="23"/>
          <w:w w:val="95"/>
        </w:rPr>
      </w:r>
      <w:r>
        <w:rPr>
          <w:spacing w:val="3"/>
          <w:w w:val="95"/>
        </w:rPr>
        <w:t>业务信息化和档案信息资源深度开发与服务水平；开展企业示范数字档案馆建</w:t>
      </w:r>
      <w:r>
        <w:rPr>
          <w:spacing w:val="23"/>
          <w:w w:val="95"/>
        </w:rPr>
        <w:t> </w:t>
      </w:r>
      <w:r>
        <w:rPr>
          <w:spacing w:val="23"/>
          <w:w w:val="95"/>
        </w:rPr>
      </w:r>
      <w:r>
        <w:rPr>
          <w:spacing w:val="3"/>
          <w:w w:val="95"/>
        </w:rPr>
        <w:t>设，建成一批具有国际先进水平的企业数字档案馆；适时启动国家级电子（数</w:t>
      </w:r>
      <w:r>
        <w:rPr>
          <w:spacing w:val="23"/>
          <w:w w:val="95"/>
        </w:rPr>
        <w:t> </w:t>
      </w:r>
      <w:r>
        <w:rPr>
          <w:spacing w:val="23"/>
          <w:w w:val="95"/>
        </w:rPr>
      </w:r>
      <w:r>
        <w:rPr/>
        <w:t>字）档案馆系统项目建设。</w:t>
      </w:r>
      <w:r>
        <w:rPr>
          <w:b w:val="0"/>
          <w:bCs w:val="0"/>
        </w:rPr>
      </w:r>
    </w:p>
    <w:p>
      <w:pPr>
        <w:spacing w:after="0" w:line="398" w:lineRule="auto"/>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396" w:lineRule="auto" w:before="13"/>
        <w:ind w:right="985" w:firstLine="562"/>
        <w:jc w:val="left"/>
        <w:rPr>
          <w:b w:val="0"/>
          <w:bCs w:val="0"/>
        </w:rPr>
      </w:pPr>
      <w:r>
        <w:rPr>
          <w:rFonts w:ascii="Times New Roman" w:hAnsi="Times New Roman" w:cs="Times New Roman" w:eastAsia="Times New Roman" w:hint="default"/>
        </w:rPr>
        <w:t>2</w:t>
      </w:r>
      <w:r>
        <w:rPr/>
        <w:t>）作为</w:t>
      </w:r>
      <w:r>
        <w:rPr>
          <w:rFonts w:ascii="Times New Roman" w:hAnsi="Times New Roman" w:cs="Times New Roman" w:eastAsia="Times New Roman" w:hint="default"/>
        </w:rPr>
        <w:t>“</w:t>
      </w:r>
      <w:r>
        <w:rPr/>
        <w:t>档案十三五</w:t>
      </w:r>
      <w:r>
        <w:rPr>
          <w:rFonts w:ascii="Times New Roman" w:hAnsi="Times New Roman" w:cs="Times New Roman" w:eastAsia="Times New Roman" w:hint="default"/>
        </w:rPr>
        <w:t>”</w:t>
      </w:r>
      <w:r>
        <w:rPr/>
        <w:t>规划纲要实施的第二年，国家档案局先后出台了一系</w:t>
      </w:r>
      <w:r>
        <w:rPr>
          <w:w w:val="99"/>
        </w:rPr>
        <w:t> </w:t>
      </w:r>
      <w:r>
        <w:rPr>
          <w:spacing w:val="3"/>
        </w:rPr>
        <w:t>列政策法规来指导相关档案工作。其中，印发了《企业数字档案馆（室）建设</w:t>
      </w:r>
      <w:r>
        <w:rPr>
          <w:w w:val="99"/>
        </w:rPr>
        <w:t> </w:t>
      </w:r>
      <w:r>
        <w:rPr>
          <w:spacing w:val="3"/>
        </w:rPr>
        <w:t>指南》来加强对企业数字档案馆（室）建设工作的指导；出台了《村级档案管</w:t>
      </w:r>
      <w:r>
        <w:rPr>
          <w:w w:val="99"/>
        </w:rPr>
        <w:t> </w:t>
      </w:r>
      <w:r>
        <w:rPr/>
        <w:t>理办法》来加强农村档案工作</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规范村级档案管理，服务新形势下的农村工作。</w:t>
      </w:r>
      <w:r>
        <w:rPr>
          <w:w w:val="99"/>
        </w:rPr>
        <w:t> </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规划的发布促进了档案事业的科学发展，国家政策的持续推进可能会</w:t>
      </w:r>
      <w:r>
        <w:rPr>
          <w:w w:val="99"/>
        </w:rPr>
        <w:t> </w:t>
      </w:r>
      <w:r>
        <w:rPr/>
        <w:t>对档案信息化领域的业务总量产生不可控影响。在</w:t>
      </w:r>
      <w:r>
        <w:rPr>
          <w:spacing w:val="-7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spacing w:val="-3"/>
        </w:rPr>
        <w:t>年档案工作中，企业数</w:t>
      </w:r>
      <w:r>
        <w:rPr>
          <w:w w:val="99"/>
        </w:rPr>
        <w:t> </w:t>
      </w:r>
      <w:r>
        <w:rPr>
          <w:spacing w:val="3"/>
        </w:rPr>
        <w:t>字档案馆（室）建设以及与基层组织的档案管理工作相关的市场容量将会进一</w:t>
      </w:r>
      <w:r>
        <w:rPr>
          <w:w w:val="99"/>
        </w:rPr>
        <w:t> </w:t>
      </w:r>
      <w:r>
        <w:rPr/>
        <w:t>步扩大。</w:t>
      </w:r>
      <w:r>
        <w:rPr>
          <w:b w:val="0"/>
          <w:bCs w:val="0"/>
        </w:rPr>
      </w:r>
    </w:p>
    <w:p>
      <w:pPr>
        <w:pStyle w:val="Heading2"/>
        <w:spacing w:line="240" w:lineRule="auto" w:before="175"/>
        <w:ind w:left="1695" w:right="985"/>
        <w:jc w:val="left"/>
        <w:rPr>
          <w:b w:val="0"/>
          <w:bCs w:val="0"/>
        </w:rPr>
      </w:pPr>
      <w:r>
        <w:rPr>
          <w:rFonts w:ascii="Times New Roman" w:hAnsi="Times New Roman" w:cs="Times New Roman" w:eastAsia="Times New Roman" w:hint="default"/>
        </w:rPr>
        <w:t>4</w:t>
      </w:r>
      <w:r>
        <w:rPr/>
        <w:t>、政法信息化领域</w:t>
      </w:r>
      <w:r>
        <w:rPr>
          <w:b w:val="0"/>
          <w:bCs w:val="0"/>
        </w:rPr>
      </w:r>
    </w:p>
    <w:p>
      <w:pPr>
        <w:spacing w:line="240" w:lineRule="auto" w:before="9"/>
        <w:rPr>
          <w:rFonts w:ascii="宋体" w:hAnsi="宋体" w:cs="宋体" w:eastAsia="宋体" w:hint="default"/>
          <w:b/>
          <w:bCs/>
          <w:sz w:val="25"/>
          <w:szCs w:val="25"/>
        </w:rPr>
      </w:pPr>
    </w:p>
    <w:p>
      <w:pPr>
        <w:pStyle w:val="Heading2"/>
        <w:spacing w:line="403" w:lineRule="auto"/>
        <w:ind w:right="1141" w:firstLine="562"/>
        <w:jc w:val="both"/>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7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月十九大会议明确指出：司法行政机关作为国家法治建设的</w:t>
      </w:r>
      <w:r>
        <w:rPr>
          <w:w w:val="99"/>
        </w:rPr>
        <w:t> </w:t>
      </w:r>
      <w:r>
        <w:rPr>
          <w:spacing w:val="3"/>
          <w:w w:val="95"/>
        </w:rPr>
        <w:t>一支重要力量，要深刻把握新时代新使命，切实把思想和行动统一到党的十九</w:t>
      </w:r>
      <w:r>
        <w:rPr>
          <w:spacing w:val="23"/>
          <w:w w:val="95"/>
        </w:rPr>
        <w:t> </w:t>
      </w:r>
      <w:r>
        <w:rPr>
          <w:spacing w:val="23"/>
          <w:w w:val="95"/>
        </w:rPr>
      </w:r>
      <w:r>
        <w:rPr>
          <w:spacing w:val="3"/>
          <w:w w:val="95"/>
        </w:rPr>
        <w:t>大精神上来，坚决落实深化依法治国实践的各项要求，加快推进司法行政改革</w:t>
      </w:r>
      <w:r>
        <w:rPr>
          <w:spacing w:val="23"/>
          <w:w w:val="95"/>
        </w:rPr>
        <w:t> </w:t>
      </w:r>
      <w:r>
        <w:rPr>
          <w:spacing w:val="23"/>
          <w:w w:val="95"/>
        </w:rPr>
      </w:r>
      <w:r>
        <w:rPr>
          <w:spacing w:val="3"/>
          <w:w w:val="95"/>
        </w:rPr>
        <w:t>发展，不断开创新时代司法行政改革发展新局面，为实现国家治理体系和治理</w:t>
      </w:r>
      <w:r>
        <w:rPr>
          <w:spacing w:val="23"/>
          <w:w w:val="95"/>
        </w:rPr>
        <w:t> </w:t>
      </w:r>
      <w:r>
        <w:rPr>
          <w:spacing w:val="23"/>
          <w:w w:val="95"/>
        </w:rPr>
      </w:r>
      <w:r>
        <w:rPr/>
        <w:t>能力现代化提供有力的法治保障。</w:t>
      </w:r>
      <w:r>
        <w:rPr>
          <w:b w:val="0"/>
          <w:bCs w:val="0"/>
        </w:rPr>
      </w:r>
    </w:p>
    <w:p>
      <w:pPr>
        <w:pStyle w:val="Heading2"/>
        <w:spacing w:line="396" w:lineRule="auto" w:before="165"/>
        <w:ind w:right="985" w:firstLine="562"/>
        <w:jc w:val="left"/>
        <w:rPr>
          <w:b w:val="0"/>
          <w:bCs w:val="0"/>
        </w:rPr>
      </w:pPr>
      <w:r>
        <w:rPr>
          <w:rFonts w:ascii="Times New Roman" w:hAnsi="Times New Roman" w:cs="Times New Roman" w:eastAsia="Times New Roman" w:hint="default"/>
          <w:spacing w:val="-15"/>
        </w:rPr>
        <w:t>2</w:t>
      </w:r>
      <w:r>
        <w:rPr>
          <w:spacing w:val="-15"/>
        </w:rPr>
        <w:t>）</w:t>
      </w:r>
      <w:r>
        <w:rPr>
          <w:rFonts w:ascii="Times New Roman" w:hAnsi="Times New Roman" w:cs="Times New Roman" w:eastAsia="Times New Roman" w:hint="default"/>
          <w:spacing w:val="-15"/>
        </w:rPr>
        <w:t>2017</w:t>
      </w:r>
      <w:r>
        <w:rPr>
          <w:rFonts w:ascii="Times New Roman" w:hAnsi="Times New Roman" w:cs="Times New Roman" w:eastAsia="Times New Roman" w:hint="default"/>
          <w:spacing w:val="-10"/>
        </w:rPr>
        <w:t> </w:t>
      </w:r>
      <w:r>
        <w:rPr/>
        <w:t>年</w:t>
      </w:r>
      <w:r>
        <w:rPr>
          <w:spacing w:val="-79"/>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6"/>
        </w:rPr>
        <w:t>月司法部印发《</w:t>
      </w:r>
      <w:r>
        <w:rPr>
          <w:rFonts w:ascii="Times New Roman" w:hAnsi="Times New Roman" w:cs="Times New Roman" w:eastAsia="Times New Roman" w:hint="default"/>
          <w:spacing w:val="-6"/>
        </w:rPr>
        <w:t>“</w:t>
      </w:r>
      <w:r>
        <w:rPr>
          <w:spacing w:val="-6"/>
        </w:rPr>
        <w:t>十三五</w:t>
      </w:r>
      <w:r>
        <w:rPr>
          <w:rFonts w:ascii="Times New Roman" w:hAnsi="Times New Roman" w:cs="Times New Roman" w:eastAsia="Times New Roman" w:hint="default"/>
          <w:spacing w:val="-6"/>
        </w:rPr>
        <w:t>”</w:t>
      </w:r>
      <w:r>
        <w:rPr>
          <w:spacing w:val="-6"/>
        </w:rPr>
        <w:t>全国司法行政信息化发展规划》通知，</w:t>
      </w:r>
      <w:r>
        <w:rPr>
          <w:w w:val="99"/>
        </w:rPr>
        <w:t> </w:t>
      </w:r>
      <w:r>
        <w:rPr/>
        <w:t>强调到</w:t>
      </w:r>
      <w:r>
        <w:rPr>
          <w:spacing w:val="-9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0"/>
        </w:rPr>
        <w:t> </w:t>
      </w:r>
      <w:r>
        <w:rPr/>
        <w:t>年，建立网络纵横贯通、信息及时全面、硬件高效集约、技术成熟</w:t>
      </w:r>
      <w:r>
        <w:rPr>
          <w:w w:val="99"/>
        </w:rPr>
        <w:t> </w:t>
      </w:r>
      <w:r>
        <w:rPr>
          <w:spacing w:val="-2"/>
        </w:rPr>
        <w:t>先进、标准科学统一的司法行政信息化体系，建成全国统一的司法行政数据库、</w:t>
      </w:r>
      <w:r>
        <w:rPr>
          <w:w w:val="99"/>
        </w:rPr>
        <w:t> </w:t>
      </w:r>
      <w:r>
        <w:rPr>
          <w:spacing w:val="3"/>
        </w:rPr>
        <w:t>应急指挥体系，建成涵盖司法行政各项业务的</w:t>
      </w:r>
      <w:r>
        <w:rPr>
          <w:rFonts w:ascii="Times New Roman" w:hAnsi="Times New Roman" w:cs="Times New Roman" w:eastAsia="Times New Roman" w:hint="default"/>
          <w:spacing w:val="3"/>
        </w:rPr>
        <w:t>“</w:t>
      </w:r>
      <w:r>
        <w:rPr>
          <w:spacing w:val="3"/>
        </w:rPr>
        <w:t>一站式</w:t>
      </w:r>
      <w:r>
        <w:rPr>
          <w:rFonts w:ascii="Times New Roman" w:hAnsi="Times New Roman" w:cs="Times New Roman" w:eastAsia="Times New Roman" w:hint="default"/>
          <w:spacing w:val="3"/>
        </w:rPr>
        <w:t>”</w:t>
      </w:r>
      <w:r>
        <w:rPr>
          <w:spacing w:val="3"/>
        </w:rPr>
        <w:t>司法行政信息化综合管</w:t>
      </w:r>
      <w:r>
        <w:rPr>
          <w:w w:val="99"/>
        </w:rPr>
        <w:t> </w:t>
      </w:r>
      <w:r>
        <w:rPr>
          <w:spacing w:val="3"/>
        </w:rPr>
        <w:t>理平台，形成综合集成、业务协同、信息共享的司法行政信息化工作格局，实</w:t>
      </w:r>
      <w:r>
        <w:rPr>
          <w:w w:val="99"/>
        </w:rPr>
        <w:t> </w:t>
      </w:r>
      <w:r>
        <w:rPr/>
        <w:t>现信息化与司法行政的深度融合。</w:t>
      </w:r>
      <w:r>
        <w:rPr>
          <w:b w:val="0"/>
          <w:bCs w:val="0"/>
        </w:rPr>
      </w:r>
    </w:p>
    <w:p>
      <w:pPr>
        <w:pStyle w:val="Heading2"/>
        <w:spacing w:line="240" w:lineRule="auto" w:before="174"/>
        <w:ind w:left="1695" w:right="985"/>
        <w:jc w:val="left"/>
        <w:rPr>
          <w:b w:val="0"/>
          <w:bCs w:val="0"/>
        </w:rPr>
      </w:pPr>
      <w:r>
        <w:rPr>
          <w:spacing w:val="3"/>
        </w:rPr>
        <w:t>国家多重政策的大力支持，为公司在政法行业信息化建设业务提供广阔的</w:t>
      </w:r>
      <w:r>
        <w:rPr>
          <w:b w:val="0"/>
          <w:bCs w:val="0"/>
          <w:spacing w:val="3"/>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410" w:lineRule="auto" w:before="13"/>
        <w:ind w:left="0" w:right="1136"/>
        <w:jc w:val="right"/>
        <w:rPr>
          <w:b w:val="0"/>
          <w:bCs w:val="0"/>
        </w:rPr>
      </w:pPr>
      <w:r>
        <w:rPr>
          <w:spacing w:val="3"/>
          <w:w w:val="95"/>
        </w:rPr>
        <w:t>市场前景，为建成覆盖公安、检察、法院、司法全政法行业的社会法治文明生</w:t>
      </w:r>
      <w:r>
        <w:rPr>
          <w:spacing w:val="132"/>
          <w:w w:val="95"/>
        </w:rPr>
        <w:t> </w:t>
      </w:r>
      <w:r>
        <w:rPr>
          <w:spacing w:val="132"/>
          <w:w w:val="95"/>
        </w:rPr>
      </w:r>
      <w:r>
        <w:rPr>
          <w:spacing w:val="3"/>
          <w:w w:val="95"/>
        </w:rPr>
        <w:t>态圈提供了法律保障。国家政策对司法行政机关信息化建设的要求不排除会加</w:t>
      </w:r>
      <w:r>
        <w:rPr>
          <w:spacing w:val="132"/>
          <w:w w:val="95"/>
        </w:rPr>
        <w:t> </w:t>
      </w:r>
      <w:r>
        <w:rPr>
          <w:spacing w:val="132"/>
          <w:w w:val="95"/>
        </w:rPr>
      </w:r>
      <w:r>
        <w:rPr>
          <w:w w:val="95"/>
        </w:rPr>
        <w:t>快政法行业信息化建设的进度，可能会造成地区业务竞争加剧的不可控影响。</w:t>
      </w:r>
      <w:r>
        <w:rPr>
          <w:b w:val="0"/>
          <w:bCs w:val="0"/>
        </w:rPr>
      </w:r>
    </w:p>
    <w:p>
      <w:pPr>
        <w:pStyle w:val="Heading2"/>
        <w:spacing w:line="408" w:lineRule="auto" w:before="157"/>
        <w:ind w:right="1136" w:firstLine="562"/>
        <w:jc w:val="both"/>
        <w:rPr>
          <w:b w:val="0"/>
          <w:bCs w:val="0"/>
        </w:rPr>
      </w:pPr>
      <w:r>
        <w:rPr>
          <w:spacing w:val="3"/>
          <w:w w:val="95"/>
        </w:rPr>
        <w:t>以上行业政策变动，若公司不能正确把握因国家最新政策变化导致的客户</w:t>
      </w:r>
      <w:r>
        <w:rPr>
          <w:w w:val="99"/>
        </w:rPr>
        <w:t> </w:t>
      </w:r>
      <w:r>
        <w:rPr>
          <w:spacing w:val="3"/>
          <w:w w:val="95"/>
        </w:rPr>
        <w:t>的需求动态，将可能使公司在激烈的市场竞争环境中处于被动地位，从而影响</w:t>
      </w:r>
      <w:r>
        <w:rPr>
          <w:spacing w:val="23"/>
          <w:w w:val="95"/>
        </w:rPr>
        <w:t> </w:t>
      </w:r>
      <w:r>
        <w:rPr>
          <w:spacing w:val="23"/>
          <w:w w:val="95"/>
        </w:rPr>
      </w:r>
      <w:r>
        <w:rPr/>
        <w:t>公司的经营业绩与长远发展。</w:t>
      </w:r>
      <w:r>
        <w:rPr>
          <w:b w:val="0"/>
          <w:bCs w:val="0"/>
        </w:rPr>
      </w:r>
    </w:p>
    <w:p>
      <w:pPr>
        <w:pStyle w:val="Heading2"/>
        <w:spacing w:line="240" w:lineRule="auto" w:before="162"/>
        <w:ind w:left="1695" w:right="985"/>
        <w:jc w:val="left"/>
        <w:rPr>
          <w:b w:val="0"/>
          <w:bCs w:val="0"/>
        </w:rPr>
      </w:pPr>
      <w:r>
        <w:rPr/>
        <w:t>（二）公司业务模式转型的风险</w:t>
      </w:r>
      <w:r>
        <w:rPr>
          <w:b w:val="0"/>
          <w:bCs w:val="0"/>
        </w:rPr>
      </w:r>
    </w:p>
    <w:p>
      <w:pPr>
        <w:spacing w:line="240" w:lineRule="auto" w:before="3"/>
        <w:rPr>
          <w:rFonts w:ascii="宋体" w:hAnsi="宋体" w:cs="宋体" w:eastAsia="宋体" w:hint="default"/>
          <w:b/>
          <w:bCs/>
          <w:sz w:val="27"/>
          <w:szCs w:val="27"/>
        </w:rPr>
      </w:pPr>
    </w:p>
    <w:p>
      <w:pPr>
        <w:pStyle w:val="Heading2"/>
        <w:spacing w:line="396" w:lineRule="auto"/>
        <w:ind w:right="999" w:firstLine="562"/>
        <w:jc w:val="left"/>
        <w:rPr>
          <w:b w:val="0"/>
          <w:bCs w:val="0"/>
        </w:rPr>
      </w:pPr>
      <w:r>
        <w:rPr/>
        <w:t>公司自</w:t>
      </w:r>
      <w:r>
        <w:rPr>
          <w:spacing w:val="-8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spacing w:val="-7"/>
        </w:rPr>
        <w:t>年年初起，就下定决心，进行业务转型，从政府机关客户为主，</w:t>
      </w:r>
      <w:r>
        <w:rPr>
          <w:w w:val="99"/>
        </w:rPr>
        <w:t> </w:t>
      </w:r>
      <w:r>
        <w:rPr/>
        <w:t>向企事业单位客户发展；从项目型销售向</w:t>
      </w:r>
      <w:r>
        <w:rPr>
          <w:spacing w:val="-76"/>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1"/>
        </w:rPr>
        <w:t> </w:t>
      </w:r>
      <w:r>
        <w:rPr/>
        <w:t>服务、产品销售为主进行转型，</w:t>
      </w:r>
      <w:r>
        <w:rPr>
          <w:w w:val="99"/>
        </w:rPr>
        <w:t> </w:t>
      </w:r>
      <w:r>
        <w:rPr/>
        <w:t>积极拥抱</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的战略发展。公司</w:t>
      </w:r>
      <w:r>
        <w:rPr>
          <w:spacing w:val="-7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spacing w:val="-4"/>
        </w:rPr>
        <w:t>年度、</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6"/>
        </w:rPr>
        <w:t> </w:t>
      </w:r>
      <w:r>
        <w:rPr>
          <w:spacing w:val="-4"/>
        </w:rPr>
        <w:t>年度、</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6"/>
        </w:rPr>
        <w:t> </w:t>
      </w:r>
      <w:r>
        <w:rPr/>
        <w:t>年度</w:t>
      </w:r>
      <w:r>
        <w:rPr>
          <w:spacing w:val="1"/>
          <w:w w:val="99"/>
        </w:rPr>
        <w:t> </w:t>
      </w:r>
      <w:r>
        <w:rPr/>
        <w:t>第四季度收入占比分别为 </w:t>
      </w:r>
      <w:r>
        <w:rPr>
          <w:rFonts w:ascii="Times New Roman" w:hAnsi="Times New Roman" w:cs="Times New Roman" w:eastAsia="Times New Roman" w:hint="default"/>
        </w:rPr>
        <w:t>49.33%</w:t>
      </w:r>
      <w:r>
        <w:rPr/>
        <w:t>、</w:t>
      </w:r>
      <w:r>
        <w:rPr>
          <w:rFonts w:ascii="Times New Roman" w:hAnsi="Times New Roman" w:cs="Times New Roman" w:eastAsia="Times New Roman" w:hint="default"/>
        </w:rPr>
        <w:t>42.58%</w:t>
      </w:r>
      <w:r>
        <w:rPr/>
        <w:t>、</w:t>
      </w:r>
      <w:r>
        <w:rPr>
          <w:rFonts w:ascii="Times New Roman" w:hAnsi="Times New Roman" w:cs="Times New Roman" w:eastAsia="Times New Roman" w:hint="default"/>
        </w:rPr>
        <w:t>38.69%</w:t>
      </w:r>
      <w:r>
        <w:rPr/>
        <w:t>，由此可见公司正在进行</w:t>
      </w:r>
      <w:r>
        <w:rPr>
          <w:spacing w:val="-134"/>
        </w:rPr>
        <w:t> </w:t>
      </w:r>
      <w:r>
        <w:rPr>
          <w:spacing w:val="-134"/>
        </w:rPr>
      </w:r>
      <w:r>
        <w:rPr>
          <w:spacing w:val="3"/>
        </w:rPr>
        <w:t>业务转型。目前政府客户虽然比例在持续下降，但绝对值还是比较大的，因此</w:t>
      </w:r>
      <w:r>
        <w:rPr>
          <w:w w:val="99"/>
        </w:rPr>
        <w:t> </w:t>
      </w:r>
      <w:r>
        <w:rPr>
          <w:spacing w:val="3"/>
        </w:rPr>
        <w:t>较大份额的营业收入，通常在下半年制定次年年度预算计划，预算审批通常集</w:t>
      </w:r>
      <w:r>
        <w:rPr>
          <w:w w:val="99"/>
        </w:rPr>
        <w:t> </w:t>
      </w:r>
      <w:r>
        <w:rPr>
          <w:spacing w:val="3"/>
        </w:rPr>
        <w:t>中在次年第一季度，采购招标多安排在第二、三、四季度，第四季度（尤其是</w:t>
      </w:r>
      <w:r>
        <w:rPr>
          <w:w w:val="99"/>
        </w:rPr>
        <w:t> </w:t>
      </w:r>
      <w:r>
        <w:rPr/>
        <w:t>年末）通常是验收和支付的高峰期。</w:t>
      </w:r>
      <w:r>
        <w:rPr>
          <w:b w:val="0"/>
          <w:bCs w:val="0"/>
        </w:rPr>
      </w:r>
    </w:p>
    <w:p>
      <w:pPr>
        <w:pStyle w:val="Heading2"/>
        <w:spacing w:line="472" w:lineRule="auto" w:before="175"/>
        <w:ind w:left="1696" w:right="985"/>
        <w:jc w:val="left"/>
        <w:rPr>
          <w:b w:val="0"/>
          <w:bCs w:val="0"/>
        </w:rPr>
      </w:pPr>
      <w:r>
        <w:rPr/>
        <w:t>（三）人力成本不断上升的风险</w:t>
      </w:r>
      <w:r>
        <w:rPr>
          <w:w w:val="99"/>
        </w:rPr>
        <w:t> </w:t>
      </w:r>
      <w:r>
        <w:rPr>
          <w:spacing w:val="3"/>
          <w:w w:val="95"/>
        </w:rPr>
        <w:t>人力成本是软件企业的重要经营成本。公司为了提高核心竞争力及提升自</w:t>
      </w:r>
      <w:r>
        <w:rPr>
          <w:b w:val="0"/>
          <w:bCs w:val="0"/>
          <w:spacing w:val="3"/>
        </w:rPr>
      </w:r>
    </w:p>
    <w:p>
      <w:pPr>
        <w:pStyle w:val="Heading2"/>
        <w:spacing w:line="408" w:lineRule="auto"/>
        <w:ind w:left="1134" w:right="1140"/>
        <w:jc w:val="both"/>
        <w:rPr>
          <w:b w:val="0"/>
          <w:bCs w:val="0"/>
        </w:rPr>
      </w:pPr>
      <w:r>
        <w:rPr>
          <w:spacing w:val="3"/>
          <w:w w:val="95"/>
        </w:rPr>
        <w:t>主创新能力，持续加大新技术、新产品的研发投入，加大高端复合性人才的引</w:t>
      </w:r>
      <w:r>
        <w:rPr>
          <w:spacing w:val="23"/>
          <w:w w:val="95"/>
        </w:rPr>
        <w:t> </w:t>
      </w:r>
      <w:r>
        <w:rPr>
          <w:spacing w:val="23"/>
          <w:w w:val="95"/>
        </w:rPr>
      </w:r>
      <w:r>
        <w:rPr>
          <w:spacing w:val="3"/>
          <w:w w:val="95"/>
        </w:rPr>
        <w:t>进，进而导致人力成本增加。另一方面，虽然公司一直致力于不断提高产品复</w:t>
      </w:r>
      <w:r>
        <w:rPr>
          <w:spacing w:val="23"/>
          <w:w w:val="95"/>
        </w:rPr>
        <w:t> </w:t>
      </w:r>
      <w:r>
        <w:rPr>
          <w:spacing w:val="23"/>
          <w:w w:val="95"/>
        </w:rPr>
      </w:r>
      <w:r>
        <w:rPr>
          <w:spacing w:val="3"/>
          <w:w w:val="95"/>
        </w:rPr>
        <w:t>用率、改进软件开发项目的管理流程，提高开发效率，降低开发成本，并通过</w:t>
      </w:r>
      <w:r>
        <w:rPr>
          <w:spacing w:val="23"/>
          <w:w w:val="95"/>
        </w:rPr>
        <w:t> </w:t>
      </w:r>
      <w:r>
        <w:rPr>
          <w:spacing w:val="23"/>
          <w:w w:val="95"/>
        </w:rPr>
      </w:r>
      <w:r>
        <w:rPr>
          <w:spacing w:val="3"/>
          <w:w w:val="95"/>
        </w:rPr>
        <w:t>技术升级提升产品和服务的附加值，但是随着经济的发展、城市生活成本的上</w:t>
      </w:r>
      <w:r>
        <w:rPr>
          <w:b w:val="0"/>
          <w:bCs w:val="0"/>
          <w:spacing w:val="3"/>
        </w:rPr>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410" w:lineRule="auto" w:before="13"/>
        <w:ind w:right="1394"/>
        <w:jc w:val="left"/>
        <w:rPr>
          <w:b w:val="0"/>
          <w:bCs w:val="0"/>
        </w:rPr>
      </w:pPr>
      <w:r>
        <w:rPr>
          <w:spacing w:val="3"/>
          <w:w w:val="95"/>
        </w:rPr>
        <w:t>升、互联网新兴行业对专业人才的争夺日趋激烈，人力成本上升的趋势不可避  </w:t>
      </w:r>
      <w:r>
        <w:rPr>
          <w:spacing w:val="23"/>
          <w:w w:val="95"/>
        </w:rPr>
        <w:t> </w:t>
      </w:r>
      <w:r>
        <w:rPr>
          <w:spacing w:val="23"/>
          <w:w w:val="95"/>
        </w:rPr>
      </w:r>
      <w:r>
        <w:rPr/>
        <w:t>免。</w:t>
      </w:r>
      <w:r>
        <w:rPr>
          <w:b w:val="0"/>
          <w:bCs w:val="0"/>
        </w:rPr>
      </w:r>
    </w:p>
    <w:p>
      <w:pPr>
        <w:pStyle w:val="Heading2"/>
        <w:spacing w:line="408" w:lineRule="auto" w:before="157"/>
        <w:ind w:right="1135" w:firstLine="562"/>
        <w:jc w:val="both"/>
        <w:rPr>
          <w:b w:val="0"/>
          <w:bCs w:val="0"/>
        </w:rPr>
      </w:pPr>
      <w:r>
        <w:rPr>
          <w:spacing w:val="3"/>
          <w:w w:val="95"/>
        </w:rPr>
        <w:t>人才是企业发展的重要战略，人才战略也是信息发展实现业绩增长的加速</w:t>
      </w:r>
      <w:r>
        <w:rPr>
          <w:w w:val="99"/>
        </w:rPr>
        <w:t> </w:t>
      </w:r>
      <w:r>
        <w:rPr>
          <w:spacing w:val="3"/>
          <w:w w:val="95"/>
        </w:rPr>
        <w:t>器，信息发展在多年的经营发展中一直牢记并努力践行这一人才战略理念，在</w:t>
      </w:r>
      <w:r>
        <w:rPr>
          <w:spacing w:val="23"/>
          <w:w w:val="95"/>
        </w:rPr>
        <w:t> </w:t>
      </w:r>
      <w:r>
        <w:rPr>
          <w:spacing w:val="23"/>
          <w:w w:val="95"/>
        </w:rPr>
      </w:r>
      <w:r>
        <w:rPr>
          <w:spacing w:val="3"/>
          <w:w w:val="95"/>
        </w:rPr>
        <w:t>积累了稳定且结构合理的高素质人才队伍同时，信息发展更注重高标准人才的</w:t>
      </w:r>
      <w:r>
        <w:rPr>
          <w:spacing w:val="23"/>
          <w:w w:val="95"/>
        </w:rPr>
        <w:t> </w:t>
      </w:r>
      <w:r>
        <w:rPr>
          <w:spacing w:val="23"/>
          <w:w w:val="95"/>
        </w:rPr>
      </w:r>
      <w:r>
        <w:rPr>
          <w:spacing w:val="3"/>
          <w:w w:val="95"/>
        </w:rPr>
        <w:t>选用机制建设工作，并同步引进了许多高端人才、领军人才来助力企业快速发</w:t>
      </w:r>
      <w:r>
        <w:rPr>
          <w:spacing w:val="23"/>
          <w:w w:val="95"/>
        </w:rPr>
        <w:t> </w:t>
      </w:r>
      <w:r>
        <w:rPr>
          <w:spacing w:val="23"/>
          <w:w w:val="95"/>
        </w:rPr>
      </w:r>
      <w:r>
        <w:rPr>
          <w:spacing w:val="3"/>
          <w:w w:val="95"/>
        </w:rPr>
        <w:t>展，各类人才在管理经营、新产品研发、重大项目建设、科技公关、前沿技术</w:t>
      </w:r>
      <w:r>
        <w:rPr>
          <w:spacing w:val="23"/>
          <w:w w:val="95"/>
        </w:rPr>
        <w:t> </w:t>
      </w:r>
      <w:r>
        <w:rPr>
          <w:spacing w:val="23"/>
          <w:w w:val="95"/>
        </w:rPr>
      </w:r>
      <w:r>
        <w:rPr>
          <w:spacing w:val="3"/>
          <w:w w:val="95"/>
        </w:rPr>
        <w:t>探索、云计算、人工智能、大数据研究等方面发挥了重要作用，形成了人尽其</w:t>
      </w:r>
      <w:r>
        <w:rPr>
          <w:spacing w:val="32"/>
          <w:w w:val="95"/>
        </w:rPr>
        <w:t> </w:t>
      </w:r>
      <w:r>
        <w:rPr>
          <w:spacing w:val="32"/>
          <w:w w:val="95"/>
        </w:rPr>
      </w:r>
      <w:r>
        <w:rPr>
          <w:spacing w:val="3"/>
          <w:w w:val="95"/>
        </w:rPr>
        <w:t>才，才尽其用的良好人才发展环境。未来，信息发展将在创新发展过程中，积</w:t>
      </w:r>
      <w:r>
        <w:rPr>
          <w:spacing w:val="23"/>
          <w:w w:val="95"/>
        </w:rPr>
        <w:t> </w:t>
      </w:r>
      <w:r>
        <w:rPr>
          <w:spacing w:val="23"/>
          <w:w w:val="95"/>
        </w:rPr>
      </w:r>
      <w:r>
        <w:rPr>
          <w:spacing w:val="3"/>
          <w:w w:val="95"/>
        </w:rPr>
        <w:t>极做好人力资源战略规划，构建人才战略版图，让人才成为企业未来发展聚力</w:t>
      </w:r>
      <w:r>
        <w:rPr>
          <w:spacing w:val="23"/>
          <w:w w:val="95"/>
        </w:rPr>
        <w:t> </w:t>
      </w:r>
      <w:r>
        <w:rPr>
          <w:spacing w:val="23"/>
          <w:w w:val="95"/>
        </w:rPr>
      </w:r>
      <w:r>
        <w:rPr/>
        <w:t>赋能的重要保障。</w:t>
      </w:r>
      <w:r>
        <w:rPr>
          <w:b w:val="0"/>
          <w:bCs w:val="0"/>
        </w:rPr>
      </w:r>
    </w:p>
    <w:p>
      <w:pPr>
        <w:pStyle w:val="Heading2"/>
        <w:spacing w:line="400" w:lineRule="auto" w:before="161"/>
        <w:ind w:right="985" w:firstLine="562"/>
        <w:jc w:val="left"/>
        <w:rPr>
          <w:b w:val="0"/>
          <w:bCs w:val="0"/>
        </w:rPr>
      </w:pPr>
      <w:r>
        <w:rPr>
          <w:spacing w:val="-2"/>
          <w:w w:val="95"/>
        </w:rPr>
        <w:t>在注重人才引进的同时，信息发展非常重视人才培训、培养机制建设工作，</w:t>
      </w:r>
      <w:r>
        <w:rPr>
          <w:w w:val="99"/>
        </w:rPr>
        <w:t> </w:t>
      </w:r>
      <w:r>
        <w:rPr>
          <w:spacing w:val="3"/>
        </w:rPr>
        <w:t>信息发展鹰学院是承担这一重要任务的专业内部机构。学院自成立以来，每年</w:t>
      </w:r>
      <w:r>
        <w:rPr>
          <w:w w:val="99"/>
        </w:rPr>
        <w:t> </w:t>
      </w:r>
      <w:r>
        <w:rPr>
          <w:spacing w:val="-2"/>
          <w:w w:val="95"/>
        </w:rPr>
        <w:t>都以企业的战略业务发展为导向，凭借行业资源知识的储备、严谨的管理制度、</w:t>
      </w:r>
      <w:r>
        <w:rPr>
          <w:spacing w:val="65"/>
          <w:w w:val="95"/>
        </w:rPr>
        <w:t> </w:t>
      </w:r>
      <w:r>
        <w:rPr>
          <w:spacing w:val="65"/>
          <w:w w:val="95"/>
        </w:rPr>
      </w:r>
      <w:r>
        <w:rPr>
          <w:spacing w:val="3"/>
        </w:rPr>
        <w:t>多元化的课程体系、专业的内外部精英讲师团队、注重成果导向的教学模式，</w:t>
      </w:r>
      <w:r>
        <w:rPr>
          <w:w w:val="99"/>
        </w:rPr>
        <w:t> </w:t>
      </w:r>
      <w:r>
        <w:rPr>
          <w:spacing w:val="3"/>
        </w:rPr>
        <w:t>为企业持续不断的培养符合企业核心价值观的复合型优秀人才，并以</w:t>
      </w:r>
      <w:r>
        <w:rPr>
          <w:rFonts w:ascii="Times New Roman" w:hAnsi="Times New Roman" w:cs="Times New Roman" w:eastAsia="Times New Roman" w:hint="default"/>
          <w:spacing w:val="3"/>
        </w:rPr>
        <w:t>“</w:t>
      </w:r>
      <w:r>
        <w:rPr>
          <w:spacing w:val="3"/>
        </w:rPr>
        <w:t>鹰</w:t>
      </w:r>
      <w:r>
        <w:rPr>
          <w:rFonts w:ascii="Times New Roman" w:hAnsi="Times New Roman" w:cs="Times New Roman" w:eastAsia="Times New Roman" w:hint="default"/>
          <w:spacing w:val="3"/>
        </w:rPr>
        <w:t>”</w:t>
      </w:r>
      <w:r>
        <w:rPr>
          <w:spacing w:val="3"/>
        </w:rPr>
        <w:t>的成</w:t>
      </w:r>
      <w:r>
        <w:rPr>
          <w:spacing w:val="3"/>
          <w:w w:val="99"/>
        </w:rPr>
        <w:t> </w:t>
      </w:r>
      <w:r>
        <w:rPr>
          <w:spacing w:val="3"/>
        </w:rPr>
        <w:t>长为主线，将人才划分为</w:t>
      </w:r>
      <w:r>
        <w:rPr>
          <w:rFonts w:ascii="Times New Roman" w:hAnsi="Times New Roman" w:cs="Times New Roman" w:eastAsia="Times New Roman" w:hint="default"/>
          <w:spacing w:val="3"/>
        </w:rPr>
        <w:t>“</w:t>
      </w:r>
      <w:r>
        <w:rPr>
          <w:spacing w:val="3"/>
        </w:rPr>
        <w:t>雄鹰、精鹰、飞鹰、雏鹰</w:t>
      </w:r>
      <w:r>
        <w:rPr>
          <w:rFonts w:ascii="Times New Roman" w:hAnsi="Times New Roman" w:cs="Times New Roman" w:eastAsia="Times New Roman" w:hint="default"/>
          <w:spacing w:val="3"/>
        </w:rPr>
        <w:t>”</w:t>
      </w:r>
      <w:r>
        <w:rPr>
          <w:spacing w:val="3"/>
        </w:rPr>
        <w:t>，通过</w:t>
      </w:r>
      <w:r>
        <w:rPr>
          <w:rFonts w:ascii="Times New Roman" w:hAnsi="Times New Roman" w:cs="Times New Roman" w:eastAsia="Times New Roman" w:hint="default"/>
          <w:spacing w:val="3"/>
        </w:rPr>
        <w:t>“</w:t>
      </w:r>
      <w:r>
        <w:rPr>
          <w:spacing w:val="3"/>
        </w:rPr>
        <w:t>历练</w:t>
      </w:r>
      <w:r>
        <w:rPr>
          <w:rFonts w:ascii="Times New Roman" w:hAnsi="Times New Roman" w:cs="Times New Roman" w:eastAsia="Times New Roman" w:hint="default"/>
          <w:spacing w:val="3"/>
        </w:rPr>
        <w:t>”</w:t>
      </w:r>
      <w:r>
        <w:rPr>
          <w:spacing w:val="3"/>
        </w:rPr>
        <w:t>成长，最终</w:t>
      </w:r>
      <w:r>
        <w:rPr>
          <w:spacing w:val="3"/>
          <w:w w:val="99"/>
        </w:rPr>
        <w:t> </w:t>
      </w:r>
      <w:r>
        <w:rPr/>
        <w:t>成为企业未来发展需要的</w:t>
      </w:r>
      <w:r>
        <w:rPr>
          <w:rFonts w:ascii="Times New Roman" w:hAnsi="Times New Roman" w:cs="Times New Roman" w:eastAsia="Times New Roman" w:hint="default"/>
        </w:rPr>
        <w:t>“</w:t>
      </w:r>
      <w:r>
        <w:rPr/>
        <w:t>鹰人才</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鹰团队</w:t>
      </w:r>
      <w:r>
        <w:rPr>
          <w:rFonts w:ascii="Times New Roman" w:hAnsi="Times New Roman" w:cs="Times New Roman" w:eastAsia="Times New Roman" w:hint="default"/>
        </w:rPr>
        <w:t>”</w:t>
      </w:r>
      <w:r>
        <w:rPr/>
        <w:t>。</w:t>
      </w:r>
      <w:r>
        <w:rPr>
          <w:b w:val="0"/>
          <w:bCs w:val="0"/>
        </w:rPr>
      </w:r>
    </w:p>
    <w:p>
      <w:pPr>
        <w:pStyle w:val="Heading2"/>
        <w:spacing w:line="472" w:lineRule="auto" w:before="128"/>
        <w:ind w:left="1695" w:right="985"/>
        <w:jc w:val="left"/>
        <w:rPr>
          <w:b w:val="0"/>
          <w:bCs w:val="0"/>
        </w:rPr>
      </w:pPr>
      <w:r>
        <w:rPr/>
        <w:t>（四）公司规模迅速扩张引起的管理风险</w:t>
      </w:r>
      <w:r>
        <w:rPr>
          <w:w w:val="99"/>
        </w:rPr>
        <w:t> </w:t>
      </w:r>
      <w:r>
        <w:rPr>
          <w:spacing w:val="3"/>
          <w:w w:val="95"/>
        </w:rPr>
        <w:t>随着公司进入快速成长期，伴随着自身业务的成长，公司的资产、业务、</w:t>
      </w:r>
      <w:r>
        <w:rPr>
          <w:b w:val="0"/>
          <w:bCs w:val="0"/>
          <w:spacing w:val="3"/>
        </w:rPr>
      </w:r>
    </w:p>
    <w:p>
      <w:pPr>
        <w:pStyle w:val="Heading2"/>
        <w:spacing w:line="352" w:lineRule="exact"/>
        <w:ind w:right="985"/>
        <w:jc w:val="left"/>
        <w:rPr>
          <w:b w:val="0"/>
          <w:bCs w:val="0"/>
        </w:rPr>
      </w:pPr>
      <w:r>
        <w:rPr>
          <w:spacing w:val="3"/>
        </w:rPr>
        <w:t>机构和人员规模等将进一步扩张，公司的组织结构和管理体系日益复杂，公司</w:t>
      </w:r>
      <w:r>
        <w:rPr>
          <w:b w:val="0"/>
          <w:bCs w:val="0"/>
          <w:spacing w:val="3"/>
        </w:rPr>
      </w:r>
    </w:p>
    <w:p>
      <w:pPr>
        <w:spacing w:after="0" w:line="352" w:lineRule="exact"/>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408" w:lineRule="auto" w:before="13"/>
        <w:ind w:right="1144"/>
        <w:jc w:val="both"/>
        <w:rPr>
          <w:b w:val="0"/>
          <w:bCs w:val="0"/>
        </w:rPr>
      </w:pPr>
      <w:r>
        <w:rPr>
          <w:spacing w:val="3"/>
          <w:w w:val="95"/>
        </w:rPr>
        <w:t>将在制度建设、组织设置、运营管理、资金管理和内部控制等方面面临更大的</w:t>
      </w:r>
      <w:r>
        <w:rPr>
          <w:spacing w:val="23"/>
          <w:w w:val="95"/>
        </w:rPr>
        <w:t> </w:t>
      </w:r>
      <w:r>
        <w:rPr>
          <w:spacing w:val="23"/>
          <w:w w:val="95"/>
        </w:rPr>
      </w:r>
      <w:r>
        <w:rPr>
          <w:spacing w:val="3"/>
          <w:w w:val="95"/>
        </w:rPr>
        <w:t>挑战，这些都对公司的管理层提出了更高的要求。为此公司设立了业务管控中</w:t>
      </w:r>
      <w:r>
        <w:rPr>
          <w:spacing w:val="23"/>
          <w:w w:val="95"/>
        </w:rPr>
        <w:t> </w:t>
      </w:r>
      <w:r>
        <w:rPr>
          <w:spacing w:val="23"/>
          <w:w w:val="95"/>
        </w:rPr>
      </w:r>
      <w:r>
        <w:rPr>
          <w:spacing w:val="3"/>
          <w:w w:val="95"/>
        </w:rPr>
        <w:t>心，为公司三大行业的主营业务向纵深发展创造了有利条件，也为公司的快速</w:t>
      </w:r>
      <w:r>
        <w:rPr>
          <w:spacing w:val="23"/>
          <w:w w:val="95"/>
        </w:rPr>
        <w:t> </w:t>
      </w:r>
      <w:r>
        <w:rPr>
          <w:spacing w:val="23"/>
          <w:w w:val="95"/>
        </w:rPr>
      </w:r>
      <w:r>
        <w:rPr/>
        <w:t>发展奠定了良好的基础。</w:t>
      </w:r>
      <w:r>
        <w:rPr>
          <w:b w:val="0"/>
          <w:bCs w:val="0"/>
        </w:rPr>
      </w:r>
    </w:p>
    <w:p>
      <w:pPr>
        <w:pStyle w:val="Heading2"/>
        <w:spacing w:line="408" w:lineRule="auto" w:before="160"/>
        <w:ind w:right="1141" w:firstLine="562"/>
        <w:jc w:val="both"/>
        <w:rPr>
          <w:b w:val="0"/>
          <w:bCs w:val="0"/>
        </w:rPr>
      </w:pPr>
      <w:r>
        <w:rPr>
          <w:spacing w:val="3"/>
          <w:w w:val="95"/>
        </w:rPr>
        <w:t>虽然公司已形成一支稳定、进取、涵盖多方面人才的核心管理团队，基本</w:t>
      </w:r>
      <w:r>
        <w:rPr>
          <w:w w:val="99"/>
        </w:rPr>
        <w:t> </w:t>
      </w:r>
      <w:r>
        <w:rPr>
          <w:spacing w:val="3"/>
          <w:w w:val="95"/>
        </w:rPr>
        <w:t>建立了完善的法人治理结构，同时在过去的经营实践中公司的管理层在管理快</w:t>
      </w:r>
      <w:r>
        <w:rPr>
          <w:spacing w:val="23"/>
          <w:w w:val="95"/>
        </w:rPr>
        <w:t> </w:t>
      </w:r>
      <w:r>
        <w:rPr>
          <w:spacing w:val="23"/>
          <w:w w:val="95"/>
        </w:rPr>
      </w:r>
      <w:r>
        <w:rPr>
          <w:spacing w:val="3"/>
          <w:w w:val="95"/>
        </w:rPr>
        <w:t>速成长的企业方面已经积累了一定的经验，并根据实际经营需要不断优化组织</w:t>
      </w:r>
      <w:r>
        <w:rPr>
          <w:spacing w:val="23"/>
          <w:w w:val="95"/>
        </w:rPr>
        <w:t> </w:t>
      </w:r>
      <w:r>
        <w:rPr>
          <w:spacing w:val="23"/>
          <w:w w:val="95"/>
        </w:rPr>
      </w:r>
      <w:r>
        <w:rPr>
          <w:spacing w:val="3"/>
          <w:w w:val="95"/>
        </w:rPr>
        <w:t>架构以提高企业运营效率，但公司仍可能存在未能及时调整原有运营管理体系</w:t>
      </w:r>
      <w:r>
        <w:rPr>
          <w:spacing w:val="23"/>
          <w:w w:val="95"/>
        </w:rPr>
        <w:t> </w:t>
      </w:r>
      <w:r>
        <w:rPr>
          <w:spacing w:val="23"/>
          <w:w w:val="95"/>
        </w:rPr>
      </w:r>
      <w:r>
        <w:rPr>
          <w:spacing w:val="3"/>
          <w:w w:val="95"/>
        </w:rPr>
        <w:t>和模式，未能迅速建立起适应资本市场要求和公司业务发展需要的运作机制并</w:t>
      </w:r>
      <w:r>
        <w:rPr>
          <w:spacing w:val="23"/>
          <w:w w:val="95"/>
        </w:rPr>
        <w:t> </w:t>
      </w:r>
      <w:r>
        <w:rPr>
          <w:spacing w:val="23"/>
          <w:w w:val="95"/>
        </w:rPr>
      </w:r>
      <w:r>
        <w:rPr/>
        <w:t>有效运行，从而影响公司经营业绩的风险。</w:t>
      </w:r>
      <w:r>
        <w:rPr>
          <w:b w:val="0"/>
          <w:bCs w:val="0"/>
        </w:rPr>
      </w:r>
    </w:p>
    <w:p>
      <w:pPr>
        <w:pStyle w:val="Heading2"/>
        <w:spacing w:line="472" w:lineRule="auto" w:before="162"/>
        <w:ind w:left="1695" w:right="985"/>
        <w:jc w:val="left"/>
        <w:rPr>
          <w:b w:val="0"/>
          <w:bCs w:val="0"/>
        </w:rPr>
      </w:pPr>
      <w:r>
        <w:rPr/>
        <w:t>（五）技术创新的风险</w:t>
      </w:r>
      <w:r>
        <w:rPr>
          <w:w w:val="99"/>
        </w:rPr>
        <w:t> </w:t>
      </w:r>
      <w:r>
        <w:rPr>
          <w:spacing w:val="3"/>
          <w:w w:val="95"/>
        </w:rPr>
        <w:t>技术发展日新月异，伴随云计算、大数据、物联网、人工智能、区块链等</w:t>
      </w:r>
      <w:r>
        <w:rPr>
          <w:b w:val="0"/>
          <w:bCs w:val="0"/>
          <w:spacing w:val="3"/>
        </w:rPr>
      </w:r>
    </w:p>
    <w:p>
      <w:pPr>
        <w:pStyle w:val="Heading2"/>
        <w:spacing w:line="408" w:lineRule="auto"/>
        <w:ind w:right="1136"/>
        <w:jc w:val="both"/>
        <w:rPr>
          <w:b w:val="0"/>
          <w:bCs w:val="0"/>
        </w:rPr>
      </w:pPr>
      <w:r>
        <w:rPr>
          <w:spacing w:val="3"/>
          <w:w w:val="95"/>
        </w:rPr>
        <w:t>创新技术的发展，公司所从事的档案、食品追溯、政法等领域的信息化面临前</w:t>
      </w:r>
      <w:r>
        <w:rPr>
          <w:spacing w:val="31"/>
          <w:w w:val="95"/>
        </w:rPr>
        <w:t> </w:t>
      </w:r>
      <w:r>
        <w:rPr>
          <w:spacing w:val="31"/>
          <w:w w:val="95"/>
        </w:rPr>
      </w:r>
      <w:r>
        <w:rPr>
          <w:spacing w:val="3"/>
          <w:w w:val="95"/>
        </w:rPr>
        <w:t>所未有的发展机遇，如公司能够正确判断并把握市场机会，全面了解业内技术</w:t>
      </w:r>
      <w:r>
        <w:rPr>
          <w:spacing w:val="23"/>
          <w:w w:val="95"/>
        </w:rPr>
        <w:t> </w:t>
      </w:r>
      <w:r>
        <w:rPr>
          <w:spacing w:val="23"/>
          <w:w w:val="95"/>
        </w:rPr>
      </w:r>
      <w:r>
        <w:rPr>
          <w:spacing w:val="3"/>
          <w:w w:val="95"/>
        </w:rPr>
        <w:t>发展的最新趋势，准确无误进行新产品和技术的创新，则能更好地满足客户不</w:t>
      </w:r>
      <w:r>
        <w:rPr>
          <w:spacing w:val="23"/>
          <w:w w:val="95"/>
        </w:rPr>
        <w:t> </w:t>
      </w:r>
      <w:r>
        <w:rPr>
          <w:spacing w:val="23"/>
          <w:w w:val="95"/>
        </w:rPr>
      </w:r>
      <w:r>
        <w:rPr>
          <w:spacing w:val="3"/>
          <w:w w:val="95"/>
        </w:rPr>
        <w:t>断升级的需求，实现飞跃式发展。公司上市之后围绕行业发展趋势，投入大量</w:t>
      </w:r>
      <w:r>
        <w:rPr>
          <w:spacing w:val="23"/>
          <w:w w:val="95"/>
        </w:rPr>
        <w:t> </w:t>
      </w:r>
      <w:r>
        <w:rPr>
          <w:spacing w:val="23"/>
          <w:w w:val="95"/>
        </w:rPr>
      </w:r>
      <w:r>
        <w:rPr>
          <w:spacing w:val="3"/>
          <w:w w:val="95"/>
        </w:rPr>
        <w:t>人力、物力、财力用于新产品、新技术、新业务的研发与孵化。但是，由于信</w:t>
      </w:r>
      <w:r>
        <w:rPr>
          <w:spacing w:val="23"/>
          <w:w w:val="95"/>
        </w:rPr>
        <w:t> </w:t>
      </w:r>
      <w:r>
        <w:rPr>
          <w:spacing w:val="23"/>
          <w:w w:val="95"/>
        </w:rPr>
      </w:r>
      <w:r>
        <w:rPr>
          <w:spacing w:val="3"/>
          <w:w w:val="95"/>
        </w:rPr>
        <w:t>息化技术发展日新月异，产品更新换代迅速，用户对产品的技术要求也不断提</w:t>
      </w:r>
      <w:r>
        <w:rPr>
          <w:spacing w:val="23"/>
          <w:w w:val="95"/>
        </w:rPr>
        <w:t> </w:t>
      </w:r>
      <w:r>
        <w:rPr>
          <w:spacing w:val="23"/>
          <w:w w:val="95"/>
        </w:rPr>
      </w:r>
      <w:r>
        <w:rPr>
          <w:spacing w:val="3"/>
          <w:w w:val="95"/>
        </w:rPr>
        <w:t>高。若公司对技术、产品和市场的发展趋势不能正确判断和预测，对行业关键</w:t>
      </w:r>
      <w:r>
        <w:rPr>
          <w:spacing w:val="23"/>
          <w:w w:val="95"/>
        </w:rPr>
        <w:t> </w:t>
      </w:r>
      <w:r>
        <w:rPr>
          <w:spacing w:val="23"/>
          <w:w w:val="95"/>
        </w:rPr>
      </w:r>
      <w:r>
        <w:rPr>
          <w:spacing w:val="3"/>
          <w:w w:val="95"/>
        </w:rPr>
        <w:t>技术发展方向的选择出现偏差，对客户的需求动态不能及时掌握，不能及时调</w:t>
      </w:r>
      <w:r>
        <w:rPr>
          <w:spacing w:val="23"/>
          <w:w w:val="95"/>
        </w:rPr>
        <w:t> </w:t>
      </w:r>
      <w:r>
        <w:rPr>
          <w:spacing w:val="23"/>
          <w:w w:val="95"/>
        </w:rPr>
      </w:r>
      <w:r>
        <w:rPr>
          <w:spacing w:val="3"/>
          <w:w w:val="95"/>
        </w:rPr>
        <w:t>整技术路线和产品定位，或是新技术、新产品不能迅速推广应用，可能使公司</w:t>
      </w:r>
      <w:r>
        <w:rPr>
          <w:spacing w:val="26"/>
          <w:w w:val="95"/>
        </w:rPr>
        <w:t> </w:t>
      </w:r>
      <w:r>
        <w:rPr>
          <w:spacing w:val="26"/>
          <w:w w:val="95"/>
        </w:rPr>
      </w:r>
      <w:r>
        <w:rPr/>
        <w:t>丧失技术和市场的领先地位，从而对公司的经营业绩带来负面影响。</w:t>
      </w:r>
      <w:r>
        <w:rPr>
          <w:b w:val="0"/>
          <w:bCs w:val="0"/>
        </w:rPr>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2"/>
        <w:spacing w:line="240" w:lineRule="auto" w:before="13"/>
        <w:ind w:left="1695" w:right="985"/>
        <w:jc w:val="left"/>
        <w:rPr>
          <w:b w:val="0"/>
          <w:bCs w:val="0"/>
        </w:rPr>
      </w:pPr>
      <w:r>
        <w:rPr/>
        <w:t>（六）应收账款无法收回的风险</w:t>
      </w:r>
      <w:r>
        <w:rPr>
          <w:b w:val="0"/>
          <w:bCs w:val="0"/>
        </w:rPr>
      </w:r>
    </w:p>
    <w:p>
      <w:pPr>
        <w:spacing w:line="240" w:lineRule="auto" w:before="3"/>
        <w:rPr>
          <w:rFonts w:ascii="宋体" w:hAnsi="宋体" w:cs="宋体" w:eastAsia="宋体" w:hint="default"/>
          <w:b/>
          <w:bCs/>
          <w:sz w:val="27"/>
          <w:szCs w:val="27"/>
        </w:rPr>
      </w:pPr>
    </w:p>
    <w:p>
      <w:pPr>
        <w:pStyle w:val="Heading2"/>
        <w:spacing w:line="405" w:lineRule="auto"/>
        <w:ind w:right="1130" w:firstLine="562"/>
        <w:jc w:val="both"/>
        <w:rPr>
          <w:b w:val="0"/>
          <w:bCs w:val="0"/>
        </w:rPr>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日，公司应收账款净额为</w:t>
      </w:r>
      <w:r>
        <w:rPr>
          <w:spacing w:val="-57"/>
        </w:rPr>
        <w:t> </w:t>
      </w:r>
      <w:r>
        <w:rPr>
          <w:rFonts w:ascii="Times New Roman" w:hAnsi="Times New Roman" w:cs="Times New Roman" w:eastAsia="Times New Roman" w:hint="default"/>
        </w:rPr>
        <w:t>318,647,442.63</w:t>
      </w:r>
      <w:r>
        <w:rPr>
          <w:rFonts w:ascii="Times New Roman" w:hAnsi="Times New Roman" w:cs="Times New Roman" w:eastAsia="Times New Roman" w:hint="default"/>
          <w:spacing w:val="12"/>
        </w:rPr>
        <w:t> </w:t>
      </w:r>
      <w:r>
        <w:rPr/>
        <w:t>元。公司应收账</w:t>
      </w:r>
      <w:r>
        <w:rPr>
          <w:spacing w:val="1"/>
          <w:w w:val="99"/>
        </w:rPr>
        <w:t> </w:t>
      </w:r>
      <w:r>
        <w:rPr>
          <w:spacing w:val="3"/>
          <w:w w:val="95"/>
        </w:rPr>
        <w:t>款的主要客户为政府机关、事业单位和规模较大的企业集团，一般情况下，政</w:t>
      </w:r>
      <w:r>
        <w:rPr>
          <w:spacing w:val="23"/>
          <w:w w:val="95"/>
        </w:rPr>
        <w:t> </w:t>
      </w:r>
      <w:r>
        <w:rPr>
          <w:spacing w:val="23"/>
          <w:w w:val="95"/>
        </w:rPr>
      </w:r>
      <w:r>
        <w:rPr>
          <w:spacing w:val="3"/>
          <w:w w:val="95"/>
        </w:rPr>
        <w:t>府机关及事业单位客户信誉度高，规模较大的企业集团客户资本实力较强，资</w:t>
      </w:r>
      <w:r>
        <w:rPr>
          <w:spacing w:val="23"/>
          <w:w w:val="95"/>
        </w:rPr>
        <w:t> </w:t>
      </w:r>
      <w:r>
        <w:rPr>
          <w:spacing w:val="23"/>
          <w:w w:val="95"/>
        </w:rPr>
      </w:r>
      <w:r>
        <w:rPr>
          <w:spacing w:val="3"/>
          <w:w w:val="95"/>
        </w:rPr>
        <w:t>金回收较为可靠，且公司历史上也没有发生过重大坏账损失，同时公司本着谨</w:t>
      </w:r>
      <w:r>
        <w:rPr>
          <w:spacing w:val="23"/>
          <w:w w:val="95"/>
        </w:rPr>
        <w:t> </w:t>
      </w:r>
      <w:r>
        <w:rPr>
          <w:spacing w:val="23"/>
          <w:w w:val="95"/>
        </w:rPr>
      </w:r>
      <w:r>
        <w:rPr>
          <w:spacing w:val="3"/>
          <w:w w:val="95"/>
        </w:rPr>
        <w:t>慎性原则对应收账款提取了坏账准备。但是，政府客户对规模和金额较大项目</w:t>
      </w:r>
      <w:r>
        <w:rPr>
          <w:spacing w:val="23"/>
          <w:w w:val="95"/>
        </w:rPr>
        <w:t> </w:t>
      </w:r>
      <w:r>
        <w:rPr>
          <w:spacing w:val="23"/>
          <w:w w:val="95"/>
        </w:rPr>
      </w:r>
      <w:r>
        <w:rPr>
          <w:spacing w:val="3"/>
          <w:w w:val="95"/>
        </w:rPr>
        <w:t>的结算，通常付款相对审慎，所涉及的审批部门较多，支付审核流程周期的耗</w:t>
      </w:r>
      <w:r>
        <w:rPr>
          <w:spacing w:val="25"/>
          <w:w w:val="95"/>
        </w:rPr>
        <w:t> </w:t>
      </w:r>
      <w:r>
        <w:rPr>
          <w:spacing w:val="25"/>
          <w:w w:val="95"/>
        </w:rPr>
      </w:r>
      <w:r>
        <w:rPr>
          <w:spacing w:val="3"/>
          <w:w w:val="95"/>
        </w:rPr>
        <w:t>时较长，若客户在政策环境等方面发生重大不利变化，公司应收账款仍存在发</w:t>
      </w:r>
      <w:r>
        <w:rPr>
          <w:spacing w:val="23"/>
          <w:w w:val="95"/>
        </w:rPr>
        <w:t> </w:t>
      </w:r>
      <w:r>
        <w:rPr>
          <w:spacing w:val="23"/>
          <w:w w:val="95"/>
        </w:rPr>
      </w:r>
      <w:r>
        <w:rPr/>
        <w:t>生坏账的风险，对公司资产质量以及财务状况将产生不利影响。</w:t>
      </w:r>
      <w:r>
        <w:rPr>
          <w:b w:val="0"/>
          <w:bCs w:val="0"/>
        </w:rPr>
      </w:r>
    </w:p>
    <w:p>
      <w:pPr>
        <w:pStyle w:val="Heading2"/>
        <w:spacing w:line="240" w:lineRule="auto" w:before="164"/>
        <w:ind w:left="1696" w:right="985"/>
        <w:jc w:val="left"/>
        <w:rPr>
          <w:b w:val="0"/>
          <w:bCs w:val="0"/>
        </w:rPr>
      </w:pPr>
      <w:r>
        <w:rPr/>
        <w:t>公司经本次董事会审议通过的利润分配预案为：以</w:t>
      </w:r>
      <w:r>
        <w:rPr>
          <w:spacing w:val="-94"/>
        </w:rPr>
        <w:t> </w:t>
      </w:r>
      <w:r>
        <w:rPr>
          <w:rFonts w:ascii="Times New Roman" w:hAnsi="Times New Roman" w:cs="Times New Roman" w:eastAsia="Times New Roman" w:hint="default"/>
        </w:rPr>
        <w:t>67774400</w:t>
      </w:r>
      <w:r>
        <w:rPr>
          <w:rFonts w:ascii="Times New Roman" w:hAnsi="Times New Roman" w:cs="Times New Roman" w:eastAsia="Times New Roman" w:hint="default"/>
          <w:spacing w:val="-27"/>
        </w:rPr>
        <w:t> </w:t>
      </w:r>
      <w:r>
        <w:rPr>
          <w:spacing w:val="-5"/>
        </w:rPr>
        <w:t>为基数，向全</w:t>
      </w:r>
      <w:r>
        <w:rPr>
          <w:b w:val="0"/>
          <w:bCs w:val="0"/>
          <w:spacing w:val="-5"/>
        </w:rPr>
      </w:r>
    </w:p>
    <w:p>
      <w:pPr>
        <w:pStyle w:val="Heading2"/>
        <w:spacing w:line="240" w:lineRule="auto" w:before="236"/>
        <w:ind w:left="1134" w:right="0"/>
        <w:jc w:val="both"/>
        <w:rPr>
          <w:b w:val="0"/>
          <w:bCs w:val="0"/>
        </w:rPr>
      </w:pPr>
      <w:r>
        <w:rPr>
          <w:spacing w:val="1"/>
          <w:w w:val="99"/>
        </w:rPr>
        <w:t>体股东</w:t>
      </w:r>
      <w:r>
        <w:rPr>
          <w:w w:val="99"/>
        </w:rPr>
        <w:t>每</w:t>
      </w:r>
      <w:r>
        <w:rPr>
          <w:spacing w:val="-68"/>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spacing w:val="1"/>
          <w:w w:val="99"/>
        </w:rPr>
        <w:t>股派发现金红</w:t>
      </w:r>
      <w:r>
        <w:rPr>
          <w:w w:val="99"/>
        </w:rPr>
        <w:t>利</w:t>
      </w:r>
      <w:r>
        <w:rPr>
          <w:spacing w:val="-68"/>
        </w:rPr>
        <w:t> </w:t>
      </w:r>
      <w:r>
        <w:rPr>
          <w:rFonts w:ascii="Times New Roman" w:hAnsi="Times New Roman" w:cs="Times New Roman" w:eastAsia="Times New Roman" w:hint="default"/>
          <w:w w:val="99"/>
        </w:rPr>
        <w:t>1.00</w:t>
      </w:r>
      <w:r>
        <w:rPr>
          <w:rFonts w:ascii="Times New Roman" w:hAnsi="Times New Roman" w:cs="Times New Roman" w:eastAsia="Times New Roman" w:hint="default"/>
          <w:spacing w:val="2"/>
        </w:rPr>
        <w:t> </w:t>
      </w:r>
      <w:r>
        <w:rPr>
          <w:spacing w:val="-30"/>
          <w:w w:val="99"/>
        </w:rPr>
        <w:t>元</w:t>
      </w:r>
      <w:r>
        <w:rPr>
          <w:w w:val="99"/>
        </w:rPr>
        <w:t>（含税</w:t>
      </w:r>
      <w:r>
        <w:rPr>
          <w:spacing w:val="-140"/>
          <w:w w:val="99"/>
        </w:rPr>
        <w:t>）</w:t>
      </w:r>
      <w:r>
        <w:rPr>
          <w:spacing w:val="-30"/>
          <w:w w:val="99"/>
        </w:rPr>
        <w:t>，</w:t>
      </w:r>
      <w:r>
        <w:rPr>
          <w:w w:val="99"/>
        </w:rPr>
        <w:t>送红股</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rPr>
        <w:t> </w:t>
      </w:r>
      <w:r>
        <w:rPr>
          <w:spacing w:val="-30"/>
          <w:w w:val="99"/>
        </w:rPr>
        <w:t>股</w:t>
      </w:r>
      <w:r>
        <w:rPr>
          <w:w w:val="99"/>
        </w:rPr>
        <w:t>（含</w:t>
      </w:r>
      <w:r>
        <w:rPr>
          <w:spacing w:val="2"/>
          <w:w w:val="99"/>
        </w:rPr>
        <w:t>税</w:t>
      </w:r>
      <w:r>
        <w:rPr>
          <w:spacing w:val="-140"/>
          <w:w w:val="99"/>
        </w:rPr>
        <w:t>）</w:t>
      </w:r>
      <w:r>
        <w:rPr>
          <w:spacing w:val="-30"/>
          <w:w w:val="99"/>
        </w:rPr>
        <w:t>，</w:t>
      </w:r>
      <w:r>
        <w:rPr>
          <w:w w:val="99"/>
        </w:rPr>
        <w:t>以资本公积</w:t>
      </w:r>
      <w:r>
        <w:rPr>
          <w:b w:val="0"/>
          <w:bCs w:val="0"/>
        </w:rPr>
      </w:r>
    </w:p>
    <w:p>
      <w:pPr>
        <w:pStyle w:val="Heading2"/>
        <w:spacing w:line="446" w:lineRule="auto" w:before="238"/>
        <w:ind w:left="1599" w:right="985" w:hanging="466"/>
        <w:jc w:val="left"/>
        <w:rPr>
          <w:b w:val="0"/>
          <w:bCs w:val="0"/>
        </w:rPr>
      </w:pPr>
      <w:r>
        <w:rPr/>
        <w:t>金向全体股东每</w:t>
      </w:r>
      <w:r>
        <w:rPr>
          <w:spacing w:val="-68"/>
        </w:rPr>
        <w:t> </w:t>
      </w:r>
      <w:r>
        <w:rPr>
          <w:rFonts w:ascii="Times New Roman" w:hAnsi="Times New Roman" w:cs="Times New Roman" w:eastAsia="Times New Roman" w:hint="default"/>
        </w:rPr>
        <w:t>10 </w:t>
      </w:r>
      <w:r>
        <w:rPr/>
        <w:t>股转增</w:t>
      </w:r>
      <w:r>
        <w:rPr>
          <w:spacing w:val="-72"/>
        </w:rPr>
        <w:t> </w:t>
      </w:r>
      <w:r>
        <w:rPr>
          <w:rFonts w:ascii="Times New Roman" w:hAnsi="Times New Roman" w:cs="Times New Roman" w:eastAsia="Times New Roman" w:hint="default"/>
        </w:rPr>
        <w:t>8 </w:t>
      </w:r>
      <w:r>
        <w:rPr/>
        <w:t>股。</w:t>
      </w:r>
      <w:r>
        <w:rPr>
          <w:spacing w:val="1"/>
          <w:w w:val="99"/>
        </w:rPr>
        <w:t> </w:t>
      </w:r>
      <w:r>
        <w:rPr>
          <w:w w:val="95"/>
        </w:rPr>
        <w:t>以截止至</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日公司的总股本</w:t>
      </w:r>
      <w:r>
        <w:rPr>
          <w:rFonts w:ascii="Times New Roman" w:hAnsi="Times New Roman" w:cs="Times New Roman" w:eastAsia="Times New Roman" w:hint="default"/>
          <w:w w:val="95"/>
        </w:rPr>
        <w:t>68,300,000</w:t>
      </w:r>
      <w:r>
        <w:rPr>
          <w:w w:val="95"/>
        </w:rPr>
        <w:t>股扣除将注销的回购股份</w:t>
      </w:r>
      <w:r>
        <w:rPr>
          <w:b w:val="0"/>
          <w:bCs w:val="0"/>
        </w:rPr>
      </w:r>
    </w:p>
    <w:p>
      <w:pPr>
        <w:pStyle w:val="Heading2"/>
        <w:spacing w:line="357" w:lineRule="exact"/>
        <w:ind w:right="0"/>
        <w:jc w:val="both"/>
        <w:rPr>
          <w:b w:val="0"/>
          <w:bCs w:val="0"/>
        </w:rPr>
      </w:pPr>
      <w:r>
        <w:rPr>
          <w:rFonts w:ascii="Times New Roman" w:hAnsi="Times New Roman" w:cs="Times New Roman" w:eastAsia="Times New Roman" w:hint="default"/>
        </w:rPr>
        <w:t>525,600</w:t>
      </w:r>
      <w:r>
        <w:rPr/>
        <w:t>股后的</w:t>
      </w:r>
      <w:r>
        <w:rPr>
          <w:rFonts w:ascii="Times New Roman" w:hAnsi="Times New Roman" w:cs="Times New Roman" w:eastAsia="Times New Roman" w:hint="default"/>
        </w:rPr>
        <w:t>67,774,400</w:t>
      </w:r>
      <w:r>
        <w:rPr/>
        <w:t>股为基数，拟向全体股东每</w:t>
      </w:r>
      <w:r>
        <w:rPr>
          <w:rFonts w:ascii="Times New Roman" w:hAnsi="Times New Roman" w:cs="Times New Roman" w:eastAsia="Times New Roman" w:hint="default"/>
        </w:rPr>
        <w:t>10</w:t>
      </w:r>
      <w:r>
        <w:rPr/>
        <w:t>股派发现金股利人民币</w:t>
      </w:r>
      <w:r>
        <w:rPr>
          <w:b w:val="0"/>
          <w:bCs w:val="0"/>
        </w:rPr>
      </w:r>
    </w:p>
    <w:p>
      <w:pPr>
        <w:pStyle w:val="Heading2"/>
        <w:spacing w:line="386" w:lineRule="auto" w:before="236"/>
        <w:ind w:right="1131"/>
        <w:jc w:val="both"/>
        <w:rPr>
          <w:b w:val="0"/>
          <w:bCs w:val="0"/>
        </w:rPr>
      </w:pPr>
      <w:r>
        <w:rPr>
          <w:rFonts w:ascii="Times New Roman" w:hAnsi="Times New Roman" w:cs="Times New Roman" w:eastAsia="Times New Roman" w:hint="default"/>
          <w:spacing w:val="-3"/>
        </w:rPr>
        <w:t>1.00</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，合计派发现金股利人民</w:t>
      </w:r>
      <w:r>
        <w:rPr>
          <w:rFonts w:ascii="Times New Roman" w:hAnsi="Times New Roman" w:cs="Times New Roman" w:eastAsia="Times New Roman" w:hint="default"/>
          <w:spacing w:val="-3"/>
        </w:rPr>
        <w:t>6,777,440.00</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，同时向以</w:t>
      </w:r>
      <w:r>
        <w:rPr>
          <w:rFonts w:ascii="Times New Roman" w:hAnsi="Times New Roman" w:cs="Times New Roman" w:eastAsia="Times New Roman" w:hint="default"/>
          <w:spacing w:val="-3"/>
        </w:rPr>
        <w:t>68,300,000</w:t>
      </w:r>
      <w:r>
        <w:rPr>
          <w:rFonts w:ascii="Times New Roman" w:hAnsi="Times New Roman" w:cs="Times New Roman" w:eastAsia="Times New Roman" w:hint="default"/>
          <w:w w:val="99"/>
        </w:rPr>
        <w:t> </w:t>
      </w:r>
      <w:r>
        <w:rPr>
          <w:spacing w:val="-3"/>
          <w:w w:val="99"/>
        </w:rPr>
        <w:t>股扣除将注销的回购股份</w:t>
      </w:r>
      <w:r>
        <w:rPr>
          <w:rFonts w:ascii="Times New Roman" w:hAnsi="Times New Roman" w:cs="Times New Roman" w:eastAsia="Times New Roman" w:hint="default"/>
          <w:spacing w:val="-3"/>
          <w:w w:val="99"/>
        </w:rPr>
        <w:t>525,600</w:t>
      </w:r>
      <w:r>
        <w:rPr>
          <w:spacing w:val="-3"/>
          <w:w w:val="99"/>
        </w:rPr>
        <w:t>股后的</w:t>
      </w:r>
      <w:r>
        <w:rPr>
          <w:rFonts w:ascii="Times New Roman" w:hAnsi="Times New Roman" w:cs="Times New Roman" w:eastAsia="Times New Roman" w:hint="default"/>
          <w:spacing w:val="-3"/>
          <w:w w:val="99"/>
        </w:rPr>
        <w:t>67,774,400</w:t>
      </w:r>
      <w:r>
        <w:rPr>
          <w:spacing w:val="-3"/>
          <w:w w:val="99"/>
        </w:rPr>
        <w:t>股为基数，拟向全体股东以资</w:t>
      </w:r>
      <w:r>
        <w:rPr>
          <w:spacing w:val="-120"/>
          <w:w w:val="99"/>
        </w:rPr>
        <w:t> </w:t>
      </w:r>
      <w:r>
        <w:rPr>
          <w:spacing w:val="-120"/>
          <w:w w:val="99"/>
        </w:rPr>
      </w:r>
      <w:r>
        <w:rPr>
          <w:spacing w:val="-1"/>
          <w:w w:val="95"/>
        </w:rPr>
        <w:t>本公积每</w:t>
      </w:r>
      <w:r>
        <w:rPr>
          <w:rFonts w:ascii="Times New Roman" w:hAnsi="Times New Roman" w:cs="Times New Roman" w:eastAsia="Times New Roman" w:hint="default"/>
          <w:spacing w:val="-1"/>
          <w:w w:val="95"/>
        </w:rPr>
        <w:t>10</w:t>
      </w:r>
      <w:r>
        <w:rPr>
          <w:spacing w:val="-1"/>
          <w:w w:val="95"/>
        </w:rPr>
        <w:t>股转增</w:t>
      </w:r>
      <w:r>
        <w:rPr>
          <w:rFonts w:ascii="Times New Roman" w:hAnsi="Times New Roman" w:cs="Times New Roman" w:eastAsia="Times New Roman" w:hint="default"/>
          <w:spacing w:val="-1"/>
          <w:w w:val="95"/>
        </w:rPr>
        <w:t>8</w:t>
      </w:r>
      <w:r>
        <w:rPr>
          <w:spacing w:val="-1"/>
          <w:w w:val="95"/>
        </w:rPr>
        <w:t>股，分配完成后公司股本总额增至</w:t>
      </w:r>
      <w:r>
        <w:rPr>
          <w:rFonts w:ascii="Times New Roman" w:hAnsi="Times New Roman" w:cs="Times New Roman" w:eastAsia="Times New Roman" w:hint="default"/>
          <w:spacing w:val="-1"/>
          <w:w w:val="95"/>
        </w:rPr>
        <w:t>121,993,920</w:t>
      </w:r>
      <w:r>
        <w:rPr>
          <w:spacing w:val="-1"/>
          <w:w w:val="95"/>
        </w:rPr>
        <w:t>股。本次分配</w:t>
      </w:r>
      <w:r>
        <w:rPr>
          <w:spacing w:val="47"/>
          <w:w w:val="95"/>
        </w:rPr>
        <w:t> </w:t>
      </w:r>
      <w:r>
        <w:rPr>
          <w:spacing w:val="47"/>
          <w:w w:val="95"/>
        </w:rPr>
      </w:r>
      <w:r>
        <w:rPr/>
        <w:t>不送红股，剩余未分配利润结转以后年度分配。</w:t>
      </w:r>
      <w:r>
        <w:rPr>
          <w:b w:val="0"/>
          <w:bCs w:val="0"/>
        </w:rPr>
      </w:r>
    </w:p>
    <w:p>
      <w:pPr>
        <w:pStyle w:val="Heading2"/>
        <w:spacing w:line="386" w:lineRule="auto" w:before="125"/>
        <w:ind w:right="985" w:firstLine="465"/>
        <w:jc w:val="left"/>
        <w:rPr>
          <w:b w:val="0"/>
          <w:bCs w:val="0"/>
        </w:rPr>
      </w:pPr>
      <w:r>
        <w:rPr>
          <w:w w:val="95"/>
        </w:rPr>
        <w:t>公司将注销上述回购的</w:t>
      </w:r>
      <w:r>
        <w:rPr>
          <w:rFonts w:ascii="Times New Roman" w:hAnsi="Times New Roman" w:cs="Times New Roman" w:eastAsia="Times New Roman" w:hint="default"/>
          <w:w w:val="95"/>
        </w:rPr>
        <w:t>525,600</w:t>
      </w:r>
      <w:r>
        <w:rPr>
          <w:w w:val="95"/>
        </w:rPr>
        <w:t>股后再实施上述利润分配预案和资本公积金</w:t>
      </w:r>
      <w:r>
        <w:rPr>
          <w:w w:val="99"/>
        </w:rPr>
        <w:t> </w:t>
      </w:r>
      <w:r>
        <w:rPr/>
        <w:t>转增股本预案。</w:t>
      </w:r>
      <w:r>
        <w:rPr>
          <w:b w:val="0"/>
          <w:bCs w:val="0"/>
        </w:rPr>
      </w:r>
    </w:p>
    <w:p>
      <w:pPr>
        <w:spacing w:after="0" w:line="386"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102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215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公司、本公司、信息发展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985"/>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85"/>
        <w:jc w:val="left"/>
        <w:rPr>
          <w:b w:val="0"/>
          <w:bCs w:val="0"/>
        </w:rPr>
      </w:pPr>
      <w:r>
        <w:rPr/>
        <w:pict>
          <v:group style="position:absolute;margin-left:172.339996pt;margin-top:114.735596pt;width:361.5pt;height:19.6pt;mso-position-horizontal-relative:page;mso-position-vertical-relative:paragraph;z-index:-115708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信息发展</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300469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信息发展</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ZHONGXIN INFORMATION DEVELOPMENT INC., </w:t>
            </w:r>
            <w:r>
              <w:rPr>
                <w:rFonts w:ascii="Times New Roman"/>
                <w:spacing w:val="-5"/>
                <w:sz w:val="18"/>
              </w:rPr>
              <w:t>LTD.</w:t>
            </w:r>
            <w:r>
              <w:rPr>
                <w:rFonts w:ascii="Times New Roman"/>
                <w:spacing w:val="-29"/>
                <w:sz w:val="18"/>
              </w:rPr>
              <w:t> </w:t>
            </w:r>
            <w:r>
              <w:rPr>
                <w:rFonts w:ascii="Times New Roman"/>
                <w:sz w:val="18"/>
              </w:rPr>
              <w:t>SHANGHAI</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CES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张曙华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上海市静安区昌平路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200040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200333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www.cesgroup.com.cn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8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曹晔</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021-51077666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021-51077666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021-51208285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021-51208285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8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85"/>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庄继宁、吴海燕</w:t>
            </w:r>
          </w:p>
        </w:tc>
      </w:tr>
    </w:tbl>
    <w:p>
      <w:pPr>
        <w:pStyle w:val="BodyText"/>
        <w:spacing w:line="240" w:lineRule="auto" w:before="51"/>
        <w:ind w:left="1134" w:right="985"/>
        <w:jc w:val="left"/>
      </w:pPr>
      <w:r>
        <w:rPr/>
        <w:t>公司聘请的报告期内履行持续督导职责的保荐机构</w:t>
      </w:r>
    </w:p>
    <w:p>
      <w:pPr>
        <w:pStyle w:val="BodyText"/>
        <w:spacing w:line="240" w:lineRule="auto" w:before="117"/>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中山证券有限责任公司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5"/>
              <w:jc w:val="left"/>
              <w:rPr>
                <w:rFonts w:ascii="宋体" w:hAnsi="宋体" w:cs="宋体" w:eastAsia="宋体" w:hint="default"/>
                <w:sz w:val="18"/>
                <w:szCs w:val="18"/>
              </w:rPr>
            </w:pPr>
            <w:r>
              <w:rPr>
                <w:rFonts w:ascii="宋体" w:hAnsi="宋体" w:cs="宋体" w:eastAsia="宋体" w:hint="default"/>
                <w:sz w:val="18"/>
                <w:szCs w:val="18"/>
              </w:rPr>
              <w:t>深圳市南山区科技中一路西 华强高新发展大楼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曾令羽、何庆桥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985"/>
        <w:jc w:val="left"/>
      </w:pPr>
      <w:r>
        <w:rPr/>
        <w:t>公司聘请的报告期内履行持续督导职责的财务顾问</w:t>
      </w:r>
    </w:p>
    <w:p>
      <w:pPr>
        <w:pStyle w:val="BodyText"/>
        <w:spacing w:line="240" w:lineRule="auto" w:before="116"/>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85"/>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公司是否需追溯调整或重述以前年度会计数据</w:t>
      </w:r>
    </w:p>
    <w:p>
      <w:pPr>
        <w:pStyle w:val="BodyText"/>
        <w:spacing w:line="240" w:lineRule="auto" w:before="117"/>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564,293,578.68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521,105,140.41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437,900,031.09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33,207,874.96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30,008,810.43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38,242,426.34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26,949,871.71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30,121,636.95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23,336,861.59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8,210,200.08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-63,765,893.38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-32,441,522.12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1,217,276,834.99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859,613,144.61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688,154,627.25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422,372,877.07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451,795,434.11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341,381,223.68</w:t>
            </w:r>
          </w:p>
        </w:tc>
      </w:tr>
    </w:tbl>
    <w:p>
      <w:pPr>
        <w:spacing w:line="240" w:lineRule="auto" w:before="2"/>
        <w:rPr>
          <w:rFonts w:ascii="宋体" w:hAnsi="宋体" w:cs="宋体" w:eastAsia="宋体" w:hint="default"/>
          <w:sz w:val="18"/>
          <w:szCs w:val="18"/>
        </w:rPr>
      </w:pPr>
    </w:p>
    <w:p>
      <w:pPr>
        <w:pStyle w:val="Heading4"/>
        <w:spacing w:line="240" w:lineRule="auto" w:before="26"/>
        <w:ind w:left="1134" w:right="985"/>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48,263,202.21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163,268,270.70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134,458,758.67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218,303,347.10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-20,906,062.72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10,364,979.43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12,208,328.59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31,540,629.66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-16,919,065.10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7,952,489.69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14,305,674.99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21,610,772.13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-97,397,072.71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-57,602,807.61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-3,141,890.45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166,351,970.85</w:t>
            </w:r>
          </w:p>
        </w:tc>
      </w:tr>
    </w:tbl>
    <w:p>
      <w:pPr>
        <w:pStyle w:val="BodyText"/>
        <w:spacing w:line="240" w:lineRule="auto" w:before="51"/>
        <w:ind w:left="1134" w:right="985"/>
        <w:jc w:val="left"/>
      </w:pPr>
      <w:r>
        <w:rPr/>
        <w:t>上述财务指标或其加总数是否与公司已披露季度报告、半年度报告相关财务指标存在重大差异</w:t>
      </w:r>
    </w:p>
    <w:p>
      <w:pPr>
        <w:pStyle w:val="BodyText"/>
        <w:spacing w:line="240" w:lineRule="auto" w:before="117"/>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98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985"/>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-11,289.23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12,528,675.00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10,132,227.00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17,352,700.00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58,351.16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-148,114.49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-39,021.73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-5,150,600.00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-10,080,400.00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1,115,463.94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-54,086.51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2,382,457.12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62,958.97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59,336.31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25,656.40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6,258,003.25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-112,826.52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14,905,564.75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985"/>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3"/>
        <w:jc w:val="left"/>
      </w:pPr>
      <w:r>
        <w:rPr/>
        <w:t>公司是否需要遵守特殊行业的披露要求 否</w:t>
      </w:r>
    </w:p>
    <w:p>
      <w:pPr>
        <w:pStyle w:val="BodyText"/>
        <w:spacing w:line="316" w:lineRule="auto" w:before="25"/>
        <w:ind w:left="1134" w:right="985" w:firstLine="290"/>
        <w:jc w:val="left"/>
      </w:pPr>
      <w:r>
        <w:rPr>
          <w:spacing w:val="-1"/>
        </w:rPr>
        <w:t>公司主要从事面向食品安全全程追溯、档案行业、政法行业等领域的信息化系统开发与服务，向客户提供规划咨询、软</w:t>
      </w:r>
      <w:r>
        <w:rPr/>
        <w:t> 硬件产品开发、大数据和</w:t>
      </w:r>
      <w:r>
        <w:rPr>
          <w:rFonts w:ascii="Times New Roman" w:hAnsi="Times New Roman" w:cs="Times New Roman" w:eastAsia="Times New Roman" w:hint="default"/>
        </w:rPr>
        <w:t>SaaS</w:t>
      </w:r>
      <w:r>
        <w:rPr/>
        <w:t>服务、系统集成以及运维服务等。</w:t>
      </w:r>
    </w:p>
    <w:p>
      <w:pPr>
        <w:pStyle w:val="BodyText"/>
        <w:spacing w:line="316" w:lineRule="auto" w:before="0"/>
        <w:ind w:left="1134" w:right="985" w:firstLine="290"/>
        <w:jc w:val="left"/>
      </w:pPr>
      <w:r>
        <w:rPr>
          <w:spacing w:val="-1"/>
        </w:rPr>
        <w:t>公司的客户主要包括：食品安全全程追溯领域相关的机关企事业单位，档案局（馆）、监狱、检察院、法院、公安等政</w:t>
      </w:r>
      <w:r>
        <w:rPr/>
        <w:t> 府部门以及其他企事业单位等。</w:t>
      </w:r>
    </w:p>
    <w:p>
      <w:pPr>
        <w:pStyle w:val="BodyText"/>
        <w:spacing w:line="316" w:lineRule="auto" w:before="19"/>
        <w:ind w:left="1134" w:right="6512" w:firstLine="290"/>
        <w:jc w:val="left"/>
      </w:pPr>
      <w:r>
        <w:rPr/>
        <w:t>公司核心技术： 一、基于</w:t>
      </w:r>
      <w:r>
        <w:rPr>
          <w:rFonts w:ascii="Times New Roman" w:hAnsi="Times New Roman" w:cs="Times New Roman" w:eastAsia="Times New Roman" w:hint="default"/>
        </w:rPr>
        <w:t>SAAS</w:t>
      </w:r>
      <w:r>
        <w:rPr/>
        <w:t>模式的食品安全追溯供应链生态圈模型</w:t>
      </w:r>
    </w:p>
    <w:p>
      <w:pPr>
        <w:pStyle w:val="BodyText"/>
        <w:spacing w:line="309" w:lineRule="auto" w:before="0"/>
        <w:ind w:right="1132" w:firstLine="290"/>
        <w:jc w:val="both"/>
      </w:pPr>
      <w:r>
        <w:rPr>
          <w:spacing w:val="-1"/>
        </w:rPr>
        <w:t>公司在食品追溯业务、农业业务上积极对接互联网，打造了追溯云平台、智慧农业云平台、智慧冷链云平台、智慧农批</w:t>
      </w:r>
      <w:r>
        <w:rPr/>
        <w:t> </w:t>
      </w:r>
      <w:r>
        <w:rPr>
          <w:spacing w:val="-3"/>
        </w:rPr>
        <w:t>云平台和智慧零售云平台，以追溯云为数据汇聚平台，其他四朵云分别涵盖了食品生产、加工、流通和消费各环节，共建</w:t>
      </w:r>
      <w:r>
        <w:rPr>
          <w:rFonts w:ascii="Times New Roman" w:hAnsi="Times New Roman" w:cs="Times New Roman" w:eastAsia="Times New Roman" w:hint="default"/>
          <w:spacing w:val="-3"/>
        </w:rPr>
        <w:t>“</w:t>
      </w:r>
      <w:r>
        <w:rPr>
          <w:spacing w:val="-3"/>
        </w:rPr>
        <w:t>追</w:t>
      </w:r>
      <w:r>
        <w:rPr/>
        <w:t> 溯</w:t>
      </w:r>
      <w:r>
        <w:rPr>
          <w:rFonts w:ascii="Times New Roman" w:hAnsi="Times New Roman" w:cs="Times New Roman" w:eastAsia="Times New Roman" w:hint="default"/>
        </w:rPr>
        <w:t>+</w:t>
      </w:r>
      <w:r>
        <w:rPr/>
        <w:t>食安供应链</w:t>
      </w:r>
      <w:r>
        <w:rPr>
          <w:rFonts w:ascii="Times New Roman" w:hAnsi="Times New Roman" w:cs="Times New Roman" w:eastAsia="Times New Roman" w:hint="default"/>
        </w:rPr>
        <w:t>”</w:t>
      </w:r>
      <w:r>
        <w:rPr/>
        <w:t>生态圈服务。</w:t>
      </w:r>
    </w:p>
    <w:p>
      <w:pPr>
        <w:pStyle w:val="BodyText"/>
        <w:spacing w:line="316" w:lineRule="auto" w:before="5"/>
        <w:ind w:left="1134" w:right="1028" w:firstLine="290"/>
        <w:jc w:val="left"/>
      </w:pPr>
      <w:r>
        <w:rPr>
          <w:spacing w:val="-2"/>
        </w:rPr>
        <w:t>追溯云平台是整个食品安全生态圈的数据中心、信息服务中心和运维监管中心。对追溯环节中产生的各类数据进行采集、</w:t>
      </w:r>
      <w:r>
        <w:rPr/>
        <w:t> 汇总、面向企业、政府、消费者，为各类中小微企业提供追溯链条合成、</w:t>
      </w:r>
      <w:r>
        <w:rPr>
          <w:rFonts w:ascii="Times New Roman" w:hAnsi="Times New Roman" w:cs="Times New Roman" w:eastAsia="Times New Roman" w:hint="default"/>
        </w:rPr>
        <w:t>ERP</w:t>
      </w:r>
      <w:r>
        <w:rPr/>
        <w:t>对接、互联网营销、大数据分析等服务。</w:t>
      </w:r>
    </w:p>
    <w:p>
      <w:pPr>
        <w:pStyle w:val="BodyText"/>
        <w:spacing w:line="319" w:lineRule="auto" w:before="0"/>
        <w:ind w:right="1131" w:firstLine="290"/>
        <w:jc w:val="both"/>
      </w:pPr>
      <w:r>
        <w:rPr>
          <w:spacing w:val="-1"/>
        </w:rPr>
        <w:t>智慧农业云平台充分运用物联网、云计算、大数据等技术，建设农业物联网应用、水肥一体化灌溉系统、农业投入品监</w:t>
      </w:r>
      <w:r>
        <w:rPr/>
        <w:t> </w:t>
      </w:r>
      <w:r>
        <w:rPr>
          <w:spacing w:val="-2"/>
        </w:rPr>
        <w:t>管系统等，实现智能化种养殖环境监测、标准化生产经营管理、溯源化农产品质量安全、品牌化农产品精准营销和科学化数</w:t>
      </w:r>
      <w:r>
        <w:rPr>
          <w:spacing w:val="-66"/>
        </w:rPr>
        <w:t> </w:t>
      </w:r>
      <w:r>
        <w:rPr>
          <w:spacing w:val="-66"/>
        </w:rPr>
      </w:r>
      <w:r>
        <w:rPr/>
        <w:t>据预警决策分析。</w:t>
      </w:r>
    </w:p>
    <w:p>
      <w:pPr>
        <w:pStyle w:val="BodyText"/>
        <w:spacing w:line="316" w:lineRule="auto" w:before="17"/>
        <w:ind w:right="985" w:firstLine="290"/>
        <w:jc w:val="left"/>
      </w:pPr>
      <w:r>
        <w:rPr>
          <w:spacing w:val="-1"/>
        </w:rPr>
        <w:t>智慧冷链云平台围绕冷链监管部门的核心业务进行设计，实现全国冷链物流全产业的企业监管和服务评级，并实现资源</w:t>
      </w:r>
      <w:r>
        <w:rPr/>
        <w:t> 的实时</w:t>
      </w:r>
      <w:r>
        <w:rPr>
          <w:rFonts w:ascii="Times New Roman" w:hAnsi="Times New Roman" w:cs="Times New Roman" w:eastAsia="Times New Roman" w:hint="default"/>
        </w:rPr>
        <w:t>GIS</w:t>
      </w:r>
      <w:r>
        <w:rPr/>
        <w:t>监控数据展示和查询，并利用大数据挖掘分析提供智慧在线资源调拨交易服务功能。</w:t>
      </w:r>
    </w:p>
    <w:p>
      <w:pPr>
        <w:pStyle w:val="BodyText"/>
        <w:spacing w:line="300" w:lineRule="auto" w:before="0"/>
        <w:ind w:left="1134" w:right="1132" w:firstLine="290"/>
        <w:jc w:val="left"/>
      </w:pPr>
      <w:r>
        <w:rPr/>
        <w:t>智慧农批云平台打造</w:t>
      </w:r>
      <w:r>
        <w:rPr>
          <w:rFonts w:ascii="Times New Roman" w:hAnsi="Times New Roman" w:cs="Times New Roman" w:eastAsia="Times New Roman" w:hint="default"/>
        </w:rPr>
        <w:t>O2O</w:t>
      </w:r>
      <w:r>
        <w:rPr/>
        <w:t>智慧批发的</w:t>
      </w:r>
      <w:r>
        <w:rPr>
          <w:rFonts w:ascii="Times New Roman" w:hAnsi="Times New Roman" w:cs="Times New Roman" w:eastAsia="Times New Roman" w:hint="default"/>
        </w:rPr>
        <w:t>“</w:t>
      </w:r>
      <w:r>
        <w:rPr/>
        <w:t>新农批</w:t>
      </w:r>
      <w:r>
        <w:rPr>
          <w:rFonts w:ascii="Times New Roman" w:hAnsi="Times New Roman" w:cs="Times New Roman" w:eastAsia="Times New Roman" w:hint="default"/>
        </w:rPr>
        <w:t>”</w:t>
      </w:r>
      <w:r>
        <w:rPr/>
        <w:t>理念，提出线上撮合交易、线下服务交易的新模式，采用二维码赋码、电 子化结算、智能手持终端、移动支付等技术手段建设网上批发交易市场。</w:t>
      </w:r>
    </w:p>
    <w:p>
      <w:pPr>
        <w:pStyle w:val="BodyText"/>
        <w:spacing w:line="300" w:lineRule="auto" w:before="31"/>
        <w:ind w:left="1134" w:right="1192" w:firstLine="290"/>
        <w:jc w:val="left"/>
      </w:pPr>
      <w:r>
        <w:rPr/>
        <w:t>智慧零售云平台采用以</w:t>
      </w:r>
      <w:r>
        <w:rPr>
          <w:rFonts w:ascii="Times New Roman" w:hAnsi="Times New Roman" w:cs="Times New Roman" w:eastAsia="Times New Roman" w:hint="default"/>
        </w:rPr>
        <w:t>SAAS</w:t>
      </w:r>
      <w:r>
        <w:rPr/>
        <w:t>应用为基础，向菜市场、生鲜超市、社区生鲜店和菜市场商户等提供生鲜新零售</w:t>
      </w:r>
      <w:r>
        <w:rPr>
          <w:rFonts w:ascii="Times New Roman" w:hAnsi="Times New Roman" w:cs="Times New Roman" w:eastAsia="Times New Roman" w:hint="default"/>
        </w:rPr>
        <w:t>O2O</w:t>
      </w:r>
      <w:r>
        <w:rPr/>
        <w:t>运营 服务，为消费者提供</w:t>
      </w:r>
      <w:r>
        <w:rPr>
          <w:rFonts w:ascii="Times New Roman" w:hAnsi="Times New Roman" w:cs="Times New Roman" w:eastAsia="Times New Roman" w:hint="default"/>
        </w:rPr>
        <w:t>“</w:t>
      </w:r>
      <w:r>
        <w:rPr/>
        <w:t>实惠、新鲜、便捷、安全、健康</w:t>
      </w:r>
      <w:r>
        <w:rPr>
          <w:rFonts w:ascii="Times New Roman" w:hAnsi="Times New Roman" w:cs="Times New Roman" w:eastAsia="Times New Roman" w:hint="default"/>
        </w:rPr>
        <w:t>”</w:t>
      </w:r>
      <w:r>
        <w:rPr/>
        <w:t>的生鲜消费体验。</w:t>
      </w:r>
    </w:p>
    <w:p>
      <w:pPr>
        <w:pStyle w:val="BodyText"/>
        <w:spacing w:line="240" w:lineRule="auto" w:before="13"/>
        <w:ind w:right="985"/>
        <w:jc w:val="left"/>
      </w:pPr>
      <w:r>
        <w:rPr/>
        <w:t>二、整体业务解决方案</w:t>
      </w:r>
    </w:p>
    <w:p>
      <w:pPr>
        <w:pStyle w:val="BodyText"/>
        <w:spacing w:line="240" w:lineRule="auto" w:before="76"/>
        <w:ind w:left="1424" w:right="985"/>
        <w:jc w:val="left"/>
      </w:pPr>
      <w:r>
        <w:rPr>
          <w:rFonts w:ascii="Times New Roman" w:hAnsi="Times New Roman" w:cs="Times New Roman" w:eastAsia="Times New Roman" w:hint="default"/>
        </w:rPr>
        <w:t>1</w:t>
      </w:r>
      <w:r>
        <w:rPr/>
        <w:t>、食安追溯</w:t>
      </w:r>
    </w:p>
    <w:p>
      <w:pPr>
        <w:pStyle w:val="BodyText"/>
        <w:spacing w:line="309" w:lineRule="auto" w:before="63"/>
        <w:ind w:right="985" w:firstLine="290"/>
        <w:jc w:val="left"/>
      </w:pPr>
      <w:r>
        <w:rPr>
          <w:spacing w:val="-2"/>
        </w:rPr>
        <w:t>（</w:t>
      </w:r>
      <w:r>
        <w:rPr>
          <w:rFonts w:ascii="Times New Roman" w:hAnsi="Times New Roman" w:cs="Times New Roman" w:eastAsia="Times New Roman" w:hint="default"/>
          <w:spacing w:val="-2"/>
        </w:rPr>
        <w:t>1</w:t>
      </w:r>
      <w:r>
        <w:rPr>
          <w:spacing w:val="-2"/>
        </w:rPr>
        <w:t>）追溯云全产业链服务解决方案：以</w:t>
      </w:r>
      <w:r>
        <w:rPr>
          <w:rFonts w:ascii="Times New Roman" w:hAnsi="Times New Roman" w:cs="Times New Roman" w:eastAsia="Times New Roman" w:hint="default"/>
          <w:spacing w:val="-2"/>
        </w:rPr>
        <w:t>“</w:t>
      </w:r>
      <w:r>
        <w:rPr>
          <w:spacing w:val="-2"/>
        </w:rPr>
        <w:t>食品追溯关系民生，信息服务提升质量</w:t>
      </w:r>
      <w:r>
        <w:rPr>
          <w:rFonts w:ascii="Times New Roman" w:hAnsi="Times New Roman" w:cs="Times New Roman" w:eastAsia="Times New Roman" w:hint="default"/>
          <w:spacing w:val="-2"/>
        </w:rPr>
        <w:t>”</w:t>
      </w:r>
      <w:r>
        <w:rPr>
          <w:spacing w:val="-2"/>
        </w:rPr>
        <w:t>为目标，基于云计算、物联网、移动互</w:t>
      </w:r>
      <w:r>
        <w:rPr/>
        <w:t> </w:t>
      </w:r>
      <w:r>
        <w:rPr>
          <w:spacing w:val="-4"/>
        </w:rPr>
        <w:t>联和大数据等技术，面向政府食品安全监管部门、食品生产经营企业、协会及团体、设备供应商、运维服务商和广大消费者，</w:t>
      </w:r>
      <w:r>
        <w:rPr>
          <w:spacing w:val="-44"/>
        </w:rPr>
        <w:t> </w:t>
      </w:r>
      <w:r>
        <w:rPr>
          <w:spacing w:val="-44"/>
        </w:rPr>
      </w:r>
      <w:r>
        <w:rPr/>
        <w:t>提供全面、规范、快捷的追溯系统定制开发和食品安全信息咨询服务。</w:t>
      </w:r>
    </w:p>
    <w:p>
      <w:pPr>
        <w:pStyle w:val="BodyText"/>
        <w:spacing w:line="300" w:lineRule="auto" w:before="24"/>
        <w:ind w:right="1193" w:firstLine="290"/>
        <w:jc w:val="left"/>
      </w:pPr>
      <w:r>
        <w:rPr/>
        <w:t>（</w:t>
      </w:r>
      <w:r>
        <w:rPr>
          <w:rFonts w:ascii="Times New Roman" w:hAnsi="Times New Roman" w:cs="Times New Roman" w:eastAsia="Times New Roman" w:hint="default"/>
        </w:rPr>
        <w:t>2</w:t>
      </w:r>
      <w:r>
        <w:rPr/>
        <w:t>）食安追溯智慧供应链解决方案：依托我司追溯云大数据平台、智农云、冷链云、新农批云、新零售云等，为食品 供应链监管部门、第三方机构、生产加工销售企业、消费端全流程环节提供供应链追溯服务。</w:t>
      </w:r>
    </w:p>
    <w:p>
      <w:pPr>
        <w:pStyle w:val="BodyText"/>
        <w:spacing w:line="309" w:lineRule="auto" w:before="31"/>
        <w:ind w:right="985" w:firstLine="290"/>
        <w:jc w:val="left"/>
      </w:pPr>
      <w:r>
        <w:rPr/>
        <w:t>（</w:t>
      </w:r>
      <w:r>
        <w:rPr>
          <w:rFonts w:ascii="Times New Roman" w:hAnsi="Times New Roman" w:cs="Times New Roman" w:eastAsia="Times New Roman" w:hint="default"/>
        </w:rPr>
        <w:t>3</w:t>
      </w:r>
      <w:r>
        <w:rPr/>
        <w:t>）智慧农业整体解决方案：智慧农业借助物联网、云计算、大数据、人工智能等新一代信息技术，应用三产融合、 </w:t>
      </w:r>
      <w:r>
        <w:rPr>
          <w:spacing w:val="-2"/>
        </w:rPr>
        <w:t>绿色发展等理念，面向种植、水产、畜牧等产业，以政府、企业、社会公众的需求为向导，提供覆盖生产、经营、管理和服</w:t>
      </w:r>
      <w:r>
        <w:rPr>
          <w:spacing w:val="-68"/>
        </w:rPr>
        <w:t> </w:t>
      </w:r>
      <w:r>
        <w:rPr>
          <w:spacing w:val="-68"/>
        </w:rPr>
      </w:r>
      <w:r>
        <w:rPr/>
        <w:t>务全环节的综合性解决方案，助力传统农业向现代农业转型升级。</w:t>
      </w:r>
    </w:p>
    <w:p>
      <w:pPr>
        <w:pStyle w:val="BodyText"/>
        <w:spacing w:line="312" w:lineRule="auto" w:before="24"/>
        <w:ind w:right="985" w:firstLine="290"/>
        <w:jc w:val="left"/>
      </w:pPr>
      <w:r>
        <w:rPr/>
        <w:t>（</w:t>
      </w:r>
      <w:r>
        <w:rPr>
          <w:rFonts w:ascii="Times New Roman" w:hAnsi="Times New Roman" w:cs="Times New Roman" w:eastAsia="Times New Roman" w:hint="default"/>
        </w:rPr>
        <w:t>4</w:t>
      </w:r>
      <w:r>
        <w:rPr/>
        <w:t>）追溯体系运营解决方案：我司依照商务部《肉类蔬菜流通追溯体系运行考核办法（试行）》以及各追溯试点城市 </w:t>
      </w:r>
      <w:r>
        <w:rPr>
          <w:spacing w:val="-2"/>
        </w:rPr>
        <w:t>的相关运营需求，采用成熟的数据交换体系和物联网技术，提高追溯数据采集的实效性和系统设备资产可视化监管水平，旨</w:t>
      </w:r>
      <w:r>
        <w:rPr>
          <w:spacing w:val="-66"/>
        </w:rPr>
        <w:t> </w:t>
      </w:r>
      <w:r>
        <w:rPr>
          <w:spacing w:val="-66"/>
        </w:rPr>
      </w:r>
      <w:r>
        <w:rPr>
          <w:spacing w:val="-2"/>
        </w:rPr>
        <w:t>在帮助客户责任部门实现运行管理落地、规范运行维护管理过程、沉淀运维知识，做到运行管理可控、服务管理可视、量化</w:t>
      </w:r>
      <w:r>
        <w:rPr>
          <w:spacing w:val="-66"/>
        </w:rPr>
        <w:t> </w:t>
      </w:r>
      <w:r>
        <w:rPr>
          <w:spacing w:val="-66"/>
        </w:rPr>
      </w:r>
      <w:r>
        <w:rPr/>
        <w:t>统计辅助决策。</w:t>
      </w:r>
    </w:p>
    <w:p>
      <w:pPr>
        <w:pStyle w:val="BodyText"/>
        <w:spacing w:line="300" w:lineRule="auto" w:before="22"/>
        <w:ind w:right="985" w:firstLine="290"/>
        <w:jc w:val="left"/>
      </w:pPr>
      <w:r>
        <w:rPr/>
        <w:t>（</w:t>
      </w:r>
      <w:r>
        <w:rPr>
          <w:rFonts w:ascii="Times New Roman" w:hAnsi="Times New Roman" w:cs="Times New Roman" w:eastAsia="Times New Roman" w:hint="default"/>
        </w:rPr>
        <w:t>5</w:t>
      </w:r>
      <w:r>
        <w:rPr/>
        <w:t>）流通环节企业经营管理解决方案：以客户实际经营管理需求为中心、以产品创新为核心、实现整个产供销全生命 </w:t>
      </w:r>
      <w:r>
        <w:rPr>
          <w:spacing w:val="-2"/>
        </w:rPr>
        <w:t>周期的一体化管理。针对不同类型流通环节节点企业，可提供统一成熟的产品，亦可根据企业个性化需求进行定制开发，具</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985"/>
        <w:jc w:val="left"/>
      </w:pPr>
      <w:r>
        <w:rPr>
          <w:spacing w:val="-2"/>
        </w:rPr>
        <w:t>体功能涵盖客户档案管理、采购管理、加工过程管理、物料使用管理、库存管理、销售管理、财务管理等等，帮助企业管理</w:t>
      </w:r>
      <w:r>
        <w:rPr>
          <w:spacing w:val="-72"/>
        </w:rPr>
        <w:t> </w:t>
      </w:r>
      <w:r>
        <w:rPr>
          <w:spacing w:val="-72"/>
        </w:rPr>
      </w:r>
      <w:r>
        <w:rPr/>
        <w:t>者及时了解各系统使用部门的业务细节，做到高效管理，时时把握。</w:t>
      </w:r>
    </w:p>
    <w:p>
      <w:pPr>
        <w:pStyle w:val="BodyText"/>
        <w:spacing w:line="300" w:lineRule="auto" w:before="19"/>
        <w:ind w:right="1111" w:firstLine="290"/>
        <w:jc w:val="left"/>
      </w:pPr>
      <w:r>
        <w:rPr/>
        <w:t>（</w:t>
      </w:r>
      <w:r>
        <w:rPr>
          <w:rFonts w:ascii="Times New Roman" w:hAnsi="Times New Roman" w:cs="Times New Roman" w:eastAsia="Times New Roman" w:hint="default"/>
        </w:rPr>
        <w:t>6</w:t>
      </w:r>
      <w:r>
        <w:rPr/>
        <w:t>）重要产品全程追溯解决方案：针对国家及省市政府要求建设的食用农产品、食品、药品、农业生产资料、特种设 备、危险品、稀土产品及进出口产品追溯体系等作为重点，构建重要产品追溯云</w:t>
      </w:r>
      <w:r>
        <w:rPr>
          <w:rFonts w:ascii="Times New Roman" w:hAnsi="Times New Roman" w:cs="Times New Roman" w:eastAsia="Times New Roman" w:hint="default"/>
        </w:rPr>
        <w:t>+</w:t>
      </w:r>
      <w:r>
        <w:rPr/>
        <w:t>端全新架构，可伸缩性省（自治区）、地 </w:t>
      </w:r>
      <w:r>
        <w:rPr>
          <w:spacing w:val="-3"/>
        </w:rPr>
        <w:t>市两级平台，平台融合数据中心、信息服务中心和决策指挥中心于一体；可实现重要产品从</w:t>
      </w:r>
      <w:r>
        <w:rPr>
          <w:rFonts w:ascii="Times New Roman" w:hAnsi="Times New Roman" w:cs="Times New Roman" w:eastAsia="Times New Roman" w:hint="default"/>
          <w:spacing w:val="-3"/>
        </w:rPr>
        <w:t>“”</w:t>
      </w:r>
      <w:r>
        <w:rPr>
          <w:spacing w:val="-3"/>
        </w:rPr>
        <w:t>田间到餐桌</w:t>
      </w:r>
      <w:r>
        <w:rPr>
          <w:rFonts w:ascii="Times New Roman" w:hAnsi="Times New Roman" w:cs="Times New Roman" w:eastAsia="Times New Roman" w:hint="default"/>
          <w:spacing w:val="-3"/>
        </w:rPr>
        <w:t>”</w:t>
      </w:r>
      <w:r>
        <w:rPr>
          <w:spacing w:val="-3"/>
        </w:rPr>
        <w:t>、从</w:t>
      </w:r>
      <w:r>
        <w:rPr>
          <w:rFonts w:ascii="Times New Roman" w:hAnsi="Times New Roman" w:cs="Times New Roman" w:eastAsia="Times New Roman" w:hint="default"/>
          <w:spacing w:val="-3"/>
        </w:rPr>
        <w:t>“</w:t>
      </w:r>
      <w:r>
        <w:rPr>
          <w:spacing w:val="-3"/>
        </w:rPr>
        <w:t>工厂到消费</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
        </w:rPr>
        <w:t> </w:t>
      </w:r>
      <w:r>
        <w:rPr/>
        <w:t>的全程追溯。</w:t>
      </w:r>
    </w:p>
    <w:p>
      <w:pPr>
        <w:pStyle w:val="BodyText"/>
        <w:spacing w:line="240" w:lineRule="auto" w:before="31"/>
        <w:ind w:left="1134" w:right="985"/>
        <w:jc w:val="left"/>
      </w:pPr>
      <w:r>
        <w:rPr>
          <w:rFonts w:ascii="Times New Roman" w:hAnsi="Times New Roman" w:cs="Times New Roman" w:eastAsia="Times New Roman" w:hint="default"/>
        </w:rPr>
        <w:t>2</w:t>
      </w:r>
      <w:r>
        <w:rPr/>
        <w:t>、档案管理</w:t>
      </w:r>
    </w:p>
    <w:p>
      <w:pPr>
        <w:pStyle w:val="BodyText"/>
        <w:spacing w:line="314" w:lineRule="auto" w:before="63"/>
        <w:ind w:right="985" w:firstLine="290"/>
        <w:jc w:val="left"/>
      </w:pPr>
      <w:r>
        <w:rPr/>
        <w:t>（</w:t>
      </w:r>
      <w:r>
        <w:rPr>
          <w:rFonts w:ascii="Times New Roman" w:hAnsi="Times New Roman" w:cs="Times New Roman" w:eastAsia="Times New Roman" w:hint="default"/>
        </w:rPr>
        <w:t>1</w:t>
      </w:r>
      <w:r>
        <w:rPr/>
        <w:t>）数字档案馆解决方案：数字档案馆解决方案立足我国各级综合档案馆信息化现状和发展规划，遵循国家《数字档 </w:t>
      </w:r>
      <w:r>
        <w:rPr>
          <w:spacing w:val="-2"/>
        </w:rPr>
        <w:t>案馆建设指南》、《数字档案馆系统测试办法》等标准规范要求，融合先进的信息技术和全新的发展思路，提供全产业链的</w:t>
      </w:r>
      <w:r>
        <w:rPr>
          <w:spacing w:val="-67"/>
        </w:rPr>
        <w:t> </w:t>
      </w:r>
      <w:r>
        <w:rPr>
          <w:spacing w:val="-67"/>
        </w:rPr>
      </w:r>
      <w:r>
        <w:rPr>
          <w:spacing w:val="-4"/>
        </w:rPr>
        <w:t>档案信息化服务，建立电子档案的收集、加工、管理、保存、利用的信息化过程体系，建设立档单位、区（县）、地（市）、</w:t>
      </w:r>
      <w:r>
        <w:rPr>
          <w:spacing w:val="-49"/>
        </w:rPr>
        <w:t> </w:t>
      </w:r>
      <w:r>
        <w:rPr>
          <w:spacing w:val="-49"/>
        </w:rPr>
      </w:r>
      <w:r>
        <w:rPr>
          <w:spacing w:val="-2"/>
        </w:rPr>
        <w:t>省（市）多级的档案数据库，最终构建覆盖局域网、政务网、互联网三网平台的档案信息资源共享总库，不断满足档案利用</w:t>
      </w:r>
      <w:r>
        <w:rPr>
          <w:spacing w:val="-68"/>
        </w:rPr>
        <w:t> </w:t>
      </w:r>
      <w:r>
        <w:rPr>
          <w:spacing w:val="-68"/>
        </w:rPr>
      </w:r>
      <w:r>
        <w:rPr/>
        <w:t>者和档案管理者的需求。</w:t>
      </w:r>
    </w:p>
    <w:p>
      <w:pPr>
        <w:pStyle w:val="BodyText"/>
        <w:spacing w:line="304" w:lineRule="auto" w:before="20"/>
        <w:ind w:right="1131" w:firstLine="290"/>
        <w:jc w:val="both"/>
      </w:pPr>
      <w:r>
        <w:rPr>
          <w:spacing w:val="-2"/>
        </w:rPr>
        <w:t>（</w:t>
      </w:r>
      <w:r>
        <w:rPr>
          <w:rFonts w:ascii="Times New Roman" w:hAnsi="Times New Roman" w:cs="Times New Roman" w:eastAsia="Times New Roman" w:hint="default"/>
          <w:spacing w:val="-2"/>
        </w:rPr>
        <w:t>2</w:t>
      </w:r>
      <w:r>
        <w:rPr>
          <w:spacing w:val="-2"/>
        </w:rPr>
        <w:t>）数字档案室解决方案：数字档案室整体方案是在《全国档案事业发展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规划纲要》指导下，基于《数字档案</w:t>
      </w:r>
      <w:r>
        <w:rPr/>
        <w:t> 室建设指南》、国家档案局第</w:t>
      </w:r>
      <w:r>
        <w:rPr>
          <w:rFonts w:ascii="Times New Roman" w:hAnsi="Times New Roman" w:cs="Times New Roman" w:eastAsia="Times New Roman" w:hint="default"/>
        </w:rPr>
        <w:t>8</w:t>
      </w:r>
      <w:r>
        <w:rPr/>
        <w:t>号令《机关文件材料归档范围和文书档案保管期限规定》、国家档案局第</w:t>
      </w:r>
      <w:r>
        <w:rPr>
          <w:rFonts w:ascii="Times New Roman" w:hAnsi="Times New Roman" w:cs="Times New Roman" w:eastAsia="Times New Roman" w:hint="default"/>
        </w:rPr>
        <w:t>10</w:t>
      </w:r>
      <w:r>
        <w:rPr/>
        <w:t>号令《企业文件 </w:t>
      </w:r>
      <w:r>
        <w:rPr>
          <w:spacing w:val="-2"/>
        </w:rPr>
        <w:t>材料归档范围和档案保管期限规定》以及《数字档案室建设评价办法》等相关标准规范指引，以</w:t>
      </w:r>
      <w:r>
        <w:rPr>
          <w:rFonts w:ascii="Times New Roman" w:hAnsi="Times New Roman" w:cs="Times New Roman" w:eastAsia="Times New Roman" w:hint="default"/>
          <w:spacing w:val="-2"/>
        </w:rPr>
        <w:t>“</w:t>
      </w:r>
      <w:r>
        <w:rPr>
          <w:spacing w:val="-2"/>
        </w:rPr>
        <w:t>泛档案、大数据、重利用</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spacing w:val="-2"/>
        </w:rPr>
        <w:t>为理念，面向机关、企事业单位、公检法司、金融、教育、建工、制造业等多行业进行档案信息化建设的整体解决方案，全</w:t>
      </w:r>
      <w:r>
        <w:rPr>
          <w:spacing w:val="-67"/>
        </w:rPr>
        <w:t> </w:t>
      </w:r>
      <w:r>
        <w:rPr>
          <w:spacing w:val="-67"/>
        </w:rPr>
      </w:r>
      <w:r>
        <w:rPr/>
        <w:t>面实现档案资源数字化、档案管理信息化、档案服务知识化。</w:t>
      </w:r>
    </w:p>
    <w:p>
      <w:pPr>
        <w:pStyle w:val="BodyText"/>
        <w:spacing w:line="312" w:lineRule="auto" w:before="28"/>
        <w:ind w:right="985" w:firstLine="290"/>
        <w:jc w:val="left"/>
      </w:pPr>
      <w:r>
        <w:rPr/>
        <w:t>（</w:t>
      </w:r>
      <w:r>
        <w:rPr>
          <w:rFonts w:ascii="Times New Roman" w:hAnsi="Times New Roman" w:cs="Times New Roman" w:eastAsia="Times New Roman" w:hint="default"/>
        </w:rPr>
        <w:t>3</w:t>
      </w:r>
      <w:r>
        <w:rPr/>
        <w:t>）智慧档案馆解决方案：智慧档案馆是以新一代信息技术为支撑，结合云计算、大数据、区块链、物联网以及移动 </w:t>
      </w:r>
      <w:r>
        <w:rPr>
          <w:spacing w:val="-2"/>
        </w:rPr>
        <w:t>应用等最新理念，以全文透彻的感知、互动协同的互联、智能融合的应用以及以人为本的可持续创新为主要建设内容，对电</w:t>
      </w:r>
      <w:r>
        <w:rPr>
          <w:spacing w:val="-66"/>
        </w:rPr>
        <w:t> </w:t>
      </w:r>
      <w:r>
        <w:rPr>
          <w:spacing w:val="-66"/>
        </w:rPr>
      </w:r>
      <w:r>
        <w:rPr>
          <w:spacing w:val="-2"/>
        </w:rPr>
        <w:t>子文件（档案）进行异构采集、智能管理、安全保存，并通过各种平台提供公共档案信息主动服务和共享互动利用的档案信</w:t>
      </w:r>
      <w:r>
        <w:rPr>
          <w:spacing w:val="-65"/>
        </w:rPr>
        <w:t> </w:t>
      </w:r>
      <w:r>
        <w:rPr>
          <w:spacing w:val="-65"/>
        </w:rPr>
      </w:r>
      <w:r>
        <w:rPr/>
        <w:t>息集成系统。</w:t>
      </w:r>
    </w:p>
    <w:p>
      <w:pPr>
        <w:pStyle w:val="BodyText"/>
        <w:spacing w:line="307" w:lineRule="auto" w:before="22"/>
        <w:ind w:right="1033" w:firstLine="290"/>
        <w:jc w:val="left"/>
      </w:pPr>
      <w:r>
        <w:rPr/>
        <w:t>（</w:t>
      </w:r>
      <w:r>
        <w:rPr>
          <w:rFonts w:ascii="Times New Roman" w:hAnsi="Times New Roman" w:cs="Times New Roman" w:eastAsia="Times New Roman" w:hint="default"/>
        </w:rPr>
        <w:t>4</w:t>
      </w:r>
      <w:r>
        <w:rPr/>
        <w:t>）档案资源共建共享解决方案：依托各省市网络环境，整合分布式异构电子文件（档案）资源，实现全省范围跨馆 </w:t>
      </w:r>
      <w:r>
        <w:rPr>
          <w:spacing w:val="-2"/>
        </w:rPr>
        <w:t>电子文件（档案）的网上申请、到馆取件、快递送达的</w:t>
      </w:r>
      <w:r>
        <w:rPr>
          <w:rFonts w:ascii="Times New Roman" w:hAnsi="Times New Roman" w:cs="Times New Roman" w:eastAsia="Times New Roman" w:hint="default"/>
          <w:spacing w:val="-2"/>
        </w:rPr>
        <w:t>“</w:t>
      </w:r>
      <w:r>
        <w:rPr>
          <w:spacing w:val="-2"/>
        </w:rPr>
        <w:t>一网查档，百馆联动</w:t>
      </w:r>
      <w:r>
        <w:rPr>
          <w:rFonts w:ascii="Times New Roman" w:hAnsi="Times New Roman" w:cs="Times New Roman" w:eastAsia="Times New Roman" w:hint="default"/>
          <w:spacing w:val="-2"/>
        </w:rPr>
        <w:t>”</w:t>
      </w:r>
      <w:r>
        <w:rPr>
          <w:spacing w:val="-2"/>
        </w:rPr>
        <w:t>的省域远程查档利用新模式，以及地市县民生</w:t>
      </w:r>
      <w:r>
        <w:rPr>
          <w:spacing w:val="-45"/>
        </w:rPr>
        <w:t> </w:t>
      </w:r>
      <w:r>
        <w:rPr>
          <w:spacing w:val="-45"/>
        </w:rPr>
      </w:r>
      <w:r>
        <w:rPr/>
        <w:t>档案跨馆、跨区、跨行业的远程出证便民服务。支持移动端通过微信公众号、微信小程序、支付宝生活号、支付宝小程序、 各类政务服务类</w:t>
      </w:r>
      <w:r>
        <w:rPr>
          <w:rFonts w:ascii="Times New Roman" w:hAnsi="Times New Roman" w:cs="Times New Roman" w:eastAsia="Times New Roman" w:hint="default"/>
        </w:rPr>
        <w:t>APP</w:t>
      </w:r>
      <w:r>
        <w:rPr/>
        <w:t>应用嵌入以及手机短信等，进行</w:t>
      </w:r>
      <w:r>
        <w:rPr>
          <w:rFonts w:ascii="Times New Roman" w:hAnsi="Times New Roman" w:cs="Times New Roman" w:eastAsia="Times New Roman" w:hint="default"/>
        </w:rPr>
        <w:t>“</w:t>
      </w:r>
      <w:r>
        <w:rPr/>
        <w:t>矩阵式</w:t>
      </w:r>
      <w:r>
        <w:rPr>
          <w:rFonts w:ascii="Times New Roman" w:hAnsi="Times New Roman" w:cs="Times New Roman" w:eastAsia="Times New Roman" w:hint="default"/>
        </w:rPr>
        <w:t>”</w:t>
      </w:r>
      <w:r>
        <w:rPr/>
        <w:t>档案利用服务多途径拓展、延伸。</w:t>
      </w:r>
    </w:p>
    <w:p>
      <w:pPr>
        <w:pStyle w:val="BodyText"/>
        <w:spacing w:line="307" w:lineRule="auto" w:before="7"/>
        <w:ind w:right="1123" w:firstLine="290"/>
        <w:jc w:val="left"/>
      </w:pPr>
      <w:r>
        <w:rPr/>
        <w:t>（</w:t>
      </w:r>
      <w:r>
        <w:rPr>
          <w:rFonts w:ascii="Times New Roman" w:hAnsi="Times New Roman" w:cs="Times New Roman" w:eastAsia="Times New Roman" w:hint="default"/>
        </w:rPr>
        <w:t>5</w:t>
      </w:r>
      <w:r>
        <w:rPr/>
        <w:t>）档案数据安全保存解决方案：海量档案数据安全存储解决方案是我司基于多年档案信息化业务经验和技术积累， </w:t>
      </w:r>
      <w:r>
        <w:rPr>
          <w:spacing w:val="-2"/>
        </w:rPr>
        <w:t>面向电子档案长久安全保存需求推出的解决方案。它创新地综合运用磁盘、磁带和光盘等多种存储介质，以海量电子档案安</w:t>
      </w:r>
      <w:r>
        <w:rPr>
          <w:spacing w:val="-66"/>
        </w:rPr>
        <w:t> </w:t>
      </w:r>
      <w:r>
        <w:rPr>
          <w:spacing w:val="-66"/>
        </w:rPr>
      </w:r>
      <w:r>
        <w:rPr/>
        <w:t>全保存一体机为支撑，采用</w:t>
      </w:r>
      <w:r>
        <w:rPr>
          <w:rFonts w:ascii="Times New Roman" w:hAnsi="Times New Roman" w:cs="Times New Roman" w:eastAsia="Times New Roman" w:hint="default"/>
        </w:rPr>
        <w:t>321</w:t>
      </w:r>
      <w:r>
        <w:rPr/>
        <w:t>存储备份机制，磁光电融合存储方案，集智能监控、多级存储设备管理于一体，为用户提供 自动备份、定期检测、智能恢复、问题追踪及处理等功能，保障电子档案数据在长久保存过程中的安全、可靠。</w:t>
      </w:r>
    </w:p>
    <w:p>
      <w:pPr>
        <w:pStyle w:val="BodyText"/>
        <w:spacing w:line="314" w:lineRule="auto" w:before="26"/>
        <w:ind w:right="985" w:firstLine="290"/>
        <w:jc w:val="left"/>
      </w:pPr>
      <w:r>
        <w:rPr/>
        <w:t>（</w:t>
      </w:r>
      <w:r>
        <w:rPr>
          <w:rFonts w:ascii="Times New Roman" w:hAnsi="Times New Roman" w:cs="Times New Roman" w:eastAsia="Times New Roman" w:hint="default"/>
        </w:rPr>
        <w:t>6</w:t>
      </w:r>
      <w:r>
        <w:rPr/>
        <w:t>）新馆智能馆舍解决方案：新馆智能馆舍解决方案以档案馆建筑物为平台，综合运用计算机技术、通信网络技术、 </w:t>
      </w:r>
      <w:r>
        <w:rPr>
          <w:spacing w:val="-2"/>
        </w:rPr>
        <w:t>智能楼宇技术、物联网技术、传感与监测技术、虚拟现实技术等先进技术，通过将档案馆内的智能密集架、环境控制、安防</w:t>
      </w:r>
      <w:r>
        <w:rPr>
          <w:spacing w:val="-67"/>
        </w:rPr>
        <w:t> </w:t>
      </w:r>
      <w:r>
        <w:rPr>
          <w:spacing w:val="-67"/>
        </w:rPr>
      </w:r>
      <w:r>
        <w:rPr>
          <w:spacing w:val="-2"/>
        </w:rPr>
        <w:t>消防、门禁监控、声控灯控、信息发布等智能设备的集成，建设一个规划合理、功能完善、技术先进的智能化管理系统，使</w:t>
      </w:r>
      <w:r>
        <w:rPr>
          <w:spacing w:val="-71"/>
        </w:rPr>
        <w:t> </w:t>
      </w:r>
      <w:r>
        <w:rPr>
          <w:spacing w:val="-71"/>
        </w:rPr>
      </w:r>
      <w:r>
        <w:rPr>
          <w:spacing w:val="-2"/>
        </w:rPr>
        <w:t>档案馆舍具有感知、传输、记忆、推理、判断和决策的能力，满足档案馆建筑设计安全、绿色、节能环保的要求，以及档案</w:t>
      </w:r>
      <w:r>
        <w:rPr>
          <w:spacing w:val="-67"/>
        </w:rPr>
        <w:t> </w:t>
      </w:r>
      <w:r>
        <w:rPr>
          <w:spacing w:val="-67"/>
        </w:rPr>
      </w:r>
      <w:r>
        <w:rPr/>
        <w:t>馆</w:t>
      </w:r>
      <w:r>
        <w:rPr>
          <w:rFonts w:ascii="Times New Roman" w:hAnsi="Times New Roman" w:cs="Times New Roman" w:eastAsia="Times New Roman" w:hint="default"/>
        </w:rPr>
        <w:t>“</w:t>
      </w:r>
      <w:r>
        <w:rPr/>
        <w:t>五位一体</w:t>
      </w:r>
      <w:r>
        <w:rPr>
          <w:rFonts w:ascii="Times New Roman" w:hAnsi="Times New Roman" w:cs="Times New Roman" w:eastAsia="Times New Roman" w:hint="default"/>
        </w:rPr>
        <w:t>”</w:t>
      </w:r>
      <w:r>
        <w:rPr/>
        <w:t>建设要求。</w:t>
      </w:r>
    </w:p>
    <w:p>
      <w:pPr>
        <w:pStyle w:val="BodyText"/>
        <w:spacing w:line="240" w:lineRule="auto" w:before="1"/>
        <w:ind w:right="985"/>
        <w:jc w:val="left"/>
      </w:pPr>
      <w:r>
        <w:rPr>
          <w:rFonts w:ascii="Times New Roman" w:hAnsi="Times New Roman" w:cs="Times New Roman" w:eastAsia="Times New Roman" w:hint="default"/>
        </w:rPr>
        <w:t>3</w:t>
      </w:r>
      <w:r>
        <w:rPr/>
        <w:t>、政法系统</w:t>
      </w:r>
    </w:p>
    <w:p>
      <w:pPr>
        <w:pStyle w:val="BodyText"/>
        <w:spacing w:line="309" w:lineRule="auto" w:before="63"/>
        <w:ind w:right="985" w:firstLine="290"/>
        <w:jc w:val="left"/>
      </w:pPr>
      <w:r>
        <w:rPr/>
        <w:t>（</w:t>
      </w:r>
      <w:r>
        <w:rPr>
          <w:rFonts w:ascii="Times New Roman" w:hAnsi="Times New Roman" w:cs="Times New Roman" w:eastAsia="Times New Roman" w:hint="default"/>
        </w:rPr>
        <w:t>1</w:t>
      </w:r>
      <w:r>
        <w:rPr/>
        <w:t>）电子检务工程整体解决方案：规划、建设覆盖各级检察机关的司法办案、检察办公、队伍管理、检务保障、检察 </w:t>
      </w:r>
      <w:r>
        <w:rPr>
          <w:spacing w:val="-4"/>
        </w:rPr>
        <w:t>决策支持、检务公开和服务等六大平台，打造大数据时代的智慧检察，更好地维护司法公正、提升司法能力、强化司法监督、</w:t>
      </w:r>
      <w:r>
        <w:rPr>
          <w:spacing w:val="-44"/>
        </w:rPr>
        <w:t> </w:t>
      </w:r>
      <w:r>
        <w:rPr>
          <w:spacing w:val="-44"/>
        </w:rPr>
      </w:r>
      <w:r>
        <w:rPr/>
        <w:t>规范司法行为、深化司法公开，推动检察事业不断与时俱进，创新发展。</w:t>
      </w:r>
    </w:p>
    <w:p>
      <w:pPr>
        <w:pStyle w:val="BodyText"/>
        <w:spacing w:line="300" w:lineRule="auto" w:before="24"/>
        <w:ind w:right="1113" w:firstLine="290"/>
        <w:jc w:val="left"/>
      </w:pPr>
      <w:r>
        <w:rPr/>
        <w:t>（</w:t>
      </w:r>
      <w:r>
        <w:rPr>
          <w:rFonts w:ascii="Times New Roman" w:hAnsi="Times New Roman" w:cs="Times New Roman" w:eastAsia="Times New Roman" w:hint="default"/>
        </w:rPr>
        <w:t>2</w:t>
      </w:r>
      <w:r>
        <w:rPr/>
        <w:t>）阳光法院解决方案：通过司法公开、诉讼服务、法治宣传、监督建议等信息化渠道，为广大人民群众主动提供</w:t>
      </w:r>
      <w:r>
        <w:rPr>
          <w:rFonts w:ascii="Times New Roman" w:hAnsi="Times New Roman" w:cs="Times New Roman" w:eastAsia="Times New Roman" w:hint="default"/>
        </w:rPr>
        <w:t>“</w:t>
      </w:r>
      <w:r>
        <w:rPr/>
        <w:t>司 法公开日常化、诉讼服务一体化、法治宣传多样化</w:t>
      </w:r>
      <w:r>
        <w:rPr>
          <w:rFonts w:ascii="Times New Roman" w:hAnsi="Times New Roman" w:cs="Times New Roman" w:eastAsia="Times New Roman" w:hint="default"/>
        </w:rPr>
        <w:t>”</w:t>
      </w:r>
      <w:r>
        <w:rPr/>
        <w:t>的司法服务，不断满足人民群众日益增长的多元司法需求。</w:t>
      </w:r>
    </w:p>
    <w:p>
      <w:pPr>
        <w:pStyle w:val="BodyText"/>
        <w:spacing w:line="300" w:lineRule="auto" w:before="13"/>
        <w:ind w:right="1193" w:firstLine="290"/>
        <w:jc w:val="left"/>
      </w:pPr>
      <w:r>
        <w:rPr/>
        <w:t>（</w:t>
      </w:r>
      <w:r>
        <w:rPr>
          <w:rFonts w:ascii="Times New Roman" w:hAnsi="Times New Roman" w:cs="Times New Roman" w:eastAsia="Times New Roman" w:hint="default"/>
        </w:rPr>
        <w:t>3</w:t>
      </w:r>
      <w:r>
        <w:rPr/>
        <w:t>）阳光警务解决方案：建设阳光警务平台，保证公安机关执法、管理和服务在阳光下运行，打造集警务信息、责权 清单、办案公开、行政审批、便民服务、互动交流、网上</w:t>
      </w:r>
      <w:r>
        <w:rPr>
          <w:rFonts w:ascii="Times New Roman" w:hAnsi="Times New Roman" w:cs="Times New Roman" w:eastAsia="Times New Roman" w:hint="default"/>
        </w:rPr>
        <w:t>110</w:t>
      </w:r>
      <w:r>
        <w:rPr/>
        <w:t>为一体的一站式对外服务平台。</w:t>
      </w:r>
    </w:p>
    <w:p>
      <w:pPr>
        <w:pStyle w:val="BodyText"/>
        <w:spacing w:line="300" w:lineRule="auto" w:before="13"/>
        <w:ind w:left="1134" w:right="1162" w:firstLine="290"/>
        <w:jc w:val="left"/>
      </w:pPr>
      <w:r>
        <w:rPr/>
        <w:t>（</w:t>
      </w:r>
      <w:r>
        <w:rPr>
          <w:rFonts w:ascii="Times New Roman" w:hAnsi="Times New Roman" w:cs="Times New Roman" w:eastAsia="Times New Roman" w:hint="default"/>
        </w:rPr>
        <w:t>4</w:t>
      </w:r>
      <w:r>
        <w:rPr/>
        <w:t>）智慧监狱整体解决方案：为省</w:t>
      </w:r>
      <w:r>
        <w:rPr>
          <w:rFonts w:ascii="Times New Roman" w:hAnsi="Times New Roman" w:cs="Times New Roman" w:eastAsia="Times New Roman" w:hint="default"/>
        </w:rPr>
        <w:t>/</w:t>
      </w:r>
      <w:r>
        <w:rPr/>
        <w:t>市监狱管理局及各级监狱提供</w:t>
      </w:r>
      <w:r>
        <w:rPr>
          <w:rFonts w:ascii="Times New Roman" w:hAnsi="Times New Roman" w:cs="Times New Roman" w:eastAsia="Times New Roman" w:hint="default"/>
        </w:rPr>
        <w:t>“</w:t>
      </w:r>
      <w:r>
        <w:rPr/>
        <w:t>集约高效、共享开放、安全可靠、按需服务</w:t>
      </w:r>
      <w:r>
        <w:rPr>
          <w:rFonts w:ascii="Times New Roman" w:hAnsi="Times New Roman" w:cs="Times New Roman" w:eastAsia="Times New Roman" w:hint="default"/>
        </w:rPr>
        <w:t>“</w:t>
      </w:r>
      <w:r>
        <w:rPr/>
        <w:t>的智慧 监狱建设，为监狱管理和公共服务提供有力支持，提升监狱整体管理水平和现代治理能力。</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212" w:firstLine="290"/>
        <w:jc w:val="both"/>
      </w:pPr>
      <w:r>
        <w:rPr/>
        <w:t>（</w:t>
      </w:r>
      <w:r>
        <w:rPr>
          <w:rFonts w:ascii="Times New Roman" w:hAnsi="Times New Roman" w:cs="Times New Roman" w:eastAsia="Times New Roman" w:hint="default"/>
        </w:rPr>
        <w:t>5</w:t>
      </w:r>
      <w:r>
        <w:rPr/>
        <w:t>）社区矫正智慧监管解决方案：全面管理社区矫正管理的整个过程，实现数据的集中统一和管理分布式应用，提高 教育改造工作质量，加强矫正管理工作成效。</w:t>
      </w:r>
    </w:p>
    <w:p>
      <w:pPr>
        <w:pStyle w:val="BodyText"/>
        <w:spacing w:line="240" w:lineRule="auto" w:before="31"/>
        <w:ind w:right="0"/>
        <w:jc w:val="both"/>
      </w:pPr>
      <w:r>
        <w:rPr/>
        <w:t>三、六大产品系列</w:t>
      </w:r>
    </w:p>
    <w:p>
      <w:pPr>
        <w:pStyle w:val="BodyText"/>
        <w:spacing w:line="300" w:lineRule="auto" w:before="76"/>
        <w:ind w:right="1039" w:firstLine="290"/>
        <w:jc w:val="left"/>
      </w:pPr>
      <w:r>
        <w:rPr>
          <w:spacing w:val="-2"/>
        </w:rPr>
        <w:t>经过</w:t>
      </w:r>
      <w:r>
        <w:rPr>
          <w:rFonts w:ascii="Times New Roman" w:hAnsi="Times New Roman" w:cs="Times New Roman" w:eastAsia="Times New Roman" w:hint="default"/>
          <w:spacing w:val="-2"/>
        </w:rPr>
        <w:t>10</w:t>
      </w:r>
      <w:r>
        <w:rPr>
          <w:spacing w:val="-2"/>
        </w:rPr>
        <w:t>多年的励精图治和不断创新，我司逐步建立起</w:t>
      </w:r>
      <w:r>
        <w:rPr>
          <w:rFonts w:ascii="Times New Roman" w:hAnsi="Times New Roman" w:cs="Times New Roman" w:eastAsia="Times New Roman" w:hint="default"/>
          <w:spacing w:val="-2"/>
        </w:rPr>
        <w:t>“</w:t>
      </w:r>
      <w:r>
        <w:rPr>
          <w:spacing w:val="-2"/>
        </w:rPr>
        <w:t>光典</w:t>
      </w:r>
      <w:r>
        <w:rPr>
          <w:rFonts w:ascii="Times New Roman" w:hAnsi="Times New Roman" w:cs="Times New Roman" w:eastAsia="Times New Roman" w:hint="default"/>
          <w:spacing w:val="-2"/>
        </w:rPr>
        <w:t>”</w:t>
      </w:r>
      <w:r>
        <w:rPr>
          <w:spacing w:val="-2"/>
        </w:rPr>
        <w:t>档案系列（</w:t>
      </w:r>
      <w:r>
        <w:rPr>
          <w:rFonts w:ascii="Times New Roman" w:hAnsi="Times New Roman" w:cs="Times New Roman" w:eastAsia="Times New Roman" w:hint="default"/>
          <w:spacing w:val="-2"/>
        </w:rPr>
        <w:t>E-Archives</w:t>
      </w:r>
      <w:r>
        <w:rPr>
          <w:spacing w:val="-2"/>
        </w:rPr>
        <w:t>）、</w:t>
      </w:r>
      <w:r>
        <w:rPr>
          <w:rFonts w:ascii="Times New Roman" w:hAnsi="Times New Roman" w:cs="Times New Roman" w:eastAsia="Times New Roman" w:hint="default"/>
          <w:spacing w:val="-2"/>
        </w:rPr>
        <w:t>“</w:t>
      </w:r>
      <w:r>
        <w:rPr>
          <w:spacing w:val="-2"/>
        </w:rPr>
        <w:t>智圄</w:t>
      </w:r>
      <w:r>
        <w:rPr>
          <w:rFonts w:ascii="Times New Roman" w:hAnsi="Times New Roman" w:cs="Times New Roman" w:eastAsia="Times New Roman" w:hint="default"/>
          <w:spacing w:val="-2"/>
        </w:rPr>
        <w:t>”</w:t>
      </w:r>
      <w:r>
        <w:rPr>
          <w:spacing w:val="-2"/>
        </w:rPr>
        <w:t>监狱系列（</w:t>
      </w:r>
      <w:r>
        <w:rPr>
          <w:rFonts w:ascii="Times New Roman" w:hAnsi="Times New Roman" w:cs="Times New Roman" w:eastAsia="Times New Roman" w:hint="default"/>
          <w:spacing w:val="-2"/>
        </w:rPr>
        <w:t>E-JIS</w:t>
      </w:r>
      <w:r>
        <w:rPr>
          <w:spacing w:val="-2"/>
        </w:rPr>
        <w:t>）、</w:t>
      </w:r>
      <w:r>
        <w:rPr>
          <w:rFonts w:ascii="Times New Roman" w:hAnsi="Times New Roman" w:cs="Times New Roman" w:eastAsia="Times New Roman" w:hint="default"/>
          <w:spacing w:val="-2"/>
        </w:rPr>
        <w:t>“</w:t>
      </w:r>
      <w:r>
        <w:rPr>
          <w:spacing w:val="-2"/>
        </w:rPr>
        <w:t>追索</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11"/>
          <w:w w:val="100"/>
        </w:rPr>
        <w:t>食品追溯系列（</w:t>
      </w:r>
      <w:r>
        <w:rPr>
          <w:rFonts w:ascii="Times New Roman" w:hAnsi="Times New Roman" w:cs="Times New Roman" w:eastAsia="Times New Roman" w:hint="default"/>
          <w:spacing w:val="-11"/>
          <w:w w:val="100"/>
        </w:rPr>
        <w:t>E-Trace</w:t>
      </w:r>
      <w:r>
        <w:rPr>
          <w:spacing w:val="-11"/>
          <w:w w:val="100"/>
        </w:rPr>
        <w:t>）、</w:t>
      </w:r>
      <w:r>
        <w:rPr>
          <w:rFonts w:ascii="Times New Roman" w:hAnsi="Times New Roman" w:cs="Times New Roman" w:eastAsia="Times New Roman" w:hint="default"/>
          <w:spacing w:val="-11"/>
          <w:w w:val="100"/>
        </w:rPr>
        <w:t>“</w:t>
      </w:r>
      <w:r>
        <w:rPr>
          <w:spacing w:val="-11"/>
          <w:w w:val="100"/>
        </w:rPr>
        <w:t>光玺</w:t>
      </w:r>
      <w:r>
        <w:rPr>
          <w:rFonts w:ascii="Times New Roman" w:hAnsi="Times New Roman" w:cs="Times New Roman" w:eastAsia="Times New Roman" w:hint="default"/>
          <w:spacing w:val="-11"/>
          <w:w w:val="100"/>
        </w:rPr>
        <w:t>”</w:t>
      </w:r>
      <w:r>
        <w:rPr>
          <w:spacing w:val="-11"/>
          <w:w w:val="100"/>
        </w:rPr>
        <w:t>文博系列（</w:t>
      </w:r>
      <w:r>
        <w:rPr>
          <w:rFonts w:ascii="Times New Roman" w:hAnsi="Times New Roman" w:cs="Times New Roman" w:eastAsia="Times New Roman" w:hint="default"/>
          <w:spacing w:val="-11"/>
          <w:w w:val="100"/>
        </w:rPr>
        <w:t>E-Museum</w:t>
      </w:r>
      <w:r>
        <w:rPr>
          <w:spacing w:val="-11"/>
          <w:w w:val="100"/>
        </w:rPr>
        <w:t>）、</w:t>
      </w:r>
      <w:r>
        <w:rPr>
          <w:rFonts w:ascii="Times New Roman" w:hAnsi="Times New Roman" w:cs="Times New Roman" w:eastAsia="Times New Roman" w:hint="default"/>
          <w:spacing w:val="-11"/>
          <w:w w:val="100"/>
        </w:rPr>
        <w:t>“</w:t>
      </w:r>
      <w:r>
        <w:rPr>
          <w:spacing w:val="-11"/>
          <w:w w:val="100"/>
        </w:rPr>
        <w:t>智农信发</w:t>
      </w:r>
      <w:r>
        <w:rPr>
          <w:rFonts w:ascii="Times New Roman" w:hAnsi="Times New Roman" w:cs="Times New Roman" w:eastAsia="Times New Roman" w:hint="default"/>
          <w:spacing w:val="-11"/>
          <w:w w:val="100"/>
        </w:rPr>
        <w:t>”</w:t>
      </w:r>
      <w:r>
        <w:rPr>
          <w:spacing w:val="-11"/>
          <w:w w:val="100"/>
        </w:rPr>
        <w:t>农业系列（</w:t>
      </w:r>
      <w:r>
        <w:rPr>
          <w:rFonts w:ascii="Times New Roman" w:hAnsi="Times New Roman" w:cs="Times New Roman" w:eastAsia="Times New Roman" w:hint="default"/>
          <w:spacing w:val="-11"/>
          <w:w w:val="100"/>
        </w:rPr>
        <w:t>E-Agriculture</w:t>
      </w:r>
      <w:r>
        <w:rPr>
          <w:spacing w:val="-11"/>
          <w:w w:val="100"/>
        </w:rPr>
        <w:t>）、</w:t>
      </w:r>
      <w:r>
        <w:rPr>
          <w:rFonts w:ascii="Times New Roman" w:hAnsi="Times New Roman" w:cs="Times New Roman" w:eastAsia="Times New Roman" w:hint="default"/>
          <w:spacing w:val="-11"/>
          <w:w w:val="100"/>
        </w:rPr>
        <w:t>“</w:t>
      </w:r>
      <w:r>
        <w:rPr>
          <w:spacing w:val="-11"/>
          <w:w w:val="100"/>
        </w:rPr>
        <w:t>协同快车</w:t>
      </w:r>
      <w:r>
        <w:rPr>
          <w:rFonts w:ascii="Times New Roman" w:hAnsi="Times New Roman" w:cs="Times New Roman" w:eastAsia="Times New Roman" w:hint="default"/>
          <w:spacing w:val="-11"/>
          <w:w w:val="100"/>
        </w:rPr>
        <w:t>”</w:t>
      </w:r>
      <w:r>
        <w:rPr>
          <w:spacing w:val="-11"/>
          <w:w w:val="100"/>
        </w:rPr>
        <w:t>办公系列（</w:t>
      </w:r>
      <w:r>
        <w:rPr>
          <w:rFonts w:ascii="Times New Roman" w:hAnsi="Times New Roman" w:cs="Times New Roman" w:eastAsia="Times New Roman" w:hint="default"/>
          <w:spacing w:val="-11"/>
          <w:w w:val="100"/>
        </w:rPr>
        <w:t>E-Coffice</w:t>
      </w:r>
      <w:r>
        <w:rPr>
          <w:spacing w:val="-11"/>
          <w:w w:val="100"/>
        </w:rPr>
        <w:t>）</w:t>
      </w:r>
      <w:r>
        <w:rPr>
          <w:spacing w:val="-61"/>
          <w:w w:val="100"/>
        </w:rPr>
        <w:t> </w:t>
      </w:r>
      <w:r>
        <w:rPr/>
        <w:t>六大应用产品线。多达近</w:t>
      </w:r>
      <w:r>
        <w:rPr>
          <w:rFonts w:ascii="Times New Roman" w:hAnsi="Times New Roman" w:cs="Times New Roman" w:eastAsia="Times New Roman" w:hint="default"/>
        </w:rPr>
        <w:t>300</w:t>
      </w:r>
      <w:r>
        <w:rPr/>
        <w:t>项软件著作权使我们的产品树枝繁叶茂。</w:t>
      </w:r>
    </w:p>
    <w:p>
      <w:pPr>
        <w:pStyle w:val="BodyText"/>
        <w:spacing w:line="300" w:lineRule="auto" w:before="13"/>
        <w:ind w:right="1129" w:firstLine="290"/>
        <w:jc w:val="both"/>
      </w:pPr>
      <w:r>
        <w:rPr>
          <w:rFonts w:ascii="Times New Roman" w:hAnsi="Times New Roman" w:cs="Times New Roman" w:eastAsia="Times New Roman" w:hint="default"/>
          <w:spacing w:val="-2"/>
        </w:rPr>
        <w:t>“</w:t>
      </w:r>
      <w:r>
        <w:rPr>
          <w:spacing w:val="-2"/>
        </w:rPr>
        <w:t>光典</w:t>
      </w:r>
      <w:r>
        <w:rPr>
          <w:rFonts w:ascii="Times New Roman" w:hAnsi="Times New Roman" w:cs="Times New Roman" w:eastAsia="Times New Roman" w:hint="default"/>
          <w:spacing w:val="-2"/>
        </w:rPr>
        <w:t>”</w:t>
      </w:r>
      <w:r>
        <w:rPr>
          <w:spacing w:val="-2"/>
        </w:rPr>
        <w:t>档案系列（</w:t>
      </w:r>
      <w:r>
        <w:rPr>
          <w:rFonts w:ascii="Times New Roman" w:hAnsi="Times New Roman" w:cs="Times New Roman" w:eastAsia="Times New Roman" w:hint="default"/>
          <w:spacing w:val="-2"/>
        </w:rPr>
        <w:t>E-Archives</w:t>
      </w:r>
      <w:r>
        <w:rPr>
          <w:spacing w:val="-2"/>
        </w:rPr>
        <w:t>）软件是全国第一套满足传统纸质档案和电子文件</w:t>
      </w:r>
      <w:r>
        <w:rPr>
          <w:rFonts w:ascii="Times New Roman" w:hAnsi="Times New Roman" w:cs="Times New Roman" w:eastAsia="Times New Roman" w:hint="default"/>
          <w:spacing w:val="-2"/>
        </w:rPr>
        <w:t>“</w:t>
      </w:r>
      <w:r>
        <w:rPr>
          <w:spacing w:val="-2"/>
        </w:rPr>
        <w:t>双套制</w:t>
      </w:r>
      <w:r>
        <w:rPr>
          <w:rFonts w:ascii="Times New Roman" w:hAnsi="Times New Roman" w:cs="Times New Roman" w:eastAsia="Times New Roman" w:hint="default"/>
          <w:spacing w:val="-2"/>
        </w:rPr>
        <w:t>”</w:t>
      </w:r>
      <w:r>
        <w:rPr>
          <w:spacing w:val="-2"/>
        </w:rPr>
        <w:t>管理要求，同时完全符合国家档</w:t>
      </w:r>
      <w:r>
        <w:rPr/>
        <w:t> 案局档案相关管理标准的档案信息资源管理软件。包括光典数字档案馆系列和光典数字档案室系列。</w:t>
      </w:r>
    </w:p>
    <w:p>
      <w:pPr>
        <w:pStyle w:val="BodyText"/>
        <w:spacing w:line="300" w:lineRule="auto" w:before="31"/>
        <w:ind w:right="985" w:firstLine="290"/>
        <w:jc w:val="left"/>
      </w:pPr>
      <w:r>
        <w:rPr>
          <w:rFonts w:ascii="Times New Roman" w:hAnsi="Times New Roman" w:cs="Times New Roman" w:eastAsia="Times New Roman" w:hint="default"/>
          <w:spacing w:val="-1"/>
        </w:rPr>
        <w:t>“</w:t>
      </w:r>
      <w:r>
        <w:rPr>
          <w:spacing w:val="-1"/>
        </w:rPr>
        <w:t>智圄</w:t>
      </w:r>
      <w:r>
        <w:rPr>
          <w:rFonts w:ascii="Times New Roman" w:hAnsi="Times New Roman" w:cs="Times New Roman" w:eastAsia="Times New Roman" w:hint="default"/>
          <w:spacing w:val="-1"/>
        </w:rPr>
        <w:t>”</w:t>
      </w:r>
      <w:r>
        <w:rPr>
          <w:spacing w:val="-1"/>
        </w:rPr>
        <w:t>监狱系列（</w:t>
      </w:r>
      <w:r>
        <w:rPr>
          <w:rFonts w:ascii="Times New Roman" w:hAnsi="Times New Roman" w:cs="Times New Roman" w:eastAsia="Times New Roman" w:hint="default"/>
          <w:spacing w:val="-1"/>
        </w:rPr>
        <w:t>E-JIS</w:t>
      </w:r>
      <w:r>
        <w:rPr>
          <w:spacing w:val="-1"/>
        </w:rPr>
        <w:t>）软件是监狱和司法行业的核心应用，围绕建设现代监狱总体要求，按照</w:t>
      </w:r>
      <w:r>
        <w:rPr>
          <w:rFonts w:ascii="Times New Roman" w:hAnsi="Times New Roman" w:cs="Times New Roman" w:eastAsia="Times New Roman" w:hint="default"/>
          <w:spacing w:val="-1"/>
        </w:rPr>
        <w:t>“</w:t>
      </w:r>
      <w:r>
        <w:rPr>
          <w:spacing w:val="-1"/>
        </w:rPr>
        <w:t>服务基层、减负增效、</w:t>
      </w:r>
      <w:r>
        <w:rPr/>
        <w:t> 实战实用</w:t>
      </w:r>
      <w:r>
        <w:rPr>
          <w:rFonts w:ascii="Times New Roman" w:hAnsi="Times New Roman" w:cs="Times New Roman" w:eastAsia="Times New Roman" w:hint="default"/>
        </w:rPr>
        <w:t>”</w:t>
      </w:r>
      <w:r>
        <w:rPr/>
        <w:t>原则打造的智能管理平台。包括智圄亲情通系统、智圄金融通系统、监狱智能管理大平台、减刑假释网上联合办 案平台以及罪犯计分考核系统。</w:t>
      </w:r>
    </w:p>
    <w:p>
      <w:pPr>
        <w:pStyle w:val="BodyText"/>
        <w:spacing w:line="240" w:lineRule="auto" w:before="31"/>
        <w:ind w:left="1424" w:right="985"/>
        <w:jc w:val="left"/>
        <w:rPr>
          <w:rFonts w:ascii="Times New Roman" w:hAnsi="Times New Roman" w:cs="Times New Roman" w:eastAsia="Times New Roman" w:hint="default"/>
        </w:rPr>
      </w:pPr>
      <w:r>
        <w:rPr>
          <w:rFonts w:ascii="Times New Roman" w:hAnsi="Times New Roman" w:cs="Times New Roman" w:eastAsia="Times New Roman" w:hint="default"/>
          <w:spacing w:val="-4"/>
        </w:rPr>
        <w:t>“</w:t>
      </w:r>
      <w:r>
        <w:rPr>
          <w:spacing w:val="-4"/>
        </w:rPr>
        <w:t>追索</w:t>
      </w:r>
      <w:r>
        <w:rPr>
          <w:rFonts w:ascii="Times New Roman" w:hAnsi="Times New Roman" w:cs="Times New Roman" w:eastAsia="Times New Roman" w:hint="default"/>
          <w:spacing w:val="-4"/>
        </w:rPr>
        <w:t>”</w:t>
      </w:r>
      <w:r>
        <w:rPr>
          <w:spacing w:val="-4"/>
        </w:rPr>
        <w:t>食品追溯系列（</w:t>
      </w:r>
      <w:r>
        <w:rPr>
          <w:rFonts w:ascii="Times New Roman" w:hAnsi="Times New Roman" w:cs="Times New Roman" w:eastAsia="Times New Roman" w:hint="default"/>
          <w:spacing w:val="-4"/>
        </w:rPr>
        <w:t>E-Trace</w:t>
      </w:r>
      <w:r>
        <w:rPr>
          <w:spacing w:val="-4"/>
        </w:rPr>
        <w:t>）软件是一个贯穿食品供应链，并实现食品安全全程追溯的软件产品。包括追溯云平台</w:t>
      </w:r>
      <w:r>
        <w:rPr>
          <w:rFonts w:ascii="Times New Roman" w:hAnsi="Times New Roman" w:cs="Times New Roman" w:eastAsia="Times New Roman" w:hint="default"/>
          <w:spacing w:val="-4"/>
        </w:rPr>
        <w:t>SaaS</w:t>
      </w:r>
    </w:p>
    <w:p>
      <w:pPr>
        <w:pStyle w:val="BodyText"/>
        <w:spacing w:line="240" w:lineRule="auto" w:before="63"/>
        <w:ind w:right="0"/>
        <w:jc w:val="both"/>
      </w:pPr>
      <w:r>
        <w:rPr/>
        <w:t>应用系统、追溯二维码秤和追索供应链管理系统。</w:t>
      </w:r>
    </w:p>
    <w:p>
      <w:pPr>
        <w:pStyle w:val="BodyText"/>
        <w:spacing w:line="300" w:lineRule="auto" w:before="76"/>
        <w:ind w:left="1134" w:right="1132" w:firstLine="290"/>
        <w:jc w:val="both"/>
      </w:pPr>
      <w:r>
        <w:rPr>
          <w:rFonts w:ascii="Times New Roman" w:hAnsi="Times New Roman" w:cs="Times New Roman" w:eastAsia="Times New Roman" w:hint="default"/>
          <w:spacing w:val="-2"/>
        </w:rPr>
        <w:t>“</w:t>
      </w:r>
      <w:r>
        <w:rPr>
          <w:spacing w:val="-2"/>
        </w:rPr>
        <w:t>光玺</w:t>
      </w:r>
      <w:r>
        <w:rPr>
          <w:rFonts w:ascii="Times New Roman" w:hAnsi="Times New Roman" w:cs="Times New Roman" w:eastAsia="Times New Roman" w:hint="default"/>
          <w:spacing w:val="-2"/>
        </w:rPr>
        <w:t>”</w:t>
      </w:r>
      <w:r>
        <w:rPr>
          <w:spacing w:val="-2"/>
        </w:rPr>
        <w:t>文博系列（</w:t>
      </w:r>
      <w:r>
        <w:rPr>
          <w:rFonts w:ascii="Times New Roman" w:hAnsi="Times New Roman" w:cs="Times New Roman" w:eastAsia="Times New Roman" w:hint="default"/>
          <w:spacing w:val="-2"/>
        </w:rPr>
        <w:t>E-Museum</w:t>
      </w:r>
      <w:r>
        <w:rPr>
          <w:spacing w:val="-2"/>
        </w:rPr>
        <w:t>）软件是博物馆管理业务不可或缺的核心业务管理软件。通过各种技术手段保护藏品数字化</w:t>
      </w:r>
      <w:r>
        <w:rPr/>
        <w:t> 资产，提高资产的信息安全性。包括光博藏品管理系统、数字资产管理软件、智能控制管理软件和智能票务管理软件。</w:t>
      </w:r>
    </w:p>
    <w:p>
      <w:pPr>
        <w:pStyle w:val="BodyText"/>
        <w:spacing w:line="309" w:lineRule="auto" w:before="31"/>
        <w:ind w:right="1133" w:firstLine="290"/>
        <w:jc w:val="both"/>
      </w:pPr>
      <w:r>
        <w:rPr>
          <w:rFonts w:ascii="Times New Roman" w:hAnsi="Times New Roman" w:cs="Times New Roman" w:eastAsia="Times New Roman" w:hint="default"/>
          <w:spacing w:val="-2"/>
        </w:rPr>
        <w:t>“</w:t>
      </w:r>
      <w:r>
        <w:rPr>
          <w:spacing w:val="-2"/>
        </w:rPr>
        <w:t>智农信发</w:t>
      </w:r>
      <w:r>
        <w:rPr>
          <w:rFonts w:ascii="Times New Roman" w:hAnsi="Times New Roman" w:cs="Times New Roman" w:eastAsia="Times New Roman" w:hint="default"/>
          <w:spacing w:val="-2"/>
        </w:rPr>
        <w:t>”</w:t>
      </w:r>
      <w:r>
        <w:rPr>
          <w:spacing w:val="-2"/>
        </w:rPr>
        <w:t>农业系列（</w:t>
      </w:r>
      <w:r>
        <w:rPr>
          <w:rFonts w:ascii="Times New Roman" w:hAnsi="Times New Roman" w:cs="Times New Roman" w:eastAsia="Times New Roman" w:hint="default"/>
          <w:spacing w:val="-2"/>
        </w:rPr>
        <w:t>E-Agriculture</w:t>
      </w:r>
      <w:r>
        <w:rPr>
          <w:spacing w:val="-2"/>
        </w:rPr>
        <w:t>）软件利用精准农业技术、物联网技术、地理信息技术等现代信息技术改造传统农业</w:t>
      </w:r>
      <w:r>
        <w:rPr/>
        <w:t> </w:t>
      </w:r>
      <w:r>
        <w:rPr>
          <w:spacing w:val="-2"/>
        </w:rPr>
        <w:t>生产方式，创新农业信息服务形式，探索产销对接新模式。包括智农物联网云平台软件、智农投入品监管平台软件、农产品</w:t>
      </w:r>
      <w:r>
        <w:rPr>
          <w:spacing w:val="-66"/>
        </w:rPr>
        <w:t> </w:t>
      </w:r>
      <w:r>
        <w:rPr>
          <w:spacing w:val="-66"/>
        </w:rPr>
      </w:r>
      <w:r>
        <w:rPr/>
        <w:t>质量安全检测服务云平台和农产品质量安全追溯云平台。</w:t>
      </w:r>
    </w:p>
    <w:p>
      <w:pPr>
        <w:pStyle w:val="BodyText"/>
        <w:spacing w:line="309" w:lineRule="auto" w:before="24"/>
        <w:ind w:left="1134" w:right="1131" w:firstLine="290"/>
        <w:jc w:val="both"/>
      </w:pPr>
      <w:r>
        <w:rPr>
          <w:rFonts w:ascii="Times New Roman" w:hAnsi="Times New Roman" w:cs="Times New Roman" w:eastAsia="Times New Roman" w:hint="default"/>
        </w:rPr>
        <w:t>“</w:t>
      </w:r>
      <w:r>
        <w:rPr/>
        <w:t>协同快车</w:t>
      </w:r>
      <w:r>
        <w:rPr>
          <w:rFonts w:ascii="Times New Roman" w:hAnsi="Times New Roman" w:cs="Times New Roman" w:eastAsia="Times New Roman" w:hint="default"/>
        </w:rPr>
        <w:t>”</w:t>
      </w:r>
      <w:r>
        <w:rPr/>
        <w:t>办公系列（</w:t>
      </w:r>
      <w:r>
        <w:rPr>
          <w:rFonts w:ascii="Times New Roman" w:hAnsi="Times New Roman" w:cs="Times New Roman" w:eastAsia="Times New Roman" w:hint="default"/>
        </w:rPr>
        <w:t>E-Coffice</w:t>
      </w:r>
      <w:r>
        <w:rPr/>
        <w:t>）软件是我司结合多年办公自动化软件开发的经验，自主研发的新一代网络即时协作软 </w:t>
      </w:r>
      <w:r>
        <w:rPr>
          <w:spacing w:val="-2"/>
        </w:rPr>
        <w:t>件平台产品。该系列产品以提高办公室工作生产效率为目，主要用于帮助用户进行办公室内外的即时交流，并能实现消息收</w:t>
      </w:r>
      <w:r>
        <w:rPr>
          <w:spacing w:val="-65"/>
        </w:rPr>
        <w:t> </w:t>
      </w:r>
      <w:r>
        <w:rPr>
          <w:spacing w:val="-65"/>
        </w:rPr>
      </w:r>
      <w:r>
        <w:rPr/>
        <w:t>发、手机短信、数据交换等功能。</w:t>
      </w:r>
    </w:p>
    <w:p>
      <w:pPr>
        <w:pStyle w:val="BodyText"/>
        <w:spacing w:line="300" w:lineRule="auto" w:before="24"/>
        <w:ind w:left="1424" w:right="1183" w:hanging="291"/>
        <w:jc w:val="left"/>
      </w:pPr>
      <w:r>
        <w:rPr/>
        <w:t>四、</w:t>
      </w:r>
      <w:r>
        <w:rPr>
          <w:rFonts w:ascii="Times New Roman" w:hAnsi="Times New Roman" w:cs="Times New Roman" w:eastAsia="Times New Roman" w:hint="default"/>
        </w:rPr>
        <w:t>“</w:t>
      </w:r>
      <w:r>
        <w:rPr/>
        <w:t>灵光云</w:t>
      </w:r>
      <w:r>
        <w:rPr>
          <w:rFonts w:ascii="Times New Roman" w:hAnsi="Times New Roman" w:cs="Times New Roman" w:eastAsia="Times New Roman" w:hint="default"/>
        </w:rPr>
        <w:t>”</w:t>
      </w:r>
      <w:r>
        <w:rPr/>
        <w:t>基础平台和工具软件 公司的</w:t>
      </w:r>
      <w:r>
        <w:rPr>
          <w:rFonts w:ascii="Times New Roman" w:hAnsi="Times New Roman" w:cs="Times New Roman" w:eastAsia="Times New Roman" w:hint="default"/>
        </w:rPr>
        <w:t>“</w:t>
      </w:r>
      <w:r>
        <w:rPr/>
        <w:t>花园模型</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云基</w:t>
      </w:r>
      <w:r>
        <w:rPr>
          <w:rFonts w:ascii="Times New Roman" w:hAnsi="Times New Roman" w:cs="Times New Roman" w:eastAsia="Times New Roman" w:hint="default"/>
        </w:rPr>
        <w:t>”</w:t>
      </w:r>
      <w:r>
        <w:rPr/>
        <w:t>平台产品系列、</w:t>
      </w:r>
      <w:r>
        <w:rPr>
          <w:rFonts w:ascii="Times New Roman" w:hAnsi="Times New Roman" w:cs="Times New Roman" w:eastAsia="Times New Roman" w:hint="default"/>
        </w:rPr>
        <w:t>“</w:t>
      </w:r>
      <w:r>
        <w:rPr/>
        <w:t>灵器</w:t>
      </w:r>
      <w:r>
        <w:rPr>
          <w:rFonts w:ascii="Times New Roman" w:hAnsi="Times New Roman" w:cs="Times New Roman" w:eastAsia="Times New Roman" w:hint="default"/>
        </w:rPr>
        <w:t>”</w:t>
      </w:r>
      <w:r>
        <w:rPr/>
        <w:t>工具产品系列、</w:t>
      </w:r>
      <w:r>
        <w:rPr>
          <w:rFonts w:ascii="Times New Roman" w:hAnsi="Times New Roman" w:cs="Times New Roman" w:eastAsia="Times New Roman" w:hint="default"/>
        </w:rPr>
        <w:t>“</w:t>
      </w:r>
      <w:r>
        <w:rPr/>
        <w:t>光曜</w:t>
      </w:r>
      <w:r>
        <w:rPr>
          <w:rFonts w:ascii="Times New Roman" w:hAnsi="Times New Roman" w:cs="Times New Roman" w:eastAsia="Times New Roman" w:hint="default"/>
        </w:rPr>
        <w:t>”</w:t>
      </w:r>
      <w:r>
        <w:rPr/>
        <w:t>技术产品系列为应用软件提供基础和保障，正</w:t>
      </w:r>
    </w:p>
    <w:p>
      <w:pPr>
        <w:pStyle w:val="BodyText"/>
        <w:spacing w:line="300" w:lineRule="auto" w:before="13"/>
        <w:ind w:left="1134" w:right="1151"/>
        <w:jc w:val="both"/>
      </w:pPr>
      <w:r>
        <w:rPr/>
        <w:t>如肥沃的土壤、灵巧的工具、充沛的阳光滋润、保护和照耀着我们的产品树茁壮成长；作为产品花园模型中的新成员，</w:t>
      </w:r>
      <w:r>
        <w:rPr>
          <w:rFonts w:ascii="Times New Roman" w:hAnsi="Times New Roman" w:cs="Times New Roman" w:eastAsia="Times New Roman" w:hint="default"/>
        </w:rPr>
        <w:t>“</w:t>
      </w:r>
      <w:r>
        <w:rPr/>
        <w:t>光 曜</w:t>
      </w:r>
      <w:r>
        <w:rPr>
          <w:rFonts w:ascii="Times New Roman" w:hAnsi="Times New Roman" w:cs="Times New Roman" w:eastAsia="Times New Roman" w:hint="default"/>
        </w:rPr>
        <w:t>”</w:t>
      </w:r>
      <w:r>
        <w:rPr/>
        <w:t>正如照耀天地万物的红太阳，为产品花园给供给技术之光，照耀产品树茁壮成长、蓬勃向上，同时使得我司的产品花园 模型更显生机。</w:t>
      </w:r>
    </w:p>
    <w:p>
      <w:pPr>
        <w:pStyle w:val="BodyText"/>
        <w:spacing w:line="300" w:lineRule="auto" w:before="31"/>
        <w:ind w:left="1134" w:right="1141" w:firstLine="290"/>
        <w:jc w:val="both"/>
      </w:pPr>
      <w:r>
        <w:rPr/>
        <w:t>云基（</w:t>
      </w:r>
      <w:r>
        <w:rPr>
          <w:rFonts w:ascii="Times New Roman" w:hAnsi="Times New Roman" w:cs="Times New Roman" w:eastAsia="Times New Roman" w:hint="default"/>
        </w:rPr>
        <w:t>CloudBase</w:t>
      </w:r>
      <w:r>
        <w:rPr/>
        <w:t>）是我司研发的</w:t>
      </w:r>
      <w:r>
        <w:rPr>
          <w:rFonts w:ascii="Times New Roman" w:hAnsi="Times New Roman" w:cs="Times New Roman" w:eastAsia="Times New Roman" w:hint="default"/>
        </w:rPr>
        <w:t>Web</w:t>
      </w:r>
      <w:r>
        <w:rPr/>
        <w:t>构件类产品，历时数年，逐步由纯构件产品发展成为基于</w:t>
      </w:r>
      <w:r>
        <w:rPr>
          <w:rFonts w:ascii="Times New Roman" w:hAnsi="Times New Roman" w:cs="Times New Roman" w:eastAsia="Times New Roman" w:hint="default"/>
        </w:rPr>
        <w:t>RIA</w:t>
      </w:r>
      <w:r>
        <w:rPr/>
        <w:t>的</w:t>
      </w:r>
      <w:r>
        <w:rPr>
          <w:rFonts w:ascii="Times New Roman" w:hAnsi="Times New Roman" w:cs="Times New Roman" w:eastAsia="Times New Roman" w:hint="default"/>
        </w:rPr>
        <w:t>Web</w:t>
      </w:r>
      <w:r>
        <w:rPr/>
        <w:t>应用框架，也 是目前比较完整、比较成熟的</w:t>
      </w:r>
      <w:r>
        <w:rPr>
          <w:rFonts w:ascii="Times New Roman" w:hAnsi="Times New Roman" w:cs="Times New Roman" w:eastAsia="Times New Roman" w:hint="default"/>
        </w:rPr>
        <w:t>Web</w:t>
      </w:r>
      <w:r>
        <w:rPr/>
        <w:t>表示层解决方案。（包括系统管理平台、基础组件平台、智能监控平台等）</w:t>
      </w:r>
    </w:p>
    <w:p>
      <w:pPr>
        <w:pStyle w:val="BodyText"/>
        <w:spacing w:line="309" w:lineRule="auto" w:before="13"/>
        <w:ind w:right="1133" w:firstLine="290"/>
        <w:jc w:val="both"/>
      </w:pPr>
      <w:r>
        <w:rPr/>
        <w:t>灵器（</w:t>
      </w:r>
      <w:r>
        <w:rPr>
          <w:rFonts w:ascii="Times New Roman" w:hAnsi="Times New Roman" w:cs="Times New Roman" w:eastAsia="Times New Roman" w:hint="default"/>
        </w:rPr>
        <w:t>SmartTools</w:t>
      </w:r>
      <w:r>
        <w:rPr/>
        <w:t>）是我司研发的适用于档案管理过程中的各种工具类产品集合。每个工具类产品都拥有其各自独立、</w:t>
      </w:r>
      <w:r>
        <w:rPr>
          <w:w w:val="99"/>
        </w:rPr>
        <w:t> </w:t>
      </w:r>
      <w:r>
        <w:rPr>
          <w:spacing w:val="-2"/>
        </w:rPr>
        <w:t>专业性的功能，并且拥有良好的可用性、易用性，在档案管理过程的不同环节，通过各种工具产品的使用（包括文件格式转</w:t>
      </w:r>
      <w:r>
        <w:rPr>
          <w:spacing w:val="-67"/>
        </w:rPr>
        <w:t> </w:t>
      </w:r>
      <w:r>
        <w:rPr>
          <w:spacing w:val="-67"/>
        </w:rPr>
      </w:r>
      <w:r>
        <w:rPr/>
        <w:t>换工具、通用文件浏览器等）。</w:t>
      </w:r>
    </w:p>
    <w:p>
      <w:pPr>
        <w:pStyle w:val="BodyText"/>
        <w:spacing w:line="300" w:lineRule="auto" w:before="24"/>
        <w:ind w:right="1131" w:firstLine="290"/>
        <w:jc w:val="both"/>
      </w:pPr>
      <w:r>
        <w:rPr/>
        <w:t>光曜实验室（</w:t>
      </w:r>
      <w:r>
        <w:rPr>
          <w:rFonts w:ascii="Times New Roman" w:hAnsi="Times New Roman" w:cs="Times New Roman" w:eastAsia="Times New Roman" w:hint="default"/>
        </w:rPr>
        <w:t>E-Laboratory)</w:t>
      </w:r>
      <w:r>
        <w:rPr/>
        <w:t>是一个实体部门，打造一支</w:t>
      </w:r>
      <w:r>
        <w:rPr>
          <w:rFonts w:ascii="Times New Roman" w:hAnsi="Times New Roman" w:cs="Times New Roman" w:eastAsia="Times New Roman" w:hint="default"/>
        </w:rPr>
        <w:t>“</w:t>
      </w:r>
      <w:r>
        <w:rPr/>
        <w:t>召之即来，来之能战，战之必胜</w:t>
      </w:r>
      <w:r>
        <w:rPr>
          <w:rFonts w:ascii="Times New Roman" w:hAnsi="Times New Roman" w:cs="Times New Roman" w:eastAsia="Times New Roman" w:hint="default"/>
        </w:rPr>
        <w:t>”</w:t>
      </w:r>
      <w:r>
        <w:rPr/>
        <w:t>的铁军，定位于公司所需新技 </w:t>
      </w:r>
      <w:r>
        <w:rPr>
          <w:spacing w:val="-2"/>
        </w:rPr>
        <w:t>术的研究，对</w:t>
      </w:r>
      <w:r>
        <w:rPr>
          <w:rFonts w:ascii="Times New Roman" w:hAnsi="Times New Roman" w:cs="Times New Roman" w:eastAsia="Times New Roman" w:hint="default"/>
          <w:spacing w:val="-2"/>
        </w:rPr>
        <w:t>“</w:t>
      </w:r>
      <w:r>
        <w:rPr>
          <w:spacing w:val="-2"/>
        </w:rPr>
        <w:t>云数物智链</w:t>
      </w:r>
      <w:r>
        <w:rPr>
          <w:rFonts w:ascii="Times New Roman" w:hAnsi="Times New Roman" w:cs="Times New Roman" w:eastAsia="Times New Roman" w:hint="default"/>
          <w:spacing w:val="-2"/>
        </w:rPr>
        <w:t>”</w:t>
      </w:r>
      <w:r>
        <w:rPr>
          <w:spacing w:val="-2"/>
        </w:rPr>
        <w:t>前沿技术展开研究，分享研究成果，提升产品技术含量，为公司各业务部门提供源源不断的创新</w:t>
      </w:r>
      <w:r>
        <w:rPr>
          <w:spacing w:val="-44"/>
        </w:rPr>
        <w:t> </w:t>
      </w:r>
      <w:r>
        <w:rPr>
          <w:spacing w:val="-44"/>
        </w:rPr>
      </w:r>
      <w:r>
        <w:rPr/>
        <w:t>动力。</w:t>
      </w:r>
    </w:p>
    <w:p>
      <w:pPr>
        <w:spacing w:line="240" w:lineRule="auto" w:before="9"/>
        <w:rPr>
          <w:rFonts w:ascii="宋体" w:hAnsi="宋体" w:cs="宋体" w:eastAsia="宋体" w:hint="default"/>
          <w:sz w:val="21"/>
          <w:szCs w:val="21"/>
        </w:rPr>
      </w:pPr>
    </w:p>
    <w:p>
      <w:pPr>
        <w:pStyle w:val="Heading4"/>
        <w:spacing w:line="240" w:lineRule="auto"/>
        <w:ind w:left="1134"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172.81%</w:t>
            </w:r>
            <w:r>
              <w:rPr>
                <w:rFonts w:ascii="宋体" w:hAnsi="宋体" w:cs="宋体" w:eastAsia="宋体" w:hint="default"/>
                <w:sz w:val="18"/>
                <w:szCs w:val="18"/>
              </w:rPr>
              <w:t>，主要系在建厂房投入增加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985"/>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985"/>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p>
      <w:pPr>
        <w:pStyle w:val="BodyText"/>
        <w:spacing w:line="300" w:lineRule="auto" w:before="28"/>
        <w:ind w:left="1424" w:right="985" w:hanging="291"/>
        <w:jc w:val="left"/>
      </w:pPr>
      <w:r>
        <w:rPr>
          <w:rFonts w:ascii="Times New Roman" w:hAnsi="Times New Roman" w:cs="Times New Roman" w:eastAsia="Times New Roman" w:hint="default"/>
        </w:rPr>
        <w:t>1</w:t>
      </w:r>
      <w:r>
        <w:rPr/>
        <w:t>、技术优势 </w:t>
      </w:r>
      <w:r>
        <w:rPr>
          <w:spacing w:val="-1"/>
        </w:rPr>
        <w:t>经过近二十年在信息化行业的技术探索、积累与沉淀，公司具备明显的技术优势。光典档案信息资源管理软件</w:t>
      </w:r>
      <w:r>
        <w:rPr>
          <w:rFonts w:ascii="Times New Roman" w:hAnsi="Times New Roman" w:cs="Times New Roman" w:eastAsia="Times New Roman" w:hint="default"/>
          <w:spacing w:val="-1"/>
        </w:rPr>
        <w:t>V4.5</w:t>
      </w:r>
      <w:r>
        <w:rPr>
          <w:spacing w:val="-1"/>
        </w:rPr>
        <w:t>获得</w:t>
      </w:r>
      <w:r>
        <w:rPr/>
      </w:r>
    </w:p>
    <w:p>
      <w:pPr>
        <w:pStyle w:val="BodyText"/>
        <w:spacing w:line="300" w:lineRule="auto" w:before="13"/>
        <w:ind w:right="1131"/>
        <w:jc w:val="both"/>
      </w:pPr>
      <w:r>
        <w:rPr>
          <w:rFonts w:ascii="Times New Roman" w:hAnsi="Times New Roman" w:cs="Times New Roman" w:eastAsia="Times New Roman" w:hint="default"/>
          <w:spacing w:val="-1"/>
        </w:rPr>
        <w:t>“2016</w:t>
      </w:r>
      <w:r>
        <w:rPr>
          <w:spacing w:val="-1"/>
        </w:rPr>
        <w:t>第二十届中国软件博览会优秀参展产品</w:t>
      </w:r>
      <w:r>
        <w:rPr>
          <w:rFonts w:ascii="Times New Roman" w:hAnsi="Times New Roman" w:cs="Times New Roman" w:eastAsia="Times New Roman" w:hint="default"/>
          <w:spacing w:val="-1"/>
        </w:rPr>
        <w:t>”</w:t>
      </w:r>
      <w:r>
        <w:rPr>
          <w:spacing w:val="-1"/>
        </w:rPr>
        <w:t>，法院信息化</w:t>
      </w:r>
      <w:r>
        <w:rPr>
          <w:rFonts w:ascii="Times New Roman" w:hAnsi="Times New Roman" w:cs="Times New Roman" w:eastAsia="Times New Roman" w:hint="default"/>
          <w:spacing w:val="-1"/>
        </w:rPr>
        <w:t>3.0</w:t>
      </w:r>
      <w:r>
        <w:rPr>
          <w:spacing w:val="-1"/>
        </w:rPr>
        <w:t>整体解决方案获得</w:t>
      </w:r>
      <w:r>
        <w:rPr>
          <w:rFonts w:ascii="Times New Roman" w:hAnsi="Times New Roman" w:cs="Times New Roman" w:eastAsia="Times New Roman" w:hint="default"/>
          <w:spacing w:val="-1"/>
        </w:rPr>
        <w:t>“2016</w:t>
      </w:r>
      <w:r>
        <w:rPr>
          <w:spacing w:val="-1"/>
        </w:rPr>
        <w:t>第二十届中国软件博览会优秀参展产</w:t>
      </w:r>
      <w:r>
        <w:rPr>
          <w:spacing w:val="-39"/>
        </w:rPr>
        <w:t> </w:t>
      </w:r>
      <w:r>
        <w:rPr/>
        <w:t>品</w:t>
      </w:r>
      <w:r>
        <w:rPr>
          <w:rFonts w:ascii="Times New Roman" w:hAnsi="Times New Roman" w:cs="Times New Roman" w:eastAsia="Times New Roman" w:hint="default"/>
        </w:rPr>
        <w:t>”</w:t>
      </w:r>
      <w:r>
        <w:rPr/>
        <w:t>。报告期内，</w:t>
      </w:r>
      <w:r>
        <w:rPr>
          <w:rFonts w:ascii="Times New Roman" w:hAnsi="Times New Roman" w:cs="Times New Roman" w:eastAsia="Times New Roman" w:hint="default"/>
        </w:rPr>
        <w:t>“</w:t>
      </w:r>
      <w:r>
        <w:rPr/>
        <w:t>大数据背景下档案信息资源挖掘策略与方法研究</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海量数字档案安全存储监控平台研究</w:t>
      </w:r>
      <w:r>
        <w:rPr>
          <w:rFonts w:ascii="Times New Roman" w:hAnsi="Times New Roman" w:cs="Times New Roman" w:eastAsia="Times New Roman" w:hint="default"/>
        </w:rPr>
        <w:t>”</w:t>
      </w:r>
      <w:r>
        <w:rPr/>
        <w:t>课题分别荣获 </w:t>
      </w:r>
      <w:r>
        <w:rPr>
          <w:rFonts w:ascii="Times New Roman" w:hAnsi="Times New Roman" w:cs="Times New Roman" w:eastAsia="Times New Roman" w:hint="default"/>
        </w:rPr>
        <w:t>2017</w:t>
      </w:r>
      <w:r>
        <w:rPr/>
        <w:t>年度国家档案局优秀科技成果二等奖。公司获得</w:t>
      </w:r>
      <w:r>
        <w:rPr>
          <w:rFonts w:ascii="Times New Roman" w:hAnsi="Times New Roman" w:cs="Times New Roman" w:eastAsia="Times New Roman" w:hint="default"/>
        </w:rPr>
        <w:t>“</w:t>
      </w:r>
      <w:r>
        <w:rPr/>
        <w:t>中国档案学会计算机档案管理软件类定点生产企业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中国档案学会 档案数字化加工服务类定点生产企业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基于大数据分析的食品安全追溯平台</w:t>
      </w:r>
      <w:r>
        <w:rPr>
          <w:rFonts w:ascii="Times New Roman" w:hAnsi="Times New Roman" w:cs="Times New Roman" w:eastAsia="Times New Roman" w:hint="default"/>
        </w:rPr>
        <w:t>”</w:t>
      </w:r>
      <w:r>
        <w:rPr/>
        <w:t>被认定为上海市高新技术成果转化项目。</w:t>
      </w:r>
    </w:p>
    <w:p>
      <w:pPr>
        <w:pStyle w:val="BodyText"/>
        <w:spacing w:line="300" w:lineRule="auto" w:before="13"/>
        <w:ind w:right="1132" w:firstLine="290"/>
        <w:jc w:val="both"/>
      </w:pPr>
      <w:r>
        <w:rPr>
          <w:spacing w:val="-1"/>
        </w:rPr>
        <w:t>截止报告期末，公司及其子公司共取得国家知识产权局专利授权</w:t>
      </w:r>
      <w:r>
        <w:rPr>
          <w:rFonts w:ascii="Times New Roman" w:hAnsi="Times New Roman" w:cs="Times New Roman" w:eastAsia="Times New Roman" w:hint="default"/>
          <w:spacing w:val="-1"/>
        </w:rPr>
        <w:t>13</w:t>
      </w:r>
      <w:r>
        <w:rPr>
          <w:spacing w:val="-1"/>
        </w:rPr>
        <w:t>项，计算机软件著作权</w:t>
      </w:r>
      <w:r>
        <w:rPr>
          <w:rFonts w:ascii="Times New Roman" w:hAnsi="Times New Roman" w:cs="Times New Roman" w:eastAsia="Times New Roman" w:hint="default"/>
          <w:spacing w:val="-1"/>
        </w:rPr>
        <w:t>333</w:t>
      </w:r>
      <w:r>
        <w:rPr>
          <w:spacing w:val="-1"/>
        </w:rPr>
        <w:t>项，软件产品登记证书</w:t>
      </w:r>
      <w:r>
        <w:rPr>
          <w:rFonts w:ascii="Times New Roman" w:hAnsi="Times New Roman" w:cs="Times New Roman" w:eastAsia="Times New Roman" w:hint="default"/>
          <w:spacing w:val="-1"/>
        </w:rPr>
        <w:t>189</w:t>
      </w:r>
      <w:r>
        <w:rPr>
          <w:rFonts w:ascii="Times New Roman" w:hAnsi="Times New Roman" w:cs="Times New Roman" w:eastAsia="Times New Roman" w:hint="default"/>
        </w:rPr>
        <w:t> </w:t>
      </w:r>
      <w:r>
        <w:rPr>
          <w:spacing w:val="-2"/>
        </w:rPr>
        <w:t>项，高新成果转化</w:t>
      </w:r>
      <w:r>
        <w:rPr>
          <w:rFonts w:ascii="Times New Roman" w:hAnsi="Times New Roman" w:cs="Times New Roman" w:eastAsia="Times New Roman" w:hint="default"/>
          <w:spacing w:val="-2"/>
        </w:rPr>
        <w:t>18</w:t>
      </w:r>
      <w:r>
        <w:rPr>
          <w:spacing w:val="-2"/>
        </w:rPr>
        <w:t>项。作为较早进入行业的企业，我司建立了完备的软件开发与测试体系，具有领先的研发创新能力。公</w:t>
      </w:r>
      <w:r>
        <w:rPr>
          <w:spacing w:val="-64"/>
        </w:rPr>
        <w:t> </w:t>
      </w:r>
      <w:r>
        <w:rPr>
          <w:spacing w:val="-64"/>
        </w:rPr>
      </w:r>
      <w:r>
        <w:rPr/>
        <w:t>司逐年加大科研经费的投入，加强研发队伍的建设。</w:t>
      </w:r>
    </w:p>
    <w:p>
      <w:pPr>
        <w:pStyle w:val="BodyText"/>
        <w:spacing w:line="300" w:lineRule="auto" w:before="31"/>
        <w:ind w:left="1424" w:right="1122" w:hanging="291"/>
        <w:jc w:val="left"/>
      </w:pPr>
      <w:r>
        <w:rPr>
          <w:rFonts w:ascii="Times New Roman" w:hAnsi="Times New Roman" w:cs="Times New Roman" w:eastAsia="Times New Roman" w:hint="default"/>
        </w:rPr>
        <w:t>2</w:t>
      </w:r>
      <w:r>
        <w:rPr/>
        <w:t>、品牌优势 从</w:t>
      </w:r>
      <w:r>
        <w:rPr>
          <w:rFonts w:ascii="Times New Roman" w:hAnsi="Times New Roman" w:cs="Times New Roman" w:eastAsia="Times New Roman" w:hint="default"/>
        </w:rPr>
        <w:t>1997</w:t>
      </w:r>
      <w:r>
        <w:rPr/>
        <w:t>年成立以来，公司本着</w:t>
      </w:r>
      <w:r>
        <w:rPr>
          <w:rFonts w:ascii="Times New Roman" w:hAnsi="Times New Roman" w:cs="Times New Roman" w:eastAsia="Times New Roman" w:hint="default"/>
        </w:rPr>
        <w:t>“</w:t>
      </w:r>
      <w:r>
        <w:rPr/>
        <w:t>诚信为先、以人为本、同舟共济、追求卓越</w:t>
      </w:r>
      <w:r>
        <w:rPr>
          <w:rFonts w:ascii="Times New Roman" w:hAnsi="Times New Roman" w:cs="Times New Roman" w:eastAsia="Times New Roman" w:hint="default"/>
        </w:rPr>
        <w:t>”</w:t>
      </w:r>
      <w:r>
        <w:rPr/>
        <w:t>的核心价值观，不断进取，为中国信息化社</w:t>
      </w:r>
    </w:p>
    <w:p>
      <w:pPr>
        <w:pStyle w:val="BodyText"/>
        <w:spacing w:line="300" w:lineRule="auto" w:before="13"/>
        <w:ind w:right="1131"/>
        <w:jc w:val="both"/>
      </w:pPr>
      <w:r>
        <w:rPr>
          <w:spacing w:val="-5"/>
        </w:rPr>
        <w:t>会建设提供高效信息资源管理服务，致力于利用信息服务推动社会传承与进步，以产品、服务、质量来赢得客户。截止到</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日，公司已成立</w:t>
      </w:r>
      <w:r>
        <w:rPr>
          <w:rFonts w:ascii="Times New Roman" w:hAnsi="Times New Roman" w:cs="Times New Roman" w:eastAsia="Times New Roman" w:hint="default"/>
          <w:spacing w:val="-2"/>
        </w:rPr>
        <w:t>20</w:t>
      </w:r>
      <w:r>
        <w:rPr>
          <w:spacing w:val="-2"/>
        </w:rPr>
        <w:t>年，目前已进入快速发展阶段，公司品牌也跟随</w:t>
      </w:r>
      <w:r>
        <w:rPr>
          <w:rFonts w:ascii="Times New Roman" w:hAnsi="Times New Roman" w:cs="Times New Roman" w:eastAsia="Times New Roman" w:hint="default"/>
          <w:spacing w:val="-2"/>
        </w:rPr>
        <w:t>20</w:t>
      </w:r>
      <w:r>
        <w:rPr>
          <w:spacing w:val="-2"/>
        </w:rPr>
        <w:t>年的革新与进步实现了质的飞跃，在行业内树</w:t>
      </w:r>
      <w:r>
        <w:rPr>
          <w:spacing w:val="-59"/>
        </w:rPr>
        <w:t> </w:t>
      </w:r>
      <w:r>
        <w:rPr>
          <w:spacing w:val="-59"/>
        </w:rPr>
      </w:r>
      <w:r>
        <w:rPr/>
        <w:t>立了较高的市场知名度和美誉度。</w:t>
      </w:r>
    </w:p>
    <w:p>
      <w:pPr>
        <w:pStyle w:val="BodyText"/>
        <w:spacing w:line="300" w:lineRule="auto" w:before="32"/>
        <w:ind w:right="1040" w:firstLine="290"/>
        <w:jc w:val="left"/>
      </w:pPr>
      <w:r>
        <w:rPr/>
        <w:t>公司旗下光典产品在</w:t>
      </w:r>
      <w:r>
        <w:rPr>
          <w:rFonts w:ascii="Times New Roman" w:hAnsi="Times New Roman" w:cs="Times New Roman" w:eastAsia="Times New Roman" w:hint="default"/>
        </w:rPr>
        <w:t>2012-2014</w:t>
      </w:r>
      <w:r>
        <w:rPr/>
        <w:t>年先后获得上海市著名商标和</w:t>
      </w:r>
      <w:r>
        <w:rPr>
          <w:rFonts w:ascii="Times New Roman" w:hAnsi="Times New Roman" w:cs="Times New Roman" w:eastAsia="Times New Roman" w:hint="default"/>
        </w:rPr>
        <w:t>“</w:t>
      </w:r>
      <w:r>
        <w:rPr/>
        <w:t>上海名牌</w:t>
      </w:r>
      <w:r>
        <w:rPr>
          <w:rFonts w:ascii="Times New Roman" w:hAnsi="Times New Roman" w:cs="Times New Roman" w:eastAsia="Times New Roman" w:hint="default"/>
        </w:rPr>
        <w:t>”</w:t>
      </w:r>
      <w:r>
        <w:rPr/>
        <w:t>称号。报告期内，公司又荣获</w:t>
      </w:r>
      <w:r>
        <w:rPr>
          <w:rFonts w:ascii="Times New Roman" w:hAnsi="Times New Roman" w:cs="Times New Roman" w:eastAsia="Times New Roman" w:hint="default"/>
        </w:rPr>
        <w:t>“2017</w:t>
      </w:r>
      <w:r>
        <w:rPr/>
        <w:t>年度上海市 </w:t>
      </w:r>
      <w:r>
        <w:rPr>
          <w:spacing w:val="-2"/>
        </w:rPr>
        <w:t>网络与信息安全服务推荐单位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2"/>
        </w:rPr>
        <w:t>-2016</w:t>
      </w:r>
      <w:r>
        <w:rPr>
          <w:spacing w:val="-2"/>
        </w:rPr>
        <w:t>年度上海市文明单位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“2016</w:t>
      </w:r>
      <w:r>
        <w:rPr>
          <w:spacing w:val="-2"/>
        </w:rPr>
        <w:t>年度上海市计算机行业最具发展潜力科技型企业</w:t>
      </w:r>
      <w:r>
        <w:rPr>
          <w:rFonts w:ascii="Times New Roman" w:hAnsi="Times New Roman" w:cs="Times New Roman" w:eastAsia="Times New Roman" w:hint="default"/>
          <w:spacing w:val="-2"/>
        </w:rPr>
        <w:t>”</w:t>
      </w:r>
      <w:r>
        <w:rPr>
          <w:spacing w:val="-2"/>
        </w:rPr>
        <w:t>、</w:t>
      </w:r>
      <w:r>
        <w:rPr>
          <w:spacing w:val="-56"/>
        </w:rPr>
        <w:t> </w:t>
      </w:r>
      <w:r>
        <w:rPr>
          <w:rFonts w:ascii="Times New Roman" w:hAnsi="Times New Roman" w:cs="Times New Roman" w:eastAsia="Times New Roman" w:hint="default"/>
        </w:rPr>
        <w:t>“2016</w:t>
      </w:r>
      <w:r>
        <w:rPr/>
        <w:t>年度青浦区创新创业优秀人才团队奖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年上海民营服务企业</w:t>
      </w:r>
      <w:r>
        <w:rPr>
          <w:rFonts w:ascii="Times New Roman" w:hAnsi="Times New Roman" w:cs="Times New Roman" w:eastAsia="Times New Roman" w:hint="default"/>
        </w:rPr>
        <w:t>100</w:t>
      </w:r>
      <w:r>
        <w:rPr/>
        <w:t>强（第</w:t>
      </w:r>
      <w:r>
        <w:rPr>
          <w:rFonts w:ascii="Times New Roman" w:hAnsi="Times New Roman" w:cs="Times New Roman" w:eastAsia="Times New Roman" w:hint="default"/>
        </w:rPr>
        <w:t>75</w:t>
      </w:r>
      <w:r>
        <w:rPr/>
        <w:t>名）</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中国大数据产业最具创新 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年度全国农业农村信息化示范基地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上海市物联网行业协会会员</w:t>
      </w:r>
      <w:r>
        <w:rPr>
          <w:rFonts w:ascii="Times New Roman" w:hAnsi="Times New Roman" w:cs="Times New Roman" w:eastAsia="Times New Roman" w:hint="default"/>
        </w:rPr>
        <w:t>”</w:t>
      </w:r>
      <w:r>
        <w:rPr/>
        <w:t>。</w:t>
      </w:r>
    </w:p>
    <w:p>
      <w:pPr>
        <w:pStyle w:val="BodyText"/>
        <w:spacing w:line="300" w:lineRule="auto" w:before="13"/>
        <w:ind w:right="1123" w:firstLine="290"/>
        <w:jc w:val="left"/>
      </w:pPr>
      <w:r>
        <w:rPr>
          <w:rFonts w:ascii="Times New Roman" w:hAnsi="Times New Roman" w:cs="Times New Roman" w:eastAsia="Times New Roman" w:hint="default"/>
        </w:rPr>
        <w:t>“</w:t>
      </w:r>
      <w:r>
        <w:rPr/>
        <w:t>匠心而立，创智腾飞</w:t>
      </w:r>
      <w:r>
        <w:rPr>
          <w:rFonts w:ascii="Times New Roman" w:hAnsi="Times New Roman" w:cs="Times New Roman" w:eastAsia="Times New Roman" w:hint="default"/>
        </w:rPr>
        <w:t>”</w:t>
      </w:r>
      <w:r>
        <w:rPr/>
        <w:t>，经过</w:t>
      </w:r>
      <w:r>
        <w:rPr>
          <w:rFonts w:ascii="Times New Roman" w:hAnsi="Times New Roman" w:cs="Times New Roman" w:eastAsia="Times New Roman" w:hint="default"/>
        </w:rPr>
        <w:t>20</w:t>
      </w:r>
      <w:r>
        <w:rPr/>
        <w:t>年砥砺奋进，公司将继续秉持一颗永不改变的赤诚匠心，未来必将引领行业腾飞，致力 成为拥有核心技术的信息资源管理专家。</w:t>
      </w:r>
    </w:p>
    <w:p>
      <w:pPr>
        <w:pStyle w:val="BodyText"/>
        <w:spacing w:line="300" w:lineRule="auto" w:before="31"/>
        <w:ind w:left="1424" w:right="985" w:hanging="291"/>
        <w:jc w:val="left"/>
      </w:pPr>
      <w:r>
        <w:rPr>
          <w:rFonts w:ascii="Times New Roman" w:hAnsi="Times New Roman" w:cs="Times New Roman" w:eastAsia="Times New Roman" w:hint="default"/>
        </w:rPr>
        <w:t>3</w:t>
      </w:r>
      <w:r>
        <w:rPr/>
        <w:t>、人才储备优势 </w:t>
      </w:r>
      <w:r>
        <w:rPr>
          <w:spacing w:val="-1"/>
        </w:rPr>
        <w:t>在多年的经营中，公司积累了稳定的、结构合理的高素质人才队伍，拥有丰富现代管理和业务经验的管理团队。公司拥</w:t>
      </w:r>
    </w:p>
    <w:p>
      <w:pPr>
        <w:pStyle w:val="BodyText"/>
        <w:spacing w:line="316" w:lineRule="auto" w:before="31"/>
        <w:ind w:left="1134" w:right="1043"/>
        <w:jc w:val="both"/>
      </w:pPr>
      <w:r>
        <w:rPr>
          <w:spacing w:val="-4"/>
        </w:rPr>
        <w:t>有大量既精通行业业务知识，又熟练掌握计算机前沿技术的复合型高端人才。公司还具备具有软件开发经验和团队管理能力、</w:t>
      </w:r>
      <w:r>
        <w:rPr>
          <w:spacing w:val="-44"/>
        </w:rPr>
        <w:t> </w:t>
      </w:r>
      <w:r>
        <w:rPr>
          <w:spacing w:val="-44"/>
        </w:rPr>
      </w:r>
      <w:r>
        <w:rPr/>
        <w:t>熟悉项目开发规范的管理人才和专业的市场营销人才，能够准确把握行业发展趋势，具备很强的市场开拓能力。</w:t>
      </w:r>
    </w:p>
    <w:p>
      <w:pPr>
        <w:pStyle w:val="BodyText"/>
        <w:spacing w:line="314" w:lineRule="auto" w:before="19"/>
        <w:ind w:right="985" w:firstLine="290"/>
        <w:jc w:val="left"/>
      </w:pPr>
      <w:r>
        <w:rPr>
          <w:spacing w:val="-1"/>
        </w:rPr>
        <w:t>人才是公司核心竞争力之一，因此，公司非常注重人才培养和培训机制的建设，设有专门的企业内部培训机构</w:t>
      </w:r>
      <w:r>
        <w:rPr>
          <w:rFonts w:ascii="Times New Roman" w:hAnsi="Times New Roman" w:cs="Times New Roman" w:eastAsia="Times New Roman" w:hint="default"/>
          <w:spacing w:val="-1"/>
        </w:rPr>
        <w:t>——</w:t>
      </w:r>
      <w:r>
        <w:rPr>
          <w:spacing w:val="-1"/>
        </w:rPr>
        <w:t>信息</w:t>
      </w:r>
      <w:r>
        <w:rPr/>
        <w:t> </w:t>
      </w:r>
      <w:r>
        <w:rPr>
          <w:spacing w:val="-2"/>
        </w:rPr>
        <w:t>发展鹰学院。不定期聘请内、外部教师和专家担任顾问或者讲师，对各个岗位员工进行岗位培训和业务技术知识的指导，并</w:t>
      </w:r>
      <w:r>
        <w:rPr>
          <w:spacing w:val="-66"/>
        </w:rPr>
        <w:t> </w:t>
      </w:r>
      <w:r>
        <w:rPr>
          <w:spacing w:val="-66"/>
        </w:rPr>
      </w:r>
      <w:r>
        <w:rPr>
          <w:spacing w:val="-2"/>
        </w:rPr>
        <w:t>且实施了系统性的人才培养体系，制定了人才考核制度。因材施教，结合各个岗位员工的不同阶段，建立系统性的企业人才</w:t>
      </w:r>
      <w:r>
        <w:rPr>
          <w:spacing w:val="-66"/>
        </w:rPr>
        <w:t> </w:t>
      </w:r>
      <w:r>
        <w:rPr>
          <w:spacing w:val="-66"/>
        </w:rPr>
      </w:r>
      <w:r>
        <w:rPr/>
        <w:t>培育策略及相应的培训课程设置，为公司长期稳定的发展与积极创新的活力提供了人才资源的保障。 </w:t>
      </w:r>
      <w:r>
        <w:rPr>
          <w:rFonts w:ascii="Times New Roman" w:hAnsi="Times New Roman" w:cs="Times New Roman" w:eastAsia="Times New Roman" w:hint="default"/>
        </w:rPr>
        <w:t>4</w:t>
      </w:r>
      <w:r>
        <w:rPr/>
        <w:t>、市场开拓和营销能力</w:t>
      </w:r>
    </w:p>
    <w:p>
      <w:pPr>
        <w:pStyle w:val="BodyText"/>
        <w:spacing w:line="300" w:lineRule="auto" w:before="1"/>
        <w:ind w:right="1035" w:firstLine="290"/>
        <w:jc w:val="left"/>
      </w:pPr>
      <w:r>
        <w:rPr>
          <w:spacing w:val="-2"/>
        </w:rPr>
        <w:t>公司目前在</w:t>
      </w:r>
      <w:r>
        <w:rPr>
          <w:rFonts w:ascii="Times New Roman" w:hAnsi="Times New Roman" w:cs="Times New Roman" w:eastAsia="Times New Roman" w:hint="default"/>
          <w:spacing w:val="-2"/>
        </w:rPr>
        <w:t>27</w:t>
      </w:r>
      <w:r>
        <w:rPr>
          <w:spacing w:val="-2"/>
        </w:rPr>
        <w:t>个省份设有直属分公司，下属</w:t>
      </w:r>
      <w:r>
        <w:rPr>
          <w:rFonts w:ascii="Times New Roman" w:hAnsi="Times New Roman" w:cs="Times New Roman" w:eastAsia="Times New Roman" w:hint="default"/>
          <w:spacing w:val="-2"/>
        </w:rPr>
        <w:t>2</w:t>
      </w:r>
      <w:r>
        <w:rPr>
          <w:spacing w:val="-2"/>
        </w:rPr>
        <w:t>个全资子公司、</w:t>
      </w:r>
      <w:r>
        <w:rPr>
          <w:rFonts w:ascii="Times New Roman" w:hAnsi="Times New Roman" w:cs="Times New Roman" w:eastAsia="Times New Roman" w:hint="default"/>
          <w:spacing w:val="-2"/>
        </w:rPr>
        <w:t>2</w:t>
      </w:r>
      <w:r>
        <w:rPr>
          <w:spacing w:val="-2"/>
        </w:rPr>
        <w:t>个控股子公司，拟成立</w:t>
      </w:r>
      <w:r>
        <w:rPr>
          <w:rFonts w:ascii="Times New Roman" w:hAnsi="Times New Roman" w:cs="Times New Roman" w:eastAsia="Times New Roman" w:hint="default"/>
          <w:spacing w:val="-2"/>
        </w:rPr>
        <w:t>1</w:t>
      </w:r>
      <w:r>
        <w:rPr>
          <w:spacing w:val="-2"/>
        </w:rPr>
        <w:t>个控股子公司，另参股子公司</w:t>
      </w:r>
      <w:r>
        <w:rPr>
          <w:rFonts w:ascii="Times New Roman" w:hAnsi="Times New Roman" w:cs="Times New Roman" w:eastAsia="Times New Roman" w:hint="default"/>
          <w:spacing w:val="-2"/>
        </w:rPr>
        <w:t>3</w:t>
      </w:r>
      <w:r>
        <w:rPr>
          <w:spacing w:val="-2"/>
        </w:rPr>
        <w:t>个，</w:t>
      </w:r>
      <w:r>
        <w:rPr/>
        <w:t> 已经建设涵盖</w:t>
      </w:r>
      <w:r>
        <w:rPr>
          <w:rFonts w:ascii="Times New Roman" w:hAnsi="Times New Roman" w:cs="Times New Roman" w:eastAsia="Times New Roman" w:hint="default"/>
        </w:rPr>
        <w:t>3</w:t>
      </w:r>
      <w:r>
        <w:rPr/>
        <w:t>大行业，覆盖全国市场营销网络和服务网络，公司组建了一直成熟稳定的营销团队。并积极完善激励和培训 </w:t>
      </w:r>
      <w:r>
        <w:rPr>
          <w:spacing w:val="-2"/>
        </w:rPr>
        <w:t>机制，逐步建成一支可以适应区域文化、了解行业特点、具备较强战斗力的营销队伍，从而推动产品销售与</w:t>
      </w:r>
      <w:r>
        <w:rPr>
          <w:rFonts w:ascii="Times New Roman" w:hAnsi="Times New Roman" w:cs="Times New Roman" w:eastAsia="Times New Roman" w:hint="default"/>
          <w:spacing w:val="-2"/>
        </w:rPr>
        <w:t>SaaS</w:t>
      </w:r>
      <w:r>
        <w:rPr>
          <w:spacing w:val="-2"/>
        </w:rPr>
        <w:t>服务市场开</w:t>
      </w:r>
      <w:r>
        <w:rPr>
          <w:spacing w:val="-63"/>
        </w:rPr>
        <w:t> </w:t>
      </w:r>
      <w:r>
        <w:rPr/>
        <w:t>拓力度。</w:t>
      </w:r>
    </w:p>
    <w:p>
      <w:pPr>
        <w:pStyle w:val="BodyText"/>
        <w:spacing w:line="300" w:lineRule="auto" w:before="31"/>
        <w:ind w:left="1424" w:right="1202" w:hanging="291"/>
        <w:jc w:val="left"/>
      </w:pPr>
      <w:r>
        <w:rPr>
          <w:rFonts w:ascii="Times New Roman" w:hAnsi="Times New Roman" w:cs="Times New Roman" w:eastAsia="Times New Roman" w:hint="default"/>
        </w:rPr>
        <w:t>5</w:t>
      </w:r>
      <w:r>
        <w:rPr/>
        <w:t>、先进的研发理念 公司十分注重自主创新研发能力的建设，把自主创新研发作为立足市场不败之地的法宝，为此公司推出了</w:t>
      </w:r>
      <w:r>
        <w:rPr>
          <w:rFonts w:ascii="Times New Roman" w:hAnsi="Times New Roman" w:cs="Times New Roman" w:eastAsia="Times New Roman" w:hint="default"/>
        </w:rPr>
        <w:t>“</w:t>
      </w:r>
      <w:r>
        <w:rPr/>
        <w:t>产品花园模</w:t>
      </w:r>
    </w:p>
    <w:p>
      <w:pPr>
        <w:pStyle w:val="BodyText"/>
        <w:spacing w:line="240" w:lineRule="auto" w:before="13"/>
        <w:ind w:right="985"/>
        <w:jc w:val="left"/>
      </w:pPr>
      <w:r>
        <w:rPr/>
        <w:t>型</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软件工厂模型</w:t>
      </w:r>
      <w:r>
        <w:rPr>
          <w:rFonts w:ascii="Times New Roman" w:hAnsi="Times New Roman" w:cs="Times New Roman" w:eastAsia="Times New Roman" w:hint="default"/>
        </w:rPr>
        <w:t>”</w:t>
      </w:r>
      <w:r>
        <w:rPr/>
        <w:t>两大先进的研发理念，提高产品研发效率，提升公司的创新能力及核心竞争力。</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ind w:right="985" w:firstLine="290"/>
        <w:jc w:val="left"/>
      </w:pPr>
      <w:r>
        <w:rPr/>
        <w:t>公司在食品安全全程追溯领域、档案信息化领域、政法信息化领域建立了六大应用产品线，在各个领域中不断推陈出新 具有自主知识产权的软件产品和整体解决方案，实现应用产品树上的</w:t>
      </w:r>
      <w:r>
        <w:rPr>
          <w:rFonts w:ascii="Times New Roman" w:hAnsi="Times New Roman" w:cs="Times New Roman" w:eastAsia="Times New Roman" w:hint="default"/>
        </w:rPr>
        <w:t>“</w:t>
      </w:r>
      <w:r>
        <w:rPr/>
        <w:t>繁茂枝叶</w:t>
      </w:r>
      <w:r>
        <w:rPr>
          <w:rFonts w:ascii="Times New Roman" w:hAnsi="Times New Roman" w:cs="Times New Roman" w:eastAsia="Times New Roman" w:hint="default"/>
        </w:rPr>
        <w:t>”</w:t>
      </w:r>
      <w:r>
        <w:rPr/>
        <w:t>。公司的</w:t>
      </w:r>
      <w:r>
        <w:rPr>
          <w:rFonts w:ascii="Times New Roman" w:hAnsi="Times New Roman" w:cs="Times New Roman" w:eastAsia="Times New Roman" w:hint="default"/>
        </w:rPr>
        <w:t>“</w:t>
      </w:r>
      <w:r>
        <w:rPr/>
        <w:t>云基</w:t>
      </w:r>
      <w:r>
        <w:rPr>
          <w:rFonts w:ascii="Times New Roman" w:hAnsi="Times New Roman" w:cs="Times New Roman" w:eastAsia="Times New Roman" w:hint="default"/>
        </w:rPr>
        <w:t>”</w:t>
      </w:r>
      <w:r>
        <w:rPr/>
        <w:t>平台软件系列（包括系统管 理平台、基础组件平台、智能监控平台等）、</w:t>
      </w:r>
      <w:r>
        <w:rPr>
          <w:rFonts w:ascii="Times New Roman" w:hAnsi="Times New Roman" w:cs="Times New Roman" w:eastAsia="Times New Roman" w:hint="default"/>
        </w:rPr>
        <w:t>“</w:t>
      </w:r>
      <w:r>
        <w:rPr/>
        <w:t>灵器</w:t>
      </w:r>
      <w:r>
        <w:rPr>
          <w:rFonts w:ascii="Times New Roman" w:hAnsi="Times New Roman" w:cs="Times New Roman" w:eastAsia="Times New Roman" w:hint="default"/>
        </w:rPr>
        <w:t>”</w:t>
      </w:r>
      <w:r>
        <w:rPr/>
        <w:t>工具软件系列（包括文件格式转换工具、通用文件浏览器等）、</w:t>
      </w:r>
      <w:r>
        <w:rPr>
          <w:rFonts w:ascii="Times New Roman" w:hAnsi="Times New Roman" w:cs="Times New Roman" w:eastAsia="Times New Roman" w:hint="default"/>
        </w:rPr>
        <w:t>“</w:t>
      </w:r>
      <w:r>
        <w:rPr/>
        <w:t>光曜</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实验室技术创新为应用软件产品提供了基础和保障，正如肥沃的土壤、灵巧的工具、充沛的阳光滋润、保护和照耀着我们的</w:t>
      </w:r>
      <w:r>
        <w:rPr>
          <w:spacing w:val="-66"/>
        </w:rPr>
        <w:t> </w:t>
      </w:r>
      <w:r>
        <w:rPr>
          <w:spacing w:val="-66"/>
        </w:rPr>
      </w:r>
      <w:r>
        <w:rPr>
          <w:spacing w:val="-2"/>
        </w:rPr>
        <w:t>产品树茁壮成长。公司打造的食品安全全程追溯领域，是基于以往的技术成果与市场经验积累上逐步形成，整个食品安全全</w:t>
      </w:r>
      <w:r>
        <w:rPr>
          <w:spacing w:val="-66"/>
        </w:rPr>
        <w:t> </w:t>
      </w:r>
      <w:r>
        <w:rPr>
          <w:spacing w:val="-66"/>
        </w:rPr>
      </w:r>
      <w:r>
        <w:rPr>
          <w:spacing w:val="-2"/>
        </w:rPr>
        <w:t>程追溯领域围绕一个核心（追溯云大数据平台），通过建设三大</w:t>
      </w:r>
      <w:r>
        <w:rPr>
          <w:rFonts w:ascii="Times New Roman" w:hAnsi="Times New Roman" w:cs="Times New Roman" w:eastAsia="Times New Roman" w:hint="default"/>
          <w:spacing w:val="-2"/>
        </w:rPr>
        <w:t>SaaS</w:t>
      </w:r>
      <w:r>
        <w:rPr>
          <w:spacing w:val="-2"/>
        </w:rPr>
        <w:t>云平台（智农云：智慧农业云平台、农批云：新农批平</w:t>
      </w:r>
      <w:r>
        <w:rPr>
          <w:spacing w:val="-68"/>
        </w:rPr>
        <w:t> </w:t>
      </w:r>
      <w:r>
        <w:rPr>
          <w:spacing w:val="-68"/>
        </w:rPr>
      </w:r>
      <w:r>
        <w:rPr/>
        <w:t>台和零售云：新零售平台）、四大保障体系（追溯体系、认证体系、信用体系、激励体系）、三大服务内容（追溯云</w:t>
      </w:r>
      <w:r>
        <w:rPr>
          <w:rFonts w:ascii="Times New Roman" w:hAnsi="Times New Roman" w:cs="Times New Roman" w:eastAsia="Times New Roman" w:hint="default"/>
        </w:rPr>
        <w:t>Inside </w:t>
      </w:r>
      <w:r>
        <w:rPr>
          <w:spacing w:val="-4"/>
        </w:rPr>
        <w:t>服务、食品安全服务和供应链增值服务）和三大实体支撑（食安供应链体验中心、追溯联合创新实验室和农产品检测中心），</w:t>
      </w:r>
      <w:r>
        <w:rPr>
          <w:spacing w:val="-44"/>
        </w:rPr>
        <w:t> </w:t>
      </w:r>
      <w:r>
        <w:rPr>
          <w:spacing w:val="-44"/>
        </w:rPr>
      </w:r>
      <w:r>
        <w:rPr/>
        <w:t>共同构建了</w:t>
      </w:r>
      <w:r>
        <w:rPr>
          <w:rFonts w:ascii="Times New Roman" w:hAnsi="Times New Roman" w:cs="Times New Roman" w:eastAsia="Times New Roman" w:hint="default"/>
        </w:rPr>
        <w:t>“14433”</w:t>
      </w:r>
      <w:r>
        <w:rPr/>
        <w:t>追溯</w:t>
      </w:r>
      <w:r>
        <w:rPr>
          <w:rFonts w:ascii="Times New Roman" w:hAnsi="Times New Roman" w:cs="Times New Roman" w:eastAsia="Times New Roman" w:hint="default"/>
        </w:rPr>
        <w:t>+</w:t>
      </w:r>
      <w:r>
        <w:rPr/>
        <w:t>食安供应链生态圈。</w:t>
      </w:r>
    </w:p>
    <w:p>
      <w:pPr>
        <w:pStyle w:val="BodyText"/>
        <w:spacing w:line="300" w:lineRule="auto" w:before="5"/>
        <w:ind w:right="985" w:firstLine="290"/>
        <w:jc w:val="left"/>
      </w:pPr>
      <w:r>
        <w:rPr/>
        <w:t>同时</w:t>
      </w:r>
      <w:r>
        <w:rPr>
          <w:rFonts w:ascii="Times New Roman" w:hAnsi="Times New Roman" w:cs="Times New Roman" w:eastAsia="Times New Roman" w:hint="default"/>
        </w:rPr>
        <w:t>,</w:t>
      </w:r>
      <w:r>
        <w:rPr/>
        <w:t>公司着力于建立一个类似于工业化工厂运行模式的</w:t>
      </w:r>
      <w:r>
        <w:rPr>
          <w:rFonts w:ascii="Times New Roman" w:hAnsi="Times New Roman" w:cs="Times New Roman" w:eastAsia="Times New Roman" w:hint="default"/>
        </w:rPr>
        <w:t>“</w:t>
      </w:r>
      <w:r>
        <w:rPr/>
        <w:t>应用软件工厂</w:t>
      </w:r>
      <w:r>
        <w:rPr>
          <w:rFonts w:ascii="Times New Roman" w:hAnsi="Times New Roman" w:cs="Times New Roman" w:eastAsia="Times New Roman" w:hint="default"/>
        </w:rPr>
        <w:t>”</w:t>
      </w:r>
      <w:r>
        <w:rPr/>
        <w:t>，全面优化应用软件</w:t>
      </w:r>
      <w:r>
        <w:rPr>
          <w:rFonts w:ascii="Times New Roman" w:hAnsi="Times New Roman" w:cs="Times New Roman" w:eastAsia="Times New Roman" w:hint="default"/>
        </w:rPr>
        <w:t>“</w:t>
      </w:r>
      <w:r>
        <w:rPr/>
        <w:t>加工流水线</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产品装配 </w:t>
      </w:r>
      <w:r>
        <w:rPr>
          <w:spacing w:val="-2"/>
        </w:rPr>
        <w:t>线</w:t>
      </w:r>
      <w:r>
        <w:rPr>
          <w:rFonts w:ascii="Times New Roman" w:hAnsi="Times New Roman" w:cs="Times New Roman" w:eastAsia="Times New Roman" w:hint="default"/>
          <w:spacing w:val="-2"/>
        </w:rPr>
        <w:t>”</w:t>
      </w:r>
      <w:r>
        <w:rPr>
          <w:spacing w:val="-2"/>
        </w:rPr>
        <w:t>，提升</w:t>
      </w:r>
      <w:r>
        <w:rPr>
          <w:rFonts w:ascii="Times New Roman" w:hAnsi="Times New Roman" w:cs="Times New Roman" w:eastAsia="Times New Roman" w:hint="default"/>
          <w:spacing w:val="-2"/>
        </w:rPr>
        <w:t>“</w:t>
      </w:r>
      <w:r>
        <w:rPr>
          <w:spacing w:val="-2"/>
        </w:rPr>
        <w:t>管控系统</w:t>
      </w:r>
      <w:r>
        <w:rPr>
          <w:rFonts w:ascii="Times New Roman" w:hAnsi="Times New Roman" w:cs="Times New Roman" w:eastAsia="Times New Roman" w:hint="default"/>
          <w:spacing w:val="-2"/>
        </w:rPr>
        <w:t>”</w:t>
      </w:r>
      <w:r>
        <w:rPr>
          <w:spacing w:val="-2"/>
        </w:rPr>
        <w:t>的有效性，更新</w:t>
      </w:r>
      <w:r>
        <w:rPr>
          <w:rFonts w:ascii="Times New Roman" w:hAnsi="Times New Roman" w:cs="Times New Roman" w:eastAsia="Times New Roman" w:hint="default"/>
          <w:spacing w:val="-2"/>
        </w:rPr>
        <w:t>“</w:t>
      </w:r>
      <w:r>
        <w:rPr>
          <w:spacing w:val="-2"/>
        </w:rPr>
        <w:t>零部件</w:t>
      </w:r>
      <w:r>
        <w:rPr>
          <w:rFonts w:ascii="Times New Roman" w:hAnsi="Times New Roman" w:cs="Times New Roman" w:eastAsia="Times New Roman" w:hint="default"/>
          <w:spacing w:val="-2"/>
        </w:rPr>
        <w:t>”</w:t>
      </w:r>
      <w:r>
        <w:rPr>
          <w:spacing w:val="-2"/>
        </w:rPr>
        <w:t>，升级</w:t>
      </w:r>
      <w:r>
        <w:rPr>
          <w:rFonts w:ascii="Times New Roman" w:hAnsi="Times New Roman" w:cs="Times New Roman" w:eastAsia="Times New Roman" w:hint="default"/>
          <w:spacing w:val="-2"/>
        </w:rPr>
        <w:t>“</w:t>
      </w:r>
      <w:r>
        <w:rPr>
          <w:spacing w:val="-2"/>
        </w:rPr>
        <w:t>各类工具</w:t>
      </w:r>
      <w:r>
        <w:rPr>
          <w:rFonts w:ascii="Times New Roman" w:hAnsi="Times New Roman" w:cs="Times New Roman" w:eastAsia="Times New Roman" w:hint="default"/>
          <w:spacing w:val="-2"/>
        </w:rPr>
        <w:t>”</w:t>
      </w:r>
      <w:r>
        <w:rPr>
          <w:spacing w:val="-2"/>
        </w:rPr>
        <w:t>，让业务构件充满</w:t>
      </w:r>
      <w:r>
        <w:rPr>
          <w:rFonts w:ascii="Times New Roman" w:hAnsi="Times New Roman" w:cs="Times New Roman" w:eastAsia="Times New Roman" w:hint="default"/>
          <w:spacing w:val="-2"/>
        </w:rPr>
        <w:t>“</w:t>
      </w:r>
      <w:r>
        <w:rPr>
          <w:spacing w:val="-2"/>
        </w:rPr>
        <w:t>成品仓库</w:t>
      </w:r>
      <w:r>
        <w:rPr>
          <w:rFonts w:ascii="Times New Roman" w:hAnsi="Times New Roman" w:cs="Times New Roman" w:eastAsia="Times New Roman" w:hint="default"/>
          <w:spacing w:val="-2"/>
        </w:rPr>
        <w:t>”</w:t>
      </w:r>
      <w:r>
        <w:rPr>
          <w:spacing w:val="-2"/>
        </w:rPr>
        <w:t>，在此基础上，科学合理地设</w:t>
      </w:r>
      <w:r>
        <w:rPr>
          <w:spacing w:val="-63"/>
        </w:rPr>
        <w:t> </w:t>
      </w:r>
      <w:r>
        <w:rPr>
          <w:spacing w:val="-63"/>
        </w:rPr>
      </w:r>
      <w:r>
        <w:rPr/>
        <w:t>计制定</w:t>
      </w:r>
      <w:r>
        <w:rPr>
          <w:rFonts w:ascii="Times New Roman" w:hAnsi="Times New Roman" w:cs="Times New Roman" w:eastAsia="Times New Roman" w:hint="default"/>
        </w:rPr>
        <w:t>“</w:t>
      </w:r>
      <w:r>
        <w:rPr/>
        <w:t>工艺操作计划、流程和指导书</w:t>
      </w:r>
      <w:r>
        <w:rPr>
          <w:rFonts w:ascii="Times New Roman" w:hAnsi="Times New Roman" w:cs="Times New Roman" w:eastAsia="Times New Roman" w:hint="default"/>
        </w:rPr>
        <w:t>”</w:t>
      </w:r>
      <w:r>
        <w:rPr/>
        <w:t>，最终实现交付产品性能和用户满意度的进一步提高。</w:t>
      </w:r>
    </w:p>
    <w:p>
      <w:pPr>
        <w:pStyle w:val="BodyText"/>
        <w:spacing w:line="300" w:lineRule="auto" w:before="13"/>
        <w:ind w:left="1424" w:right="985" w:hanging="291"/>
        <w:jc w:val="left"/>
        <w:rPr>
          <w:rFonts w:ascii="Times New Roman" w:hAnsi="Times New Roman" w:cs="Times New Roman" w:eastAsia="Times New Roman" w:hint="default"/>
        </w:rPr>
      </w:pPr>
      <w:r>
        <w:rPr>
          <w:rFonts w:ascii="Times New Roman" w:hAnsi="Times New Roman" w:cs="Times New Roman" w:eastAsia="Times New Roman" w:hint="default"/>
        </w:rPr>
        <w:t>6</w:t>
      </w:r>
      <w:r>
        <w:rPr/>
        <w:t>、高效的服务体系 </w:t>
      </w:r>
      <w:r>
        <w:rPr>
          <w:spacing w:val="-5"/>
        </w:rPr>
        <w:t>公司于</w:t>
      </w:r>
      <w:r>
        <w:rPr>
          <w:rFonts w:ascii="Times New Roman" w:hAnsi="Times New Roman" w:cs="Times New Roman" w:eastAsia="Times New Roman" w:hint="default"/>
          <w:spacing w:val="-5"/>
        </w:rPr>
        <w:t>2004</w:t>
      </w:r>
      <w:r>
        <w:rPr>
          <w:spacing w:val="-5"/>
        </w:rPr>
        <w:t>年创立了</w:t>
      </w:r>
      <w:r>
        <w:rPr>
          <w:rFonts w:ascii="Times New Roman" w:hAnsi="Times New Roman" w:cs="Times New Roman" w:eastAsia="Times New Roman" w:hint="default"/>
          <w:spacing w:val="-5"/>
        </w:rPr>
        <w:t>“S1”</w:t>
      </w:r>
      <w:r>
        <w:rPr>
          <w:spacing w:val="-5"/>
        </w:rPr>
        <w:t>服务品牌（即服务</w:t>
      </w:r>
      <w:r>
        <w:rPr>
          <w:rFonts w:ascii="Times New Roman" w:hAnsi="Times New Roman" w:cs="Times New Roman" w:eastAsia="Times New Roman" w:hint="default"/>
          <w:spacing w:val="-5"/>
        </w:rPr>
        <w:t>Service</w:t>
      </w:r>
      <w:r>
        <w:rPr>
          <w:spacing w:val="-5"/>
        </w:rPr>
        <w:t>第一、速度</w:t>
      </w:r>
      <w:r>
        <w:rPr>
          <w:rFonts w:ascii="Times New Roman" w:hAnsi="Times New Roman" w:cs="Times New Roman" w:eastAsia="Times New Roman" w:hint="default"/>
          <w:spacing w:val="-5"/>
        </w:rPr>
        <w:t>Speed</w:t>
      </w:r>
      <w:r>
        <w:rPr>
          <w:spacing w:val="-5"/>
        </w:rPr>
        <w:t>第一、安全</w:t>
      </w:r>
      <w:r>
        <w:rPr>
          <w:rFonts w:ascii="Times New Roman" w:hAnsi="Times New Roman" w:cs="Times New Roman" w:eastAsia="Times New Roman" w:hint="default"/>
          <w:spacing w:val="-5"/>
        </w:rPr>
        <w:t>Security</w:t>
      </w:r>
      <w:r>
        <w:rPr>
          <w:spacing w:val="-5"/>
        </w:rPr>
        <w:t>第一、态度</w:t>
      </w:r>
      <w:r>
        <w:rPr>
          <w:rFonts w:ascii="Times New Roman" w:hAnsi="Times New Roman" w:cs="Times New Roman" w:eastAsia="Times New Roman" w:hint="default"/>
          <w:spacing w:val="-5"/>
        </w:rPr>
        <w:t>Smile</w:t>
      </w:r>
      <w:r>
        <w:rPr>
          <w:spacing w:val="-5"/>
        </w:rPr>
        <w:t>第一、规范</w:t>
      </w:r>
      <w:r>
        <w:rPr>
          <w:rFonts w:ascii="Times New Roman" w:hAnsi="Times New Roman" w:cs="Times New Roman" w:eastAsia="Times New Roman" w:hint="default"/>
          <w:spacing w:val="-5"/>
        </w:rPr>
        <w:t>Standard</w:t>
      </w:r>
    </w:p>
    <w:p>
      <w:pPr>
        <w:pStyle w:val="BodyText"/>
        <w:spacing w:line="300" w:lineRule="auto" w:before="13"/>
        <w:ind w:right="985"/>
        <w:jc w:val="left"/>
      </w:pPr>
      <w:r>
        <w:rPr>
          <w:spacing w:val="-2"/>
        </w:rPr>
        <w:t>第一、保障</w:t>
      </w:r>
      <w:r>
        <w:rPr>
          <w:rFonts w:ascii="Times New Roman" w:hAnsi="Times New Roman" w:cs="Times New Roman" w:eastAsia="Times New Roman" w:hint="default"/>
          <w:spacing w:val="-2"/>
        </w:rPr>
        <w:t>System</w:t>
      </w:r>
      <w:r>
        <w:rPr>
          <w:spacing w:val="-2"/>
        </w:rPr>
        <w:t>第一）。</w:t>
      </w:r>
      <w:r>
        <w:rPr>
          <w:rFonts w:ascii="Times New Roman" w:hAnsi="Times New Roman" w:cs="Times New Roman" w:eastAsia="Times New Roman" w:hint="default"/>
          <w:spacing w:val="-2"/>
        </w:rPr>
        <w:t>“S1”</w:t>
      </w:r>
      <w:r>
        <w:rPr>
          <w:spacing w:val="-2"/>
        </w:rPr>
        <w:t>服务在服务时间上，为客户提供</w:t>
      </w:r>
      <w:r>
        <w:rPr>
          <w:rFonts w:ascii="Times New Roman" w:hAnsi="Times New Roman" w:cs="Times New Roman" w:eastAsia="Times New Roman" w:hint="default"/>
          <w:spacing w:val="-2"/>
        </w:rPr>
        <w:t>7*24</w:t>
      </w:r>
      <w:r>
        <w:rPr>
          <w:spacing w:val="-2"/>
        </w:rPr>
        <w:t>小时不间断服务；在服务内容上，为客户提供软件服务</w:t>
      </w:r>
      <w:r>
        <w:rPr>
          <w:spacing w:val="-36"/>
        </w:rPr>
        <w:t> </w:t>
      </w:r>
      <w:r>
        <w:rPr>
          <w:spacing w:val="-36"/>
        </w:rPr>
      </w:r>
      <w:r>
        <w:rPr/>
        <w:t>与硬件服务及产品服务；在服务形式上，为客户提供应急服务、常驻服务和巡检服务，以保证全方位满足用户需求。</w:t>
      </w:r>
    </w:p>
    <w:p>
      <w:pPr>
        <w:pStyle w:val="BodyText"/>
        <w:spacing w:line="300" w:lineRule="auto" w:before="31"/>
        <w:ind w:right="1211" w:firstLine="290"/>
        <w:jc w:val="both"/>
      </w:pPr>
      <w:r>
        <w:rPr/>
        <w:t>自</w:t>
      </w:r>
      <w:r>
        <w:rPr>
          <w:rFonts w:ascii="Times New Roman" w:hAnsi="Times New Roman" w:cs="Times New Roman" w:eastAsia="Times New Roman" w:hint="default"/>
        </w:rPr>
        <w:t>2008</w:t>
      </w:r>
      <w:r>
        <w:rPr/>
        <w:t>年以来，公司不断提高全国市场的客户服务水平，开通了全国统一的</w:t>
      </w:r>
      <w:r>
        <w:rPr>
          <w:rFonts w:ascii="Times New Roman" w:hAnsi="Times New Roman" w:cs="Times New Roman" w:eastAsia="Times New Roman" w:hint="default"/>
        </w:rPr>
        <w:t>400</w:t>
      </w:r>
      <w:r>
        <w:rPr/>
        <w:t>服务热线，并逐步建立了各家分公司的 全国营销服务网络，能够及时、持续、有效地为客户提供配套技术支持服务。公司创新的</w:t>
      </w:r>
      <w:r>
        <w:rPr>
          <w:rFonts w:ascii="Times New Roman" w:hAnsi="Times New Roman" w:cs="Times New Roman" w:eastAsia="Times New Roman" w:hint="default"/>
        </w:rPr>
        <w:t>S1</w:t>
      </w:r>
      <w:r>
        <w:rPr/>
        <w:t>服务理念，不仅是公司服务的 保障，也为公司赢得了客户口碑与满意度，成为了公司核心竞争力的一大重要因素。</w:t>
      </w:r>
    </w:p>
    <w:p>
      <w:pPr>
        <w:spacing w:after="0" w:line="30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985"/>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85"/>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063" w:firstLine="290"/>
        <w:jc w:val="left"/>
      </w:pPr>
      <w:r>
        <w:rPr/>
        <w:t>报告期内，公司实现营业收入</w:t>
      </w:r>
      <w:r>
        <w:rPr>
          <w:rFonts w:ascii="Times New Roman" w:hAnsi="Times New Roman" w:cs="Times New Roman" w:eastAsia="Times New Roman" w:hint="default"/>
        </w:rPr>
        <w:t>564,293,578.68</w:t>
      </w:r>
      <w:r>
        <w:rPr/>
        <w:t>元，较上年同期增长</w:t>
      </w:r>
      <w:r>
        <w:rPr>
          <w:rFonts w:ascii="Times New Roman" w:hAnsi="Times New Roman" w:cs="Times New Roman" w:eastAsia="Times New Roman" w:hint="default"/>
        </w:rPr>
        <w:t>8.29%</w:t>
      </w:r>
      <w:r>
        <w:rPr/>
        <w:t>；归属于上市公司股东的净利润为</w:t>
      </w:r>
      <w:r>
        <w:rPr>
          <w:rFonts w:ascii="Times New Roman" w:hAnsi="Times New Roman" w:cs="Times New Roman" w:eastAsia="Times New Roman" w:hint="default"/>
        </w:rPr>
        <w:t>33,207,874.96 </w:t>
      </w:r>
      <w:r>
        <w:rPr/>
        <w:t>元，较去年同期增长</w:t>
      </w:r>
      <w:r>
        <w:rPr>
          <w:rFonts w:ascii="Times New Roman" w:hAnsi="Times New Roman" w:cs="Times New Roman" w:eastAsia="Times New Roman" w:hint="default"/>
        </w:rPr>
        <w:t>10.66%</w:t>
      </w:r>
      <w:r>
        <w:rPr/>
        <w:t>；归属于上市公司股东的扣除非经常性损益的净利润为</w:t>
      </w:r>
      <w:r>
        <w:rPr>
          <w:rFonts w:ascii="Times New Roman" w:hAnsi="Times New Roman" w:cs="Times New Roman" w:eastAsia="Times New Roman" w:hint="default"/>
        </w:rPr>
        <w:t>26,949,871.66</w:t>
      </w:r>
      <w:r>
        <w:rPr/>
        <w:t>元，较去年同期略有下降； 经营活动产生的现金流量净额为</w:t>
      </w:r>
      <w:r>
        <w:rPr>
          <w:rFonts w:ascii="Times New Roman" w:hAnsi="Times New Roman" w:cs="Times New Roman" w:eastAsia="Times New Roman" w:hint="default"/>
        </w:rPr>
        <w:t>8,210200.08</w:t>
      </w:r>
      <w:r>
        <w:rPr/>
        <w:t>元，较去年同期大幅增长</w:t>
      </w:r>
      <w:r>
        <w:rPr>
          <w:rFonts w:ascii="Times New Roman" w:hAnsi="Times New Roman" w:cs="Times New Roman" w:eastAsia="Times New Roman" w:hint="default"/>
        </w:rPr>
        <w:t>112.88%</w:t>
      </w:r>
      <w:r>
        <w:rPr/>
        <w:t>；资产总额为</w:t>
      </w:r>
      <w:r>
        <w:rPr>
          <w:rFonts w:ascii="Times New Roman" w:hAnsi="Times New Roman" w:cs="Times New Roman" w:eastAsia="Times New Roman" w:hint="default"/>
        </w:rPr>
        <w:t>1,217,276,834.99</w:t>
      </w:r>
      <w:r>
        <w:rPr/>
        <w:t>元，较去年同期 增长</w:t>
      </w:r>
      <w:r>
        <w:rPr>
          <w:rFonts w:ascii="Times New Roman" w:hAnsi="Times New Roman" w:cs="Times New Roman" w:eastAsia="Times New Roman" w:hint="default"/>
        </w:rPr>
        <w:t>41.61%</w:t>
      </w:r>
      <w:r>
        <w:rPr/>
        <w:t>；归属于上市公司股东的净资产为</w:t>
      </w:r>
      <w:r>
        <w:rPr>
          <w:rFonts w:ascii="Times New Roman" w:hAnsi="Times New Roman" w:cs="Times New Roman" w:eastAsia="Times New Roman" w:hint="default"/>
        </w:rPr>
        <w:t>422,372,877.07</w:t>
      </w:r>
      <w:r>
        <w:rPr/>
        <w:t>元，较去年同期下降</w:t>
      </w:r>
      <w:r>
        <w:rPr>
          <w:rFonts w:ascii="Times New Roman" w:hAnsi="Times New Roman" w:cs="Times New Roman" w:eastAsia="Times New Roman" w:hint="default"/>
        </w:rPr>
        <w:t>6.51%</w:t>
      </w:r>
      <w:r>
        <w:rPr/>
        <w:t>。</w:t>
      </w:r>
    </w:p>
    <w:p>
      <w:pPr>
        <w:pStyle w:val="BodyText"/>
        <w:spacing w:line="300" w:lineRule="auto" w:before="13"/>
        <w:ind w:right="985" w:firstLine="290"/>
        <w:jc w:val="left"/>
      </w:pPr>
      <w:r>
        <w:rPr/>
        <w:t>报告期内公司档案局（馆）业务收入</w:t>
      </w:r>
      <w:r>
        <w:rPr>
          <w:rFonts w:ascii="Times New Roman" w:hAnsi="Times New Roman" w:cs="Times New Roman" w:eastAsia="Times New Roman" w:hint="default"/>
        </w:rPr>
        <w:t>178,237,955.91</w:t>
      </w:r>
      <w:r>
        <w:rPr/>
        <w:t>元，较上年同期增长</w:t>
      </w:r>
      <w:r>
        <w:rPr>
          <w:rFonts w:ascii="Times New Roman" w:hAnsi="Times New Roman" w:cs="Times New Roman" w:eastAsia="Times New Roman" w:hint="default"/>
        </w:rPr>
        <w:t>64.75%</w:t>
      </w:r>
      <w:r>
        <w:rPr/>
        <w:t>，主要是由于《全国档案事业发展</w:t>
      </w:r>
      <w:r>
        <w:rPr>
          <w:rFonts w:ascii="Times New Roman" w:hAnsi="Times New Roman" w:cs="Times New Roman" w:eastAsia="Times New Roman" w:hint="default"/>
        </w:rPr>
        <w:t>"</w:t>
      </w:r>
      <w:r>
        <w:rPr/>
        <w:t>十三 </w:t>
      </w:r>
      <w:r>
        <w:rPr>
          <w:spacing w:val="-1"/>
        </w:rPr>
        <w:t>五</w:t>
      </w:r>
      <w:r>
        <w:rPr>
          <w:rFonts w:ascii="Times New Roman" w:hAnsi="Times New Roman" w:cs="Times New Roman" w:eastAsia="Times New Roman" w:hint="default"/>
          <w:spacing w:val="-1"/>
        </w:rPr>
        <w:t>"</w:t>
      </w:r>
      <w:r>
        <w:rPr>
          <w:spacing w:val="-1"/>
        </w:rPr>
        <w:t>规划纲要》确定了档案事业发展的指导思想和目标：到</w:t>
      </w:r>
      <w:r>
        <w:rPr>
          <w:rFonts w:ascii="Times New Roman" w:hAnsi="Times New Roman" w:cs="Times New Roman" w:eastAsia="Times New Roman" w:hint="default"/>
          <w:spacing w:val="-1"/>
        </w:rPr>
        <w:t>2020</w:t>
      </w:r>
      <w:r>
        <w:rPr>
          <w:spacing w:val="-1"/>
        </w:rPr>
        <w:t>年，实现以信息化为核心的档案管理现代化</w:t>
      </w:r>
      <w:r>
        <w:rPr>
          <w:rFonts w:ascii="Times New Roman" w:hAnsi="Times New Roman" w:cs="Times New Roman" w:eastAsia="Times New Roman" w:hint="default"/>
          <w:spacing w:val="-1"/>
        </w:rPr>
        <w:t>,</w:t>
      </w:r>
      <w:r>
        <w:rPr>
          <w:spacing w:val="-1"/>
        </w:rPr>
        <w:t>加快档案管理信</w:t>
      </w:r>
      <w:r>
        <w:rPr>
          <w:spacing w:val="-58"/>
        </w:rPr>
        <w:t> </w:t>
      </w:r>
      <w:r>
        <w:rPr>
          <w:spacing w:val="-58"/>
        </w:rPr>
      </w:r>
      <w:r>
        <w:rPr/>
        <w:t>息化进程</w:t>
      </w:r>
      <w:r>
        <w:rPr>
          <w:rFonts w:ascii="Times New Roman" w:hAnsi="Times New Roman" w:cs="Times New Roman" w:eastAsia="Times New Roman" w:hint="default"/>
        </w:rPr>
        <w:t>,</w:t>
      </w:r>
      <w:r>
        <w:rPr/>
        <w:t>持续推进数字档案馆建设，全国</w:t>
      </w:r>
      <w:r>
        <w:rPr>
          <w:rFonts w:ascii="Times New Roman" w:hAnsi="Times New Roman" w:cs="Times New Roman" w:eastAsia="Times New Roman" w:hint="default"/>
        </w:rPr>
        <w:t>50%</w:t>
      </w:r>
      <w:r>
        <w:rPr/>
        <w:t>县级城市，启动或建成数字档案馆建设项目。技术支持与服务实现 </w:t>
      </w:r>
      <w:r>
        <w:rPr>
          <w:rFonts w:ascii="Times New Roman" w:hAnsi="Times New Roman" w:cs="Times New Roman" w:eastAsia="Times New Roman" w:hint="default"/>
          <w:spacing w:val="-3"/>
        </w:rPr>
        <w:t>312,057,292.32</w:t>
      </w:r>
      <w:r>
        <w:rPr>
          <w:spacing w:val="-3"/>
        </w:rPr>
        <w:t>元收入，较上年同期增长</w:t>
      </w:r>
      <w:r>
        <w:rPr>
          <w:rFonts w:ascii="Times New Roman" w:hAnsi="Times New Roman" w:cs="Times New Roman" w:eastAsia="Times New Roman" w:hint="default"/>
          <w:spacing w:val="-3"/>
        </w:rPr>
        <w:t>58.17%</w:t>
      </w:r>
      <w:r>
        <w:rPr>
          <w:spacing w:val="-3"/>
        </w:rPr>
        <w:t>，主要是公司不断加大由项目向服务转型的力度，控股子公司追溯云基于</w:t>
      </w:r>
      <w:r>
        <w:rPr>
          <w:rFonts w:ascii="Times New Roman" w:hAnsi="Times New Roman" w:cs="Times New Roman" w:eastAsia="Times New Roman" w:hint="default"/>
          <w:spacing w:val="-3"/>
        </w:rPr>
        <w:t>SaaS</w:t>
      </w:r>
      <w:r>
        <w:rPr>
          <w:rFonts w:ascii="Times New Roman" w:hAnsi="Times New Roman" w:cs="Times New Roman" w:eastAsia="Times New Roman" w:hint="default"/>
          <w:spacing w:val="8"/>
        </w:rPr>
        <w:t> </w:t>
      </w:r>
      <w:r>
        <w:rPr/>
        <w:t>的服务也达到了预期的目标。</w:t>
      </w:r>
    </w:p>
    <w:p>
      <w:pPr>
        <w:pStyle w:val="BodyText"/>
        <w:spacing w:line="300" w:lineRule="auto" w:before="31"/>
        <w:ind w:left="1424" w:right="7222" w:hanging="291"/>
        <w:jc w:val="left"/>
      </w:pPr>
      <w:r>
        <w:rPr>
          <w:rFonts w:ascii="Times New Roman" w:hAnsi="Times New Roman" w:cs="Times New Roman" w:eastAsia="Times New Roman" w:hint="default"/>
        </w:rPr>
        <w:t>1</w:t>
      </w:r>
      <w:r>
        <w:rPr/>
        <w:t>、业务发展情况 报告期内公司主要业务的发展情况如下：</w:t>
      </w:r>
    </w:p>
    <w:p>
      <w:pPr>
        <w:pStyle w:val="BodyText"/>
        <w:spacing w:line="240" w:lineRule="auto" w:before="31"/>
        <w:ind w:left="1424" w:right="985"/>
        <w:jc w:val="left"/>
      </w:pPr>
      <w:r>
        <w:rPr/>
        <w:t>公司作为国内领先的信息化系统开发与服务提供商</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打造成为</w:t>
      </w:r>
      <w:r>
        <w:rPr>
          <w:rFonts w:ascii="Times New Roman" w:hAnsi="Times New Roman" w:cs="Times New Roman" w:eastAsia="Times New Roman" w:hint="default"/>
        </w:rPr>
        <w:t>“</w:t>
      </w:r>
      <w:r>
        <w:rPr/>
        <w:t>一箭两翼</w:t>
      </w:r>
      <w:r>
        <w:rPr>
          <w:rFonts w:ascii="Times New Roman" w:hAnsi="Times New Roman" w:cs="Times New Roman" w:eastAsia="Times New Roman" w:hint="default"/>
        </w:rPr>
        <w:t>”</w:t>
      </w:r>
      <w:r>
        <w:rPr/>
        <w:t>三大行业领域的信息资源管理专家。</w:t>
      </w:r>
    </w:p>
    <w:p>
      <w:pPr>
        <w:pStyle w:val="BodyText"/>
        <w:spacing w:line="300" w:lineRule="auto" w:before="63"/>
        <w:ind w:right="1127" w:firstLine="290"/>
        <w:jc w:val="left"/>
      </w:pPr>
      <w:r>
        <w:rPr>
          <w:rFonts w:ascii="Times New Roman" w:hAnsi="Times New Roman" w:cs="Times New Roman" w:eastAsia="Times New Roman" w:hint="default"/>
          <w:spacing w:val="-1"/>
        </w:rPr>
        <w:t>“</w:t>
      </w:r>
      <w:r>
        <w:rPr>
          <w:spacing w:val="-1"/>
        </w:rPr>
        <w:t>一箭</w:t>
      </w:r>
      <w:r>
        <w:rPr>
          <w:rFonts w:ascii="Times New Roman" w:hAnsi="Times New Roman" w:cs="Times New Roman" w:eastAsia="Times New Roman" w:hint="default"/>
          <w:spacing w:val="-1"/>
        </w:rPr>
        <w:t>”:</w:t>
      </w:r>
      <w:r>
        <w:rPr>
          <w:spacing w:val="-1"/>
        </w:rPr>
        <w:t>食品安全作为极为重要的国家战略，深受市场关注。公司凭借自身在食品安全全程追溯领域多年深耕的市场优势</w:t>
      </w:r>
      <w:r>
        <w:rPr/>
        <w:t> 和技术优势占领先机，未来发展无比宽广；</w:t>
      </w:r>
      <w:r>
        <w:rPr>
          <w:rFonts w:ascii="Times New Roman" w:hAnsi="Times New Roman" w:cs="Times New Roman" w:eastAsia="Times New Roman" w:hint="default"/>
        </w:rPr>
        <w:t>“</w:t>
      </w:r>
      <w:r>
        <w:rPr/>
        <w:t>两翼</w:t>
      </w:r>
      <w:r>
        <w:rPr>
          <w:rFonts w:ascii="Times New Roman" w:hAnsi="Times New Roman" w:cs="Times New Roman" w:eastAsia="Times New Roman" w:hint="default"/>
        </w:rPr>
        <w:t>”:</w:t>
      </w:r>
      <w:r>
        <w:rPr/>
        <w:t>档案行业和政法行业两翼齐飞。</w:t>
      </w:r>
    </w:p>
    <w:p>
      <w:pPr>
        <w:pStyle w:val="BodyText"/>
        <w:spacing w:line="240" w:lineRule="auto" w:before="13"/>
        <w:ind w:right="985"/>
        <w:jc w:val="left"/>
      </w:pPr>
      <w:r>
        <w:rPr/>
        <w:t>（</w:t>
      </w:r>
      <w:r>
        <w:rPr>
          <w:rFonts w:ascii="Times New Roman" w:hAnsi="Times New Roman" w:cs="Times New Roman" w:eastAsia="Times New Roman" w:hint="default"/>
        </w:rPr>
        <w:t>1</w:t>
      </w:r>
      <w:r>
        <w:rPr/>
        <w:t>）食品安全全程追溯领域</w:t>
      </w:r>
    </w:p>
    <w:p>
      <w:pPr>
        <w:pStyle w:val="BodyText"/>
        <w:spacing w:line="307" w:lineRule="auto" w:before="63"/>
        <w:ind w:right="985" w:firstLine="290"/>
        <w:jc w:val="left"/>
      </w:pPr>
      <w:r>
        <w:rPr>
          <w:rFonts w:ascii="Times New Roman" w:hAnsi="Times New Roman" w:cs="Times New Roman" w:eastAsia="Times New Roman" w:hint="default"/>
          <w:spacing w:val="-2"/>
        </w:rPr>
        <w:t>“</w:t>
      </w:r>
      <w:r>
        <w:rPr>
          <w:spacing w:val="-2"/>
        </w:rPr>
        <w:t>民以食为天，食以安为先</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月十二届人大常委会修订了《中华人民共和国食品安全法》，指出要建立食品安全</w:t>
      </w:r>
      <w:r>
        <w:rPr/>
        <w:t> </w:t>
      </w:r>
      <w:r>
        <w:rPr>
          <w:spacing w:val="-2"/>
        </w:rPr>
        <w:t>全程追溯制度。</w:t>
      </w:r>
      <w:r>
        <w:rPr>
          <w:rFonts w:ascii="Times New Roman" w:hAnsi="Times New Roman" w:cs="Times New Roman" w:eastAsia="Times New Roman" w:hint="default"/>
          <w:spacing w:val="-2"/>
        </w:rPr>
        <w:t>2015</w:t>
      </w:r>
      <w:r>
        <w:rPr>
          <w:spacing w:val="-2"/>
        </w:rPr>
        <w:t>年国务院印发了《关于加快推进重要产品追溯体系建设的意见》，对国内重要产品建设追溯体系提出了</w:t>
      </w:r>
      <w:r>
        <w:rPr>
          <w:spacing w:val="-61"/>
        </w:rPr>
        <w:t> </w:t>
      </w:r>
      <w:r>
        <w:rPr>
          <w:spacing w:val="-61"/>
        </w:rPr>
      </w:r>
      <w:r>
        <w:rPr/>
        <w:t>明确要求。</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月，农业部印发了《关于加快推进农产品质量安全追溯体系建设的意见》，提出为保证农产品的质量安 全必须建立农产品追溯体系。</w:t>
      </w:r>
      <w:r>
        <w:rPr>
          <w:rFonts w:ascii="Times New Roman" w:hAnsi="Times New Roman" w:cs="Times New Roman" w:eastAsia="Times New Roman" w:hint="default"/>
        </w:rPr>
        <w:t>2017</w:t>
      </w:r>
      <w:r>
        <w:rPr/>
        <w:t>年上半年，《国务院关于印发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国家食品安全规划和</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国家药品安全规划的 </w:t>
      </w:r>
      <w:r>
        <w:rPr>
          <w:spacing w:val="-2"/>
        </w:rPr>
        <w:t>通知》出台，要求建立食品追溯制度。当前，食品追溯已经被越来越多的人所认识，也有越来越多的企业开始执行。公司以</w:t>
      </w:r>
      <w:r>
        <w:rPr>
          <w:spacing w:val="-67"/>
        </w:rPr>
        <w:t> </w:t>
      </w:r>
      <w:r>
        <w:rPr>
          <w:spacing w:val="-67"/>
        </w:rPr>
      </w:r>
      <w:r>
        <w:rPr>
          <w:spacing w:val="-4"/>
        </w:rPr>
        <w:t>信息技术为手段，以法规标准为依据，以发展现代流通技术为基础，建设以数据中心追溯管理平台为核心，以生产加工环节、</w:t>
      </w:r>
      <w:r>
        <w:rPr>
          <w:spacing w:val="-46"/>
        </w:rPr>
        <w:t> </w:t>
      </w:r>
      <w:r>
        <w:rPr>
          <w:spacing w:val="-46"/>
        </w:rPr>
      </w:r>
      <w:r>
        <w:rPr/>
        <w:t>批发环节、零售环节、消费环节等追溯子系统为支撑，以追溯信息链条完整性管理为重点的食品全程追溯体系。</w:t>
      </w:r>
    </w:p>
    <w:p>
      <w:pPr>
        <w:pStyle w:val="BodyText"/>
        <w:spacing w:line="312" w:lineRule="auto" w:before="26"/>
        <w:ind w:right="1131" w:firstLine="290"/>
        <w:jc w:val="both"/>
      </w:pPr>
      <w:r>
        <w:rPr>
          <w:spacing w:val="-1"/>
        </w:rPr>
        <w:t>公司在食品追溯体系领域有着扎实的理论基础和丰富的实施经验，得到了社会的认可与客户较高的满意度。公司在流通</w:t>
      </w:r>
      <w:r>
        <w:rPr/>
        <w:t> </w:t>
      </w:r>
      <w:r>
        <w:rPr>
          <w:spacing w:val="-1"/>
        </w:rPr>
        <w:t>追溯全国五批共</w:t>
      </w:r>
      <w:r>
        <w:rPr>
          <w:rFonts w:ascii="Times New Roman" w:hAnsi="Times New Roman" w:cs="Times New Roman" w:eastAsia="Times New Roman" w:hint="default"/>
          <w:spacing w:val="-1"/>
        </w:rPr>
        <w:t>58</w:t>
      </w:r>
      <w:r>
        <w:rPr>
          <w:spacing w:val="-1"/>
        </w:rPr>
        <w:t>个已招标试点城市中，累计中标</w:t>
      </w:r>
      <w:r>
        <w:rPr>
          <w:rFonts w:ascii="Times New Roman" w:hAnsi="Times New Roman" w:cs="Times New Roman" w:eastAsia="Times New Roman" w:hint="default"/>
          <w:spacing w:val="-1"/>
        </w:rPr>
        <w:t>24</w:t>
      </w:r>
      <w:r>
        <w:rPr>
          <w:spacing w:val="-1"/>
        </w:rPr>
        <w:t>个，市场占有率超过</w:t>
      </w:r>
      <w:r>
        <w:rPr>
          <w:rFonts w:ascii="Times New Roman" w:hAnsi="Times New Roman" w:cs="Times New Roman" w:eastAsia="Times New Roman" w:hint="default"/>
          <w:spacing w:val="-1"/>
        </w:rPr>
        <w:t>40%</w:t>
      </w:r>
      <w:r>
        <w:rPr>
          <w:spacing w:val="-1"/>
        </w:rPr>
        <w:t>，居全国第一。公司积极延伸和拓展食品安全</w:t>
      </w:r>
      <w:r>
        <w:rPr/>
        <w:t> </w:t>
      </w:r>
      <w:r>
        <w:rPr>
          <w:spacing w:val="-2"/>
        </w:rPr>
        <w:t>全程追溯产业链，只有实施全程追溯、打破行业壁垒、贯通食品从田头到餐桌的全程信息，协同推进，才能真正保障食品安</w:t>
      </w:r>
      <w:r>
        <w:rPr>
          <w:spacing w:val="-66"/>
        </w:rPr>
        <w:t> </w:t>
      </w:r>
      <w:r>
        <w:rPr>
          <w:spacing w:val="-66"/>
        </w:rPr>
      </w:r>
      <w:r>
        <w:rPr/>
        <w:t>全信息共享，在问题发生时能够准确溯源并有效控制，从而最大限度地保障消费者的合法权益。</w:t>
      </w:r>
    </w:p>
    <w:p>
      <w:pPr>
        <w:pStyle w:val="BodyText"/>
        <w:spacing w:line="309" w:lineRule="auto" w:before="22"/>
        <w:ind w:right="1041" w:firstLine="290"/>
        <w:jc w:val="left"/>
      </w:pPr>
      <w:r>
        <w:rPr/>
        <w:t>信息发展打造的食品安全全程链追溯生态圈，是基于以往的技术成果与市场经验积累上逐步形成，整个食安追溯生态圈 </w:t>
      </w:r>
      <w:r>
        <w:rPr>
          <w:spacing w:val="-3"/>
        </w:rPr>
        <w:t>围绕一个核心云平台</w:t>
      </w:r>
      <w:r>
        <w:rPr>
          <w:rFonts w:ascii="Times New Roman" w:hAnsi="Times New Roman" w:cs="Times New Roman" w:eastAsia="Times New Roman" w:hint="default"/>
          <w:spacing w:val="-3"/>
        </w:rPr>
        <w:t>“</w:t>
      </w:r>
      <w:r>
        <w:rPr>
          <w:spacing w:val="-3"/>
        </w:rPr>
        <w:t>追溯云</w:t>
      </w:r>
      <w:r>
        <w:rPr>
          <w:rFonts w:ascii="Times New Roman" w:hAnsi="Times New Roman" w:cs="Times New Roman" w:eastAsia="Times New Roman" w:hint="default"/>
          <w:spacing w:val="-3"/>
        </w:rPr>
        <w:t>”</w:t>
      </w:r>
      <w:r>
        <w:rPr>
          <w:spacing w:val="-3"/>
        </w:rPr>
        <w:t>，利用云计算、物联网、大数据等技术，为企业、政府和消费者提供第三方重要产品追溯服务。</w:t>
      </w:r>
      <w:r>
        <w:rPr>
          <w:spacing w:val="-81"/>
        </w:rPr>
        <w:t> </w:t>
      </w:r>
      <w:r>
        <w:rPr>
          <w:spacing w:val="-81"/>
        </w:rPr>
      </w:r>
      <w:r>
        <w:rPr/>
        <w:t>核心云平台</w:t>
      </w:r>
      <w:r>
        <w:rPr>
          <w:rFonts w:ascii="Times New Roman" w:hAnsi="Times New Roman" w:cs="Times New Roman" w:eastAsia="Times New Roman" w:hint="default"/>
        </w:rPr>
        <w:t>“</w:t>
      </w:r>
      <w:r>
        <w:rPr/>
        <w:t>追溯云</w:t>
      </w:r>
      <w:r>
        <w:rPr>
          <w:rFonts w:ascii="Times New Roman" w:hAnsi="Times New Roman" w:cs="Times New Roman" w:eastAsia="Times New Roman" w:hint="default"/>
        </w:rPr>
        <w:t>”</w:t>
      </w:r>
      <w:r>
        <w:rPr/>
        <w:t>定位为第三方食品安全追溯云平台，也是国内首家通过第三方认证服务提供商，平台采用云服务模式， </w:t>
      </w:r>
      <w:r>
        <w:rPr>
          <w:spacing w:val="-2"/>
        </w:rPr>
        <w:t>为企业提供专业的</w:t>
      </w:r>
      <w:r>
        <w:rPr>
          <w:rFonts w:ascii="Times New Roman" w:hAnsi="Times New Roman" w:cs="Times New Roman" w:eastAsia="Times New Roman" w:hint="default"/>
          <w:spacing w:val="-2"/>
        </w:rPr>
        <w:t>SaaS</w:t>
      </w:r>
      <w:r>
        <w:rPr>
          <w:spacing w:val="-2"/>
        </w:rPr>
        <w:t>应用服务和大数据分析服务。满足企业食品安全供应链整合、追溯数据查询、展示、转换以及与政府</w:t>
      </w:r>
      <w:r>
        <w:rPr>
          <w:spacing w:val="-63"/>
        </w:rPr>
        <w:t> </w:t>
      </w:r>
      <w:r>
        <w:rPr>
          <w:spacing w:val="-63"/>
        </w:rPr>
      </w:r>
      <w:r>
        <w:rPr>
          <w:spacing w:val="-2"/>
        </w:rPr>
        <w:t>平台对接、食品全程数据汇聚和分析等需求，同时又符合政府监管要求。追溯云专注于报告期内公司已与盒马生鲜、厨易时</w:t>
      </w:r>
      <w:r>
        <w:rPr>
          <w:spacing w:val="-66"/>
        </w:rPr>
        <w:t> </w:t>
      </w:r>
      <w:r>
        <w:rPr>
          <w:spacing w:val="-66"/>
        </w:rPr>
      </w:r>
      <w:r>
        <w:rPr>
          <w:spacing w:val="-2"/>
        </w:rPr>
        <w:t>代、食行生鲜、正大会员店、大润发、上蔬集团、美天集团等众多传统生鲜零售和新零售核心企业深度合作，赋码量已达千</w:t>
      </w:r>
      <w:r>
        <w:rPr>
          <w:spacing w:val="-68"/>
        </w:rPr>
        <w:t> </w:t>
      </w:r>
      <w:r>
        <w:rPr>
          <w:spacing w:val="-68"/>
        </w:rPr>
      </w:r>
      <w:r>
        <w:rPr>
          <w:spacing w:val="-2"/>
        </w:rPr>
        <w:t>万级别。从追溯品类角度看，公司追溯对象涵盖了牛羊肉、猪肉、蔬菜、禽类、水产、酒类和中药材等数百种品类，涉及种</w:t>
      </w:r>
      <w:r>
        <w:rPr>
          <w:spacing w:val="-67"/>
        </w:rPr>
        <w:t> </w:t>
      </w:r>
      <w:r>
        <w:rPr>
          <w:spacing w:val="-67"/>
        </w:rPr>
      </w:r>
      <w:r>
        <w:rPr/>
        <w:t>植、养殖、加工、配送、分销等多个环节的细分领域。</w:t>
      </w:r>
    </w:p>
    <w:p>
      <w:pPr>
        <w:pStyle w:val="BodyText"/>
        <w:spacing w:line="300" w:lineRule="auto" w:before="24"/>
        <w:ind w:left="1424" w:right="985" w:hanging="291"/>
        <w:jc w:val="left"/>
      </w:pPr>
      <w:r>
        <w:rPr/>
        <w:t>（</w:t>
      </w:r>
      <w:r>
        <w:rPr>
          <w:rFonts w:ascii="Times New Roman" w:hAnsi="Times New Roman" w:cs="Times New Roman" w:eastAsia="Times New Roman" w:hint="default"/>
        </w:rPr>
        <w:t>2</w:t>
      </w:r>
      <w:r>
        <w:rPr/>
        <w:t>）档案信息化领域 </w:t>
      </w:r>
      <w:r>
        <w:rPr>
          <w:spacing w:val="-1"/>
        </w:rPr>
        <w:t>公司本着保护档案，对历史负责的态度，为传承历史记忆服务，专注于为政府部门、机构、企业提供量身定做的档案信</w:t>
      </w:r>
    </w:p>
    <w:p>
      <w:pPr>
        <w:pStyle w:val="BodyText"/>
        <w:spacing w:line="316" w:lineRule="auto" w:before="31"/>
        <w:ind w:left="1134" w:right="985"/>
        <w:jc w:val="left"/>
      </w:pPr>
      <w:r>
        <w:rPr>
          <w:spacing w:val="-2"/>
        </w:rPr>
        <w:t>息化整体解决方案。并依托公司在档案信息化领域二十年的技术积累，以上海总部为起点，不断将成熟的档案信息化产品和</w:t>
      </w:r>
      <w:r>
        <w:rPr>
          <w:spacing w:val="-66"/>
        </w:rPr>
        <w:t> </w:t>
      </w:r>
      <w:r>
        <w:rPr>
          <w:spacing w:val="-66"/>
        </w:rPr>
      </w:r>
      <w:r>
        <w:rPr/>
        <w:t>解决方案向华东、华北、华中、西北、西南等地区推广。</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200" w:firstLine="290"/>
        <w:jc w:val="both"/>
      </w:pPr>
      <w:r>
        <w:rPr/>
        <w:t>报告期内公司新增</w:t>
      </w:r>
      <w:r>
        <w:rPr>
          <w:rFonts w:ascii="Times New Roman" w:hAnsi="Times New Roman" w:cs="Times New Roman" w:eastAsia="Times New Roman" w:hint="default"/>
        </w:rPr>
        <w:t>5</w:t>
      </w:r>
      <w:r>
        <w:rPr/>
        <w:t>家副省级以上档案局（馆）客户，截止报告期末，公司共计承接了</w:t>
      </w:r>
      <w:r>
        <w:rPr>
          <w:rFonts w:ascii="Times New Roman" w:hAnsi="Times New Roman" w:cs="Times New Roman" w:eastAsia="Times New Roman" w:hint="default"/>
        </w:rPr>
        <w:t>36</w:t>
      </w:r>
      <w:r>
        <w:rPr/>
        <w:t>家副省级以上档案局（馆）客 户，市场覆盖率为</w:t>
      </w:r>
      <w:r>
        <w:rPr>
          <w:rFonts w:ascii="Times New Roman" w:hAnsi="Times New Roman" w:cs="Times New Roman" w:eastAsia="Times New Roman" w:hint="default"/>
        </w:rPr>
        <w:t>70.59%</w:t>
      </w:r>
      <w:r>
        <w:rPr/>
        <w:t>。在上海市档案局（馆）信息化建设市场的客户覆盖率为</w:t>
      </w:r>
      <w:r>
        <w:rPr>
          <w:rFonts w:ascii="Times New Roman" w:hAnsi="Times New Roman" w:cs="Times New Roman" w:eastAsia="Times New Roman" w:hint="default"/>
        </w:rPr>
        <w:t>94.12%</w:t>
      </w:r>
      <w:r>
        <w:rPr/>
        <w:t>，市场优势明显。另外，在浙江 省、江苏省的档案局（馆）客户覆盖率也分别达到</w:t>
      </w:r>
      <w:r>
        <w:rPr>
          <w:rFonts w:ascii="Times New Roman" w:hAnsi="Times New Roman" w:cs="Times New Roman" w:eastAsia="Times New Roman" w:hint="default"/>
        </w:rPr>
        <w:t>50.5%</w:t>
      </w:r>
      <w:r>
        <w:rPr/>
        <w:t>、</w:t>
      </w:r>
      <w:r>
        <w:rPr>
          <w:rFonts w:ascii="Times New Roman" w:hAnsi="Times New Roman" w:cs="Times New Roman" w:eastAsia="Times New Roman" w:hint="default"/>
        </w:rPr>
        <w:t>35.14%</w:t>
      </w:r>
      <w:r>
        <w:rPr/>
        <w:t>。</w:t>
      </w:r>
    </w:p>
    <w:p>
      <w:pPr>
        <w:pStyle w:val="BodyText"/>
        <w:spacing w:line="300" w:lineRule="auto" w:before="13"/>
        <w:ind w:left="1424" w:right="1122" w:hanging="291"/>
        <w:jc w:val="left"/>
      </w:pPr>
      <w:r>
        <w:rPr/>
        <w:t>（</w:t>
      </w:r>
      <w:r>
        <w:rPr>
          <w:rFonts w:ascii="Times New Roman" w:hAnsi="Times New Roman" w:cs="Times New Roman" w:eastAsia="Times New Roman" w:hint="default"/>
        </w:rPr>
        <w:t>3</w:t>
      </w:r>
      <w:r>
        <w:rPr/>
        <w:t>）政法信息化领域 公司在政法行业中本着提高司法效率、确保司法公正、推进司法公开的理念，为</w:t>
      </w:r>
      <w:r>
        <w:rPr>
          <w:rFonts w:ascii="Times New Roman" w:hAnsi="Times New Roman" w:cs="Times New Roman" w:eastAsia="Times New Roman" w:hint="default"/>
        </w:rPr>
        <w:t>“</w:t>
      </w:r>
      <w:r>
        <w:rPr/>
        <w:t>依法治国</w:t>
      </w:r>
      <w:r>
        <w:rPr>
          <w:rFonts w:ascii="Times New Roman" w:hAnsi="Times New Roman" w:cs="Times New Roman" w:eastAsia="Times New Roman" w:hint="default"/>
        </w:rPr>
        <w:t>”</w:t>
      </w:r>
      <w:r>
        <w:rPr/>
        <w:t>服务。为司法监狱、公检法</w:t>
      </w:r>
    </w:p>
    <w:p>
      <w:pPr>
        <w:pStyle w:val="BodyText"/>
        <w:spacing w:line="307" w:lineRule="auto" w:before="13"/>
        <w:ind w:right="985"/>
        <w:jc w:val="left"/>
      </w:pPr>
      <w:r>
        <w:rPr>
          <w:spacing w:val="-2"/>
        </w:rPr>
        <w:t>等行业客户提供软件开发、系统集成以及智能化系统工程等信息化服务。公司为上海、新疆、江苏、安徽、浙江、陕西、四</w:t>
      </w:r>
      <w:r>
        <w:rPr>
          <w:spacing w:val="-68"/>
        </w:rPr>
        <w:t> </w:t>
      </w:r>
      <w:r>
        <w:rPr>
          <w:spacing w:val="-68"/>
        </w:rPr>
      </w:r>
      <w:r>
        <w:rPr>
          <w:spacing w:val="-2"/>
        </w:rPr>
        <w:t>川、江西、广东、内蒙、河南等地监狱管理局及其下属监狱提供监狱信息化服务，其中上海、新疆、江苏、安徽、四川、河</w:t>
      </w:r>
      <w:r>
        <w:rPr>
          <w:spacing w:val="-71"/>
        </w:rPr>
        <w:t> </w:t>
      </w:r>
      <w:r>
        <w:rPr>
          <w:spacing w:val="-71"/>
        </w:rPr>
      </w:r>
      <w:r>
        <w:rPr>
          <w:spacing w:val="-2"/>
        </w:rPr>
        <w:t>南、浙江、内蒙</w:t>
      </w:r>
      <w:r>
        <w:rPr>
          <w:rFonts w:ascii="Times New Roman" w:hAnsi="Times New Roman" w:cs="Times New Roman" w:eastAsia="Times New Roman" w:hint="default"/>
          <w:spacing w:val="-2"/>
        </w:rPr>
        <w:t>8</w:t>
      </w:r>
      <w:r>
        <w:rPr>
          <w:spacing w:val="-2"/>
        </w:rPr>
        <w:t>个省级、直辖市和自治区全覆盖。除此之外，公司在湖南、广东、山东、云南、山西、贵州、广西、重庆、</w:t>
      </w:r>
      <w:r>
        <w:rPr>
          <w:spacing w:val="-69"/>
        </w:rPr>
        <w:t> </w:t>
      </w:r>
      <w:r>
        <w:rPr>
          <w:spacing w:val="-69"/>
        </w:rPr>
      </w:r>
      <w:r>
        <w:rPr>
          <w:spacing w:val="-2"/>
        </w:rPr>
        <w:t>辽宁、湖北、福建等地也有项目参与。报告期内公司新增监狱管理局客户</w:t>
      </w:r>
      <w:r>
        <w:rPr>
          <w:rFonts w:ascii="Times New Roman" w:hAnsi="Times New Roman" w:cs="Times New Roman" w:eastAsia="Times New Roman" w:hint="default"/>
          <w:spacing w:val="-2"/>
        </w:rPr>
        <w:t>3</w:t>
      </w:r>
      <w:r>
        <w:rPr>
          <w:spacing w:val="-2"/>
        </w:rPr>
        <w:t>家，狱所客户</w:t>
      </w:r>
      <w:r>
        <w:rPr>
          <w:rFonts w:ascii="Times New Roman" w:hAnsi="Times New Roman" w:cs="Times New Roman" w:eastAsia="Times New Roman" w:hint="default"/>
          <w:spacing w:val="-2"/>
        </w:rPr>
        <w:t>52</w:t>
      </w:r>
      <w:r>
        <w:rPr>
          <w:spacing w:val="-2"/>
        </w:rPr>
        <w:t>家，省级公安厅</w:t>
      </w:r>
      <w:r>
        <w:rPr>
          <w:rFonts w:ascii="Times New Roman" w:hAnsi="Times New Roman" w:cs="Times New Roman" w:eastAsia="Times New Roman" w:hint="default"/>
          <w:spacing w:val="-2"/>
        </w:rPr>
        <w:t>1</w:t>
      </w:r>
      <w:r>
        <w:rPr>
          <w:spacing w:val="-2"/>
        </w:rPr>
        <w:t>家，省级检察院</w:t>
      </w:r>
      <w:r>
        <w:rPr>
          <w:spacing w:val="-64"/>
        </w:rPr>
        <w:t> </w:t>
      </w:r>
      <w:r>
        <w:rPr>
          <w:spacing w:val="-64"/>
        </w:rPr>
      </w:r>
      <w:r>
        <w:rPr>
          <w:rFonts w:ascii="Times New Roman" w:hAnsi="Times New Roman" w:cs="Times New Roman" w:eastAsia="Times New Roman" w:hint="default"/>
        </w:rPr>
        <w:t>1</w:t>
      </w:r>
      <w:r>
        <w:rPr/>
        <w:t>家。 </w:t>
      </w:r>
      <w:r>
        <w:rPr>
          <w:spacing w:val="-4"/>
          <w:w w:val="100"/>
        </w:rPr>
        <w:t>伴随着</w:t>
      </w:r>
      <w:r>
        <w:rPr>
          <w:rFonts w:ascii="Times New Roman" w:hAnsi="Times New Roman" w:cs="Times New Roman" w:eastAsia="Times New Roman" w:hint="default"/>
          <w:spacing w:val="-4"/>
          <w:w w:val="100"/>
        </w:rPr>
        <w:t>“</w:t>
      </w:r>
      <w:r>
        <w:rPr>
          <w:spacing w:val="-4"/>
          <w:w w:val="100"/>
        </w:rPr>
        <w:t>十三五</w:t>
      </w:r>
      <w:r>
        <w:rPr>
          <w:rFonts w:ascii="Times New Roman" w:hAnsi="Times New Roman" w:cs="Times New Roman" w:eastAsia="Times New Roman" w:hint="default"/>
          <w:spacing w:val="-4"/>
          <w:w w:val="100"/>
        </w:rPr>
        <w:t>”</w:t>
      </w:r>
      <w:r>
        <w:rPr>
          <w:spacing w:val="-4"/>
          <w:w w:val="100"/>
        </w:rPr>
        <w:t>监狱信息化加速拉升，公司于</w:t>
      </w:r>
      <w:r>
        <w:rPr>
          <w:rFonts w:ascii="Times New Roman" w:hAnsi="Times New Roman" w:cs="Times New Roman" w:eastAsia="Times New Roman" w:hint="default"/>
          <w:spacing w:val="-4"/>
          <w:w w:val="100"/>
        </w:rPr>
        <w:t>2017</w:t>
      </w:r>
      <w:r>
        <w:rPr>
          <w:spacing w:val="-4"/>
          <w:w w:val="100"/>
        </w:rPr>
        <w:t>年</w:t>
      </w:r>
      <w:r>
        <w:rPr>
          <w:rFonts w:ascii="Times New Roman" w:hAnsi="Times New Roman" w:cs="Times New Roman" w:eastAsia="Times New Roman" w:hint="default"/>
          <w:spacing w:val="-4"/>
          <w:w w:val="100"/>
        </w:rPr>
        <w:t>11</w:t>
      </w:r>
      <w:r>
        <w:rPr>
          <w:spacing w:val="-4"/>
          <w:w w:val="100"/>
        </w:rPr>
        <w:t>月中标</w:t>
      </w:r>
      <w:r>
        <w:rPr>
          <w:rFonts w:ascii="Times New Roman" w:hAnsi="Times New Roman" w:cs="Times New Roman" w:eastAsia="Times New Roman" w:hint="default"/>
          <w:spacing w:val="-4"/>
          <w:w w:val="100"/>
        </w:rPr>
        <w:t>“</w:t>
      </w:r>
      <w:r>
        <w:rPr>
          <w:spacing w:val="-4"/>
          <w:w w:val="100"/>
        </w:rPr>
        <w:t>新疆维吾尔自治区监狱十三五新一代信息化建设项目（一期）</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30"/>
          <w:w w:val="100"/>
        </w:rPr>
        <w:t> </w:t>
      </w:r>
      <w:r>
        <w:rPr/>
        <w:t>及</w:t>
      </w:r>
      <w:r>
        <w:rPr>
          <w:rFonts w:ascii="Times New Roman" w:hAnsi="Times New Roman" w:cs="Times New Roman" w:eastAsia="Times New Roman" w:hint="default"/>
        </w:rPr>
        <w:t>“</w:t>
      </w:r>
      <w:r>
        <w:rPr/>
        <w:t>新疆玉河监狱信息化建设项目</w:t>
      </w:r>
      <w:r>
        <w:rPr>
          <w:rFonts w:ascii="Times New Roman" w:hAnsi="Times New Roman" w:cs="Times New Roman" w:eastAsia="Times New Roman" w:hint="default"/>
        </w:rPr>
        <w:t>”</w:t>
      </w:r>
      <w:r>
        <w:rPr/>
        <w:t>的中标单位，总金额</w:t>
      </w:r>
      <w:r>
        <w:rPr>
          <w:rFonts w:ascii="Times New Roman" w:hAnsi="Times New Roman" w:cs="Times New Roman" w:eastAsia="Times New Roman" w:hint="default"/>
        </w:rPr>
        <w:t>8302</w:t>
      </w:r>
      <w:r>
        <w:rPr/>
        <w:t>万元。</w:t>
      </w:r>
    </w:p>
    <w:p>
      <w:pPr>
        <w:pStyle w:val="BodyText"/>
        <w:spacing w:line="300" w:lineRule="auto" w:before="7"/>
        <w:ind w:left="1424" w:right="1034" w:hanging="291"/>
        <w:jc w:val="left"/>
      </w:pPr>
      <w:r>
        <w:rPr>
          <w:rFonts w:ascii="Times New Roman" w:hAnsi="Times New Roman" w:cs="Times New Roman" w:eastAsia="Times New Roman" w:hint="default"/>
        </w:rPr>
        <w:t>2</w:t>
      </w:r>
      <w:r>
        <w:rPr/>
        <w:t>、市场营销管理 </w:t>
      </w:r>
      <w:r>
        <w:rPr>
          <w:spacing w:val="-2"/>
        </w:rPr>
        <w:t>公司目前在</w:t>
      </w:r>
      <w:r>
        <w:rPr>
          <w:rFonts w:ascii="Times New Roman" w:hAnsi="Times New Roman" w:cs="Times New Roman" w:eastAsia="Times New Roman" w:hint="default"/>
          <w:spacing w:val="-2"/>
        </w:rPr>
        <w:t>26</w:t>
      </w:r>
      <w:r>
        <w:rPr>
          <w:spacing w:val="-2"/>
        </w:rPr>
        <w:t>个省份设有直属分公司，下属</w:t>
      </w:r>
      <w:r>
        <w:rPr>
          <w:rFonts w:ascii="Times New Roman" w:hAnsi="Times New Roman" w:cs="Times New Roman" w:eastAsia="Times New Roman" w:hint="default"/>
          <w:spacing w:val="-2"/>
        </w:rPr>
        <w:t>2</w:t>
      </w:r>
      <w:r>
        <w:rPr>
          <w:spacing w:val="-2"/>
        </w:rPr>
        <w:t>个全资子公司、</w:t>
      </w:r>
      <w:r>
        <w:rPr>
          <w:rFonts w:ascii="Times New Roman" w:hAnsi="Times New Roman" w:cs="Times New Roman" w:eastAsia="Times New Roman" w:hint="default"/>
          <w:spacing w:val="-2"/>
        </w:rPr>
        <w:t>2</w:t>
      </w:r>
      <w:r>
        <w:rPr>
          <w:spacing w:val="-2"/>
        </w:rPr>
        <w:t>个控股子公司，拟成立</w:t>
      </w:r>
      <w:r>
        <w:rPr>
          <w:rFonts w:ascii="Times New Roman" w:hAnsi="Times New Roman" w:cs="Times New Roman" w:eastAsia="Times New Roman" w:hint="default"/>
          <w:spacing w:val="-2"/>
        </w:rPr>
        <w:t>1</w:t>
      </w:r>
      <w:r>
        <w:rPr>
          <w:spacing w:val="-2"/>
        </w:rPr>
        <w:t>个控股子公司，另参股子公司</w:t>
      </w:r>
      <w:r>
        <w:rPr>
          <w:rFonts w:ascii="Times New Roman" w:hAnsi="Times New Roman" w:cs="Times New Roman" w:eastAsia="Times New Roman" w:hint="default"/>
          <w:spacing w:val="-2"/>
        </w:rPr>
        <w:t>3</w:t>
      </w:r>
      <w:r>
        <w:rPr>
          <w:spacing w:val="-2"/>
        </w:rPr>
        <w:t>个，</w:t>
      </w:r>
    </w:p>
    <w:p>
      <w:pPr>
        <w:pStyle w:val="BodyText"/>
        <w:spacing w:line="300" w:lineRule="auto" w:before="13"/>
        <w:ind w:right="1130"/>
        <w:jc w:val="both"/>
      </w:pPr>
      <w:r>
        <w:rPr/>
        <w:t>已经建设涵盖</w:t>
      </w:r>
      <w:r>
        <w:rPr>
          <w:rFonts w:ascii="Times New Roman" w:hAnsi="Times New Roman" w:cs="Times New Roman" w:eastAsia="Times New Roman" w:hint="default"/>
        </w:rPr>
        <w:t>3</w:t>
      </w:r>
      <w:r>
        <w:rPr/>
        <w:t>大行业，覆盖全国市场营销网络和服务网络，公司组建了一直成熟稳定的营销团队。并积极完善激励和培训 </w:t>
      </w:r>
      <w:r>
        <w:rPr>
          <w:spacing w:val="-2"/>
        </w:rPr>
        <w:t>机制，逐步建成一支可以适应区域文化、了解行业特点、具备较强战斗力的营销队伍，从而推动产品销售与</w:t>
      </w:r>
      <w:r>
        <w:rPr>
          <w:rFonts w:ascii="Times New Roman" w:hAnsi="Times New Roman" w:cs="Times New Roman" w:eastAsia="Times New Roman" w:hint="default"/>
          <w:spacing w:val="-2"/>
        </w:rPr>
        <w:t>SaaS</w:t>
      </w:r>
      <w:r>
        <w:rPr>
          <w:spacing w:val="-2"/>
        </w:rPr>
        <w:t>服务市场开</w:t>
      </w:r>
      <w:r>
        <w:rPr>
          <w:spacing w:val="-63"/>
        </w:rPr>
        <w:t> </w:t>
      </w:r>
      <w:r>
        <w:rPr/>
        <w:t>拓力度。</w:t>
      </w:r>
    </w:p>
    <w:p>
      <w:pPr>
        <w:pStyle w:val="BodyText"/>
        <w:spacing w:line="312" w:lineRule="auto" w:before="31"/>
        <w:ind w:right="985" w:firstLine="290"/>
        <w:jc w:val="left"/>
      </w:pPr>
      <w:r>
        <w:rPr/>
        <w:t>为了抓住行业快速发展的机遇，占领重要的区域市场，公司加强营销人才队伍建设，完善激励和培训机制，逐步建成一 </w:t>
      </w:r>
      <w:r>
        <w:rPr>
          <w:spacing w:val="-2"/>
        </w:rPr>
        <w:t>支可以适应地区文化，并且具备较强战斗力的营销队伍，信息发展鹰学院是承担这一重要任务的专业内部机构。学院自成立</w:t>
      </w:r>
      <w:r>
        <w:rPr>
          <w:spacing w:val="-66"/>
        </w:rPr>
        <w:t> </w:t>
      </w:r>
      <w:r>
        <w:rPr>
          <w:spacing w:val="-66"/>
        </w:rPr>
      </w:r>
      <w:r>
        <w:rPr>
          <w:spacing w:val="-2"/>
        </w:rPr>
        <w:t>以来，每年都以企业的战略业务发展为导向，凭借行业资源知识的储备、严谨的管理制度、多元化的课程体系、专业的内外</w:t>
      </w:r>
      <w:r>
        <w:rPr>
          <w:spacing w:val="-66"/>
        </w:rPr>
        <w:t> </w:t>
      </w:r>
      <w:r>
        <w:rPr>
          <w:spacing w:val="-66"/>
        </w:rPr>
      </w:r>
      <w:r>
        <w:rPr/>
        <w:t>部精英讲师团队、注重成果导向的教学模式，为企业持续不断的培养符合企业核心价值观的复合型优秀人才，并以</w:t>
      </w:r>
      <w:r>
        <w:rPr>
          <w:rFonts w:ascii="Times New Roman" w:hAnsi="Times New Roman" w:cs="Times New Roman" w:eastAsia="Times New Roman" w:hint="default"/>
        </w:rPr>
        <w:t>“</w:t>
      </w:r>
      <w:r>
        <w:rPr/>
        <w:t>鹰</w:t>
      </w:r>
      <w:r>
        <w:rPr>
          <w:rFonts w:ascii="Times New Roman" w:hAnsi="Times New Roman" w:cs="Times New Roman" w:eastAsia="Times New Roman" w:hint="default"/>
        </w:rPr>
        <w:t>”</w:t>
      </w:r>
      <w:r>
        <w:rPr/>
        <w:t>的成 </w:t>
      </w:r>
      <w:r>
        <w:rPr>
          <w:spacing w:val="-2"/>
        </w:rPr>
        <w:t>长为主线，将人才划分为</w:t>
      </w:r>
      <w:r>
        <w:rPr>
          <w:rFonts w:ascii="Times New Roman" w:hAnsi="Times New Roman" w:cs="Times New Roman" w:eastAsia="Times New Roman" w:hint="default"/>
          <w:spacing w:val="-2"/>
        </w:rPr>
        <w:t>“</w:t>
      </w:r>
      <w:r>
        <w:rPr>
          <w:spacing w:val="-2"/>
        </w:rPr>
        <w:t>雄鹰、精鹰、飞鹰、雏鹰</w:t>
      </w:r>
      <w:r>
        <w:rPr>
          <w:rFonts w:ascii="Times New Roman" w:hAnsi="Times New Roman" w:cs="Times New Roman" w:eastAsia="Times New Roman" w:hint="default"/>
          <w:spacing w:val="-2"/>
        </w:rPr>
        <w:t>”</w:t>
      </w:r>
      <w:r>
        <w:rPr>
          <w:spacing w:val="-2"/>
        </w:rPr>
        <w:t>，通过</w:t>
      </w:r>
      <w:r>
        <w:rPr>
          <w:rFonts w:ascii="Times New Roman" w:hAnsi="Times New Roman" w:cs="Times New Roman" w:eastAsia="Times New Roman" w:hint="default"/>
          <w:spacing w:val="-2"/>
        </w:rPr>
        <w:t>“</w:t>
      </w:r>
      <w:r>
        <w:rPr>
          <w:spacing w:val="-2"/>
        </w:rPr>
        <w:t>历练</w:t>
      </w:r>
      <w:r>
        <w:rPr>
          <w:rFonts w:ascii="Times New Roman" w:hAnsi="Times New Roman" w:cs="Times New Roman" w:eastAsia="Times New Roman" w:hint="default"/>
          <w:spacing w:val="-2"/>
        </w:rPr>
        <w:t>”</w:t>
      </w:r>
      <w:r>
        <w:rPr>
          <w:spacing w:val="-2"/>
        </w:rPr>
        <w:t>成长，最终成为企业未来发展需要的</w:t>
      </w:r>
      <w:r>
        <w:rPr>
          <w:rFonts w:ascii="Times New Roman" w:hAnsi="Times New Roman" w:cs="Times New Roman" w:eastAsia="Times New Roman" w:hint="default"/>
          <w:spacing w:val="-2"/>
        </w:rPr>
        <w:t>“</w:t>
      </w:r>
      <w:r>
        <w:rPr>
          <w:spacing w:val="-2"/>
        </w:rPr>
        <w:t>鹰人才</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鹰团队</w:t>
      </w:r>
      <w:r>
        <w:rPr>
          <w:rFonts w:ascii="Times New Roman" w:hAnsi="Times New Roman" w:cs="Times New Roman" w:eastAsia="Times New Roman" w:hint="default"/>
          <w:spacing w:val="-2"/>
        </w:rPr>
        <w:t>”</w:t>
      </w:r>
      <w:r>
        <w:rPr>
          <w:spacing w:val="-2"/>
        </w:rPr>
        <w:t>。</w:t>
      </w:r>
      <w:r>
        <w:rPr>
          <w:spacing w:val="-69"/>
        </w:rPr>
        <w:t> </w:t>
      </w:r>
      <w:r>
        <w:rPr>
          <w:rFonts w:ascii="Times New Roman" w:hAnsi="Times New Roman" w:cs="Times New Roman" w:eastAsia="Times New Roman" w:hint="default"/>
        </w:rPr>
        <w:t>3</w:t>
      </w:r>
      <w:r>
        <w:rPr/>
        <w:t>、产品研发管理</w:t>
      </w:r>
    </w:p>
    <w:p>
      <w:pPr>
        <w:pStyle w:val="BodyText"/>
        <w:spacing w:line="316" w:lineRule="auto" w:before="3"/>
        <w:ind w:left="1134" w:right="1131" w:firstLine="290"/>
        <w:jc w:val="both"/>
      </w:pPr>
      <w:r>
        <w:rPr>
          <w:spacing w:val="-1"/>
        </w:rPr>
        <w:t>公司产品研发涉及的各部门职责明确、相互协作，凭借公司丰富的行业经验，深入了解客户的需求、准确把握市场的发</w:t>
      </w:r>
      <w:r>
        <w:rPr/>
        <w:t> </w:t>
      </w:r>
      <w:r>
        <w:rPr>
          <w:spacing w:val="-2"/>
        </w:rPr>
        <w:t>展方向，在产品管理委员会的统一管理和产品经理的主持下，协同开展工作，研发出符合国家标准和行业规范、贴近客户需</w:t>
      </w:r>
      <w:r>
        <w:rPr>
          <w:spacing w:val="-66"/>
        </w:rPr>
        <w:t> </w:t>
      </w:r>
      <w:r>
        <w:rPr>
          <w:spacing w:val="-66"/>
        </w:rPr>
      </w:r>
      <w:r>
        <w:rPr>
          <w:spacing w:val="-2"/>
        </w:rPr>
        <w:t>求的软件产品，并且不断提炼、改进、完善产品，提高产品的复用率，降低项目的开发成本，实现项目的快速开发，极大地</w:t>
      </w:r>
      <w:r>
        <w:rPr>
          <w:spacing w:val="-72"/>
        </w:rPr>
        <w:t> </w:t>
      </w:r>
      <w:r>
        <w:rPr>
          <w:spacing w:val="-72"/>
        </w:rPr>
      </w:r>
      <w:r>
        <w:rPr/>
        <w:t>提高市场竞争力。</w:t>
      </w:r>
    </w:p>
    <w:p>
      <w:pPr>
        <w:pStyle w:val="BodyText"/>
        <w:spacing w:line="316" w:lineRule="auto" w:before="19"/>
        <w:ind w:left="1134" w:right="1122" w:firstLine="290"/>
        <w:jc w:val="both"/>
      </w:pPr>
      <w:r>
        <w:rPr/>
        <w:t>公司始终坚持自主创新，凭借雄厚的技术储备和持续的研发创新能力，获得了国内领先的技术和研究成果。报告期内， 新增申请实用新型专利</w:t>
      </w:r>
      <w:r>
        <w:rPr>
          <w:rFonts w:ascii="Times New Roman" w:hAnsi="Times New Roman" w:cs="Times New Roman" w:eastAsia="Times New Roman" w:hint="default"/>
        </w:rPr>
        <w:t>2</w:t>
      </w:r>
      <w:r>
        <w:rPr/>
        <w:t>项，新增著作权、产品登记证书</w:t>
      </w:r>
      <w:r>
        <w:rPr>
          <w:rFonts w:ascii="Times New Roman" w:hAnsi="Times New Roman" w:cs="Times New Roman" w:eastAsia="Times New Roman" w:hint="default"/>
        </w:rPr>
        <w:t>100</w:t>
      </w:r>
      <w:r>
        <w:rPr/>
        <w:t>余件。</w:t>
      </w:r>
    </w:p>
    <w:p>
      <w:pPr>
        <w:pStyle w:val="BodyText"/>
        <w:spacing w:line="300" w:lineRule="auto" w:before="0"/>
        <w:ind w:left="1424" w:right="985" w:hanging="291"/>
        <w:jc w:val="left"/>
      </w:pPr>
      <w:r>
        <w:rPr>
          <w:rFonts w:ascii="Times New Roman" w:hAnsi="Times New Roman" w:cs="Times New Roman" w:eastAsia="Times New Roman" w:hint="default"/>
        </w:rPr>
        <w:t>4</w:t>
      </w:r>
      <w:r>
        <w:rPr/>
        <w:t>、项目全面管理 </w:t>
      </w:r>
      <w:r>
        <w:rPr>
          <w:spacing w:val="-1"/>
        </w:rPr>
        <w:t>报告期内，公司继续实施项目全面管理，持续优化管理流程与制度，继续保证了项目管理全覆盖，无死角。项目梯队建</w:t>
      </w:r>
    </w:p>
    <w:p>
      <w:pPr>
        <w:pStyle w:val="BodyText"/>
        <w:spacing w:line="309" w:lineRule="auto" w:before="31"/>
        <w:ind w:right="1132"/>
        <w:jc w:val="both"/>
      </w:pPr>
      <w:r>
        <w:rPr>
          <w:spacing w:val="-2"/>
        </w:rPr>
        <w:t>设持续完善。伴随信息化建设的深入，项目管理更加透明化，借助大数据平台，对项目发展趋势进行预测与管控，全面实现</w:t>
      </w:r>
      <w:r>
        <w:rPr>
          <w:spacing w:val="-66"/>
        </w:rPr>
        <w:t> </w:t>
      </w:r>
      <w:r>
        <w:rPr>
          <w:spacing w:val="-66"/>
        </w:rPr>
      </w:r>
      <w:r>
        <w:rPr>
          <w:spacing w:val="-2"/>
        </w:rPr>
        <w:t>了项目的基线化、主动化管理，逐渐推动建立基于过程的项目精细化管理体系；项目辅导工作持续加强，借助移动办公，项</w:t>
      </w:r>
      <w:r>
        <w:rPr>
          <w:spacing w:val="-66"/>
        </w:rPr>
        <w:t> </w:t>
      </w:r>
      <w:r>
        <w:rPr>
          <w:spacing w:val="-66"/>
        </w:rPr>
      </w:r>
      <w:r>
        <w:rPr/>
        <w:t>目可随时随地进行数据管理，保证了项目管理的及时性，精确性。公司级</w:t>
      </w:r>
      <w:r>
        <w:rPr>
          <w:rFonts w:ascii="Times New Roman" w:hAnsi="Times New Roman" w:cs="Times New Roman" w:eastAsia="Times New Roman" w:hint="default"/>
        </w:rPr>
        <w:t>PMO</w:t>
      </w:r>
      <w:r>
        <w:rPr/>
        <w:t>按照战略型</w:t>
      </w:r>
      <w:r>
        <w:rPr>
          <w:rFonts w:ascii="Times New Roman" w:hAnsi="Times New Roman" w:cs="Times New Roman" w:eastAsia="Times New Roman" w:hint="default"/>
        </w:rPr>
        <w:t>PMO</w:t>
      </w:r>
      <w:r>
        <w:rPr/>
        <w:t>进行打造，各事业群打造管 控型</w:t>
      </w:r>
      <w:r>
        <w:rPr>
          <w:rFonts w:ascii="Times New Roman" w:hAnsi="Times New Roman" w:cs="Times New Roman" w:eastAsia="Times New Roman" w:hint="default"/>
        </w:rPr>
        <w:t>PMO</w:t>
      </w:r>
      <w:r>
        <w:rPr/>
        <w:t>，两级</w:t>
      </w:r>
      <w:r>
        <w:rPr>
          <w:rFonts w:ascii="Times New Roman" w:hAnsi="Times New Roman" w:cs="Times New Roman" w:eastAsia="Times New Roman" w:hint="default"/>
        </w:rPr>
        <w:t>PMO</w:t>
      </w:r>
      <w:r>
        <w:rPr/>
        <w:t>体系的建设基本完成，公司</w:t>
      </w:r>
      <w:r>
        <w:rPr>
          <w:rFonts w:ascii="Times New Roman" w:hAnsi="Times New Roman" w:cs="Times New Roman" w:eastAsia="Times New Roman" w:hint="default"/>
        </w:rPr>
        <w:t>PMO</w:t>
      </w:r>
      <w:r>
        <w:rPr/>
        <w:t>完成对所有项目的整合管理，及时有效为公司战略提供支持，事业群 </w:t>
      </w:r>
      <w:r>
        <w:rPr>
          <w:rFonts w:ascii="Times New Roman" w:hAnsi="Times New Roman" w:cs="Times New Roman" w:eastAsia="Times New Roman" w:hint="default"/>
        </w:rPr>
        <w:t>PMO</w:t>
      </w:r>
      <w:r>
        <w:rPr/>
        <w:t>完成本群项目集管理，实时对本群项目进行管控。</w:t>
      </w:r>
    </w:p>
    <w:p>
      <w:pPr>
        <w:pStyle w:val="BodyText"/>
        <w:spacing w:line="300" w:lineRule="auto" w:before="5"/>
        <w:ind w:left="1424" w:right="985" w:hanging="291"/>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S1</w:t>
      </w:r>
      <w:r>
        <w:rPr/>
        <w:t>服务平台 </w:t>
      </w:r>
      <w:r>
        <w:rPr>
          <w:spacing w:val="-1"/>
        </w:rPr>
        <w:t>报告期内，公司以保证高服务质量、客户满意度为目标，将人员、资源、技术、过程四个要素紧密结合、协同作用，建</w:t>
      </w:r>
    </w:p>
    <w:p>
      <w:pPr>
        <w:pStyle w:val="BodyText"/>
        <w:spacing w:line="300" w:lineRule="auto" w:before="31"/>
        <w:ind w:right="1053"/>
        <w:jc w:val="left"/>
      </w:pPr>
      <w:r>
        <w:rPr/>
        <w:t>设、完善以</w:t>
      </w:r>
      <w:r>
        <w:rPr>
          <w:rFonts w:ascii="Times New Roman" w:hAnsi="Times New Roman" w:cs="Times New Roman" w:eastAsia="Times New Roman" w:hint="default"/>
        </w:rPr>
        <w:t>ISO20000/ITSS</w:t>
      </w:r>
      <w:r>
        <w:rPr>
          <w:rFonts w:ascii="Times New Roman" w:hAnsi="Times New Roman" w:cs="Times New Roman" w:eastAsia="Times New Roman" w:hint="default"/>
          <w:spacing w:val="-8"/>
        </w:rPr>
        <w:t> </w:t>
      </w:r>
      <w:r>
        <w:rPr/>
        <w:t>为依据的信息发展</w:t>
      </w:r>
      <w:r>
        <w:rPr>
          <w:rFonts w:ascii="Times New Roman" w:hAnsi="Times New Roman" w:cs="Times New Roman" w:eastAsia="Times New Roman" w:hint="default"/>
        </w:rPr>
        <w:t>S1</w:t>
      </w:r>
      <w:r>
        <w:rPr/>
        <w:t>服务管理体系。在人员方面，已形成知识、技能、经验多维多级的服务职级 </w:t>
      </w:r>
      <w:r>
        <w:rPr>
          <w:spacing w:val="-2"/>
        </w:rPr>
        <w:t>体系，构建了层次化技术服务团队选拔与适配机制，做到</w:t>
      </w:r>
      <w:r>
        <w:rPr>
          <w:rFonts w:ascii="Times New Roman" w:hAnsi="Times New Roman" w:cs="Times New Roman" w:eastAsia="Times New Roman" w:hint="default"/>
          <w:spacing w:val="-2"/>
        </w:rPr>
        <w:t>“</w:t>
      </w:r>
      <w:r>
        <w:rPr>
          <w:spacing w:val="-2"/>
        </w:rPr>
        <w:t>正确用人</w:t>
      </w:r>
      <w:r>
        <w:rPr>
          <w:rFonts w:ascii="Times New Roman" w:hAnsi="Times New Roman" w:cs="Times New Roman" w:eastAsia="Times New Roman" w:hint="default"/>
          <w:spacing w:val="-2"/>
        </w:rPr>
        <w:t>”</w:t>
      </w:r>
      <w:r>
        <w:rPr>
          <w:spacing w:val="-2"/>
        </w:rPr>
        <w:t>；在资源方面，通过总部、分支两级备品备件体系，向</w:t>
      </w:r>
      <w:r>
        <w:rPr>
          <w:spacing w:val="-45"/>
        </w:rPr>
        <w:t> </w:t>
      </w:r>
      <w:r>
        <w:rPr>
          <w:spacing w:val="-45"/>
        </w:rPr>
      </w:r>
      <w:r>
        <w:rPr/>
        <w:t>全国客户提供保障资源，实现</w:t>
      </w:r>
      <w:r>
        <w:rPr>
          <w:rFonts w:ascii="Times New Roman" w:hAnsi="Times New Roman" w:cs="Times New Roman" w:eastAsia="Times New Roman" w:hint="default"/>
        </w:rPr>
        <w:t>“</w:t>
      </w:r>
      <w:r>
        <w:rPr/>
        <w:t>保障做事</w:t>
      </w:r>
      <w:r>
        <w:rPr>
          <w:rFonts w:ascii="Times New Roman" w:hAnsi="Times New Roman" w:cs="Times New Roman" w:eastAsia="Times New Roman" w:hint="default"/>
        </w:rPr>
        <w:t>”</w:t>
      </w:r>
      <w:r>
        <w:rPr/>
        <w:t>；在技术方面，通过自主研发的智能化、可视化运维服务管理平台结合专业工具， </w:t>
      </w:r>
      <w:r>
        <w:rPr>
          <w:spacing w:val="-2"/>
        </w:rPr>
        <w:t>为全国客户提供技术支撑，做到</w:t>
      </w:r>
      <w:r>
        <w:rPr>
          <w:rFonts w:ascii="Times New Roman" w:hAnsi="Times New Roman" w:cs="Times New Roman" w:eastAsia="Times New Roman" w:hint="default"/>
          <w:spacing w:val="-2"/>
        </w:rPr>
        <w:t>“</w:t>
      </w:r>
      <w:r>
        <w:rPr>
          <w:spacing w:val="-2"/>
        </w:rPr>
        <w:t>高效做事</w:t>
      </w:r>
      <w:r>
        <w:rPr>
          <w:rFonts w:ascii="Times New Roman" w:hAnsi="Times New Roman" w:cs="Times New Roman" w:eastAsia="Times New Roman" w:hint="default"/>
          <w:spacing w:val="-2"/>
        </w:rPr>
        <w:t>”</w:t>
      </w:r>
      <w:r>
        <w:rPr>
          <w:spacing w:val="-2"/>
        </w:rPr>
        <w:t>；过程方面，建立健全了标准化、规范化、流程化的服务制度与考核体系，以保</w:t>
      </w:r>
      <w:r>
        <w:rPr>
          <w:spacing w:val="-45"/>
        </w:rPr>
        <w:t> </w:t>
      </w:r>
      <w:r>
        <w:rPr>
          <w:spacing w:val="-45"/>
        </w:rPr>
      </w:r>
      <w:r>
        <w:rPr/>
        <w:t>证</w:t>
      </w:r>
      <w:r>
        <w:rPr>
          <w:rFonts w:ascii="Times New Roman" w:hAnsi="Times New Roman" w:cs="Times New Roman" w:eastAsia="Times New Roman" w:hint="default"/>
        </w:rPr>
        <w:t>“</w:t>
      </w:r>
      <w:r>
        <w:rPr/>
        <w:t>正确做事</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年服务项目运行情况良好，服务质量、验收完成率、及时率、客户满意度较</w:t>
      </w:r>
      <w:r>
        <w:rPr>
          <w:rFonts w:ascii="Times New Roman" w:hAnsi="Times New Roman" w:cs="Times New Roman" w:eastAsia="Times New Roman" w:hint="default"/>
        </w:rPr>
        <w:t>2016</w:t>
      </w:r>
      <w:r>
        <w:rPr/>
        <w:t>年均有不同程度提升。 </w:t>
      </w:r>
      <w:r>
        <w:rPr>
          <w:rFonts w:ascii="Times New Roman" w:hAnsi="Times New Roman" w:cs="Times New Roman" w:eastAsia="Times New Roman" w:hint="default"/>
        </w:rPr>
        <w:t>6</w:t>
      </w:r>
      <w:r>
        <w:rPr/>
        <w:t>、推进质量管理</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033" w:firstLine="290"/>
        <w:jc w:val="left"/>
      </w:pPr>
      <w:r>
        <w:rPr/>
        <w:t>公司质量管理包括项目质量和管理质量两个方面。报告期内，公司继续推进质量管理中心的职能转变，加强了对业务管 控中心管理质量的监管，同时进一步加强项目、产品质量的检查。将项目质量管理工作前置，提升了质量管理检查覆盖率。 </w:t>
      </w:r>
      <w:r>
        <w:rPr>
          <w:spacing w:val="-2"/>
        </w:rPr>
        <w:t>按计划适时对产品实施、常驻服务项目、软件项目、集成工程项目开展客户满意度调查。将公司质量体系建设落到实处，各</w:t>
      </w:r>
      <w:r>
        <w:rPr>
          <w:spacing w:val="-66"/>
        </w:rPr>
        <w:t> </w:t>
      </w:r>
      <w:r>
        <w:rPr>
          <w:spacing w:val="-66"/>
        </w:rPr>
      </w:r>
      <w:r>
        <w:rPr/>
        <w:t>类</w:t>
      </w:r>
      <w:r>
        <w:rPr>
          <w:rFonts w:ascii="Times New Roman" w:hAnsi="Times New Roman" w:cs="Times New Roman" w:eastAsia="Times New Roman" w:hint="default"/>
        </w:rPr>
        <w:t>ISO</w:t>
      </w:r>
      <w:r>
        <w:rPr/>
        <w:t>内外审工作通过率</w:t>
      </w:r>
      <w:r>
        <w:rPr>
          <w:rFonts w:ascii="Times New Roman" w:hAnsi="Times New Roman" w:cs="Times New Roman" w:eastAsia="Times New Roman" w:hint="default"/>
        </w:rPr>
        <w:t>100</w:t>
      </w:r>
      <w:r>
        <w:rPr/>
        <w:t>％，从而使客户满意度有效提升。</w:t>
      </w:r>
    </w:p>
    <w:p>
      <w:pPr>
        <w:spacing w:line="240" w:lineRule="auto" w:before="4"/>
        <w:rPr>
          <w:rFonts w:ascii="宋体" w:hAnsi="宋体" w:cs="宋体" w:eastAsia="宋体" w:hint="default"/>
          <w:sz w:val="19"/>
          <w:szCs w:val="19"/>
        </w:rPr>
      </w:pPr>
    </w:p>
    <w:p>
      <w:pPr>
        <w:pStyle w:val="Heading4"/>
        <w:spacing w:line="240" w:lineRule="auto"/>
        <w:ind w:right="985"/>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985"/>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5"/>
        <w:jc w:val="left"/>
      </w:pPr>
      <w:r>
        <w:rPr/>
        <w:t>公司是否需遵守《深圳证券交易所创业板行业信息披露指引第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985"/>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564,293,578.68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521,105,140.41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食品流通追溯系统 </w:t>
            </w:r>
            <w:r>
              <w:rPr>
                <w:rFonts w:ascii="宋体" w:hAnsi="宋体" w:cs="宋体" w:eastAsia="宋体" w:hint="default"/>
                <w:spacing w:val="-9"/>
                <w:sz w:val="18"/>
                <w:szCs w:val="18"/>
              </w:rPr>
              <w:t>相关的机关、企事业</w:t>
            </w:r>
            <w:r>
              <w:rPr>
                <w:rFonts w:ascii="宋体" w:hAnsi="宋体" w:cs="宋体" w:eastAsia="宋体" w:hint="default"/>
                <w:sz w:val="18"/>
                <w:szCs w:val="18"/>
              </w:rPr>
              <w:t> 单位</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144,570,760.46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168,242,259.71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档案局（馆）</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178,237,955.91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108,188,313.12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20.76%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64.75%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政法（司法）等其他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政府部门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129,593,553.14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133,618,444.78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其他企事业单位</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2"/>
                <w:sz w:val="18"/>
              </w:rPr>
              <w:t>111,891,309.17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2"/>
                <w:sz w:val="18"/>
              </w:rPr>
              <w:t>111,056,122.80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21.31%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116,106,382.68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178,558,043.50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34.27%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312,057,292.32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197,291,137.21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应用软件开发与销 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136,129,903.68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145,255,959.70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314,458,923.68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286,539,139.03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105,740,568.17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117,133,430.77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81,995,041.73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65,505,540.72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62,099,045.10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51,927,029.89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食品流通追溯系 统相关的机关、 企事业单位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144,570,760.46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88,465,622.72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档案局（馆）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178,237,955.91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87,275,699.83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政法（司法）等 其他政府部门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129,593,553.14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85,275,426.83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其他企事业单位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111,891,309.17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76,145,821.58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116,106,382.68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99,696,341.94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312,057,292.32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167,207,120.94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应用软件开发与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136,129,903.68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70,259,108.08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314,458,923.68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166,489,250.61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105,740,568.17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79,864,039.77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81,995,041.73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40,269,799.49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62,099,045.10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50,539,481.09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-22.33%</w:t>
            </w:r>
          </w:p>
        </w:tc>
      </w:tr>
    </w:tbl>
    <w:p>
      <w:pPr>
        <w:pStyle w:val="BodyText"/>
        <w:spacing w:line="240" w:lineRule="auto" w:before="51"/>
        <w:ind w:left="1134" w:right="98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92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Heading6"/>
        <w:spacing w:line="261" w:lineRule="auto" w:before="17"/>
        <w:ind w:left="1133" w:right="1129" w:firstLine="336"/>
        <w:jc w:val="both"/>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日在中国证监会指定创业板信息披露媒体巨潮资讯网披露了《上海中信信息发展 </w:t>
      </w:r>
      <w:r>
        <w:rPr>
          <w:spacing w:val="-2"/>
        </w:rPr>
        <w:t>股份有限公司关于收到中标通知书的公告》（公告编号</w:t>
      </w:r>
      <w:r>
        <w:rPr>
          <w:rFonts w:ascii="Times New Roman" w:hAnsi="Times New Roman" w:cs="Times New Roman" w:eastAsia="Times New Roman" w:hint="default"/>
          <w:spacing w:val="-2"/>
        </w:rPr>
        <w:t>2016-062</w:t>
      </w:r>
      <w:r>
        <w:rPr>
          <w:spacing w:val="-2"/>
        </w:rPr>
        <w:t>号），确定公司为</w:t>
      </w:r>
      <w:r>
        <w:rPr>
          <w:rFonts w:ascii="Times New Roman" w:hAnsi="Times New Roman" w:cs="Times New Roman" w:eastAsia="Times New Roman" w:hint="default"/>
          <w:spacing w:val="-2"/>
        </w:rPr>
        <w:t>“</w:t>
      </w:r>
      <w:r>
        <w:rPr>
          <w:spacing w:val="-2"/>
        </w:rPr>
        <w:t>许昌政务云建设项目软</w:t>
      </w:r>
      <w:r>
        <w:rPr>
          <w:spacing w:val="-85"/>
        </w:rPr>
        <w:t> </w:t>
      </w:r>
      <w:r>
        <w:rPr>
          <w:spacing w:val="-85"/>
        </w:rPr>
      </w:r>
      <w:r>
        <w:rPr>
          <w:spacing w:val="-1"/>
        </w:rPr>
        <w:t>件和运维服务项目（</w:t>
      </w:r>
      <w:r>
        <w:rPr>
          <w:rFonts w:ascii="Times New Roman" w:hAnsi="Times New Roman" w:cs="Times New Roman" w:eastAsia="Times New Roman" w:hint="default"/>
          <w:spacing w:val="-1"/>
        </w:rPr>
        <w:t>XCGD-JT-201608</w:t>
      </w:r>
      <w:r>
        <w:rPr>
          <w:spacing w:val="-1"/>
        </w:rPr>
        <w:t>号）</w:t>
      </w:r>
      <w:r>
        <w:rPr>
          <w:rFonts w:ascii="Times New Roman" w:hAnsi="Times New Roman" w:cs="Times New Roman" w:eastAsia="Times New Roman" w:hint="default"/>
          <w:spacing w:val="-1"/>
        </w:rPr>
        <w:t>”</w:t>
      </w:r>
      <w:r>
        <w:rPr>
          <w:spacing w:val="-1"/>
        </w:rPr>
        <w:t>的中标单位。</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日，公司与联通系统集成有限公司</w:t>
      </w:r>
      <w:r>
        <w:rPr>
          <w:spacing w:val="-68"/>
        </w:rPr>
        <w:t> </w:t>
      </w:r>
      <w:r>
        <w:rPr>
          <w:spacing w:val="-68"/>
        </w:rPr>
      </w:r>
      <w:r>
        <w:rPr>
          <w:spacing w:val="-1"/>
        </w:rPr>
        <w:t>河南省分公司签订《许昌智慧城市政务云建设项目软件和运维服务合同》。截至本报告期末，该项目正在</w:t>
      </w:r>
      <w:r>
        <w:rPr>
          <w:spacing w:val="-86"/>
        </w:rPr>
        <w:t> </w:t>
      </w:r>
      <w:r>
        <w:rPr>
          <w:spacing w:val="-86"/>
        </w:rPr>
      </w:r>
      <w:r>
        <w:rPr/>
        <w:t>执行过程中。</w:t>
      </w:r>
    </w:p>
    <w:p>
      <w:pPr>
        <w:spacing w:line="240" w:lineRule="auto" w:before="3"/>
        <w:rPr>
          <w:rFonts w:ascii="宋体" w:hAnsi="宋体" w:cs="宋体" w:eastAsia="宋体" w:hint="default"/>
          <w:sz w:val="25"/>
          <w:szCs w:val="25"/>
        </w:rPr>
      </w:pPr>
    </w:p>
    <w:p>
      <w:pPr>
        <w:pStyle w:val="Heading6"/>
        <w:spacing w:line="256" w:lineRule="auto"/>
        <w:ind w:left="1133" w:right="1130" w:firstLine="336"/>
        <w:jc w:val="left"/>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日在中国证监会指定创业板信息披露媒体巨潮资讯网披露了《上海中信信息发展股</w:t>
      </w:r>
      <w:r>
        <w:rPr/>
        <w:t> </w:t>
      </w:r>
      <w:r>
        <w:rPr>
          <w:spacing w:val="-2"/>
        </w:rPr>
        <w:t>份有限公司关于关于项目中标的提示性公告》（公告编号</w:t>
      </w:r>
      <w:r>
        <w:rPr>
          <w:rFonts w:ascii="Times New Roman" w:hAnsi="Times New Roman" w:cs="Times New Roman" w:eastAsia="Times New Roman" w:hint="default"/>
          <w:spacing w:val="-2"/>
        </w:rPr>
        <w:t>2017-117</w:t>
      </w:r>
      <w:r>
        <w:rPr>
          <w:spacing w:val="-2"/>
        </w:rPr>
        <w:t>号），确定公司为</w:t>
      </w:r>
      <w:r>
        <w:rPr>
          <w:rFonts w:ascii="Times New Roman" w:hAnsi="Times New Roman" w:cs="Times New Roman" w:eastAsia="Times New Roman" w:hint="default"/>
          <w:spacing w:val="-2"/>
        </w:rPr>
        <w:t>“</w:t>
      </w:r>
      <w:r>
        <w:rPr>
          <w:spacing w:val="-2"/>
        </w:rPr>
        <w:t>新疆维吾尔自治区监</w:t>
      </w:r>
      <w:r>
        <w:rPr>
          <w:spacing w:val="-86"/>
        </w:rPr>
        <w:t> </w:t>
      </w:r>
      <w:r>
        <w:rPr/>
        <w:t>狱十三五新一代信息化建设项目（一期）</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新疆玉河监狱信息化建设项目</w:t>
      </w:r>
      <w:r>
        <w:rPr>
          <w:rFonts w:ascii="Times New Roman" w:hAnsi="Times New Roman" w:cs="Times New Roman" w:eastAsia="Times New Roman" w:hint="default"/>
        </w:rPr>
        <w:t>”</w:t>
      </w:r>
      <w:r>
        <w:rPr/>
        <w:t>的中标单位，项目金额</w:t>
      </w:r>
      <w:r>
        <w:rPr>
          <w:rFonts w:ascii="Times New Roman" w:hAnsi="Times New Roman" w:cs="Times New Roman" w:eastAsia="Times New Roman" w:hint="default"/>
        </w:rPr>
        <w:t>8302 </w:t>
      </w:r>
      <w:r>
        <w:rPr/>
        <w:t>万元。截至本报告期末，该项目正在执行过程中。</w:t>
      </w:r>
    </w:p>
    <w:p>
      <w:pPr>
        <w:spacing w:line="240" w:lineRule="auto" w:before="10"/>
        <w:rPr>
          <w:rFonts w:ascii="宋体" w:hAnsi="宋体" w:cs="宋体" w:eastAsia="宋体" w:hint="default"/>
          <w:sz w:val="24"/>
          <w:szCs w:val="24"/>
        </w:rPr>
      </w:pPr>
    </w:p>
    <w:p>
      <w:pPr>
        <w:pStyle w:val="Heading5"/>
        <w:spacing w:line="240" w:lineRule="auto"/>
        <w:ind w:left="1134" w:right="985"/>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ind w:left="1134"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96,072,162.07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123,295,265.45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人工成本及费用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3,624,179.87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20,561,739.76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52,399,919.34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21,064,468.19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人工成本及费用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114,807,201.60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77,512,441.48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应用软件开发与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材料采购成本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19,613,442.15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11,610,878.68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应用软件开发与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人工成本及费用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50,645,665.93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50,305,454.75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r>
    </w:tbl>
    <w:p>
      <w:pPr>
        <w:pStyle w:val="BodyText"/>
        <w:spacing w:line="240" w:lineRule="auto" w:before="51"/>
        <w:ind w:left="1134" w:right="985"/>
        <w:jc w:val="left"/>
      </w:pPr>
      <w:r>
        <w:rPr/>
        <w:t>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95,038,640.63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8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35,563,783.17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20,754,716.98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16,283,018.87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11,978,664.91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10,458,456.70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95,038,640.63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16.84%</w:t>
            </w:r>
          </w:p>
        </w:tc>
      </w:tr>
    </w:tbl>
    <w:p>
      <w:pPr>
        <w:pStyle w:val="BodyText"/>
        <w:spacing w:line="240" w:lineRule="auto" w:before="51"/>
        <w:ind w:left="1134" w:right="985"/>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244,674,136.00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8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140,283,408.94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66,352,516.65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16,195,849.06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12,947,737.42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8,894,623.93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244,674,136.00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59.54%</w:t>
            </w:r>
          </w:p>
        </w:tc>
      </w:tr>
    </w:tbl>
    <w:p>
      <w:pPr>
        <w:pStyle w:val="BodyText"/>
        <w:spacing w:line="240" w:lineRule="auto" w:before="51"/>
        <w:ind w:left="1134" w:right="985"/>
        <w:jc w:val="left"/>
      </w:pPr>
      <w:r>
        <w:rPr/>
        <w:t>主要供应商其他情况说明</w:t>
      </w:r>
    </w:p>
    <w:p>
      <w:pPr>
        <w:pStyle w:val="BodyText"/>
        <w:spacing w:line="240" w:lineRule="auto" w:before="117"/>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50,473,733.18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43,324,114.16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131,567,938.20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126,451,132.57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9,964,491.38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8,258,345.76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银行借款增加</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科技创新是公司发展的源动力，报告期内，公司持续加大研发投入力度，增强自主创新能力，累计投入研发经费</w:t>
      </w:r>
      <w:r>
        <w:rPr>
          <w:rFonts w:ascii="Times New Roman" w:hAnsi="Times New Roman" w:cs="Times New Roman" w:eastAsia="Times New Roman" w:hint="default"/>
        </w:rPr>
        <w:t>5329</w:t>
      </w:r>
      <w:r>
        <w:rPr/>
        <w:t>万元， 约占营业收入的</w:t>
      </w:r>
      <w:r>
        <w:rPr>
          <w:rFonts w:ascii="Times New Roman" w:hAnsi="Times New Roman" w:cs="Times New Roman" w:eastAsia="Times New Roman" w:hint="default"/>
        </w:rPr>
        <w:t>9.44%</w:t>
      </w:r>
      <w:r>
        <w:rPr/>
        <w:t>，较上年同期基本持平。公司各项研发及创新工作按计划顺利开展，报告期内，公司及其子公司新增</w:t>
      </w:r>
    </w:p>
    <w:p>
      <w:pPr>
        <w:pStyle w:val="BodyText"/>
        <w:spacing w:line="340" w:lineRule="auto" w:before="0"/>
        <w:ind w:left="1134" w:right="5892"/>
        <w:jc w:val="left"/>
      </w:pPr>
      <w:r>
        <w:rPr/>
        <w:t>申请实用新型专利</w:t>
      </w:r>
      <w:r>
        <w:rPr>
          <w:rFonts w:ascii="Times New Roman" w:hAnsi="Times New Roman" w:cs="Times New Roman" w:eastAsia="Times New Roman" w:hint="default"/>
        </w:rPr>
        <w:t>2</w:t>
      </w:r>
      <w:r>
        <w:rPr/>
        <w:t>项，新增著作权、产品登记证书</w:t>
      </w:r>
      <w:r>
        <w:rPr>
          <w:rFonts w:ascii="Times New Roman" w:hAnsi="Times New Roman" w:cs="Times New Roman" w:eastAsia="Times New Roman" w:hint="default"/>
        </w:rPr>
        <w:t>100</w:t>
      </w:r>
      <w:r>
        <w:rPr/>
        <w:t>余件。 近三年公司研发投入金额及占营业收入的比例</w:t>
      </w:r>
    </w:p>
    <w:p>
      <w:pPr>
        <w:spacing w:line="240" w:lineRule="auto" w:before="4"/>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53,268,049.93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54,709,983.30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44,873,997.75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85"/>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622,143,829.14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491,886,447.36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613,933,629.06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555,652,340.74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8,210,200.08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-63,765,893.38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113,998,833.90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65,628,369.60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-112,998,833.90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-59,863,369.60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340,685,000.00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272,526,157.20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265,302,998.70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142,473,842.80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75,382,001.30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37,685,208.98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-48,247,261.68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178.11%</w:t>
            </w:r>
          </w:p>
        </w:tc>
      </w:tr>
    </w:tbl>
    <w:p>
      <w:pPr>
        <w:pStyle w:val="BodyText"/>
        <w:spacing w:line="240" w:lineRule="auto" w:before="51"/>
        <w:ind w:left="1134" w:right="985"/>
        <w:jc w:val="left"/>
      </w:pPr>
      <w:r>
        <w:rPr/>
        <w:t>相关数据同比发生重大变动的主要影响因素说明</w:t>
      </w:r>
    </w:p>
    <w:p>
      <w:pPr>
        <w:pStyle w:val="BodyText"/>
        <w:spacing w:line="240" w:lineRule="auto" w:before="117"/>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985"/>
        <w:jc w:val="left"/>
      </w:pPr>
      <w:r>
        <w:rPr>
          <w:rFonts w:ascii="Times New Roman" w:hAnsi="Times New Roman" w:cs="Times New Roman" w:eastAsia="Times New Roman" w:hint="default"/>
        </w:rPr>
        <w:t>1</w:t>
      </w:r>
      <w:r>
        <w:rPr/>
        <w:t>、经营活动产生的现金流量净额较上年同期增长</w:t>
      </w:r>
      <w:r>
        <w:rPr>
          <w:rFonts w:ascii="Times New Roman" w:hAnsi="Times New Roman" w:cs="Times New Roman" w:eastAsia="Times New Roman" w:hint="default"/>
        </w:rPr>
        <w:t>112.88%</w:t>
      </w:r>
      <w:r>
        <w:rPr/>
        <w:t>，主要系销售商品、提供劳务收到的现金增加；</w:t>
      </w:r>
    </w:p>
    <w:p>
      <w:pPr>
        <w:pStyle w:val="BodyText"/>
        <w:spacing w:line="240" w:lineRule="auto" w:before="63"/>
        <w:ind w:left="1134" w:right="985"/>
        <w:jc w:val="left"/>
      </w:pPr>
      <w:r>
        <w:rPr>
          <w:rFonts w:ascii="Times New Roman" w:hAnsi="Times New Roman" w:cs="Times New Roman" w:eastAsia="Times New Roman" w:hint="default"/>
        </w:rPr>
        <w:t>2</w:t>
      </w:r>
      <w:r>
        <w:rPr/>
        <w:t>、投资活动产生的现金流量净额较上年同期减少</w:t>
      </w:r>
      <w:r>
        <w:rPr>
          <w:rFonts w:ascii="Times New Roman" w:hAnsi="Times New Roman" w:cs="Times New Roman" w:eastAsia="Times New Roman" w:hint="default"/>
        </w:rPr>
        <w:t>88.76%</w:t>
      </w:r>
      <w:r>
        <w:rPr/>
        <w:t>，主要系在建厂房投入增加；</w:t>
      </w:r>
    </w:p>
    <w:p>
      <w:pPr>
        <w:pStyle w:val="BodyText"/>
        <w:spacing w:line="340" w:lineRule="auto" w:before="63"/>
        <w:ind w:right="3988"/>
        <w:jc w:val="left"/>
      </w:pPr>
      <w:r>
        <w:rPr>
          <w:rFonts w:ascii="Times New Roman" w:hAnsi="Times New Roman" w:cs="Times New Roman" w:eastAsia="Times New Roman" w:hint="default"/>
        </w:rPr>
        <w:t>3</w:t>
      </w:r>
      <w:r>
        <w:rPr/>
        <w:t>、筹资活动产生的现金流量净额较上年同期增长</w:t>
      </w:r>
      <w:r>
        <w:rPr>
          <w:rFonts w:ascii="Times New Roman" w:hAnsi="Times New Roman" w:cs="Times New Roman" w:eastAsia="Times New Roman" w:hint="default"/>
        </w:rPr>
        <w:t>89.00%</w:t>
      </w:r>
      <w:r>
        <w:rPr/>
        <w:t>，主要系增加银行长期借款。 报告期内公司经营活动产生的现金净流量与本年度净利润存在重大差异的原因说明</w:t>
      </w:r>
    </w:p>
    <w:p>
      <w:pPr>
        <w:pStyle w:val="BodyText"/>
        <w:spacing w:line="328" w:lineRule="auto" w:before="41"/>
        <w:ind w:right="1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报告期内公司经营活动产生的现金净流量与本年度净利润存在差异主要是由于确认收入成本的时间节点和收付款的时间节 点不同。</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85"/>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224,288,247.1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188,240,074.98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318,647,442.6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274,564,174.72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-5.76%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回款情况良好</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290,543,202.4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23.87%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164,561,159.40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19.14%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4.73%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在建项目增加</w:t>
            </w: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20,469,389.83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20,437,321.95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230,643,116.7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84,543,637.80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在建厂房投入增加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本期新增长期借款</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733" w:type="dxa"/>
        <w:tblLayout w:type="fixed"/>
        <w:tblCellMar>
          <w:top w:w="0" w:type="dxa"/>
          <w:left w:w="0" w:type="dxa"/>
          <w:bottom w:w="0" w:type="dxa"/>
          <w:right w:w="0" w:type="dxa"/>
        </w:tblCellMar>
        <w:tblLook w:val="01E0"/>
      </w:tblPr>
      <w:tblGrid>
        <w:gridCol w:w="2360"/>
        <w:gridCol w:w="1952"/>
        <w:gridCol w:w="3963"/>
      </w:tblGrid>
      <w:tr>
        <w:trPr>
          <w:trHeight w:val="356" w:hRule="exact"/>
        </w:trPr>
        <w:tc>
          <w:tcPr>
            <w:tcW w:w="236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961"/>
              <w:jc w:val="right"/>
              <w:rPr>
                <w:rFonts w:ascii="宋体" w:hAnsi="宋体" w:cs="宋体" w:eastAsia="宋体" w:hint="default"/>
                <w:sz w:val="21"/>
                <w:szCs w:val="21"/>
              </w:rPr>
            </w:pPr>
            <w:r>
              <w:rPr>
                <w:rFonts w:ascii="宋体" w:hAnsi="宋体" w:cs="宋体" w:eastAsia="宋体" w:hint="default"/>
                <w:sz w:val="21"/>
                <w:szCs w:val="21"/>
              </w:rPr>
              <w:t>项目</w:t>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963"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664" w:hRule="exact"/>
        </w:trPr>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2,346,730.09</w:t>
            </w:r>
          </w:p>
        </w:tc>
        <w:tc>
          <w:tcPr>
            <w:tcW w:w="39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pacing w:val="-3"/>
                <w:sz w:val="21"/>
                <w:szCs w:val="21"/>
              </w:rPr>
              <w:t>本公司向银行申请开具无条件、不可撤销的</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担保函所存入的保证金</w:t>
            </w:r>
          </w:p>
        </w:tc>
      </w:tr>
      <w:tr>
        <w:trPr>
          <w:trHeight w:val="352" w:hRule="exact"/>
        </w:trPr>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947,130.00</w:t>
            </w:r>
          </w:p>
        </w:tc>
        <w:tc>
          <w:tcPr>
            <w:tcW w:w="39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票据保证金</w:t>
            </w:r>
          </w:p>
        </w:tc>
      </w:tr>
      <w:tr>
        <w:trPr>
          <w:trHeight w:val="353" w:hRule="exact"/>
        </w:trPr>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230,603,387.02</w:t>
            </w:r>
          </w:p>
        </w:tc>
        <w:tc>
          <w:tcPr>
            <w:tcW w:w="39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352" w:hRule="exact"/>
        </w:trPr>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29,797,530.37</w:t>
            </w:r>
          </w:p>
        </w:tc>
        <w:tc>
          <w:tcPr>
            <w:tcW w:w="39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352" w:hRule="exact"/>
        </w:trPr>
        <w:tc>
          <w:tcPr>
            <w:tcW w:w="2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961"/>
              <w:jc w:val="right"/>
              <w:rPr>
                <w:rFonts w:ascii="宋体" w:hAnsi="宋体" w:cs="宋体" w:eastAsia="宋体" w:hint="default"/>
                <w:sz w:val="21"/>
                <w:szCs w:val="21"/>
              </w:rPr>
            </w:pPr>
            <w:r>
              <w:rPr>
                <w:rFonts w:ascii="宋体" w:hAnsi="宋体" w:cs="宋体" w:eastAsia="宋体" w:hint="default"/>
                <w:sz w:val="21"/>
                <w:szCs w:val="21"/>
              </w:rPr>
              <w:t>合计</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263,694,777.48</w:t>
            </w:r>
          </w:p>
        </w:tc>
        <w:tc>
          <w:tcPr>
            <w:tcW w:w="396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4"/>
        <w:spacing w:line="240" w:lineRule="auto" w:before="26"/>
        <w:ind w:left="1134" w:right="985"/>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14,370.57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10,717.84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3,701.61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存于募集 资金账户 监管</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14,370.57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10,717.84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45.23%</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3,701.61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4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经中国证券监督管理委员会《关于核准上海中信信息发展股份有限公司首次公开发行股票的批复》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证监许可</w:t>
            </w:r>
            <w:r>
              <w:rPr>
                <w:rFonts w:ascii="Times New Roman" w:hAnsi="Times New Roman" w:cs="Times New Roman" w:eastAsia="Times New Roman" w:hint="default"/>
                <w:spacing w:val="-1"/>
                <w:sz w:val="18"/>
                <w:szCs w:val="18"/>
              </w:rPr>
              <w:t>[2015]958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1"/>
                <w:sz w:val="18"/>
                <w:szCs w:val="18"/>
              </w:rPr>
              <w:t>核准，由主承销商中山证券有限责任公司（以下简称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中山证券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）采用网下询价配售与网上资金申购定价发行相结合的方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16,700,000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股，发行价格为每股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日，公司实际已向社会公开发 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169,338,000.00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元，扣除承销保荐费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元后的募集资金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152,138,000.00 </w:t>
            </w:r>
            <w:r>
              <w:rPr>
                <w:rFonts w:ascii="宋体" w:hAnsi="宋体" w:cs="宋体" w:eastAsia="宋体" w:hint="default"/>
                <w:sz w:val="18"/>
                <w:szCs w:val="18"/>
              </w:rPr>
              <w:t>元，已由中山证券于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日存入公司开立在南京银行股份有限公司上海分行（账号 </w:t>
            </w:r>
            <w:r>
              <w:rPr>
                <w:rFonts w:ascii="Times New Roman" w:hAnsi="Times New Roman" w:cs="Times New Roman" w:eastAsia="Times New Roman" w:hint="default"/>
                <w:spacing w:val="-3"/>
                <w:sz w:val="18"/>
                <w:szCs w:val="18"/>
              </w:rPr>
              <w:t>03010120030011468</w:t>
            </w:r>
            <w:r>
              <w:rPr>
                <w:rFonts w:ascii="宋体" w:hAnsi="宋体" w:cs="宋体" w:eastAsia="宋体" w:hint="default"/>
                <w:spacing w:val="-3"/>
                <w:sz w:val="18"/>
                <w:szCs w:val="18"/>
              </w:rPr>
              <w:t>）、中国民生银行股份有限公司上海分行（账号</w:t>
            </w:r>
            <w:r>
              <w:rPr>
                <w:rFonts w:ascii="宋体" w:hAnsi="宋体" w:cs="宋体" w:eastAsia="宋体" w:hint="default"/>
                <w:spacing w:val="-8"/>
                <w:sz w:val="18"/>
                <w:szCs w:val="18"/>
              </w:rPr>
              <w:t> </w:t>
            </w:r>
            <w:r>
              <w:rPr>
                <w:rFonts w:ascii="Times New Roman" w:hAnsi="Times New Roman" w:cs="Times New Roman" w:eastAsia="Times New Roman" w:hint="default"/>
                <w:spacing w:val="-4"/>
                <w:sz w:val="18"/>
                <w:szCs w:val="18"/>
              </w:rPr>
              <w:t>694268602</w:t>
            </w:r>
            <w:r>
              <w:rPr>
                <w:rFonts w:ascii="宋体" w:hAnsi="宋体" w:cs="宋体" w:eastAsia="宋体" w:hint="default"/>
                <w:spacing w:val="-4"/>
                <w:sz w:val="18"/>
                <w:szCs w:val="18"/>
              </w:rPr>
              <w:t>）、上海银行股份有限公司静安支行（账号</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316188-03002604708</w:t>
            </w:r>
            <w:r>
              <w:rPr>
                <w:rFonts w:ascii="宋体" w:hAnsi="宋体" w:cs="宋体" w:eastAsia="宋体" w:hint="default"/>
                <w:sz w:val="18"/>
                <w:szCs w:val="18"/>
              </w:rPr>
              <w:t>）的人民币账户内，扣除已预付的保荐费用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元及其他发行费用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7,632,303.51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元后，本次募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集资金净额为 </w:t>
            </w:r>
            <w:r>
              <w:rPr>
                <w:rFonts w:ascii="Times New Roman" w:hAnsi="Times New Roman" w:cs="Times New Roman" w:eastAsia="Times New Roman" w:hint="default"/>
                <w:spacing w:val="-1"/>
                <w:sz w:val="18"/>
                <w:szCs w:val="18"/>
              </w:rPr>
              <w:t>143,705,696.49</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元。上述资金到位情况业经立信会计师事务所（特殊普通合伙）验证，并由其出具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信会师报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114313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验资报告。公司对募集资金采取了专户存储管理制度。截止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日，公司已累计使用募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107,178,405.46 </w:t>
            </w:r>
            <w:r>
              <w:rPr>
                <w:rFonts w:ascii="宋体" w:hAnsi="宋体" w:cs="宋体" w:eastAsia="宋体" w:hint="default"/>
                <w:spacing w:val="-3"/>
                <w:sz w:val="18"/>
                <w:szCs w:val="18"/>
              </w:rPr>
              <w:t>元，其中：募集资金项目累计支出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42,178,405.46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元，归还银行贷款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元。公司到位募集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143,705,696.49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元，扣除已使用的募集资金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107,178,405.46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元，扣除手续费支出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3,644.74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元，加上收到的存款</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492,398.92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日，公司募集资金余额应为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37,016,045.21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司募集资金专户实际余额为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37,016,045.21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数字档案馆信息资 源管理系统项目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5,456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2,669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1,304.23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48.87%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65"/>
        <w:gridCol w:w="784"/>
        <w:gridCol w:w="780"/>
        <w:gridCol w:w="780"/>
        <w:gridCol w:w="779"/>
        <w:gridCol w:w="780"/>
        <w:gridCol w:w="780"/>
        <w:gridCol w:w="780"/>
        <w:gridCol w:w="780"/>
        <w:gridCol w:w="780"/>
        <w:gridCol w:w="780"/>
      </w:tblGrid>
      <w:tr>
        <w:trPr>
          <w:trHeight w:val="362"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数字档案室信息资 源管理系统项目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1,462.84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59.25%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食品流通安全追溯 档案管理软件项目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4,015.57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53.49%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偿还银行贷款项目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14,370.57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10,717.84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14,370.57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10,717.84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07"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21" w:right="23"/>
              <w:jc w:val="left"/>
              <w:rPr>
                <w:rFonts w:ascii="宋体" w:hAnsi="宋体" w:cs="宋体" w:eastAsia="宋体" w:hint="default"/>
                <w:sz w:val="18"/>
                <w:szCs w:val="18"/>
              </w:rPr>
            </w:pPr>
            <w:r>
              <w:rPr>
                <w:rFonts w:ascii="宋体" w:hAnsi="宋体" w:cs="宋体" w:eastAsia="宋体" w:hint="default"/>
                <w:sz w:val="18"/>
                <w:szCs w:val="18"/>
              </w:rPr>
              <w:t>上述募投项目中的前三个项目的地址由上海市青浦区出口加工区功能区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栋调整为上海市青浦区 重固镇郏一村。</w:t>
            </w:r>
          </w:p>
        </w:tc>
      </w:tr>
      <w:tr>
        <w:trPr>
          <w:trHeight w:val="407"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62"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94"/>
              <w:ind w:left="21" w:right="0"/>
              <w:jc w:val="left"/>
              <w:rPr>
                <w:rFonts w:ascii="宋体" w:hAnsi="宋体" w:cs="宋体" w:eastAsia="宋体" w:hint="default"/>
                <w:sz w:val="18"/>
                <w:szCs w:val="18"/>
              </w:rPr>
            </w:pPr>
            <w:r>
              <w:rPr>
                <w:rFonts w:ascii="宋体" w:hAnsi="宋体" w:cs="宋体" w:eastAsia="宋体" w:hint="default"/>
                <w:sz w:val="18"/>
                <w:szCs w:val="18"/>
              </w:rPr>
              <w:t>将数字档案馆信息资源管理系统项目投资总额从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万元调减至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2,669.00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万元；将数字档案室</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信息资源管理系统项目的投资总额从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4,899.00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万元调减至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万元；将食品流通安全追溯档案</w:t>
            </w:r>
          </w:p>
          <w:p>
            <w:pPr>
              <w:pStyle w:val="TableParagraph"/>
              <w:spacing w:line="302" w:lineRule="auto" w:before="63"/>
              <w:ind w:left="21" w:right="71"/>
              <w:jc w:val="left"/>
              <w:rPr>
                <w:rFonts w:ascii="宋体" w:hAnsi="宋体" w:cs="宋体" w:eastAsia="宋体" w:hint="default"/>
                <w:sz w:val="18"/>
                <w:szCs w:val="18"/>
              </w:rPr>
            </w:pPr>
            <w:r>
              <w:rPr>
                <w:rFonts w:ascii="宋体" w:hAnsi="宋体" w:cs="宋体" w:eastAsia="宋体" w:hint="default"/>
                <w:sz w:val="18"/>
                <w:szCs w:val="18"/>
              </w:rPr>
              <w:t>管理软件项目的投资总额从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4,015.57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万元调减至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万元；另新增偿还银行贷款项目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r>
      <w:tr>
        <w:trPr>
          <w:trHeight w:val="719"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存于募集资金监管账户中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、公司已及时、真实、准确、完整地披露了募集资金使用情况相关信息。</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、公司募集资金存放、 使用、管理及披露不存在违规情形。</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985"/>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4"/>
        <w:spacing w:line="240" w:lineRule="auto"/>
        <w:ind w:right="985"/>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5"/>
        <w:spacing w:line="240" w:lineRule="auto"/>
        <w:ind w:right="985"/>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4"/>
        <w:spacing w:line="240" w:lineRule="auto"/>
        <w:ind w:right="985"/>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光典信息发 展有限公司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软、硬件开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457,848,094.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128,170,599.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105,491,473.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5,052,168.90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5,614,748.84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上海追索信 息科技有限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软、硬件开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29,149,357.4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24,298,207.1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20,339,969.8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5,362,317.32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4,811,428.60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上海金档信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数据服务、 软件开发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63,243,787.2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45,776,345.3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121,037,763.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5,206,245.77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5,685,676.50</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追溯云信息 发展股份有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15,244,228.1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11,296,677.4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13,868,050.8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8,270,270.83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6,296,677.40</w:t>
            </w:r>
          </w:p>
        </w:tc>
      </w:tr>
    </w:tbl>
    <w:p>
      <w:pPr>
        <w:pStyle w:val="BodyText"/>
        <w:spacing w:line="240" w:lineRule="auto" w:before="51"/>
        <w:ind w:left="1134" w:right="985"/>
        <w:jc w:val="left"/>
      </w:pPr>
      <w:r>
        <w:rPr/>
        <w:t>报告期内取得和处置子公司的情况</w:t>
      </w:r>
    </w:p>
    <w:p>
      <w:pPr>
        <w:pStyle w:val="BodyText"/>
        <w:spacing w:line="340" w:lineRule="auto" w:before="116"/>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after="0" w:line="3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985"/>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985"/>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1</w:t>
      </w:r>
      <w:r>
        <w:rPr/>
        <w:t>、行业格局与趋势</w:t>
      </w:r>
    </w:p>
    <w:p>
      <w:pPr>
        <w:pStyle w:val="BodyText"/>
        <w:spacing w:line="300" w:lineRule="auto" w:before="63"/>
        <w:ind w:left="1424" w:right="1112" w:hanging="291"/>
        <w:jc w:val="left"/>
      </w:pPr>
      <w:r>
        <w:rPr/>
        <w:t>（</w:t>
      </w:r>
      <w:r>
        <w:rPr>
          <w:rFonts w:ascii="Times New Roman" w:hAnsi="Times New Roman" w:cs="Times New Roman" w:eastAsia="Times New Roman" w:hint="default"/>
        </w:rPr>
        <w:t>1</w:t>
      </w:r>
      <w:r>
        <w:rPr/>
        <w:t>）云计算与大数据持续高速增长 云计算作为新一代</w:t>
      </w:r>
      <w:r>
        <w:rPr>
          <w:rFonts w:ascii="Times New Roman" w:hAnsi="Times New Roman" w:cs="Times New Roman" w:eastAsia="Times New Roman" w:hint="default"/>
        </w:rPr>
        <w:t>IT</w:t>
      </w:r>
      <w:r>
        <w:rPr/>
        <w:t>基础设施技术框架，具备显著的优势，将成为我国网络经济蓬勃发展的受益者。根据中国信息通信</w:t>
      </w:r>
    </w:p>
    <w:p>
      <w:pPr>
        <w:pStyle w:val="BodyText"/>
        <w:spacing w:line="300" w:lineRule="auto" w:before="13"/>
        <w:ind w:right="985"/>
        <w:jc w:val="left"/>
      </w:pPr>
      <w:r>
        <w:rPr>
          <w:spacing w:val="-1"/>
        </w:rPr>
        <w:t>研究院发布的《云计算白皮书（</w:t>
      </w:r>
      <w:r>
        <w:rPr>
          <w:rFonts w:ascii="Times New Roman" w:hAnsi="Times New Roman" w:cs="Times New Roman" w:eastAsia="Times New Roman" w:hint="default"/>
          <w:spacing w:val="-1"/>
        </w:rPr>
        <w:t>2016</w:t>
      </w:r>
      <w:r>
        <w:rPr>
          <w:spacing w:val="-1"/>
        </w:rPr>
        <w:t>年）》，全球云计算市场总体平稳增长。</w:t>
      </w:r>
      <w:r>
        <w:rPr>
          <w:rFonts w:ascii="Times New Roman" w:hAnsi="Times New Roman" w:cs="Times New Roman" w:eastAsia="Times New Roman" w:hint="default"/>
          <w:spacing w:val="-1"/>
        </w:rPr>
        <w:t>2015</w:t>
      </w:r>
      <w:r>
        <w:rPr>
          <w:spacing w:val="-1"/>
        </w:rPr>
        <w:t>年以</w:t>
      </w:r>
      <w:r>
        <w:rPr>
          <w:rFonts w:ascii="Times New Roman" w:hAnsi="Times New Roman" w:cs="Times New Roman" w:eastAsia="Times New Roman" w:hint="default"/>
          <w:spacing w:val="-1"/>
        </w:rPr>
        <w:t>IaaS</w:t>
      </w:r>
      <w:r>
        <w:rPr>
          <w:spacing w:val="-1"/>
        </w:rPr>
        <w:t>、</w:t>
      </w:r>
      <w:r>
        <w:rPr>
          <w:rFonts w:ascii="Times New Roman" w:hAnsi="Times New Roman" w:cs="Times New Roman" w:eastAsia="Times New Roman" w:hint="default"/>
          <w:spacing w:val="-1"/>
        </w:rPr>
        <w:t>PaaS</w:t>
      </w:r>
      <w:r>
        <w:rPr>
          <w:spacing w:val="-1"/>
        </w:rPr>
        <w:t>和</w:t>
      </w:r>
      <w:r>
        <w:rPr>
          <w:rFonts w:ascii="Times New Roman" w:hAnsi="Times New Roman" w:cs="Times New Roman" w:eastAsia="Times New Roman" w:hint="default"/>
          <w:spacing w:val="-1"/>
        </w:rPr>
        <w:t>SaaS</w:t>
      </w:r>
      <w:r>
        <w:rPr>
          <w:spacing w:val="-1"/>
        </w:rPr>
        <w:t>为代表的典型云服</w:t>
      </w:r>
      <w:r>
        <w:rPr>
          <w:spacing w:val="-69"/>
        </w:rPr>
        <w:t> </w:t>
      </w:r>
      <w:r>
        <w:rPr/>
        <w:t>务市场规模达到</w:t>
      </w:r>
      <w:r>
        <w:rPr>
          <w:rFonts w:ascii="Times New Roman" w:hAnsi="Times New Roman" w:cs="Times New Roman" w:eastAsia="Times New Roman" w:hint="default"/>
        </w:rPr>
        <w:t>522.4</w:t>
      </w:r>
      <w:r>
        <w:rPr>
          <w:rFonts w:ascii="Times New Roman" w:hAnsi="Times New Roman" w:cs="Times New Roman" w:eastAsia="Times New Roman" w:hint="default"/>
          <w:spacing w:val="24"/>
        </w:rPr>
        <w:t> </w:t>
      </w:r>
      <w:r>
        <w:rPr/>
        <w:t>亿美元，预计</w:t>
      </w:r>
      <w:r>
        <w:rPr>
          <w:rFonts w:ascii="Times New Roman" w:hAnsi="Times New Roman" w:cs="Times New Roman" w:eastAsia="Times New Roman" w:hint="default"/>
        </w:rPr>
        <w:t>2020</w:t>
      </w:r>
      <w:r>
        <w:rPr/>
        <w:t>年将达到</w:t>
      </w:r>
      <w:r>
        <w:rPr>
          <w:rFonts w:ascii="Times New Roman" w:hAnsi="Times New Roman" w:cs="Times New Roman" w:eastAsia="Times New Roman" w:hint="default"/>
        </w:rPr>
        <w:t>1435.3</w:t>
      </w:r>
      <w:r>
        <w:rPr/>
        <w:t>亿美元，年复合增长率达</w:t>
      </w:r>
      <w:r>
        <w:rPr>
          <w:rFonts w:ascii="Times New Roman" w:hAnsi="Times New Roman" w:cs="Times New Roman" w:eastAsia="Times New Roman" w:hint="default"/>
        </w:rPr>
        <w:t>22%</w:t>
      </w:r>
      <w:r>
        <w:rPr/>
        <w:t>。</w:t>
      </w:r>
    </w:p>
    <w:p>
      <w:pPr>
        <w:pStyle w:val="BodyText"/>
        <w:spacing w:line="300" w:lineRule="auto" w:before="13"/>
        <w:ind w:right="1123" w:firstLine="290"/>
        <w:jc w:val="both"/>
      </w:pPr>
      <w:r>
        <w:rPr/>
        <w:t>大数据作为国家基础性战略资源，从</w:t>
      </w:r>
      <w:r>
        <w:rPr>
          <w:rFonts w:ascii="Times New Roman" w:hAnsi="Times New Roman" w:cs="Times New Roman" w:eastAsia="Times New Roman" w:hint="default"/>
        </w:rPr>
        <w:t>2015</w:t>
      </w:r>
      <w:r>
        <w:rPr/>
        <w:t>年起国家就先后出台一系列大数据产业发展规划、产业政策和具体实施方案。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月，工信部发布了大数据产业发展规划，明确了未来一阶段我国大数据产业的发展目标。根据规划，到</w:t>
      </w:r>
      <w:r>
        <w:rPr>
          <w:rFonts w:ascii="Times New Roman" w:hAnsi="Times New Roman" w:cs="Times New Roman" w:eastAsia="Times New Roman" w:hint="default"/>
        </w:rPr>
        <w:t>2020</w:t>
      </w:r>
      <w:r>
        <w:rPr/>
        <w:t>年，大 数据相关产品和服务业务收入将突破</w:t>
      </w:r>
      <w:r>
        <w:rPr>
          <w:rFonts w:ascii="Times New Roman" w:hAnsi="Times New Roman" w:cs="Times New Roman" w:eastAsia="Times New Roman" w:hint="default"/>
        </w:rPr>
        <w:t>1</w:t>
      </w:r>
      <w:r>
        <w:rPr/>
        <w:t>万亿元，年均复合增长率保持</w:t>
      </w:r>
      <w:r>
        <w:rPr>
          <w:rFonts w:ascii="Times New Roman" w:hAnsi="Times New Roman" w:cs="Times New Roman" w:eastAsia="Times New Roman" w:hint="default"/>
        </w:rPr>
        <w:t>30%</w:t>
      </w:r>
      <w:r>
        <w:rPr/>
        <w:t>左右。</w:t>
      </w:r>
    </w:p>
    <w:p>
      <w:pPr>
        <w:pStyle w:val="BodyText"/>
        <w:spacing w:line="300" w:lineRule="auto" w:before="13"/>
        <w:ind w:left="1424" w:right="1182" w:hanging="291"/>
        <w:jc w:val="left"/>
      </w:pPr>
      <w:r>
        <w:rPr/>
        <w:t>（</w:t>
      </w:r>
      <w:r>
        <w:rPr>
          <w:rFonts w:ascii="Times New Roman" w:hAnsi="Times New Roman" w:cs="Times New Roman" w:eastAsia="Times New Roman" w:hint="default"/>
        </w:rPr>
        <w:t>2</w:t>
      </w:r>
      <w:r>
        <w:rPr/>
        <w:t>）区块链技术在食品安全追溯领域具有广泛的应用前景 追溯技术的发展经历了传统纸质随附单传递到条码标签</w:t>
      </w:r>
      <w:r>
        <w:rPr>
          <w:rFonts w:ascii="Times New Roman" w:hAnsi="Times New Roman" w:cs="Times New Roman" w:eastAsia="Times New Roman" w:hint="default"/>
        </w:rPr>
        <w:t>/RFID</w:t>
      </w:r>
      <w:r>
        <w:rPr/>
        <w:t>电子标签传递到二维码标签移动扫码追溯再到现在区块链</w:t>
      </w:r>
    </w:p>
    <w:p>
      <w:pPr>
        <w:pStyle w:val="BodyText"/>
        <w:spacing w:line="316" w:lineRule="auto" w:before="13"/>
        <w:ind w:left="1134" w:right="985"/>
        <w:jc w:val="left"/>
      </w:pPr>
      <w:r>
        <w:rPr>
          <w:spacing w:val="-2"/>
        </w:rPr>
        <w:t>技术的应用，是一个技术发展和进化的自然过程，区块链技术对于解决追溯链条中的信任机制问题，打造可信追溯联盟具有</w:t>
      </w:r>
      <w:r>
        <w:rPr>
          <w:spacing w:val="-66"/>
        </w:rPr>
        <w:t> </w:t>
      </w:r>
      <w:r>
        <w:rPr>
          <w:spacing w:val="-66"/>
        </w:rPr>
      </w:r>
      <w:r>
        <w:rPr/>
        <w:t>重要作用，区块链技术在食品安全追溯领域的应用是必然的趋势。</w:t>
      </w:r>
    </w:p>
    <w:p>
      <w:pPr>
        <w:pStyle w:val="BodyText"/>
        <w:spacing w:line="300" w:lineRule="auto" w:before="19"/>
        <w:ind w:left="1134" w:right="1142"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月，沃尔玛、京东、</w:t>
      </w:r>
      <w:r>
        <w:rPr>
          <w:rFonts w:ascii="Times New Roman" w:hAnsi="Times New Roman" w:cs="Times New Roman" w:eastAsia="Times New Roman" w:hint="default"/>
        </w:rPr>
        <w:t>IBM</w:t>
      </w:r>
      <w:r>
        <w:rPr/>
        <w:t>、清华大学电子商务交易技术国家工程实验室共同成立的安全食品区块链溯源联盟， 旨在通过区块链技术进一步加强食品追踪、可追溯性和安全性的合作，提升中国食品供应链的透明度。</w:t>
      </w:r>
    </w:p>
    <w:p>
      <w:pPr>
        <w:pStyle w:val="BodyText"/>
        <w:spacing w:line="300" w:lineRule="auto" w:before="31"/>
        <w:ind w:left="1424" w:right="1192" w:hanging="291"/>
        <w:jc w:val="left"/>
      </w:pPr>
      <w:r>
        <w:rPr/>
        <w:t>（</w:t>
      </w:r>
      <w:r>
        <w:rPr>
          <w:rFonts w:ascii="Times New Roman" w:hAnsi="Times New Roman" w:cs="Times New Roman" w:eastAsia="Times New Roman" w:hint="default"/>
        </w:rPr>
        <w:t>3</w:t>
      </w:r>
      <w:r>
        <w:rPr/>
        <w:t>）追溯行业进入全面建设阶段 政策提出明确建设指标</w:t>
      </w:r>
      <w:r>
        <w:rPr>
          <w:rFonts w:ascii="Times New Roman" w:hAnsi="Times New Roman" w:cs="Times New Roman" w:eastAsia="Times New Roman" w:hint="default"/>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日，商务部联合工业和信息化部、公安部、农业部、国家质检总局、国家安全</w:t>
      </w:r>
    </w:p>
    <w:p>
      <w:pPr>
        <w:pStyle w:val="BodyText"/>
        <w:spacing w:line="300" w:lineRule="auto" w:before="13"/>
        <w:ind w:left="1134" w:right="985"/>
        <w:jc w:val="left"/>
      </w:pPr>
      <w:r>
        <w:rPr>
          <w:spacing w:val="-5"/>
        </w:rPr>
        <w:t>监督管理总局、国家食品药品监督管理总局印发《关于推进重要产品信息化追溯体系建设的指导意见》，意见明确提出到</w:t>
      </w:r>
      <w:r>
        <w:rPr>
          <w:rFonts w:ascii="Times New Roman" w:hAnsi="Times New Roman" w:cs="Times New Roman" w:eastAsia="Times New Roman" w:hint="default"/>
          <w:spacing w:val="-5"/>
        </w:rPr>
        <w:t>2020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年初步建成全国上下一体、协同运作的重要产品追溯管理体制，统一协调的追溯标准体系和追溯信息服务体系。</w:t>
      </w:r>
    </w:p>
    <w:p>
      <w:pPr>
        <w:pStyle w:val="BodyText"/>
        <w:spacing w:line="309" w:lineRule="auto" w:before="31"/>
        <w:ind w:left="1134" w:right="1132" w:firstLine="290"/>
        <w:jc w:val="both"/>
      </w:pPr>
      <w:r>
        <w:rPr>
          <w:spacing w:val="-1"/>
        </w:rPr>
        <w:t>企业市场加速启动</w:t>
      </w:r>
      <w:r>
        <w:rPr>
          <w:rFonts w:ascii="Times New Roman" w:hAnsi="Times New Roman" w:cs="Times New Roman" w:eastAsia="Times New Roman" w:hint="default"/>
          <w:spacing w:val="-1"/>
        </w:rPr>
        <w:t>——</w:t>
      </w:r>
      <w:r>
        <w:rPr>
          <w:spacing w:val="-1"/>
        </w:rPr>
        <w:t>《意见》提出重要产品信息化追溯体系建设要坚持兼顾地方需求特色、发挥企业主体作用的基本</w:t>
      </w:r>
      <w:r>
        <w:rPr/>
        <w:t> </w:t>
      </w:r>
      <w:r>
        <w:rPr>
          <w:spacing w:val="-2"/>
        </w:rPr>
        <w:t>原则，从追溯管理体制、标准体系、信息服务、数据共享交换、互联互通和通查通识、应急管理等方面提出了建设目标，推</w:t>
      </w:r>
      <w:r>
        <w:rPr>
          <w:spacing w:val="-71"/>
        </w:rPr>
        <w:t> </w:t>
      </w:r>
      <w:r>
        <w:rPr>
          <w:spacing w:val="-71"/>
        </w:rPr>
      </w:r>
      <w:r>
        <w:rPr/>
        <w:t>动企业市场在未来几年将加速启动并成为追溯行业的主要需求市场。</w:t>
      </w:r>
    </w:p>
    <w:p>
      <w:pPr>
        <w:pStyle w:val="BodyText"/>
        <w:spacing w:line="309" w:lineRule="auto" w:before="24"/>
        <w:ind w:left="1134" w:right="1131" w:firstLine="290"/>
        <w:jc w:val="both"/>
      </w:pPr>
      <w:r>
        <w:rPr>
          <w:spacing w:val="-1"/>
        </w:rPr>
        <w:t>追溯产业链不断延伸</w:t>
      </w:r>
      <w:r>
        <w:rPr>
          <w:rFonts w:ascii="Times New Roman" w:hAnsi="Times New Roman" w:cs="Times New Roman" w:eastAsia="Times New Roman" w:hint="default"/>
          <w:spacing w:val="-1"/>
        </w:rPr>
        <w:t>——</w:t>
      </w:r>
      <w:r>
        <w:rPr>
          <w:spacing w:val="-1"/>
        </w:rPr>
        <w:t>随着物联网、云计算、大数据、区块链和移动互联等新技术的快速发展和持续融合，新技术的</w:t>
      </w:r>
      <w:r>
        <w:rPr/>
        <w:t> </w:t>
      </w:r>
      <w:r>
        <w:rPr>
          <w:spacing w:val="-2"/>
        </w:rPr>
        <w:t>产生推动了追溯行业原有体系的更新和升级换代需求。追溯领域企业的业务及盈利模式也已突破原有的界限，在食品安全检</w:t>
      </w:r>
      <w:r>
        <w:rPr>
          <w:spacing w:val="-64"/>
        </w:rPr>
        <w:t> </w:t>
      </w:r>
      <w:r>
        <w:rPr>
          <w:spacing w:val="-64"/>
        </w:rPr>
      </w:r>
      <w:r>
        <w:rPr/>
        <w:t>测、供应链质量管理、供应链打通等领域不断衍生出新的业务机会。</w:t>
      </w:r>
    </w:p>
    <w:p>
      <w:pPr>
        <w:pStyle w:val="BodyText"/>
        <w:spacing w:line="300" w:lineRule="auto" w:before="24"/>
        <w:ind w:left="1424" w:right="1282" w:hanging="291"/>
        <w:jc w:val="left"/>
      </w:pPr>
      <w:r>
        <w:rPr/>
        <w:t>（</w:t>
      </w:r>
      <w:r>
        <w:rPr>
          <w:rFonts w:ascii="Times New Roman" w:hAnsi="Times New Roman" w:cs="Times New Roman" w:eastAsia="Times New Roman" w:hint="default"/>
        </w:rPr>
        <w:t>4</w:t>
      </w:r>
      <w:r>
        <w:rPr/>
        <w:t>）档案信息化持续快速发展 随着政府和企业对档案管理意识的逐步增强和市场的多元化发展，对档案信息化提出更高的要求。一方面数字档案馆</w:t>
      </w:r>
    </w:p>
    <w:p>
      <w:pPr>
        <w:pStyle w:val="BodyText"/>
        <w:spacing w:line="316" w:lineRule="auto" w:before="31"/>
        <w:ind w:left="1134" w:right="1130"/>
        <w:jc w:val="both"/>
      </w:pPr>
      <w:r>
        <w:rPr>
          <w:spacing w:val="-2"/>
        </w:rPr>
        <w:t>（室）、智慧档案馆、智能馆舍建设等成为国家政策重点扶持方向；另一方面，随着新技术应用在档案信息化行业的逐渐增</w:t>
      </w:r>
      <w:r>
        <w:rPr>
          <w:spacing w:val="-66"/>
        </w:rPr>
        <w:t> </w:t>
      </w:r>
      <w:r>
        <w:rPr>
          <w:spacing w:val="-66"/>
        </w:rPr>
      </w:r>
      <w:r>
        <w:rPr>
          <w:spacing w:val="-2"/>
        </w:rPr>
        <w:t>加，档案信息化管理迎来升级换代期；此外，大数据资源整合、大数据存储和运行维护、大数据分析挖掘和应用、大数据安</w:t>
      </w:r>
      <w:r>
        <w:rPr>
          <w:spacing w:val="-68"/>
        </w:rPr>
        <w:t> </w:t>
      </w:r>
      <w:r>
        <w:rPr>
          <w:spacing w:val="-68"/>
        </w:rPr>
      </w:r>
      <w:r>
        <w:rPr/>
        <w:t>全等成为档案信息化发展新的高地。</w:t>
      </w:r>
    </w:p>
    <w:p>
      <w:pPr>
        <w:pStyle w:val="BodyText"/>
        <w:spacing w:line="300" w:lineRule="auto" w:before="19"/>
        <w:ind w:left="1424" w:right="985" w:hanging="291"/>
        <w:jc w:val="left"/>
      </w:pPr>
      <w:r>
        <w:rPr/>
        <w:t>（</w:t>
      </w:r>
      <w:r>
        <w:rPr>
          <w:rFonts w:ascii="Times New Roman" w:hAnsi="Times New Roman" w:cs="Times New Roman" w:eastAsia="Times New Roman" w:hint="default"/>
        </w:rPr>
        <w:t>5</w:t>
      </w:r>
      <w:r>
        <w:rPr/>
        <w:t>）政法行业迎来市场升级换代 </w:t>
      </w:r>
      <w:r>
        <w:rPr>
          <w:spacing w:val="-2"/>
        </w:rPr>
        <w:t>十九大引领依法治国新时代，公、检、法、司将加快利用信息化手段推进行政改革发展</w:t>
      </w:r>
      <w:r>
        <w:rPr>
          <w:rFonts w:ascii="Times New Roman" w:hAnsi="Times New Roman" w:cs="Times New Roman" w:eastAsia="Times New Roman" w:hint="default"/>
          <w:spacing w:val="-2"/>
        </w:rPr>
        <w:t>,</w:t>
      </w:r>
      <w:r>
        <w:rPr>
          <w:spacing w:val="-2"/>
        </w:rPr>
        <w:t>为实现国家治理体系和治理能力</w:t>
      </w:r>
    </w:p>
    <w:p>
      <w:pPr>
        <w:pStyle w:val="BodyText"/>
        <w:spacing w:line="300" w:lineRule="auto" w:before="13"/>
        <w:ind w:right="1111"/>
        <w:jc w:val="left"/>
      </w:pPr>
      <w:r>
        <w:rPr/>
        <w:t>现代化提供有力的法治保障。随着大数据、互联网</w:t>
      </w:r>
      <w:r>
        <w:rPr>
          <w:rFonts w:ascii="Times New Roman" w:hAnsi="Times New Roman" w:cs="Times New Roman" w:eastAsia="Times New Roman" w:hint="default"/>
        </w:rPr>
        <w:t>+</w:t>
      </w:r>
      <w:r>
        <w:rPr/>
        <w:t>、人工智能、物联网等技术的快速发展，带动市场衍生出智慧检务、智 慧监狱、雪亮工程等大量行业应用升级换代需求，助推市场快速发展。</w:t>
      </w:r>
    </w:p>
    <w:p>
      <w:pPr>
        <w:pStyle w:val="BodyText"/>
        <w:spacing w:line="240" w:lineRule="auto" w:before="31"/>
        <w:ind w:right="985"/>
        <w:jc w:val="left"/>
      </w:pPr>
      <w:r>
        <w:rPr>
          <w:rFonts w:ascii="Times New Roman" w:hAnsi="Times New Roman" w:cs="Times New Roman" w:eastAsia="Times New Roman" w:hint="default"/>
        </w:rPr>
        <w:t>2</w:t>
      </w:r>
      <w:r>
        <w:rPr/>
        <w:t>、公司发展目标及规划</w:t>
      </w:r>
    </w:p>
    <w:p>
      <w:pPr>
        <w:pStyle w:val="BodyText"/>
        <w:spacing w:line="300" w:lineRule="auto" w:before="63"/>
        <w:ind w:left="1424" w:right="1201" w:hanging="291"/>
        <w:jc w:val="left"/>
      </w:pPr>
      <w:r>
        <w:rPr/>
        <w:t>（</w:t>
      </w:r>
      <w:r>
        <w:rPr>
          <w:rFonts w:ascii="Times New Roman" w:hAnsi="Times New Roman" w:cs="Times New Roman" w:eastAsia="Times New Roman" w:hint="default"/>
        </w:rPr>
        <w:t>1</w:t>
      </w:r>
      <w:r>
        <w:rPr/>
        <w:t>）公司未来发展目标 云计算和大数据时代已经来临，我司将全面致力于向</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转型。围绕我司所处食品安全、档案、政法等行</w:t>
      </w:r>
    </w:p>
    <w:p>
      <w:pPr>
        <w:pStyle w:val="BodyText"/>
        <w:spacing w:line="316" w:lineRule="auto" w:before="13"/>
        <w:ind w:right="1033"/>
        <w:jc w:val="left"/>
      </w:pPr>
      <w:r>
        <w:rPr/>
        <w:t>业，利用云计算、区块链、物联网、人工智能等技术加快布局大数据资源汇集、大数据存储和运行维护、大数据分析应用、 大数据安全等业务领域；同时根据我司的优势及现状，将聚焦在行业</w:t>
      </w:r>
      <w:r>
        <w:rPr>
          <w:rFonts w:ascii="Times New Roman" w:hAnsi="Times New Roman" w:cs="Times New Roman" w:eastAsia="Times New Roman" w:hint="default"/>
        </w:rPr>
        <w:t>SaaS</w:t>
      </w:r>
      <w:r>
        <w:rPr/>
        <w:t>层及</w:t>
      </w:r>
      <w:r>
        <w:rPr>
          <w:rFonts w:ascii="Times New Roman" w:hAnsi="Times New Roman" w:cs="Times New Roman" w:eastAsia="Times New Roman" w:hint="default"/>
        </w:rPr>
        <w:t>PaaS</w:t>
      </w:r>
      <w:r>
        <w:rPr/>
        <w:t>层的云计算领域，并在公有云及</w:t>
      </w:r>
      <w:r>
        <w:rPr>
          <w:rFonts w:ascii="Times New Roman" w:hAnsi="Times New Roman" w:cs="Times New Roman" w:eastAsia="Times New Roman" w:hint="default"/>
        </w:rPr>
        <w:t>IaaS</w:t>
      </w:r>
      <w:r>
        <w:rPr/>
        <w:t>层和</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985"/>
        <w:jc w:val="left"/>
      </w:pPr>
      <w:r>
        <w:rPr/>
        <w:t>其他战略合伙伙伴一起共赢合作。</w:t>
      </w:r>
    </w:p>
    <w:p>
      <w:pPr>
        <w:pStyle w:val="BodyText"/>
        <w:spacing w:line="300" w:lineRule="auto" w:before="76"/>
        <w:ind w:left="1424" w:right="9223" w:hanging="291"/>
        <w:jc w:val="left"/>
      </w:pPr>
      <w:r>
        <w:rPr/>
        <w:t>（</w:t>
      </w:r>
      <w:r>
        <w:rPr>
          <w:rFonts w:ascii="Times New Roman" w:hAnsi="Times New Roman" w:cs="Times New Roman" w:eastAsia="Times New Roman" w:hint="default"/>
        </w:rPr>
        <w:t>2</w:t>
      </w:r>
      <w:r>
        <w:rPr/>
        <w:t>）行业发展规划 食品追溯业务</w:t>
      </w:r>
    </w:p>
    <w:p>
      <w:pPr>
        <w:pStyle w:val="BodyText"/>
        <w:spacing w:line="300" w:lineRule="auto" w:before="31"/>
        <w:ind w:right="985" w:firstLine="290"/>
        <w:jc w:val="left"/>
      </w:pPr>
      <w:r>
        <w:rPr>
          <w:rFonts w:ascii="Times New Roman" w:hAnsi="Times New Roman" w:cs="Times New Roman" w:eastAsia="Times New Roman" w:hint="default"/>
        </w:rPr>
        <w:t>2008</w:t>
      </w:r>
      <w:r>
        <w:rPr/>
        <w:t>年至今，我司参与了商务部、财政部主导的上海、北京、重庆、南京等全国</w:t>
      </w:r>
      <w:r>
        <w:rPr>
          <w:rFonts w:ascii="Times New Roman" w:hAnsi="Times New Roman" w:cs="Times New Roman" w:eastAsia="Times New Roman" w:hint="default"/>
        </w:rPr>
        <w:t>27</w:t>
      </w:r>
      <w:r>
        <w:rPr/>
        <w:t>个城市肉类蔬菜流通追溯体系建设和 宁夏、山东、青海、辽宁等</w:t>
      </w:r>
      <w:r>
        <w:rPr>
          <w:rFonts w:ascii="Times New Roman" w:hAnsi="Times New Roman" w:cs="Times New Roman" w:eastAsia="Times New Roman" w:hint="default"/>
        </w:rPr>
        <w:t>4</w:t>
      </w:r>
      <w:r>
        <w:rPr/>
        <w:t>个省市中药材流通追溯体系建设。我司所承建的追溯系统覆盖了全国种养殖基地</w:t>
      </w:r>
      <w:r>
        <w:rPr>
          <w:rFonts w:ascii="Times New Roman" w:hAnsi="Times New Roman" w:cs="Times New Roman" w:eastAsia="Times New Roman" w:hint="default"/>
        </w:rPr>
        <w:t>41</w:t>
      </w:r>
      <w:r>
        <w:rPr/>
        <w:t>家、屠宰厂 </w:t>
      </w:r>
      <w:r>
        <w:rPr>
          <w:spacing w:val="-1"/>
        </w:rPr>
        <w:t>企业</w:t>
      </w:r>
      <w:r>
        <w:rPr>
          <w:rFonts w:ascii="Times New Roman" w:hAnsi="Times New Roman" w:cs="Times New Roman" w:eastAsia="Times New Roman" w:hint="default"/>
          <w:spacing w:val="-1"/>
        </w:rPr>
        <w:t>222</w:t>
      </w:r>
      <w:r>
        <w:rPr>
          <w:spacing w:val="-1"/>
        </w:rPr>
        <w:t>家、批发配送企业</w:t>
      </w:r>
      <w:r>
        <w:rPr>
          <w:rFonts w:ascii="Times New Roman" w:hAnsi="Times New Roman" w:cs="Times New Roman" w:eastAsia="Times New Roman" w:hint="default"/>
          <w:spacing w:val="-1"/>
        </w:rPr>
        <w:t>632</w:t>
      </w:r>
      <w:r>
        <w:rPr>
          <w:spacing w:val="-1"/>
        </w:rPr>
        <w:t>家</w:t>
      </w:r>
      <w:r>
        <w:rPr>
          <w:rFonts w:ascii="Times New Roman" w:hAnsi="Times New Roman" w:cs="Times New Roman" w:eastAsia="Times New Roman" w:hint="default"/>
          <w:spacing w:val="-1"/>
        </w:rPr>
        <w:t>`</w:t>
      </w:r>
      <w:r>
        <w:rPr>
          <w:spacing w:val="-1"/>
        </w:rPr>
        <w:t>、生产加工企业</w:t>
      </w:r>
      <w:r>
        <w:rPr>
          <w:rFonts w:ascii="Times New Roman" w:hAnsi="Times New Roman" w:cs="Times New Roman" w:eastAsia="Times New Roman" w:hint="default"/>
          <w:spacing w:val="-1"/>
        </w:rPr>
        <w:t>28</w:t>
      </w:r>
      <w:r>
        <w:rPr>
          <w:spacing w:val="-1"/>
        </w:rPr>
        <w:t>家、菜市场</w:t>
      </w:r>
      <w:r>
        <w:rPr>
          <w:rFonts w:ascii="Times New Roman" w:hAnsi="Times New Roman" w:cs="Times New Roman" w:eastAsia="Times New Roman" w:hint="default"/>
          <w:spacing w:val="-1"/>
        </w:rPr>
        <w:t>1418</w:t>
      </w:r>
      <w:r>
        <w:rPr>
          <w:spacing w:val="-1"/>
        </w:rPr>
        <w:t>家、超市</w:t>
      </w:r>
      <w:r>
        <w:rPr>
          <w:rFonts w:ascii="Times New Roman" w:hAnsi="Times New Roman" w:cs="Times New Roman" w:eastAsia="Times New Roman" w:hint="default"/>
          <w:spacing w:val="-1"/>
        </w:rPr>
        <w:t>2700</w:t>
      </w:r>
      <w:r>
        <w:rPr>
          <w:spacing w:val="-1"/>
        </w:rPr>
        <w:t>家、团体消费单位</w:t>
      </w:r>
      <w:r>
        <w:rPr>
          <w:rFonts w:ascii="Times New Roman" w:hAnsi="Times New Roman" w:cs="Times New Roman" w:eastAsia="Times New Roman" w:hint="default"/>
          <w:spacing w:val="-1"/>
        </w:rPr>
        <w:t>1202</w:t>
      </w:r>
      <w:r>
        <w:rPr>
          <w:spacing w:val="-1"/>
        </w:rPr>
        <w:t>家、直营店</w:t>
      </w:r>
      <w:r>
        <w:rPr>
          <w:rFonts w:ascii="Times New Roman" w:hAnsi="Times New Roman" w:cs="Times New Roman" w:eastAsia="Times New Roman" w:hint="default"/>
          <w:spacing w:val="-1"/>
        </w:rPr>
        <w:t>1582</w:t>
      </w:r>
      <w:r>
        <w:rPr>
          <w:spacing w:val="-1"/>
        </w:rPr>
        <w:t>家，</w:t>
      </w:r>
      <w:r>
        <w:rPr>
          <w:spacing w:val="-77"/>
        </w:rPr>
        <w:t> </w:t>
      </w:r>
      <w:r>
        <w:rPr/>
        <w:t>实现了食用农产品和中药材从种养殖、生产加工、流通到消费的全程追溯。</w:t>
      </w:r>
    </w:p>
    <w:p>
      <w:pPr>
        <w:pStyle w:val="BodyText"/>
        <w:spacing w:line="307" w:lineRule="auto" w:before="31"/>
        <w:ind w:right="1129" w:firstLine="290"/>
        <w:jc w:val="left"/>
      </w:pPr>
      <w:r>
        <w:rPr/>
        <w:t>目前，我司利用</w:t>
      </w:r>
      <w:r>
        <w:rPr>
          <w:rFonts w:ascii="Times New Roman" w:hAnsi="Times New Roman" w:cs="Times New Roman" w:eastAsia="Times New Roman" w:hint="default"/>
        </w:rPr>
        <w:t>“</w:t>
      </w:r>
      <w:r>
        <w:rPr/>
        <w:t>追溯云</w:t>
      </w:r>
      <w:r>
        <w:rPr>
          <w:rFonts w:ascii="Times New Roman" w:hAnsi="Times New Roman" w:cs="Times New Roman" w:eastAsia="Times New Roman" w:hint="default"/>
        </w:rPr>
        <w:t>”</w:t>
      </w:r>
      <w:r>
        <w:rPr/>
        <w:t>为核心基础平台，以智慧农业云、智慧冷链云、智慧农批云、智慧零售云等四大</w:t>
      </w:r>
      <w:r>
        <w:rPr>
          <w:rFonts w:ascii="Times New Roman" w:hAnsi="Times New Roman" w:cs="Times New Roman" w:eastAsia="Times New Roman" w:hint="default"/>
        </w:rPr>
        <w:t>SAAS</w:t>
      </w:r>
      <w:r>
        <w:rPr/>
        <w:t>应用为 </w:t>
      </w:r>
      <w:r>
        <w:rPr>
          <w:spacing w:val="-1"/>
        </w:rPr>
        <w:t>支撑，构建食品安全供应链生态圈，推动农产品全产业链的</w:t>
      </w:r>
      <w:r>
        <w:rPr>
          <w:rFonts w:ascii="Times New Roman" w:hAnsi="Times New Roman" w:cs="Times New Roman" w:eastAsia="Times New Roman" w:hint="default"/>
          <w:spacing w:val="-1"/>
        </w:rPr>
        <w:t>“</w:t>
      </w:r>
      <w:r>
        <w:rPr>
          <w:spacing w:val="-1"/>
        </w:rPr>
        <w:t>信息流、物流、商流、资金流</w:t>
      </w:r>
      <w:r>
        <w:rPr>
          <w:rFonts w:ascii="Times New Roman" w:hAnsi="Times New Roman" w:cs="Times New Roman" w:eastAsia="Times New Roman" w:hint="default"/>
          <w:spacing w:val="-1"/>
        </w:rPr>
        <w:t>”</w:t>
      </w:r>
      <w:r>
        <w:rPr>
          <w:spacing w:val="-1"/>
        </w:rPr>
        <w:t>四流合一，实现</w:t>
      </w:r>
      <w:r>
        <w:rPr>
          <w:rFonts w:ascii="Times New Roman" w:hAnsi="Times New Roman" w:cs="Times New Roman" w:eastAsia="Times New Roman" w:hint="default"/>
          <w:spacing w:val="-1"/>
        </w:rPr>
        <w:t>“</w:t>
      </w:r>
      <w:r>
        <w:rPr>
          <w:spacing w:val="-1"/>
        </w:rPr>
        <w:t>从田头到餐桌</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6"/>
        </w:rPr>
        <w:t> </w:t>
      </w:r>
      <w:r>
        <w:rPr>
          <w:spacing w:val="-2"/>
        </w:rPr>
        <w:t>全产业链的贯通，进而推动提升农产品供应链的效率与食品安全的可控性，增加农民的收入，降低消费者的成本，利用追溯</w:t>
      </w:r>
      <w:r>
        <w:rPr>
          <w:spacing w:val="-65"/>
        </w:rPr>
        <w:t> </w:t>
      </w:r>
      <w:r>
        <w:rPr>
          <w:spacing w:val="-65"/>
        </w:rPr>
      </w:r>
      <w:r>
        <w:rPr/>
        <w:t>实现精准扶贫。</w:t>
      </w:r>
    </w:p>
    <w:p>
      <w:pPr>
        <w:pStyle w:val="BodyText"/>
        <w:spacing w:line="316" w:lineRule="auto" w:before="26"/>
        <w:ind w:left="1134" w:right="985" w:firstLine="290"/>
        <w:jc w:val="left"/>
      </w:pPr>
      <w:r>
        <w:rPr/>
        <w:t>未来，我司拟在种养殖、冷链物流、批发配送、生产加工、零售消费等环节建立区块链可信追溯联盟，借助于霍尼韦尔 </w:t>
      </w:r>
      <w:r>
        <w:rPr>
          <w:spacing w:val="-4"/>
        </w:rPr>
        <w:t>公司在人才、技术、资源等优势，利用区块链技术构建一个更安全、更高效、更加可持续、更值得信赖的食品安全追溯体系。</w:t>
      </w:r>
    </w:p>
    <w:p>
      <w:pPr>
        <w:pStyle w:val="BodyText"/>
        <w:spacing w:line="300" w:lineRule="auto" w:before="19"/>
        <w:ind w:left="1134" w:right="1122" w:firstLine="290"/>
        <w:jc w:val="left"/>
      </w:pPr>
      <w:r>
        <w:rPr/>
        <w:t>我司将致力于</w:t>
      </w:r>
      <w:r>
        <w:rPr>
          <w:rFonts w:ascii="Times New Roman" w:hAnsi="Times New Roman" w:cs="Times New Roman" w:eastAsia="Times New Roman" w:hint="default"/>
        </w:rPr>
        <w:t>“</w:t>
      </w:r>
      <w:r>
        <w:rPr/>
        <w:t>让人人都能吃上完全的食品</w:t>
      </w:r>
      <w:r>
        <w:rPr>
          <w:rFonts w:ascii="Times New Roman" w:hAnsi="Times New Roman" w:cs="Times New Roman" w:eastAsia="Times New Roman" w:hint="default"/>
        </w:rPr>
        <w:t>”</w:t>
      </w:r>
      <w:r>
        <w:rPr/>
        <w:t>为使命，针对农产品全产业链的信息不对称、食品安全基础薄弱等核心根源 问题，运用</w:t>
      </w:r>
      <w:r>
        <w:rPr>
          <w:rFonts w:ascii="Times New Roman" w:hAnsi="Times New Roman" w:cs="Times New Roman" w:eastAsia="Times New Roman" w:hint="default"/>
        </w:rPr>
        <w:t>“</w:t>
      </w:r>
      <w:r>
        <w:rPr/>
        <w:t>云计算、大数据、区块链、物联网、人工智能</w:t>
      </w:r>
      <w:r>
        <w:rPr>
          <w:rFonts w:ascii="Times New Roman" w:hAnsi="Times New Roman" w:cs="Times New Roman" w:eastAsia="Times New Roman" w:hint="default"/>
        </w:rPr>
        <w:t>”</w:t>
      </w:r>
      <w:r>
        <w:rPr/>
        <w:t>等最新技术，推动行业原有体系的更新和升级换代。</w:t>
      </w:r>
    </w:p>
    <w:p>
      <w:pPr>
        <w:pStyle w:val="BodyText"/>
        <w:spacing w:line="316" w:lineRule="auto" w:before="13"/>
        <w:ind w:left="1424" w:right="985"/>
        <w:jc w:val="left"/>
      </w:pPr>
      <w:r>
        <w:rPr/>
        <w:t>档案信息化业务 </w:t>
      </w:r>
      <w:r>
        <w:rPr>
          <w:spacing w:val="-1"/>
        </w:rPr>
        <w:t>我司将继续推动档案馆业务向区县、专业馆市场的不断渗透，推动档案室业务不断进行行业复制与拓展，全力推进智慧</w:t>
      </w:r>
    </w:p>
    <w:p>
      <w:pPr>
        <w:pStyle w:val="BodyText"/>
        <w:spacing w:line="312" w:lineRule="auto" w:before="19"/>
        <w:ind w:left="1424" w:right="1032" w:hanging="291"/>
        <w:jc w:val="left"/>
      </w:pPr>
      <w:r>
        <w:rPr/>
        <w:t>档案馆、智慧档案室业务，提升公司的市场占有率。 </w:t>
      </w:r>
      <w:r>
        <w:rPr>
          <w:spacing w:val="-2"/>
        </w:rPr>
        <w:t>与此同时，我司也将利用云计算技术加快推进档案的</w:t>
      </w:r>
      <w:r>
        <w:rPr>
          <w:rFonts w:ascii="Times New Roman" w:hAnsi="Times New Roman" w:cs="Times New Roman" w:eastAsia="Times New Roman" w:hint="default"/>
          <w:spacing w:val="-2"/>
        </w:rPr>
        <w:t>SaaS</w:t>
      </w:r>
      <w:r>
        <w:rPr>
          <w:spacing w:val="-2"/>
        </w:rPr>
        <w:t>运用和大数据的安全存储、挖掘、应用，打造业务新的增长点。</w:t>
      </w:r>
      <w:r>
        <w:rPr/>
        <w:t> 政法业务 我司在政法业务领域将实行聚焦战略，以监狱业务为主线，快速形成卡位优势，从产品与项目并重，逐步向产品研发为</w:t>
      </w:r>
    </w:p>
    <w:p>
      <w:pPr>
        <w:pStyle w:val="BodyText"/>
        <w:spacing w:line="300" w:lineRule="auto" w:before="22"/>
        <w:ind w:right="985"/>
        <w:jc w:val="left"/>
      </w:pPr>
      <w:r>
        <w:rPr>
          <w:spacing w:val="-4"/>
        </w:rPr>
        <w:t>主转型，快速抢占市场；积极探索构建特群服务云：采取特定环境下</w:t>
      </w:r>
      <w:r>
        <w:rPr>
          <w:rFonts w:ascii="Times New Roman" w:hAnsi="Times New Roman" w:cs="Times New Roman" w:eastAsia="Times New Roman" w:hint="default"/>
          <w:spacing w:val="-4"/>
        </w:rPr>
        <w:t>SaaS</w:t>
      </w:r>
      <w:r>
        <w:rPr>
          <w:spacing w:val="-4"/>
        </w:rPr>
        <w:t>应用服务模式，以移动端设备为载体集成相关服务，</w:t>
      </w:r>
      <w:r>
        <w:rPr>
          <w:spacing w:val="-38"/>
        </w:rPr>
        <w:t> </w:t>
      </w:r>
      <w:r>
        <w:rPr>
          <w:spacing w:val="-38"/>
        </w:rPr>
      </w:r>
      <w:r>
        <w:rPr/>
        <w:t>构建面向特殊群体提供综合云服务的第三方服务平台。</w:t>
      </w:r>
    </w:p>
    <w:p>
      <w:pPr>
        <w:pStyle w:val="BodyText"/>
        <w:spacing w:line="300" w:lineRule="auto" w:before="31"/>
        <w:ind w:right="1123" w:firstLine="290"/>
        <w:jc w:val="left"/>
      </w:pPr>
      <w:r>
        <w:rPr/>
        <w:t>我司也在积极发展公安行业智慧警务信息化建设，对接国家</w:t>
      </w:r>
      <w:r>
        <w:rPr>
          <w:rFonts w:ascii="Times New Roman" w:hAnsi="Times New Roman" w:cs="Times New Roman" w:eastAsia="Times New Roman" w:hint="default"/>
        </w:rPr>
        <w:t>“</w:t>
      </w:r>
      <w:r>
        <w:rPr/>
        <w:t>雪亮工程</w:t>
      </w:r>
      <w:r>
        <w:rPr>
          <w:rFonts w:ascii="Times New Roman" w:hAnsi="Times New Roman" w:cs="Times New Roman" w:eastAsia="Times New Roman" w:hint="default"/>
        </w:rPr>
        <w:t>”</w:t>
      </w:r>
      <w:r>
        <w:rPr/>
        <w:t>，把治安防范措施延伸到群众身边，推进社会治 安防控体系建设；适时开拓</w:t>
      </w:r>
      <w:r>
        <w:rPr>
          <w:rFonts w:ascii="Times New Roman" w:hAnsi="Times New Roman" w:cs="Times New Roman" w:eastAsia="Times New Roman" w:hint="default"/>
        </w:rPr>
        <w:t>“</w:t>
      </w:r>
      <w:r>
        <w:rPr/>
        <w:t>政务云</w:t>
      </w:r>
      <w:r>
        <w:rPr>
          <w:rFonts w:ascii="Times New Roman" w:hAnsi="Times New Roman" w:cs="Times New Roman" w:eastAsia="Times New Roman" w:hint="default"/>
        </w:rPr>
        <w:t>+</w:t>
      </w:r>
      <w:r>
        <w:rPr/>
        <w:t>企业</w:t>
      </w:r>
      <w:r>
        <w:rPr>
          <w:rFonts w:ascii="Times New Roman" w:hAnsi="Times New Roman" w:cs="Times New Roman" w:eastAsia="Times New Roman" w:hint="default"/>
        </w:rPr>
        <w:t>ERP</w:t>
      </w:r>
      <w:r>
        <w:rPr/>
        <w:t>云服务</w:t>
      </w:r>
      <w:r>
        <w:rPr>
          <w:rFonts w:ascii="Times New Roman" w:hAnsi="Times New Roman" w:cs="Times New Roman" w:eastAsia="Times New Roman" w:hint="default"/>
        </w:rPr>
        <w:t>”</w:t>
      </w:r>
      <w:r>
        <w:rPr/>
        <w:t>，推进重点项目，逐步发展成为公司新的业务增长点。</w:t>
      </w:r>
    </w:p>
    <w:p>
      <w:pPr>
        <w:pStyle w:val="BodyText"/>
        <w:spacing w:line="240" w:lineRule="auto" w:before="13"/>
        <w:ind w:left="1134" w:right="985"/>
        <w:jc w:val="left"/>
      </w:pPr>
      <w:r>
        <w:rPr/>
        <w:t>（</w:t>
      </w:r>
      <w:r>
        <w:rPr>
          <w:rFonts w:ascii="Times New Roman" w:hAnsi="Times New Roman" w:cs="Times New Roman" w:eastAsia="Times New Roman" w:hint="default"/>
        </w:rPr>
        <w:t>3</w:t>
      </w:r>
      <w:r>
        <w:rPr/>
        <w:t>）产品与服务的开发规划</w:t>
      </w:r>
    </w:p>
    <w:p>
      <w:pPr>
        <w:pStyle w:val="BodyText"/>
        <w:spacing w:line="300" w:lineRule="auto" w:before="63"/>
        <w:ind w:right="1131" w:firstLine="290"/>
        <w:jc w:val="left"/>
      </w:pPr>
      <w:r>
        <w:rPr>
          <w:spacing w:val="-2"/>
        </w:rPr>
        <w:t>经过</w:t>
      </w:r>
      <w:r>
        <w:rPr>
          <w:rFonts w:ascii="Times New Roman" w:hAnsi="Times New Roman" w:cs="Times New Roman" w:eastAsia="Times New Roman" w:hint="default"/>
          <w:spacing w:val="-2"/>
        </w:rPr>
        <w:t>10</w:t>
      </w:r>
      <w:r>
        <w:rPr>
          <w:spacing w:val="-2"/>
        </w:rPr>
        <w:t>多年的励精图治和不断创新，我司逐步建立起</w:t>
      </w:r>
      <w:r>
        <w:rPr>
          <w:rFonts w:ascii="Times New Roman" w:hAnsi="Times New Roman" w:cs="Times New Roman" w:eastAsia="Times New Roman" w:hint="default"/>
          <w:spacing w:val="-2"/>
        </w:rPr>
        <w:t>“</w:t>
      </w:r>
      <w:r>
        <w:rPr>
          <w:spacing w:val="-2"/>
        </w:rPr>
        <w:t>光典</w:t>
      </w:r>
      <w:r>
        <w:rPr>
          <w:rFonts w:ascii="Times New Roman" w:hAnsi="Times New Roman" w:cs="Times New Roman" w:eastAsia="Times New Roman" w:hint="default"/>
          <w:spacing w:val="-2"/>
        </w:rPr>
        <w:t>”</w:t>
      </w:r>
      <w:r>
        <w:rPr>
          <w:spacing w:val="-2"/>
        </w:rPr>
        <w:t>档案系列（</w:t>
      </w:r>
      <w:r>
        <w:rPr>
          <w:rFonts w:ascii="Times New Roman" w:hAnsi="Times New Roman" w:cs="Times New Roman" w:eastAsia="Times New Roman" w:hint="default"/>
          <w:spacing w:val="-2"/>
        </w:rPr>
        <w:t>E-Archives</w:t>
      </w:r>
      <w:r>
        <w:rPr>
          <w:spacing w:val="-2"/>
        </w:rPr>
        <w:t>）、</w:t>
      </w:r>
      <w:r>
        <w:rPr>
          <w:rFonts w:ascii="Times New Roman" w:hAnsi="Times New Roman" w:cs="Times New Roman" w:eastAsia="Times New Roman" w:hint="default"/>
          <w:spacing w:val="-2"/>
        </w:rPr>
        <w:t>“</w:t>
      </w:r>
      <w:r>
        <w:rPr>
          <w:spacing w:val="-2"/>
        </w:rPr>
        <w:t>智圄</w:t>
      </w:r>
      <w:r>
        <w:rPr>
          <w:rFonts w:ascii="Times New Roman" w:hAnsi="Times New Roman" w:cs="Times New Roman" w:eastAsia="Times New Roman" w:hint="default"/>
          <w:spacing w:val="-2"/>
        </w:rPr>
        <w:t>”</w:t>
      </w:r>
      <w:r>
        <w:rPr>
          <w:spacing w:val="-2"/>
        </w:rPr>
        <w:t>监狱系列（</w:t>
      </w:r>
      <w:r>
        <w:rPr>
          <w:rFonts w:ascii="Times New Roman" w:hAnsi="Times New Roman" w:cs="Times New Roman" w:eastAsia="Times New Roman" w:hint="default"/>
          <w:spacing w:val="-2"/>
        </w:rPr>
        <w:t>E-JIS</w:t>
      </w:r>
      <w:r>
        <w:rPr>
          <w:spacing w:val="-2"/>
        </w:rPr>
        <w:t>）、</w:t>
      </w:r>
      <w:r>
        <w:rPr>
          <w:rFonts w:ascii="Times New Roman" w:hAnsi="Times New Roman" w:cs="Times New Roman" w:eastAsia="Times New Roman" w:hint="default"/>
          <w:spacing w:val="-2"/>
        </w:rPr>
        <w:t>“</w:t>
      </w:r>
      <w:r>
        <w:rPr>
          <w:spacing w:val="-2"/>
        </w:rPr>
        <w:t>追索</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食品追溯系列（</w:t>
      </w:r>
      <w:r>
        <w:rPr>
          <w:rFonts w:ascii="Times New Roman" w:hAnsi="Times New Roman" w:cs="Times New Roman" w:eastAsia="Times New Roman" w:hint="default"/>
        </w:rPr>
        <w:t>E-Trace</w:t>
      </w:r>
      <w:r>
        <w:rPr/>
        <w:t>）、</w:t>
      </w:r>
      <w:r>
        <w:rPr>
          <w:rFonts w:ascii="Times New Roman" w:hAnsi="Times New Roman" w:cs="Times New Roman" w:eastAsia="Times New Roman" w:hint="default"/>
        </w:rPr>
        <w:t>“</w:t>
      </w:r>
      <w:r>
        <w:rPr/>
        <w:t>光玺</w:t>
      </w:r>
      <w:r>
        <w:rPr>
          <w:rFonts w:ascii="Times New Roman" w:hAnsi="Times New Roman" w:cs="Times New Roman" w:eastAsia="Times New Roman" w:hint="default"/>
        </w:rPr>
        <w:t>”</w:t>
      </w:r>
      <w:r>
        <w:rPr/>
        <w:t>文博系列（</w:t>
      </w:r>
      <w:r>
        <w:rPr>
          <w:rFonts w:ascii="Times New Roman" w:hAnsi="Times New Roman" w:cs="Times New Roman" w:eastAsia="Times New Roman" w:hint="default"/>
        </w:rPr>
        <w:t>E-Museum</w:t>
      </w:r>
      <w:r>
        <w:rPr/>
        <w:t>）、</w:t>
      </w:r>
      <w:r>
        <w:rPr>
          <w:rFonts w:ascii="Times New Roman" w:hAnsi="Times New Roman" w:cs="Times New Roman" w:eastAsia="Times New Roman" w:hint="default"/>
        </w:rPr>
        <w:t>“</w:t>
      </w:r>
      <w:r>
        <w:rPr/>
        <w:t>智农信发</w:t>
      </w:r>
      <w:r>
        <w:rPr>
          <w:rFonts w:ascii="Times New Roman" w:hAnsi="Times New Roman" w:cs="Times New Roman" w:eastAsia="Times New Roman" w:hint="default"/>
        </w:rPr>
        <w:t>”</w:t>
      </w:r>
      <w:r>
        <w:rPr/>
        <w:t>农业系列（</w:t>
      </w:r>
      <w:r>
        <w:rPr>
          <w:rFonts w:ascii="Times New Roman" w:hAnsi="Times New Roman" w:cs="Times New Roman" w:eastAsia="Times New Roman" w:hint="default"/>
        </w:rPr>
        <w:t>E-Agriculture</w:t>
      </w:r>
      <w:r>
        <w:rPr/>
        <w:t>）、</w:t>
      </w:r>
      <w:r>
        <w:rPr>
          <w:spacing w:val="-24"/>
        </w:rPr>
        <w:t> </w:t>
      </w:r>
      <w:r>
        <w:rPr>
          <w:rFonts w:ascii="Times New Roman" w:hAnsi="Times New Roman" w:cs="Times New Roman" w:eastAsia="Times New Roman" w:hint="default"/>
        </w:rPr>
        <w:t>“</w:t>
      </w:r>
      <w:r>
        <w:rPr/>
        <w:t>协同快车</w:t>
      </w:r>
      <w:r>
        <w:rPr>
          <w:rFonts w:ascii="Times New Roman" w:hAnsi="Times New Roman" w:cs="Times New Roman" w:eastAsia="Times New Roman" w:hint="default"/>
        </w:rPr>
        <w:t>”</w:t>
      </w:r>
      <w:r>
        <w:rPr/>
        <w:t>办公系列</w:t>
      </w:r>
    </w:p>
    <w:p>
      <w:pPr>
        <w:pStyle w:val="BodyText"/>
        <w:spacing w:line="300" w:lineRule="auto" w:before="13"/>
        <w:ind w:left="1424" w:right="1163" w:hanging="291"/>
        <w:jc w:val="left"/>
      </w:pPr>
      <w:r>
        <w:rPr/>
        <w:t>（</w:t>
      </w:r>
      <w:r>
        <w:rPr>
          <w:rFonts w:ascii="Times New Roman" w:hAnsi="Times New Roman" w:cs="Times New Roman" w:eastAsia="Times New Roman" w:hint="default"/>
        </w:rPr>
        <w:t>E-Coffice</w:t>
      </w:r>
      <w:r>
        <w:rPr/>
        <w:t>）六大应用产品线，多达近</w:t>
      </w:r>
      <w:r>
        <w:rPr>
          <w:rFonts w:ascii="Times New Roman" w:hAnsi="Times New Roman" w:cs="Times New Roman" w:eastAsia="Times New Roman" w:hint="default"/>
        </w:rPr>
        <w:t>300</w:t>
      </w:r>
      <w:r>
        <w:rPr/>
        <w:t>项软件著作权使我们的产品枝繁叶茂。 同时</w:t>
      </w:r>
      <w:r>
        <w:rPr>
          <w:rFonts w:ascii="Times New Roman" w:hAnsi="Times New Roman" w:cs="Times New Roman" w:eastAsia="Times New Roman" w:hint="default"/>
        </w:rPr>
        <w:t>“</w:t>
      </w:r>
      <w:r>
        <w:rPr/>
        <w:t>云基</w:t>
      </w:r>
      <w:r>
        <w:rPr>
          <w:rFonts w:ascii="Times New Roman" w:hAnsi="Times New Roman" w:cs="Times New Roman" w:eastAsia="Times New Roman" w:hint="default"/>
        </w:rPr>
        <w:t>”</w:t>
      </w:r>
      <w:r>
        <w:rPr/>
        <w:t>平台软件系列、</w:t>
      </w:r>
      <w:r>
        <w:rPr>
          <w:rFonts w:ascii="Times New Roman" w:hAnsi="Times New Roman" w:cs="Times New Roman" w:eastAsia="Times New Roman" w:hint="default"/>
        </w:rPr>
        <w:t>“</w:t>
      </w:r>
      <w:r>
        <w:rPr/>
        <w:t>灵器</w:t>
      </w:r>
      <w:r>
        <w:rPr>
          <w:rFonts w:ascii="Times New Roman" w:hAnsi="Times New Roman" w:cs="Times New Roman" w:eastAsia="Times New Roman" w:hint="default"/>
        </w:rPr>
        <w:t>”</w:t>
      </w:r>
      <w:r>
        <w:rPr/>
        <w:t>工具软件系列、</w:t>
      </w:r>
      <w:r>
        <w:rPr>
          <w:rFonts w:ascii="Times New Roman" w:hAnsi="Times New Roman" w:cs="Times New Roman" w:eastAsia="Times New Roman" w:hint="default"/>
        </w:rPr>
        <w:t>“</w:t>
      </w:r>
      <w:r>
        <w:rPr/>
        <w:t>光曜</w:t>
      </w:r>
      <w:r>
        <w:rPr>
          <w:rFonts w:ascii="Times New Roman" w:hAnsi="Times New Roman" w:cs="Times New Roman" w:eastAsia="Times New Roman" w:hint="default"/>
        </w:rPr>
        <w:t>”</w:t>
      </w:r>
      <w:r>
        <w:rPr/>
        <w:t>实验室技术创新为应用软件产品提供了基础和保障，正如肥沃</w:t>
      </w:r>
    </w:p>
    <w:p>
      <w:pPr>
        <w:pStyle w:val="BodyText"/>
        <w:spacing w:line="309" w:lineRule="auto" w:before="13"/>
        <w:ind w:right="1027"/>
        <w:jc w:val="left"/>
      </w:pPr>
      <w:r>
        <w:rPr>
          <w:spacing w:val="-2"/>
        </w:rPr>
        <w:t>的土壤、灵巧的工具、充沛的阳光滋润、保护和照耀着我们的产品树茁壮成长；而实施保障体系、标准规范体系和安全保障</w:t>
      </w:r>
      <w:r>
        <w:rPr>
          <w:spacing w:val="-66"/>
        </w:rPr>
        <w:t> </w:t>
      </w:r>
      <w:r>
        <w:rPr>
          <w:spacing w:val="-66"/>
        </w:rPr>
      </w:r>
      <w:r>
        <w:rPr/>
        <w:t>体系正如应用软件产品的根，牢牢地抓向土壤深处，从中吸取丰富的营养。云基（</w:t>
      </w:r>
      <w:r>
        <w:rPr>
          <w:rFonts w:ascii="Times New Roman" w:hAnsi="Times New Roman" w:cs="Times New Roman" w:eastAsia="Times New Roman" w:hint="default"/>
        </w:rPr>
        <w:t>Cloud Base</w:t>
      </w:r>
      <w:r>
        <w:rPr/>
        <w:t>）的</w:t>
      </w:r>
      <w:r>
        <w:rPr>
          <w:rFonts w:ascii="Times New Roman" w:hAnsi="Times New Roman" w:cs="Times New Roman" w:eastAsia="Times New Roman" w:hint="default"/>
        </w:rPr>
        <w:t>“C”</w:t>
      </w:r>
      <w:r>
        <w:rPr/>
        <w:t>、灵器（</w:t>
      </w:r>
      <w:r>
        <w:rPr>
          <w:rFonts w:ascii="Times New Roman" w:hAnsi="Times New Roman" w:cs="Times New Roman" w:eastAsia="Times New Roman" w:hint="default"/>
        </w:rPr>
        <w:t>Smart</w:t>
      </w:r>
      <w:r>
        <w:rPr>
          <w:rFonts w:ascii="Times New Roman" w:hAnsi="Times New Roman" w:cs="Times New Roman" w:eastAsia="Times New Roman" w:hint="default"/>
          <w:spacing w:val="-14"/>
        </w:rPr>
        <w:t> </w:t>
      </w:r>
      <w:r>
        <w:rPr>
          <w:rFonts w:ascii="Times New Roman" w:hAnsi="Times New Roman" w:cs="Times New Roman" w:eastAsia="Times New Roman" w:hint="default"/>
        </w:rPr>
        <w:t>Tools</w:t>
      </w:r>
      <w:r>
        <w:rPr/>
        <w:t>） 的</w:t>
      </w:r>
      <w:r>
        <w:rPr>
          <w:rFonts w:ascii="Times New Roman" w:hAnsi="Times New Roman" w:cs="Times New Roman" w:eastAsia="Times New Roman" w:hint="default"/>
        </w:rPr>
        <w:t>“S”</w:t>
      </w:r>
      <w:r>
        <w:rPr/>
        <w:t>和应用产品系列中的</w:t>
      </w:r>
      <w:r>
        <w:rPr>
          <w:rFonts w:ascii="Times New Roman" w:hAnsi="Times New Roman" w:cs="Times New Roman" w:eastAsia="Times New Roman" w:hint="default"/>
        </w:rPr>
        <w:t>“E”</w:t>
      </w:r>
      <w:r>
        <w:rPr/>
        <w:t>共同构成了信息发展的英文简称</w:t>
      </w:r>
      <w:r>
        <w:rPr>
          <w:rFonts w:ascii="Times New Roman" w:hAnsi="Times New Roman" w:cs="Times New Roman" w:eastAsia="Times New Roman" w:hint="default"/>
        </w:rPr>
        <w:t>CES</w:t>
      </w:r>
      <w:r>
        <w:rPr/>
        <w:t>，预示着</w:t>
      </w:r>
      <w:r>
        <w:rPr>
          <w:rFonts w:ascii="Times New Roman" w:hAnsi="Times New Roman" w:cs="Times New Roman" w:eastAsia="Times New Roman" w:hint="default"/>
        </w:rPr>
        <w:t>CES</w:t>
      </w:r>
      <w:r>
        <w:rPr/>
        <w:t>产品树林将更加欣欣向荣。</w:t>
      </w:r>
    </w:p>
    <w:p>
      <w:pPr>
        <w:pStyle w:val="BodyText"/>
        <w:spacing w:line="300" w:lineRule="auto" w:before="5"/>
        <w:ind w:right="1355" w:firstLine="290"/>
        <w:jc w:val="left"/>
      </w:pPr>
      <w:r>
        <w:rPr>
          <w:rFonts w:ascii="Times New Roman" w:hAnsi="Times New Roman" w:cs="Times New Roman" w:eastAsia="Times New Roman" w:hint="default"/>
        </w:rPr>
        <w:t>“</w:t>
      </w:r>
      <w:r>
        <w:rPr/>
        <w:t>追溯云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智农云</w:t>
      </w:r>
      <w:r>
        <w:rPr>
          <w:rFonts w:ascii="Times New Roman" w:hAnsi="Times New Roman" w:cs="Times New Roman" w:eastAsia="Times New Roman" w:hint="default"/>
        </w:rPr>
        <w:t>”</w:t>
      </w:r>
      <w:r>
        <w:rPr/>
        <w:t>是公司的食品追溯业务和农业业务积极对接互联网之后延伸出来的</w:t>
      </w:r>
      <w:r>
        <w:rPr>
          <w:rFonts w:ascii="Times New Roman" w:hAnsi="Times New Roman" w:cs="Times New Roman" w:eastAsia="Times New Roman" w:hint="default"/>
        </w:rPr>
        <w:t>SaaS</w:t>
      </w:r>
      <w:r>
        <w:rPr/>
        <w:t>业务，未来还会有</w:t>
      </w:r>
      <w:r>
        <w:rPr>
          <w:spacing w:val="-22"/>
        </w:rPr>
        <w:t> </w:t>
      </w:r>
      <w:r>
        <w:rPr>
          <w:rFonts w:ascii="Times New Roman" w:hAnsi="Times New Roman" w:cs="Times New Roman" w:eastAsia="Times New Roman" w:hint="default"/>
        </w:rPr>
        <w:t>“</w:t>
      </w:r>
      <w:r>
        <w:rPr/>
        <w:t>档案 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冷链云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特群云</w:t>
      </w:r>
      <w:r>
        <w:rPr>
          <w:rFonts w:ascii="Times New Roman" w:hAnsi="Times New Roman" w:cs="Times New Roman" w:eastAsia="Times New Roman" w:hint="default"/>
        </w:rPr>
        <w:t>”</w:t>
      </w:r>
      <w:r>
        <w:rPr/>
        <w:t>等相关业务的</w:t>
      </w:r>
      <w:r>
        <w:rPr>
          <w:rFonts w:ascii="Times New Roman" w:hAnsi="Times New Roman" w:cs="Times New Roman" w:eastAsia="Times New Roman" w:hint="default"/>
        </w:rPr>
        <w:t>SaaS</w:t>
      </w:r>
      <w:r>
        <w:rPr/>
        <w:t>应用。</w:t>
      </w:r>
    </w:p>
    <w:p>
      <w:pPr>
        <w:pStyle w:val="BodyText"/>
        <w:spacing w:line="300" w:lineRule="auto" w:before="13"/>
        <w:ind w:left="1424" w:right="1102" w:hanging="291"/>
        <w:jc w:val="left"/>
      </w:pPr>
      <w:r>
        <w:rPr/>
        <w:t>（</w:t>
      </w:r>
      <w:r>
        <w:rPr>
          <w:rFonts w:ascii="Times New Roman" w:hAnsi="Times New Roman" w:cs="Times New Roman" w:eastAsia="Times New Roman" w:hint="default"/>
        </w:rPr>
        <w:t>4</w:t>
      </w:r>
      <w:r>
        <w:rPr/>
        <w:t>）技术创新的规划和目标 信息发展研究院是为贯彻科技兴企战略而设立的创新研发机构。研究院以科研为基础，以人才为根本，以市场为导向，</w:t>
      </w:r>
    </w:p>
    <w:p>
      <w:pPr>
        <w:pStyle w:val="BodyText"/>
        <w:spacing w:line="316" w:lineRule="auto" w:before="31"/>
        <w:ind w:left="1134" w:right="985"/>
        <w:jc w:val="left"/>
      </w:pPr>
      <w:r>
        <w:rPr>
          <w:spacing w:val="-4"/>
        </w:rPr>
        <w:t>以创新为手段，通过开展市场研究、业务研究、技术研究和产品研发，大力实施科技成果产业化，为企业的发展提供源动力，</w:t>
      </w:r>
      <w:r>
        <w:rPr>
          <w:spacing w:val="-44"/>
        </w:rPr>
        <w:t> </w:t>
      </w:r>
      <w:r>
        <w:rPr>
          <w:spacing w:val="-44"/>
        </w:rPr>
      </w:r>
      <w:r>
        <w:rPr/>
        <w:t>为我国食品安全、档案行业、政法行业科技水平的提升做出应有的贡献。</w:t>
      </w:r>
    </w:p>
    <w:p>
      <w:pPr>
        <w:pStyle w:val="BodyText"/>
        <w:spacing w:line="300" w:lineRule="auto" w:before="19"/>
        <w:ind w:right="985" w:firstLine="290"/>
        <w:jc w:val="left"/>
      </w:pPr>
      <w:r>
        <w:rPr>
          <w:spacing w:val="-1"/>
        </w:rPr>
        <w:t>信息发展研究院成立于</w:t>
      </w:r>
      <w:r>
        <w:rPr>
          <w:rFonts w:ascii="Times New Roman" w:hAnsi="Times New Roman" w:cs="Times New Roman" w:eastAsia="Times New Roman" w:hint="default"/>
          <w:spacing w:val="-1"/>
        </w:rPr>
        <w:t>2016</w:t>
      </w:r>
      <w:r>
        <w:rPr>
          <w:spacing w:val="-1"/>
        </w:rPr>
        <w:t>年，下设基础研究分院和行业研究分院，现有专职研究人员约</w:t>
      </w:r>
      <w:r>
        <w:rPr>
          <w:rFonts w:ascii="Times New Roman" w:hAnsi="Times New Roman" w:cs="Times New Roman" w:eastAsia="Times New Roman" w:hint="default"/>
          <w:spacing w:val="-1"/>
        </w:rPr>
        <w:t>50</w:t>
      </w:r>
      <w:r>
        <w:rPr>
          <w:spacing w:val="-1"/>
        </w:rPr>
        <w:t>人，产品研发人员约</w:t>
      </w:r>
      <w:r>
        <w:rPr>
          <w:rFonts w:ascii="Times New Roman" w:hAnsi="Times New Roman" w:cs="Times New Roman" w:eastAsia="Times New Roman" w:hint="default"/>
          <w:spacing w:val="-1"/>
        </w:rPr>
        <w:t>150</w:t>
      </w:r>
      <w:r>
        <w:rPr>
          <w:spacing w:val="-1"/>
        </w:rPr>
        <w:t>人。</w:t>
      </w:r>
      <w:r>
        <w:rPr/>
        <w:t> 研究院总部设在上海大虹桥商务区信息发展产业园内，在北京、济南、合肥、银川等地设有研发分中心。研究院秉承</w:t>
      </w:r>
      <w:r>
        <w:rPr>
          <w:rFonts w:ascii="Times New Roman" w:hAnsi="Times New Roman" w:cs="Times New Roman" w:eastAsia="Times New Roman" w:hint="default"/>
        </w:rPr>
        <w:t>“</w:t>
      </w:r>
      <w:r>
        <w:rPr/>
        <w:t>创新 是一种态度、研究是一种情怀</w:t>
      </w:r>
      <w:r>
        <w:rPr>
          <w:rFonts w:ascii="Times New Roman" w:hAnsi="Times New Roman" w:cs="Times New Roman" w:eastAsia="Times New Roman" w:hint="default"/>
        </w:rPr>
        <w:t>”</w:t>
      </w:r>
      <w:r>
        <w:rPr/>
        <w:t>的宗旨，是公司的装备站、创新旅、专家库和实验室。</w:t>
      </w:r>
    </w:p>
    <w:p>
      <w:pPr>
        <w:pStyle w:val="BodyText"/>
        <w:spacing w:line="300" w:lineRule="auto" w:before="13"/>
        <w:ind w:left="1134" w:right="985" w:firstLine="290"/>
        <w:jc w:val="left"/>
        <w:rPr>
          <w:rFonts w:ascii="Times New Roman" w:hAnsi="Times New Roman" w:cs="Times New Roman" w:eastAsia="Times New Roman" w:hint="default"/>
        </w:rPr>
      </w:pPr>
      <w:r>
        <w:rPr/>
        <w:t>未来，信息发展研究院将与霍尼韦尔、</w:t>
      </w:r>
      <w:r>
        <w:rPr>
          <w:rFonts w:ascii="Times New Roman" w:hAnsi="Times New Roman" w:cs="Times New Roman" w:eastAsia="Times New Roman" w:hint="default"/>
        </w:rPr>
        <w:t>Piql</w:t>
      </w:r>
      <w:r>
        <w:rPr/>
        <w:t>等国内外</w:t>
      </w:r>
      <w:r>
        <w:rPr>
          <w:rFonts w:ascii="Times New Roman" w:hAnsi="Times New Roman" w:cs="Times New Roman" w:eastAsia="Times New Roman" w:hint="default"/>
        </w:rPr>
        <w:t>IT</w:t>
      </w:r>
      <w:r>
        <w:rPr/>
        <w:t>厂商展开合作，陆续成立区块链实验室、食品检测实验室等，未 来还有规划成立云计算实验室、大数据实验室、人工智能实验室、软件工厂实验室等联合创新实验室，针对</w:t>
      </w:r>
      <w:r>
        <w:rPr>
          <w:rFonts w:ascii="Times New Roman" w:hAnsi="Times New Roman" w:cs="Times New Roman" w:eastAsia="Times New Roman" w:hint="default"/>
        </w:rPr>
        <w:t>“</w:t>
      </w:r>
      <w:r>
        <w:rPr/>
        <w:t>云数物智链</w:t>
      </w:r>
      <w:r>
        <w:rPr>
          <w:rFonts w:ascii="Times New Roman" w:hAnsi="Times New Roman" w:cs="Times New Roman" w:eastAsia="Times New Roman" w:hint="default"/>
        </w:rPr>
        <w:t>”</w:t>
      </w:r>
    </w:p>
    <w:p>
      <w:pPr>
        <w:spacing w:after="0" w:line="30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316" w:lineRule="auto"/>
        <w:ind w:right="1131"/>
        <w:jc w:val="both"/>
      </w:pPr>
      <w:r>
        <w:rPr>
          <w:spacing w:val="-2"/>
        </w:rPr>
        <w:t>的技术创新方向展开前瞻性战略研究，并将研究成果应用于公司主营业务，为公司食安、档案、政法等业务的快速发展插上</w:t>
      </w:r>
      <w:r>
        <w:rPr>
          <w:spacing w:val="-66"/>
        </w:rPr>
        <w:t> </w:t>
      </w:r>
      <w:r>
        <w:rPr>
          <w:spacing w:val="-66"/>
        </w:rPr>
      </w:r>
      <w:r>
        <w:rPr/>
        <w:t>翅膀。</w:t>
      </w:r>
    </w:p>
    <w:p>
      <w:pPr>
        <w:pStyle w:val="BodyText"/>
        <w:spacing w:line="300" w:lineRule="auto" w:before="19"/>
        <w:ind w:left="1424" w:right="1102" w:hanging="291"/>
        <w:jc w:val="left"/>
      </w:pPr>
      <w:r>
        <w:rPr/>
        <w:t>（</w:t>
      </w:r>
      <w:r>
        <w:rPr>
          <w:rFonts w:ascii="Times New Roman" w:hAnsi="Times New Roman" w:cs="Times New Roman" w:eastAsia="Times New Roman" w:hint="default"/>
        </w:rPr>
        <w:t>5</w:t>
      </w:r>
      <w:r>
        <w:rPr/>
        <w:t>）人才发展战略 人才战略是公司实现战略发展的基础，是未来业绩增长的加速器，我司未来将更注重高层次人才的选用机制建设工作，</w:t>
      </w:r>
    </w:p>
    <w:p>
      <w:pPr>
        <w:pStyle w:val="BodyText"/>
        <w:spacing w:line="316" w:lineRule="auto" w:before="32"/>
        <w:ind w:left="1134" w:right="1130"/>
        <w:jc w:val="both"/>
      </w:pPr>
      <w:r>
        <w:rPr>
          <w:spacing w:val="-2"/>
        </w:rPr>
        <w:t>将引进众多高端人才、领军人才来助力企业快速发展，各类人才将在管理经营、新产品研发、重大项目建设、科技创新、前</w:t>
      </w:r>
      <w:r>
        <w:rPr>
          <w:spacing w:val="-67"/>
        </w:rPr>
        <w:t> </w:t>
      </w:r>
      <w:r>
        <w:rPr>
          <w:spacing w:val="-67"/>
        </w:rPr>
      </w:r>
      <w:r>
        <w:rPr>
          <w:spacing w:val="-2"/>
        </w:rPr>
        <w:t>沿技术探索、云计算、人工智能、大数据、区块链研究等方面发挥重要作用，形成人尽其才，才尽其用的良好发展环境，让</w:t>
      </w:r>
      <w:r>
        <w:rPr>
          <w:spacing w:val="-70"/>
        </w:rPr>
        <w:t> </w:t>
      </w:r>
      <w:r>
        <w:rPr>
          <w:spacing w:val="-70"/>
        </w:rPr>
      </w:r>
      <w:r>
        <w:rPr/>
        <w:t>人才成为企业未来发展聚力赋能的重要保障。</w:t>
      </w:r>
    </w:p>
    <w:p>
      <w:pPr>
        <w:pStyle w:val="BodyText"/>
        <w:spacing w:line="316" w:lineRule="auto" w:before="19"/>
        <w:ind w:left="1134" w:right="985" w:firstLine="290"/>
        <w:jc w:val="left"/>
      </w:pPr>
      <w:r>
        <w:rPr/>
        <w:t>同时公司加强内部员工培训，提高员工的整体素质，将根据鹰计划人才培养体系的核心理念，按照优秀员工成长的四个 </w:t>
      </w:r>
      <w:r>
        <w:rPr>
          <w:spacing w:val="-4"/>
        </w:rPr>
        <w:t>典型阶段，建立系统的培育企业人才计划，大幅度增加员工培训预算，实行在岗培训和脱产培训相结合，外训与内训相结合，</w:t>
      </w:r>
      <w:r>
        <w:rPr>
          <w:spacing w:val="-46"/>
        </w:rPr>
        <w:t> </w:t>
      </w:r>
      <w:r>
        <w:rPr>
          <w:spacing w:val="-46"/>
        </w:rPr>
      </w:r>
      <w:r>
        <w:rPr>
          <w:spacing w:val="-2"/>
        </w:rPr>
        <w:t>管理能力培训与业务技术培训相结合的原则，不断提高员工管理水平和业务能力，使员工能够在技术能力与业务能力方面得</w:t>
      </w:r>
      <w:r>
        <w:rPr>
          <w:spacing w:val="-64"/>
        </w:rPr>
        <w:t> </w:t>
      </w:r>
      <w:r>
        <w:rPr>
          <w:spacing w:val="-64"/>
        </w:rPr>
      </w:r>
      <w:r>
        <w:rPr>
          <w:spacing w:val="-2"/>
        </w:rPr>
        <w:t>到大幅提升，并且将培训所学得的知识充分运用于实际工作中，不断提升整体素质与能力，为打造优秀的团队奠定坚实的基</w:t>
      </w:r>
      <w:r>
        <w:rPr>
          <w:spacing w:val="-65"/>
        </w:rPr>
        <w:t> </w:t>
      </w:r>
      <w:r>
        <w:rPr>
          <w:spacing w:val="-65"/>
        </w:rPr>
      </w:r>
      <w:r>
        <w:rPr/>
        <w:t>础。</w:t>
      </w:r>
    </w:p>
    <w:p>
      <w:pPr>
        <w:pStyle w:val="BodyText"/>
        <w:spacing w:line="300" w:lineRule="auto" w:before="19"/>
        <w:ind w:left="1424" w:right="985" w:hanging="291"/>
        <w:jc w:val="left"/>
      </w:pPr>
      <w:r>
        <w:rPr/>
        <w:t>（</w:t>
      </w:r>
      <w:r>
        <w:rPr>
          <w:rFonts w:ascii="Times New Roman" w:hAnsi="Times New Roman" w:cs="Times New Roman" w:eastAsia="Times New Roman" w:hint="default"/>
        </w:rPr>
        <w:t>6</w:t>
      </w:r>
      <w:r>
        <w:rPr/>
        <w:t>）市场开拓与营销计划 </w:t>
      </w:r>
      <w:r>
        <w:rPr>
          <w:spacing w:val="-1"/>
        </w:rPr>
        <w:t>未来我司将在现有全国营销网络的基础上重点布局华东、华北、华南、华中、华西五大区域总部的建设，加快</w:t>
      </w:r>
      <w:r>
        <w:rPr>
          <w:rFonts w:ascii="Times New Roman" w:hAnsi="Times New Roman" w:cs="Times New Roman" w:eastAsia="Times New Roman" w:hint="default"/>
          <w:spacing w:val="-1"/>
        </w:rPr>
        <w:t>SaaS</w:t>
      </w:r>
      <w:r>
        <w:rPr>
          <w:spacing w:val="-1"/>
        </w:rPr>
        <w:t>应用</w:t>
      </w:r>
      <w:r>
        <w:rPr/>
      </w:r>
    </w:p>
    <w:p>
      <w:pPr>
        <w:pStyle w:val="BodyText"/>
        <w:spacing w:line="300" w:lineRule="auto" w:before="13"/>
        <w:ind w:right="1132"/>
        <w:jc w:val="both"/>
      </w:pPr>
      <w:r>
        <w:rPr>
          <w:spacing w:val="-2"/>
        </w:rPr>
        <w:t>销售队伍和</w:t>
      </w:r>
      <w:r>
        <w:rPr>
          <w:rFonts w:ascii="Times New Roman" w:hAnsi="Times New Roman" w:cs="Times New Roman" w:eastAsia="Times New Roman" w:hint="default"/>
          <w:spacing w:val="-2"/>
        </w:rPr>
        <w:t>SaaS</w:t>
      </w:r>
      <w:r>
        <w:rPr>
          <w:spacing w:val="-2"/>
        </w:rPr>
        <w:t>应用服务队伍的建设，加快行业产品的销售渠道的建设，加快全国市场的布局，加大力度推进企业从项目型</w:t>
      </w:r>
      <w:r>
        <w:rPr>
          <w:spacing w:val="-63"/>
        </w:rPr>
        <w:t> </w:t>
      </w:r>
      <w:r>
        <w:rPr>
          <w:spacing w:val="-63"/>
        </w:rPr>
      </w:r>
      <w:r>
        <w:rPr/>
        <w:t>向顾问型、服务型和软硬件产品销售转型，增强企业的市场竞争力，提升公司的毛利率，增加公司的收入。</w:t>
      </w:r>
    </w:p>
    <w:p>
      <w:pPr>
        <w:pStyle w:val="BodyText"/>
        <w:spacing w:line="316" w:lineRule="auto" w:before="31"/>
        <w:ind w:right="985" w:firstLine="290"/>
        <w:jc w:val="left"/>
      </w:pPr>
      <w:r>
        <w:rPr>
          <w:spacing w:val="-1"/>
        </w:rPr>
        <w:t>我司也将继续完善营销管理体系建设，引进高端的优秀营销人才，扩大市场覆盖面，提高产品和服务的渗透能力，确保</w:t>
      </w:r>
      <w:r>
        <w:rPr/>
        <w:t> 市场份额的不断提升，努力实现经营目标的快速增长。</w:t>
      </w:r>
    </w:p>
    <w:p>
      <w:pPr>
        <w:pStyle w:val="BodyText"/>
        <w:spacing w:line="300" w:lineRule="auto" w:before="19"/>
        <w:ind w:left="1424" w:right="985" w:hanging="291"/>
        <w:jc w:val="left"/>
      </w:pPr>
      <w:r>
        <w:rPr/>
        <w:t>（</w:t>
      </w:r>
      <w:r>
        <w:rPr>
          <w:rFonts w:ascii="Times New Roman" w:hAnsi="Times New Roman" w:cs="Times New Roman" w:eastAsia="Times New Roman" w:hint="default"/>
        </w:rPr>
        <w:t>7</w:t>
      </w:r>
      <w:r>
        <w:rPr/>
        <w:t>）收购兼并计划 </w:t>
      </w:r>
      <w:r>
        <w:rPr>
          <w:spacing w:val="-1"/>
        </w:rPr>
        <w:t>我司除了追求内涵式快速增长的同时，还要利用收购兼并的外延式扩张的有效手段推动企业快速发展，产业并购将会是</w:t>
      </w:r>
    </w:p>
    <w:p>
      <w:pPr>
        <w:pStyle w:val="BodyText"/>
        <w:spacing w:line="316" w:lineRule="auto" w:before="31"/>
        <w:ind w:left="1424" w:right="1122" w:hanging="291"/>
        <w:jc w:val="left"/>
      </w:pPr>
      <w:r>
        <w:rPr/>
        <w:t>我们并购重组的主旋律。 我司在并购标的选择方面要充分利用公司在食安、档案、政法的行业优势，符合企业</w:t>
      </w:r>
      <w:r>
        <w:rPr>
          <w:rFonts w:ascii="Times New Roman" w:hAnsi="Times New Roman" w:cs="Times New Roman" w:eastAsia="Times New Roman" w:hint="default"/>
        </w:rPr>
        <w:t>“</w:t>
      </w:r>
      <w:r>
        <w:rPr/>
        <w:t>一箭两翼</w:t>
      </w:r>
      <w:r>
        <w:rPr>
          <w:rFonts w:ascii="Times New Roman" w:hAnsi="Times New Roman" w:cs="Times New Roman" w:eastAsia="Times New Roman" w:hint="default"/>
        </w:rPr>
        <w:t>”</w:t>
      </w:r>
      <w:r>
        <w:rPr/>
        <w:t>的长期发展战略要求，</w:t>
      </w:r>
    </w:p>
    <w:p>
      <w:pPr>
        <w:pStyle w:val="BodyText"/>
        <w:spacing w:line="316" w:lineRule="auto" w:before="0"/>
        <w:ind w:right="1131"/>
        <w:jc w:val="both"/>
      </w:pPr>
      <w:r>
        <w:rPr>
          <w:spacing w:val="-2"/>
        </w:rPr>
        <w:t>优先考虑上述三大行业中成长性好的、契合我司长远发展要求的企业，实现同行业、上下游产业链上的兼并购，整合行业的</w:t>
      </w:r>
      <w:r>
        <w:rPr>
          <w:spacing w:val="-66"/>
        </w:rPr>
        <w:t> </w:t>
      </w:r>
      <w:r>
        <w:rPr>
          <w:spacing w:val="-66"/>
        </w:rPr>
      </w:r>
      <w:r>
        <w:rPr>
          <w:spacing w:val="-2"/>
        </w:rPr>
        <w:t>各种有效资源，充分运用好资本市场的平台，迅速强化现有业务领域，提升企业的规模效益，加强业务协同效应，用优秀的</w:t>
      </w:r>
      <w:r>
        <w:rPr>
          <w:spacing w:val="-65"/>
        </w:rPr>
        <w:t> </w:t>
      </w:r>
      <w:r>
        <w:rPr>
          <w:spacing w:val="-65"/>
        </w:rPr>
      </w:r>
      <w:r>
        <w:rPr/>
        <w:t>业绩回报广大股东，努力实现企业的业绩与市值的大幅提升。</w:t>
      </w:r>
    </w:p>
    <w:p>
      <w:pPr>
        <w:pStyle w:val="BodyText"/>
        <w:spacing w:line="300" w:lineRule="auto" w:before="19"/>
        <w:ind w:left="1424" w:right="985" w:hanging="291"/>
        <w:jc w:val="left"/>
      </w:pPr>
      <w:r>
        <w:rPr/>
        <w:t>（</w:t>
      </w:r>
      <w:r>
        <w:rPr>
          <w:rFonts w:ascii="Times New Roman" w:hAnsi="Times New Roman" w:cs="Times New Roman" w:eastAsia="Times New Roman" w:hint="default"/>
        </w:rPr>
        <w:t>8</w:t>
      </w:r>
      <w:r>
        <w:rPr/>
        <w:t>）再融资计划 </w:t>
      </w:r>
      <w:r>
        <w:rPr>
          <w:spacing w:val="-1"/>
        </w:rPr>
        <w:t>我司将根据未来业务发展和资本市场形势制定相应的再融资方案，利用多种融资工具，吸引战略投资，以利益最大化为</w:t>
      </w:r>
    </w:p>
    <w:p>
      <w:pPr>
        <w:pStyle w:val="BodyText"/>
        <w:spacing w:line="316" w:lineRule="auto" w:before="31"/>
        <w:ind w:left="1134" w:right="1133"/>
        <w:jc w:val="both"/>
      </w:pPr>
      <w:r>
        <w:rPr>
          <w:spacing w:val="-2"/>
        </w:rPr>
        <w:t>前提，保证公司合理的资产负债结构以及良好的现金流量，为今后的企业的快速发展和做强做大提供充足的资金保障，利用</w:t>
      </w:r>
      <w:r>
        <w:rPr>
          <w:spacing w:val="-66"/>
        </w:rPr>
        <w:t> </w:t>
      </w:r>
      <w:r>
        <w:rPr>
          <w:spacing w:val="-66"/>
        </w:rPr>
      </w:r>
      <w:r>
        <w:rPr/>
        <w:t>资本的力量推动企业的高速发展。</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left="1134" w:right="985"/>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49"/>
              <w:jc w:val="left"/>
              <w:rPr>
                <w:rFonts w:ascii="宋体" w:hAnsi="宋体" w:cs="宋体" w:eastAsia="宋体" w:hint="default"/>
                <w:sz w:val="18"/>
                <w:szCs w:val="18"/>
              </w:rPr>
            </w:pPr>
            <w:r>
              <w:rPr>
                <w:rFonts w:ascii="宋体" w:hAnsi="宋体" w:cs="宋体" w:eastAsia="宋体" w:hint="default"/>
                <w:spacing w:val="-1"/>
                <w:sz w:val="18"/>
                <w:szCs w:val="18"/>
              </w:rPr>
              <w:t>巨潮资讯网（</w:t>
            </w:r>
            <w:r>
              <w:rPr>
                <w:rFonts w:ascii="Times New Roman" w:hAnsi="Times New Roman" w:cs="Times New Roman" w:eastAsia="Times New Roman" w:hint="default"/>
                <w:spacing w:val="-1"/>
                <w:sz w:val="18"/>
                <w:szCs w:val="18"/>
              </w:rPr>
              <w:t>www.cninfo.com.cn)2017</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985"/>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报告期内普通股利润分配政策，特别是现金分红政策的制定、执行或调整情况</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023"/>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日召开第四届董事会第五次会议审议《关于公司未来三年（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-2020 </w:t>
      </w:r>
      <w:r>
        <w:rPr>
          <w:spacing w:val="-2"/>
        </w:rPr>
        <w:t>年）股东回报规划的议案》</w:t>
      </w:r>
      <w:r>
        <w:rPr>
          <w:spacing w:val="-26"/>
        </w:rPr>
        <w:t> </w:t>
      </w:r>
      <w:r>
        <w:rPr/>
        <w:t>，</w:t>
      </w:r>
      <w:r>
        <w:rPr/>
        <w:t> </w:t>
      </w:r>
      <w:r>
        <w:rPr>
          <w:spacing w:val="-4"/>
        </w:rPr>
        <w:t>并于</w:t>
      </w:r>
      <w:r>
        <w:rPr>
          <w:rFonts w:ascii="Times New Roman" w:hAnsi="Times New Roman" w:cs="Times New Roman" w:eastAsia="Times New Roman" w:hint="default"/>
          <w:spacing w:val="-4"/>
        </w:rPr>
        <w:t>2018</w:t>
      </w:r>
      <w:r>
        <w:rPr>
          <w:spacing w:val="-4"/>
        </w:rPr>
        <w:t>年第一次临时股东大会审议通过。公司根据《关于进一步落实上市公司现金分红有关事项的通知》（证监发</w:t>
      </w:r>
      <w:r>
        <w:rPr>
          <w:rFonts w:ascii="Times New Roman" w:hAnsi="Times New Roman" w:cs="Times New Roman" w:eastAsia="Times New Roman" w:hint="default"/>
          <w:spacing w:val="-4"/>
        </w:rPr>
        <w:t>[2012]37</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号）、《上市公司监管指引第 </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上市公司现金分红》（</w:t>
      </w:r>
      <w:r>
        <w:rPr>
          <w:rFonts w:ascii="Times New Roman" w:hAnsi="Times New Roman" w:cs="Times New Roman" w:eastAsia="Times New Roman" w:hint="default"/>
        </w:rPr>
        <w:t>[2013]43</w:t>
      </w:r>
      <w:r>
        <w:rPr>
          <w:rFonts w:ascii="Times New Roman" w:hAnsi="Times New Roman" w:cs="Times New Roman" w:eastAsia="Times New Roman" w:hint="default"/>
          <w:spacing w:val="13"/>
        </w:rPr>
        <w:t> </w:t>
      </w:r>
      <w:r>
        <w:rPr/>
        <w:t>号）和《公司章程》等相关规定，综合考虑公司所处行 </w:t>
      </w:r>
      <w:r>
        <w:rPr>
          <w:spacing w:val="-2"/>
        </w:rPr>
        <w:t>业特征、公司发展战略和经营计划、股东回报、社会资金成本以及外部融资环境等因素，制定了《上海中信信息发展股份有</w:t>
      </w:r>
      <w:r>
        <w:rPr>
          <w:spacing w:val="-66"/>
        </w:rPr>
        <w:t> </w:t>
      </w:r>
      <w:r>
        <w:rPr>
          <w:spacing w:val="-66"/>
        </w:rPr>
      </w:r>
      <w:r>
        <w:rPr/>
        <w:t>限公司未来三年（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年）股东回报规划》，具体如下： </w:t>
      </w:r>
      <w:r>
        <w:rPr>
          <w:rFonts w:ascii="Times New Roman" w:hAnsi="Times New Roman" w:cs="Times New Roman" w:eastAsia="Times New Roman" w:hint="default"/>
        </w:rPr>
        <w:t>1</w:t>
      </w:r>
      <w:r>
        <w:rPr/>
        <w:t>、公司可以采取现金、股票或现金与股票相结合的方式分配股利，坚持现金分红为主的基本原则，具备现金分红条件的， 应当优先采用现金分红进行利润分配，原则上每年进行一次年度股利分配，有条件的情况下公司可以进行中期利润分配。 </w:t>
      </w:r>
      <w:r>
        <w:rPr>
          <w:rFonts w:ascii="Times New Roman" w:hAnsi="Times New Roman" w:cs="Times New Roman" w:eastAsia="Times New Roman" w:hint="default"/>
        </w:rPr>
        <w:t>2</w:t>
      </w:r>
      <w:r>
        <w:rPr/>
        <w:t>、在满足如下现金分红条件的情况下，公司采取现金方式分配股利，公司每年以现金方式分配的利润不少于当年实现净利 润的</w:t>
      </w:r>
      <w:r>
        <w:rPr>
          <w:spacing w:val="-19"/>
        </w:rPr>
        <w:t> </w:t>
      </w:r>
      <w:r>
        <w:rPr>
          <w:rFonts w:ascii="Times New Roman" w:hAnsi="Times New Roman" w:cs="Times New Roman" w:eastAsia="Times New Roman" w:hint="default"/>
        </w:rPr>
        <w:t>20%</w:t>
      </w:r>
      <w:r>
        <w:rPr/>
        <w:t>，当年实现的净利润以公司合并报表数据为准。</w:t>
      </w:r>
    </w:p>
    <w:p>
      <w:pPr>
        <w:pStyle w:val="BodyText"/>
        <w:spacing w:line="240" w:lineRule="auto" w:before="9"/>
        <w:ind w:left="1134" w:right="985"/>
        <w:jc w:val="left"/>
      </w:pPr>
      <w:r>
        <w:rPr/>
        <w:t>公司实施现金分红时须同时满足如下条件：</w:t>
      </w:r>
    </w:p>
    <w:p>
      <w:pPr>
        <w:pStyle w:val="BodyText"/>
        <w:spacing w:line="240" w:lineRule="auto" w:before="76"/>
        <w:ind w:left="1134" w:right="985"/>
        <w:jc w:val="left"/>
      </w:pPr>
      <w:r>
        <w:rPr/>
        <w:t>（</w:t>
      </w:r>
      <w:r>
        <w:rPr>
          <w:rFonts w:ascii="Times New Roman" w:hAnsi="Times New Roman" w:cs="Times New Roman" w:eastAsia="Times New Roman" w:hint="default"/>
        </w:rPr>
        <w:t>1</w:t>
      </w:r>
      <w:r>
        <w:rPr/>
        <w:t>）公司当年每股收益不低于 </w:t>
      </w:r>
      <w:r>
        <w:rPr>
          <w:rFonts w:ascii="Times New Roman" w:hAnsi="Times New Roman" w:cs="Times New Roman" w:eastAsia="Times New Roman" w:hint="default"/>
        </w:rPr>
        <w:t>0.1</w:t>
      </w:r>
      <w:r>
        <w:rPr>
          <w:rFonts w:ascii="Times New Roman" w:hAnsi="Times New Roman" w:cs="Times New Roman" w:eastAsia="Times New Roman" w:hint="default"/>
          <w:spacing w:val="8"/>
        </w:rPr>
        <w:t> </w:t>
      </w:r>
      <w:r>
        <w:rPr/>
        <w:t>元且累计未分配利润为正值；</w:t>
      </w:r>
    </w:p>
    <w:p>
      <w:pPr>
        <w:pStyle w:val="BodyText"/>
        <w:spacing w:line="240" w:lineRule="auto" w:before="63"/>
        <w:ind w:right="985"/>
        <w:jc w:val="left"/>
      </w:pPr>
      <w:r>
        <w:rPr/>
        <w:t>（</w:t>
      </w:r>
      <w:r>
        <w:rPr>
          <w:rFonts w:ascii="Times New Roman" w:hAnsi="Times New Roman" w:cs="Times New Roman" w:eastAsia="Times New Roman" w:hint="default"/>
        </w:rPr>
        <w:t>2</w:t>
      </w:r>
      <w:r>
        <w:rPr/>
        <w:t>）审计机构对公司的该年度财务报告出具标准无保留意见的审计报告；</w:t>
      </w:r>
    </w:p>
    <w:p>
      <w:pPr>
        <w:pStyle w:val="BodyText"/>
        <w:spacing w:line="300" w:lineRule="auto" w:before="63"/>
        <w:ind w:left="1134" w:right="3320"/>
        <w:jc w:val="left"/>
      </w:pPr>
      <w:r>
        <w:rPr/>
        <w:t>（</w:t>
      </w:r>
      <w:r>
        <w:rPr>
          <w:rFonts w:ascii="Times New Roman" w:hAnsi="Times New Roman" w:cs="Times New Roman" w:eastAsia="Times New Roman" w:hint="default"/>
        </w:rPr>
        <w:t>3</w:t>
      </w:r>
      <w:r>
        <w:rPr/>
        <w:t>）公司未来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个月内无重大投资计划或重大现金支出等事项发生（募集资金项目除外）。 重大投资计划或重大现金支出指以下情形之一：</w:t>
      </w:r>
    </w:p>
    <w:p>
      <w:pPr>
        <w:pStyle w:val="BodyText"/>
        <w:spacing w:line="240" w:lineRule="auto" w:before="31"/>
        <w:ind w:left="1134" w:right="985"/>
        <w:jc w:val="left"/>
      </w:pPr>
      <w:r>
        <w:rPr/>
        <w:t>①公司未来 </w:t>
      </w:r>
      <w:r>
        <w:rPr>
          <w:rFonts w:ascii="Times New Roman" w:hAnsi="Times New Roman" w:cs="Times New Roman" w:eastAsia="Times New Roman" w:hint="default"/>
        </w:rPr>
        <w:t>12  </w:t>
      </w:r>
      <w:r>
        <w:rPr/>
        <w:t>个月内拟对外投资、收购资产或购买设备累计支出达到或超过公司最近一期经审计净资产的</w:t>
      </w:r>
      <w:r>
        <w:rPr>
          <w:spacing w:val="-55"/>
        </w:rPr>
        <w:t> </w:t>
      </w:r>
      <w:r>
        <w:rPr>
          <w:rFonts w:ascii="Times New Roman" w:hAnsi="Times New Roman" w:cs="Times New Roman" w:eastAsia="Times New Roman" w:hint="default"/>
        </w:rPr>
        <w:t>30%</w:t>
      </w:r>
      <w:r>
        <w:rPr/>
        <w:t>。</w:t>
      </w:r>
    </w:p>
    <w:p>
      <w:pPr>
        <w:pStyle w:val="BodyText"/>
        <w:spacing w:line="309" w:lineRule="auto" w:before="63"/>
        <w:ind w:right="1123"/>
        <w:jc w:val="left"/>
      </w:pPr>
      <w:r>
        <w:rPr/>
        <w:t>②公司未来 </w:t>
      </w:r>
      <w:r>
        <w:rPr>
          <w:rFonts w:ascii="Times New Roman" w:hAnsi="Times New Roman" w:cs="Times New Roman" w:eastAsia="Times New Roman" w:hint="default"/>
        </w:rPr>
        <w:t>12 </w:t>
      </w:r>
      <w:r>
        <w:rPr/>
        <w:t>个月内拟对外投资、收购资产或购买设备累计支出达到或超过公司最近一期经审计总资产的</w:t>
      </w:r>
      <w:r>
        <w:rPr>
          <w:spacing w:val="-54"/>
        </w:rPr>
        <w:t> </w:t>
      </w:r>
      <w:r>
        <w:rPr>
          <w:rFonts w:ascii="Times New Roman" w:hAnsi="Times New Roman" w:cs="Times New Roman" w:eastAsia="Times New Roman" w:hint="default"/>
        </w:rPr>
        <w:t>20%</w:t>
      </w:r>
      <w:r>
        <w:rPr/>
        <w:t>。 </w:t>
      </w:r>
      <w:r>
        <w:rPr>
          <w:rFonts w:ascii="Times New Roman" w:hAnsi="Times New Roman" w:cs="Times New Roman" w:eastAsia="Times New Roman" w:hint="default"/>
        </w:rPr>
        <w:t>3</w:t>
      </w:r>
      <w:r>
        <w:rPr/>
        <w:t>、公司发放股票股利的具体条件： </w:t>
      </w:r>
      <w:r>
        <w:rPr>
          <w:spacing w:val="-2"/>
        </w:rPr>
        <w:t>公司在经营情况良好，充分考虑公司的未来成长性、每股净资产摊薄、累计可分配利润、公积金提取及现金流状况，为满足</w:t>
      </w:r>
      <w:r>
        <w:rPr>
          <w:spacing w:val="-66"/>
        </w:rPr>
        <w:t> </w:t>
      </w:r>
      <w:r>
        <w:rPr>
          <w:spacing w:val="-66"/>
        </w:rPr>
      </w:r>
      <w:r>
        <w:rPr>
          <w:spacing w:val="-2"/>
        </w:rPr>
        <w:t>股本扩张的需要或合理调整股本规模和股权结构，并且董事会认为发放股票股利有利于公司全体股东整体利益时，可以在满</w:t>
      </w:r>
      <w:r>
        <w:rPr>
          <w:spacing w:val="-64"/>
        </w:rPr>
        <w:t> </w:t>
      </w:r>
      <w:r>
        <w:rPr>
          <w:spacing w:val="-64"/>
        </w:rPr>
      </w:r>
      <w:r>
        <w:rPr/>
        <w:t>足上述现金分红的条件下，提出股票股利分配预案。 </w:t>
      </w:r>
      <w:r>
        <w:rPr>
          <w:rFonts w:ascii="Times New Roman" w:hAnsi="Times New Roman" w:cs="Times New Roman" w:eastAsia="Times New Roman" w:hint="default"/>
        </w:rPr>
        <w:t>4</w:t>
      </w:r>
      <w:r>
        <w:rPr/>
        <w:t>、公司董事会应当综合考虑所处行业特点、发展阶段、自身经营模式、盈利水平以及是否有重大资金支出安排等因素，实 施差异化的现金分红政策：</w:t>
      </w:r>
    </w:p>
    <w:p>
      <w:pPr>
        <w:pStyle w:val="BodyText"/>
        <w:spacing w:line="240" w:lineRule="auto" w:before="24"/>
        <w:ind w:left="1134" w:right="985"/>
        <w:jc w:val="left"/>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）公司发展阶段属成熟期且无重大资金支出安排的，进行利润分配时，现金分红在本次利润分配中所占比例最低应达到</w:t>
      </w:r>
    </w:p>
    <w:p>
      <w:pPr>
        <w:pStyle w:val="BodyText"/>
        <w:spacing w:line="240" w:lineRule="auto" w:before="63"/>
        <w:ind w:right="985"/>
        <w:jc w:val="left"/>
      </w:pPr>
      <w:r>
        <w:rPr>
          <w:rFonts w:ascii="Times New Roman" w:hAnsi="Times New Roman" w:cs="Times New Roman" w:eastAsia="Times New Roman" w:hint="default"/>
        </w:rPr>
        <w:t>80%</w:t>
      </w:r>
      <w:r>
        <w:rPr/>
        <w:t>；</w:t>
      </w:r>
    </w:p>
    <w:p>
      <w:pPr>
        <w:pStyle w:val="BodyText"/>
        <w:spacing w:line="240" w:lineRule="auto" w:before="63"/>
        <w:ind w:right="985"/>
        <w:jc w:val="left"/>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）公司发展阶段属成熟期且有重大资金支出安排的，进行利润分配时，现金分红在本次利润分配中所占比例最低应达到</w:t>
      </w:r>
    </w:p>
    <w:p>
      <w:pPr>
        <w:pStyle w:val="BodyText"/>
        <w:spacing w:line="240" w:lineRule="auto" w:before="63"/>
        <w:ind w:right="985"/>
        <w:jc w:val="left"/>
      </w:pPr>
      <w:r>
        <w:rPr>
          <w:rFonts w:ascii="Times New Roman" w:hAnsi="Times New Roman" w:cs="Times New Roman" w:eastAsia="Times New Roman" w:hint="default"/>
        </w:rPr>
        <w:t>40%</w:t>
      </w:r>
      <w:r>
        <w:rPr/>
        <w:t>；</w:t>
      </w:r>
    </w:p>
    <w:p>
      <w:pPr>
        <w:pStyle w:val="BodyText"/>
        <w:spacing w:line="240" w:lineRule="auto" w:before="63"/>
        <w:ind w:right="985"/>
        <w:jc w:val="left"/>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）公司发展阶段属成长期且有重大资金支出安排的，进行利润分配时，现金分红在本次利润分配中所占比例最低应达到</w:t>
      </w:r>
    </w:p>
    <w:p>
      <w:pPr>
        <w:pStyle w:val="BodyText"/>
        <w:spacing w:line="240" w:lineRule="auto" w:before="63"/>
        <w:ind w:right="985"/>
        <w:jc w:val="left"/>
      </w:pPr>
      <w:r>
        <w:rPr>
          <w:rFonts w:ascii="Times New Roman" w:hAnsi="Times New Roman" w:cs="Times New Roman" w:eastAsia="Times New Roman" w:hint="default"/>
        </w:rPr>
        <w:t>20%</w:t>
      </w:r>
      <w:r>
        <w:rPr/>
        <w:t>；</w:t>
      </w:r>
    </w:p>
    <w:p>
      <w:pPr>
        <w:pStyle w:val="BodyText"/>
        <w:spacing w:line="240" w:lineRule="auto" w:before="63"/>
        <w:ind w:right="985"/>
        <w:jc w:val="left"/>
      </w:pPr>
      <w:r>
        <w:rPr/>
        <w:t>公司发展阶段不易区分但有重大资金支出安排的，可以按照前项规定处理。</w:t>
      </w:r>
    </w:p>
    <w:p>
      <w:pPr>
        <w:pStyle w:val="BodyText"/>
        <w:spacing w:line="314" w:lineRule="auto" w:before="76"/>
        <w:ind w:right="985"/>
        <w:jc w:val="left"/>
      </w:pPr>
      <w:r>
        <w:rPr>
          <w:rFonts w:ascii="Times New Roman" w:hAnsi="Times New Roman" w:cs="Times New Roman" w:eastAsia="Times New Roman" w:hint="default"/>
        </w:rPr>
        <w:t>5</w:t>
      </w:r>
      <w:r>
        <w:rPr/>
        <w:t>、公司因无法满足前述第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条规定的条件而不进行现金分红时，董事会就不进行现金分红的具体原因、未用于分红的资金 </w:t>
      </w:r>
      <w:r>
        <w:rPr>
          <w:spacing w:val="-4"/>
        </w:rPr>
        <w:t>留存公司的用途和使用计划等事项进行专项说明，经独立董事发表意见后提交股东大会审议，并在公司指定媒体上予以披露。</w:t>
      </w:r>
      <w:r>
        <w:rPr>
          <w:spacing w:val="-44"/>
        </w:rPr>
        <w:t> </w:t>
      </w:r>
      <w:r>
        <w:rPr>
          <w:spacing w:val="-44"/>
        </w:rPr>
      </w:r>
      <w:r>
        <w:rPr>
          <w:spacing w:val="-2"/>
        </w:rPr>
        <w:t>公司未按照公司《章程》所规定利润分配政策作出分红预案的，应当在定期报告中详细说明原因、未用于分红的资金留存公</w:t>
      </w:r>
      <w:r>
        <w:rPr>
          <w:spacing w:val="-66"/>
        </w:rPr>
        <w:t> </w:t>
      </w:r>
      <w:r>
        <w:rPr>
          <w:spacing w:val="-66"/>
        </w:rPr>
      </w:r>
      <w:r>
        <w:rPr>
          <w:spacing w:val="-2"/>
        </w:rPr>
        <w:t>司的用途，独立董事还应当对此发表独立意见，并应当在定期报告中披露原因。公司在召开股东大会时除现场会议外，还应</w:t>
      </w:r>
      <w:r>
        <w:rPr>
          <w:spacing w:val="-66"/>
        </w:rPr>
        <w:t> </w:t>
      </w:r>
      <w:r>
        <w:rPr>
          <w:spacing w:val="-66"/>
        </w:rPr>
      </w:r>
      <w:r>
        <w:rPr/>
        <w:t>当安排网络投票形式为股东参与表决提供便利，并在公司指定媒体上予以披露。 </w:t>
      </w:r>
      <w:r>
        <w:rPr>
          <w:spacing w:val="-2"/>
        </w:rPr>
        <w:t>公司严格按照《公司法》、《证券法》、中国证监会《关于进一步落实上市公司现金分红有关事项的通知》、《上市公司监</w:t>
      </w:r>
      <w:r>
        <w:rPr>
          <w:spacing w:val="-69"/>
        </w:rPr>
        <w:t> </w:t>
      </w:r>
      <w:r>
        <w:rPr>
          <w:spacing w:val="-69"/>
        </w:rPr>
      </w:r>
      <w:r>
        <w:rPr/>
        <w:t>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上市公司现金分红》和《公司章程》相关利润分配政策和审议程序实施利润分配方案，分红标准和分红比</w:t>
      </w:r>
    </w:p>
    <w:p>
      <w:pPr>
        <w:spacing w:after="0" w:line="31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ind w:right="985"/>
        <w:jc w:val="left"/>
      </w:pPr>
      <w:r>
        <w:rPr>
          <w:spacing w:val="-2"/>
        </w:rPr>
        <w:t>例明确清晰，相关的决策程序和机制完备。在分配预案拟定和决策时，独立董事尽职履责并发挥了应有的作用，积极听取了</w:t>
      </w:r>
      <w:r>
        <w:rPr>
          <w:spacing w:val="-66"/>
        </w:rPr>
        <w:t> </w:t>
      </w:r>
      <w:r>
        <w:rPr>
          <w:spacing w:val="-66"/>
        </w:rPr>
      </w:r>
      <w:r>
        <w:rPr>
          <w:spacing w:val="-2"/>
        </w:rPr>
        <w:t>中小股东的意见和诉求，相关的议案经由董事会、监事会审议过后提交股东大会审议，并由独立董事发表独立意见，审议通</w:t>
      </w:r>
      <w:r>
        <w:rPr>
          <w:spacing w:val="-66"/>
        </w:rPr>
        <w:t> </w:t>
      </w:r>
      <w:r>
        <w:rPr>
          <w:spacing w:val="-66"/>
        </w:rPr>
      </w:r>
      <w:r>
        <w:rPr/>
        <w:t>过后在规定时间内进行实施，切实保证了全体股东的利益。 </w:t>
      </w:r>
      <w:r>
        <w:rPr>
          <w:rFonts w:ascii="Times New Roman" w:hAnsi="Times New Roman" w:cs="Times New Roman" w:eastAsia="Times New Roman" w:hint="default"/>
          <w:spacing w:val="-2"/>
        </w:rPr>
        <w:t>2016</w:t>
      </w:r>
      <w:r>
        <w:rPr>
          <w:spacing w:val="-2"/>
        </w:rPr>
        <w:t>年度利润分配方案：以公司当时总股本</w:t>
      </w:r>
      <w:r>
        <w:rPr>
          <w:rFonts w:ascii="Times New Roman" w:hAnsi="Times New Roman" w:cs="Times New Roman" w:eastAsia="Times New Roman" w:hint="default"/>
          <w:spacing w:val="-2"/>
        </w:rPr>
        <w:t>6,830</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1.10</w:t>
      </w:r>
      <w:r>
        <w:rPr>
          <w:spacing w:val="-2"/>
        </w:rPr>
        <w:t>元人民币（含税）。本方</w:t>
      </w:r>
      <w:r>
        <w:rPr>
          <w:spacing w:val="-53"/>
        </w:rPr>
        <w:t> </w:t>
      </w:r>
      <w:r>
        <w:rPr>
          <w:spacing w:val="-53"/>
        </w:rPr>
      </w:r>
      <w:r>
        <w:rPr>
          <w:spacing w:val="-2"/>
        </w:rPr>
        <w:t>案经</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日召开的第三届董事会第十九次会议、第三届监事会第十四次会议及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日召开的</w:t>
      </w:r>
      <w:r>
        <w:rPr>
          <w:rFonts w:ascii="Times New Roman" w:hAnsi="Times New Roman" w:cs="Times New Roman" w:eastAsia="Times New Roman" w:hint="default"/>
          <w:spacing w:val="-2"/>
        </w:rPr>
        <w:t>2016</w:t>
      </w:r>
      <w:r>
        <w:rPr>
          <w:spacing w:val="-2"/>
        </w:rPr>
        <w:t>年度股东大</w:t>
      </w:r>
      <w:r>
        <w:rPr>
          <w:spacing w:val="-46"/>
        </w:rPr>
        <w:t> </w:t>
      </w:r>
      <w:r>
        <w:rPr/>
        <w:t>会审议通过，并于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日实施完毕。</w:t>
      </w:r>
    </w:p>
    <w:p>
      <w:pPr>
        <w:spacing w:line="240" w:lineRule="auto" w:before="3"/>
        <w:rPr>
          <w:rFonts w:ascii="宋体" w:hAnsi="宋体" w:cs="宋体" w:eastAsia="宋体"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985"/>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33,207,874.96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4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鉴于公司当前经营情况稳定发展、未来前景广阔、资本公积金较为充足，同时结合公司股本规模相对较小的情况（公司自</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上市以来尚未进行过一次资本公积转增股本），为优化公司股本结构、增强股票流动性，并充分考虑中小投资者的利益和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合理诉求，为更好地回报股东，与全体股东分享公司成长的经营成果，在符合相关法律法规和结合《公司章程》中关于分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红政策的规定、保证公司正常运营和长远发展的前提下，董事会拟定如下分配预案：以截止至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日公司的</w:t>
            </w:r>
          </w:p>
          <w:p>
            <w:pPr>
              <w:pStyle w:val="TableParagraph"/>
              <w:spacing w:line="249" w:lineRule="exact"/>
              <w:ind w:left="22" w:right="0"/>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68,300,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股扣除将注销的回购股份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525,600 </w:t>
            </w:r>
            <w:r>
              <w:rPr>
                <w:rFonts w:ascii="宋体" w:hAnsi="宋体" w:cs="宋体" w:eastAsia="宋体" w:hint="default"/>
                <w:sz w:val="18"/>
                <w:szCs w:val="18"/>
              </w:rPr>
              <w:t>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67,774,400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w:t>
            </w:r>
            <w:r>
              <w:rPr>
                <w:rFonts w:ascii="宋体" w:hAnsi="宋体" w:cs="宋体" w:eastAsia="宋体" w:hint="default"/>
                <w:spacing w:val="-74"/>
                <w:sz w:val="18"/>
                <w:szCs w:val="18"/>
              </w:rPr>
              <w:t>，</w:t>
            </w:r>
            <w:r>
              <w:rPr>
                <w:rFonts w:ascii="宋体" w:hAnsi="宋体" w:cs="宋体" w:eastAsia="宋体" w:hint="default"/>
                <w:sz w:val="18"/>
                <w:szCs w:val="18"/>
              </w:rPr>
              <w:t>拟向全体股东每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w:t>
            </w:r>
            <w:r>
              <w:rPr>
                <w:rFonts w:ascii="宋体" w:hAnsi="宋体" w:cs="宋体" w:eastAsia="宋体" w:hint="default"/>
                <w:spacing w:val="1"/>
                <w:sz w:val="18"/>
                <w:szCs w:val="18"/>
              </w:rPr>
              <w:t>利人</w:t>
            </w:r>
            <w:r>
              <w:rPr>
                <w:rFonts w:ascii="宋体" w:hAnsi="宋体" w:cs="宋体" w:eastAsia="宋体" w:hint="default"/>
                <w:sz w:val="18"/>
                <w:szCs w:val="18"/>
              </w:rPr>
              <w:t>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，合计派发现金股利人民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6,777,440.00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，同时向以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68,300,000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股扣除将注销的回购股份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525,600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67,774,400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股为基数，拟向全体股东以资本公积每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股，分配完成后公司股本总额增至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121,993,920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次分配不送红股，剩余未分配利润结转以后年度分配。公司将注销上述回购的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股后再实施上述利润分配预案和资</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362" w:lineRule="exact"/>
        <w:ind w:left="113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5pt;height:18.150pt;mso-position-horizontal-relative:char;mso-position-vertical-relative:line" type="#_x0000_t202" filled="false" stroked="true" strokeweight=".48pt" strokecolor="#000000">
            <w10:anchorlock/>
            <v:textbox inset="0,0,0,0">
              <w:txbxContent>
                <w:p>
                  <w:pPr>
                    <w:pStyle w:val="BodyText"/>
                    <w:spacing w:line="240" w:lineRule="auto" w:before="11"/>
                    <w:ind w:left="22" w:right="0"/>
                    <w:jc w:val="left"/>
                  </w:pPr>
                  <w:r>
                    <w:rPr/>
                    <w:t>本公积金转增股本预案。</w:t>
                  </w:r>
                </w:p>
              </w:txbxContent>
            </v:textbox>
          </v:shape>
        </w:pict>
      </w:r>
      <w:r>
        <w:rPr>
          <w:rFonts w:ascii="宋体" w:hAnsi="宋体" w:cs="宋体" w:eastAsia="宋体" w:hint="default"/>
          <w:position w:val="-6"/>
          <w:sz w:val="20"/>
          <w:szCs w:val="20"/>
        </w:rPr>
      </w:r>
    </w:p>
    <w:p>
      <w:pPr>
        <w:pStyle w:val="BodyText"/>
        <w:spacing w:line="319" w:lineRule="auto" w:before="56"/>
        <w:ind w:right="985"/>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2"/>
        </w:rPr>
        <w:t>2015</w:t>
      </w:r>
      <w:r>
        <w:rPr>
          <w:spacing w:val="-2"/>
        </w:rPr>
        <w:t>年度公司的利润分配方案为：以截止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66,800,000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
        </w:rPr>
        <w:t> </w:t>
      </w:r>
      <w:r>
        <w:rPr/>
        <w:t>元（含税）。</w:t>
      </w:r>
    </w:p>
    <w:p>
      <w:pPr>
        <w:pStyle w:val="BodyText"/>
        <w:spacing w:line="300" w:lineRule="auto" w:before="17"/>
        <w:ind w:right="1123"/>
        <w:jc w:val="left"/>
      </w:pPr>
      <w:r>
        <w:rPr>
          <w:rFonts w:ascii="Times New Roman" w:hAnsi="Times New Roman" w:cs="Times New Roman" w:eastAsia="Times New Roman" w:hint="default"/>
        </w:rPr>
        <w:t>2016</w:t>
      </w:r>
      <w:r>
        <w:rPr/>
        <w:t>年度公司的利润分配方案为：经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日召开的第三届董事会第十九次会议审议通过，拟定的公司</w:t>
      </w:r>
      <w:r>
        <w:rPr>
          <w:rFonts w:ascii="Times New Roman" w:hAnsi="Times New Roman" w:cs="Times New Roman" w:eastAsia="Times New Roman" w:hint="default"/>
        </w:rPr>
        <w:t>2016</w:t>
      </w:r>
      <w:r>
        <w:rPr/>
        <w:t>年度利润 分配预案为：以截止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68,300,000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1.10</w:t>
      </w:r>
      <w:r>
        <w:rPr/>
        <w:t>元（含税），共 分配利润</w:t>
      </w:r>
      <w:r>
        <w:rPr>
          <w:rFonts w:ascii="Times New Roman" w:hAnsi="Times New Roman" w:cs="Times New Roman" w:eastAsia="Times New Roman" w:hint="default"/>
        </w:rPr>
        <w:t>7,513,000.00</w:t>
      </w:r>
      <w:r>
        <w:rPr/>
        <w:t>元。 </w:t>
      </w:r>
      <w:r>
        <w:rPr>
          <w:rFonts w:ascii="Times New Roman" w:hAnsi="Times New Roman" w:cs="Times New Roman" w:eastAsia="Times New Roman" w:hint="default"/>
          <w:spacing w:val="-1"/>
        </w:rPr>
        <w:t>2017</w:t>
      </w:r>
      <w:r>
        <w:rPr>
          <w:spacing w:val="-1"/>
        </w:rPr>
        <w:t>年度公司的利润分配方案为：以截止至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日公司的总股本</w:t>
      </w:r>
      <w:r>
        <w:rPr>
          <w:rFonts w:ascii="Times New Roman" w:hAnsi="Times New Roman" w:cs="Times New Roman" w:eastAsia="Times New Roman" w:hint="default"/>
          <w:spacing w:val="-1"/>
        </w:rPr>
        <w:t>68,300,000</w:t>
      </w:r>
      <w:r>
        <w:rPr>
          <w:spacing w:val="-1"/>
        </w:rPr>
        <w:t>股扣除将注销的回购股份</w:t>
      </w:r>
      <w:r>
        <w:rPr>
          <w:rFonts w:ascii="Times New Roman" w:hAnsi="Times New Roman" w:cs="Times New Roman" w:eastAsia="Times New Roman" w:hint="default"/>
          <w:spacing w:val="-1"/>
        </w:rPr>
        <w:t>525,600</w:t>
      </w:r>
      <w:r>
        <w:rPr>
          <w:spacing w:val="-1"/>
        </w:rPr>
        <w:t>股后的</w:t>
      </w:r>
    </w:p>
    <w:p>
      <w:pPr>
        <w:pStyle w:val="BodyText"/>
        <w:spacing w:line="300" w:lineRule="auto" w:before="13"/>
        <w:ind w:right="1042"/>
        <w:jc w:val="both"/>
      </w:pPr>
      <w:r>
        <w:rPr>
          <w:rFonts w:ascii="Times New Roman" w:hAnsi="Times New Roman" w:cs="Times New Roman" w:eastAsia="Times New Roman" w:hint="default"/>
        </w:rPr>
        <w:t>67,774,400</w:t>
      </w:r>
      <w:r>
        <w:rPr/>
        <w:t>股为基数，拟向全体股东每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，合计派发现金股利人民</w:t>
      </w:r>
      <w:r>
        <w:rPr>
          <w:rFonts w:ascii="Times New Roman" w:hAnsi="Times New Roman" w:cs="Times New Roman" w:eastAsia="Times New Roman" w:hint="default"/>
        </w:rPr>
        <w:t>6,777,440.00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 同时向以</w:t>
      </w:r>
      <w:r>
        <w:rPr>
          <w:rFonts w:ascii="Times New Roman" w:hAnsi="Times New Roman" w:cs="Times New Roman" w:eastAsia="Times New Roman" w:hint="default"/>
        </w:rPr>
        <w:t>68,300,000</w:t>
      </w:r>
      <w:r>
        <w:rPr/>
        <w:t>股扣除将注销的回购股份</w:t>
      </w:r>
      <w:r>
        <w:rPr>
          <w:rFonts w:ascii="Times New Roman" w:hAnsi="Times New Roman" w:cs="Times New Roman" w:eastAsia="Times New Roman" w:hint="default"/>
        </w:rPr>
        <w:t>525,600</w:t>
      </w:r>
      <w:r>
        <w:rPr/>
        <w:t>股后的</w:t>
      </w:r>
      <w:r>
        <w:rPr>
          <w:rFonts w:ascii="Times New Roman" w:hAnsi="Times New Roman" w:cs="Times New Roman" w:eastAsia="Times New Roman" w:hint="default"/>
        </w:rPr>
        <w:t>67,774,400</w:t>
      </w:r>
      <w:r>
        <w:rPr/>
        <w:t>股为基数，拟向全体股东以资本公积每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w:t>
      </w:r>
      <w:r>
        <w:rPr>
          <w:spacing w:val="1"/>
        </w:rPr>
        <w:t> </w:t>
      </w:r>
      <w:r>
        <w:rPr>
          <w:spacing w:val="-2"/>
        </w:rPr>
        <w:t>分配完成后公司股本总额增至</w:t>
      </w:r>
      <w:r>
        <w:rPr>
          <w:rFonts w:ascii="Times New Roman" w:hAnsi="Times New Roman" w:cs="Times New Roman" w:eastAsia="Times New Roman" w:hint="default"/>
          <w:spacing w:val="-2"/>
        </w:rPr>
        <w:t>121,993,920</w:t>
      </w:r>
      <w:r>
        <w:rPr>
          <w:spacing w:val="-2"/>
        </w:rPr>
        <w:t>股。本次分配不送红股，剩余未分配利润结转以后年度分配。本分配预案尚需提交</w:t>
      </w:r>
      <w:r>
        <w:rPr>
          <w:spacing w:val="-55"/>
        </w:rPr>
        <w:t> </w:t>
      </w:r>
      <w:r>
        <w:rPr>
          <w:spacing w:val="-55"/>
        </w:rPr>
      </w:r>
      <w:r>
        <w:rPr>
          <w:spacing w:val="-1"/>
        </w:rPr>
        <w:t>公司</w:t>
      </w:r>
      <w:r>
        <w:rPr>
          <w:rFonts w:ascii="Times New Roman" w:hAnsi="Times New Roman" w:cs="Times New Roman" w:eastAsia="Times New Roman" w:hint="default"/>
          <w:spacing w:val="-1"/>
        </w:rPr>
        <w:t>2017</w:t>
      </w:r>
      <w:r>
        <w:rPr>
          <w:spacing w:val="-1"/>
        </w:rPr>
        <w:t>年度股东大会审议。公司将注销上述回购的</w:t>
      </w:r>
      <w:r>
        <w:rPr>
          <w:rFonts w:ascii="Times New Roman" w:hAnsi="Times New Roman" w:cs="Times New Roman" w:eastAsia="Times New Roman" w:hint="default"/>
          <w:spacing w:val="-1"/>
        </w:rPr>
        <w:t>525,600</w:t>
      </w:r>
      <w:r>
        <w:rPr>
          <w:spacing w:val="-1"/>
        </w:rPr>
        <w:t>股后再实施</w:t>
      </w:r>
      <w:r>
        <w:rPr>
          <w:rFonts w:ascii="Times New Roman" w:hAnsi="Times New Roman" w:cs="Times New Roman" w:eastAsia="Times New Roman" w:hint="default"/>
          <w:spacing w:val="-1"/>
        </w:rPr>
        <w:t>2017</w:t>
      </w:r>
      <w:r>
        <w:rPr>
          <w:spacing w:val="-1"/>
        </w:rPr>
        <w:t>年度利润分配预案和资本公积金转增股本预案。</w:t>
      </w:r>
    </w:p>
    <w:p>
      <w:pPr>
        <w:pStyle w:val="BodyText"/>
        <w:spacing w:line="240" w:lineRule="auto" w:before="53"/>
        <w:ind w:left="1134" w:right="985"/>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6,777,440.00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33,207,874.96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7,513,000.00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30,008,810.43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38,242,426.34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85"/>
        <w:jc w:val="left"/>
      </w:pPr>
      <w:r>
        <w:rPr/>
        <w:t>公司报告期内盈利且母公司可供普通股股东分配利润为正但未提出普通股现金红利分配预案</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985"/>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2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17" w:right="190"/>
              <w:jc w:val="both"/>
              <w:rPr>
                <w:rFonts w:ascii="宋体" w:hAnsi="宋体" w:cs="宋体" w:eastAsia="宋体" w:hint="default"/>
                <w:sz w:val="18"/>
                <w:szCs w:val="18"/>
              </w:rPr>
            </w:pPr>
            <w:r>
              <w:rPr>
                <w:rFonts w:ascii="宋体" w:hAnsi="宋体" w:cs="宋体" w:eastAsia="宋体" w:hint="default"/>
                <w:sz w:val="18"/>
                <w:szCs w:val="18"/>
              </w:rPr>
              <w:t>上海中信电 子发展有限 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自信息发展 股票在深圳 证券交易所 创业板上市 之日起三十 </w:t>
            </w:r>
            <w:r>
              <w:rPr>
                <w:rFonts w:ascii="宋体" w:hAnsi="宋体" w:cs="宋体" w:eastAsia="宋体" w:hint="default"/>
                <w:spacing w:val="-2"/>
                <w:sz w:val="18"/>
                <w:szCs w:val="18"/>
              </w:rPr>
              <w:t>六个月内，本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公司将不通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22"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过包括但不 限于签署转 让协议、进行 股权托管等 任何方式，减 少本公司所 持有或者实 际持有的信 息发展本次 发行前已发 行的股份（包 括由该部分 股份派生的 股份如送红 股、资本公积 </w:t>
            </w:r>
            <w:r>
              <w:rPr>
                <w:rFonts w:ascii="宋体" w:hAnsi="宋体" w:cs="宋体" w:eastAsia="宋体" w:hint="default"/>
                <w:spacing w:val="-15"/>
                <w:sz w:val="18"/>
                <w:szCs w:val="18"/>
              </w:rPr>
              <w:t>金转增等）；</w:t>
            </w:r>
            <w:r>
              <w:rPr>
                <w:rFonts w:ascii="宋体" w:hAnsi="宋体" w:cs="宋体" w:eastAsia="宋体" w:hint="default"/>
                <w:sz w:val="18"/>
                <w:szCs w:val="18"/>
              </w:rPr>
              <w:t> 亦不通过由 信息发展回 购本公司所 直接或间接 持有股份等 方式，减少本 公司所持有 或者实际持 有的信息发 展本次发行 前已发行的。</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上海红土创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上海统 易财务顾问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圳市创新投 资集团有限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苏州国 嘉创业投资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自信息发展 股票在深圳 证券交易所 创业板上市 之日起十二 </w:t>
            </w:r>
            <w:r>
              <w:rPr>
                <w:rFonts w:ascii="宋体" w:hAnsi="宋体" w:cs="宋体" w:eastAsia="宋体" w:hint="default"/>
                <w:spacing w:val="-2"/>
                <w:sz w:val="18"/>
                <w:szCs w:val="18"/>
              </w:rPr>
              <w:t>个月内，本公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司将不通过 包括但不限 于签署转让 </w:t>
            </w:r>
            <w:r>
              <w:rPr>
                <w:rFonts w:ascii="宋体" w:hAnsi="宋体" w:cs="宋体" w:eastAsia="宋体" w:hint="default"/>
                <w:spacing w:val="-2"/>
                <w:sz w:val="18"/>
                <w:szCs w:val="18"/>
              </w:rPr>
              <w:t>协议、进行股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权托管等任 </w:t>
            </w:r>
            <w:r>
              <w:rPr>
                <w:rFonts w:ascii="宋体" w:hAnsi="宋体" w:cs="宋体" w:eastAsia="宋体" w:hint="default"/>
                <w:spacing w:val="-2"/>
                <w:sz w:val="18"/>
                <w:szCs w:val="18"/>
              </w:rPr>
              <w:t>何方式，减少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本公司所持 有或者实际 持有的信息 发展本次发 行前已发行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的股份（包括 由该部分股 份派生的股 份如送红股、 资本公积金 </w:t>
            </w:r>
            <w:r>
              <w:rPr>
                <w:rFonts w:ascii="宋体" w:hAnsi="宋体" w:cs="宋体" w:eastAsia="宋体" w:hint="default"/>
                <w:spacing w:val="-15"/>
                <w:sz w:val="18"/>
                <w:szCs w:val="18"/>
              </w:rPr>
              <w:t>转增等）；亦</w:t>
            </w:r>
            <w:r>
              <w:rPr>
                <w:rFonts w:ascii="宋体" w:hAnsi="宋体" w:cs="宋体" w:eastAsia="宋体" w:hint="default"/>
                <w:sz w:val="18"/>
                <w:szCs w:val="18"/>
              </w:rPr>
              <w:t> 不通过由信 息发展回购 本公司所直 接或间接持 有股份等方 式，减少本公 司所持有或 者实际持有 的信息发展 本次发行前 已发行的股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刘赣</w:t>
            </w:r>
            <w:r>
              <w:rPr>
                <w:rFonts w:ascii="Times New Roman" w:hAnsi="Times New Roman" w:cs="Times New Roman" w:eastAsia="Times New Roman" w:hint="default"/>
                <w:sz w:val="18"/>
                <w:szCs w:val="18"/>
              </w:rPr>
              <w:t>;</w:t>
            </w:r>
            <w:r>
              <w:rPr>
                <w:rFonts w:ascii="宋体" w:hAnsi="宋体" w:cs="宋体" w:eastAsia="宋体" w:hint="default"/>
                <w:sz w:val="18"/>
                <w:szCs w:val="18"/>
              </w:rPr>
              <w:t>张志红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自信息发展 股票在深圳 证券交易所 创业板上市 之日起十二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将不通过包 括但不限于 签署转让协 </w:t>
            </w:r>
            <w:r>
              <w:rPr>
                <w:rFonts w:ascii="宋体" w:hAnsi="宋体" w:cs="宋体" w:eastAsia="宋体" w:hint="default"/>
                <w:spacing w:val="-2"/>
                <w:sz w:val="18"/>
                <w:szCs w:val="18"/>
              </w:rPr>
              <w:t>议、进行股权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托管等任何 </w:t>
            </w:r>
            <w:r>
              <w:rPr>
                <w:rFonts w:ascii="宋体" w:hAnsi="宋体" w:cs="宋体" w:eastAsia="宋体" w:hint="default"/>
                <w:spacing w:val="-2"/>
                <w:sz w:val="18"/>
                <w:szCs w:val="18"/>
              </w:rPr>
              <w:t>方式，减少本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人所持有或 者实际持有 的信息发展 本次发行前 已发行的股 </w:t>
            </w:r>
            <w:r>
              <w:rPr>
                <w:rFonts w:ascii="宋体" w:hAnsi="宋体" w:cs="宋体" w:eastAsia="宋体" w:hint="default"/>
                <w:spacing w:val="-2"/>
                <w:sz w:val="18"/>
                <w:szCs w:val="18"/>
              </w:rPr>
              <w:t>份（包括由该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部分股份派 生的股份如 </w:t>
            </w:r>
            <w:r>
              <w:rPr>
                <w:rFonts w:ascii="宋体" w:hAnsi="宋体" w:cs="宋体" w:eastAsia="宋体" w:hint="default"/>
                <w:spacing w:val="-2"/>
                <w:sz w:val="18"/>
                <w:szCs w:val="18"/>
              </w:rPr>
              <w:t>送红股、资本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公积金转增 </w:t>
            </w:r>
            <w:r>
              <w:rPr>
                <w:rFonts w:ascii="宋体" w:hAnsi="宋体" w:cs="宋体" w:eastAsia="宋体" w:hint="default"/>
                <w:spacing w:val="-15"/>
                <w:sz w:val="18"/>
                <w:szCs w:val="18"/>
              </w:rPr>
              <w:t>等）；亦不通</w:t>
            </w:r>
            <w:r>
              <w:rPr>
                <w:rFonts w:ascii="宋体" w:hAnsi="宋体" w:cs="宋体" w:eastAsia="宋体" w:hint="default"/>
                <w:sz w:val="18"/>
                <w:szCs w:val="18"/>
              </w:rPr>
              <w:t> 过由信息发 展回购本人 所直接或间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接持有股份 </w:t>
            </w:r>
            <w:r>
              <w:rPr>
                <w:rFonts w:ascii="宋体" w:hAnsi="宋体" w:cs="宋体" w:eastAsia="宋体" w:hint="default"/>
                <w:spacing w:val="-2"/>
                <w:sz w:val="18"/>
                <w:szCs w:val="18"/>
              </w:rPr>
              <w:t>等方式，减少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本人所持有 或者实际持 有的信息发 展本次发行 前已发行的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61"/>
              <w:ind w:left="23" w:right="141"/>
              <w:jc w:val="left"/>
              <w:rPr>
                <w:rFonts w:ascii="宋体" w:hAnsi="宋体" w:cs="宋体" w:eastAsia="宋体" w:hint="default"/>
                <w:sz w:val="18"/>
                <w:szCs w:val="18"/>
              </w:rPr>
            </w:pPr>
            <w:r>
              <w:rPr>
                <w:rFonts w:ascii="宋体" w:hAnsi="宋体" w:cs="宋体" w:eastAsia="宋体" w:hint="default"/>
                <w:sz w:val="18"/>
                <w:szCs w:val="18"/>
              </w:rPr>
              <w:t>李志卿</w:t>
            </w:r>
            <w:r>
              <w:rPr>
                <w:rFonts w:ascii="Times New Roman" w:hAnsi="Times New Roman" w:cs="Times New Roman" w:eastAsia="Times New Roman" w:hint="default"/>
                <w:sz w:val="18"/>
                <w:szCs w:val="18"/>
              </w:rPr>
              <w:t>;</w:t>
            </w:r>
            <w:r>
              <w:rPr>
                <w:rFonts w:ascii="宋体" w:hAnsi="宋体" w:cs="宋体" w:eastAsia="宋体" w:hint="default"/>
                <w:sz w:val="18"/>
                <w:szCs w:val="18"/>
              </w:rPr>
              <w:t>刘理 洲</w:t>
            </w:r>
            <w:r>
              <w:rPr>
                <w:rFonts w:ascii="Times New Roman" w:hAnsi="Times New Roman" w:cs="Times New Roman" w:eastAsia="Times New Roman" w:hint="default"/>
                <w:sz w:val="18"/>
                <w:szCs w:val="18"/>
              </w:rPr>
              <w:t>;</w:t>
            </w:r>
            <w:r>
              <w:rPr>
                <w:rFonts w:ascii="宋体" w:hAnsi="宋体" w:cs="宋体" w:eastAsia="宋体" w:hint="default"/>
                <w:sz w:val="18"/>
                <w:szCs w:val="18"/>
              </w:rPr>
              <w:t>杨安荣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自信息发展 股票在深圳 证券交易所 创业板上市 之日起十二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将不通过包 括但不限于 签署转让协 </w:t>
            </w:r>
            <w:r>
              <w:rPr>
                <w:rFonts w:ascii="宋体" w:hAnsi="宋体" w:cs="宋体" w:eastAsia="宋体" w:hint="default"/>
                <w:spacing w:val="-2"/>
                <w:sz w:val="18"/>
                <w:szCs w:val="18"/>
              </w:rPr>
              <w:t>议、进行股权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托管等任何 </w:t>
            </w:r>
            <w:r>
              <w:rPr>
                <w:rFonts w:ascii="宋体" w:hAnsi="宋体" w:cs="宋体" w:eastAsia="宋体" w:hint="default"/>
                <w:spacing w:val="-2"/>
                <w:sz w:val="18"/>
                <w:szCs w:val="18"/>
              </w:rPr>
              <w:t>方式，减少本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人所持有或 者实际持有 的信息发展 本次发行前 已发行的股 </w:t>
            </w:r>
            <w:r>
              <w:rPr>
                <w:rFonts w:ascii="宋体" w:hAnsi="宋体" w:cs="宋体" w:eastAsia="宋体" w:hint="default"/>
                <w:spacing w:val="-2"/>
                <w:sz w:val="18"/>
                <w:szCs w:val="18"/>
              </w:rPr>
              <w:t>份（包括由该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部分股份派 生的股份如 </w:t>
            </w:r>
            <w:r>
              <w:rPr>
                <w:rFonts w:ascii="宋体" w:hAnsi="宋体" w:cs="宋体" w:eastAsia="宋体" w:hint="default"/>
                <w:spacing w:val="-2"/>
                <w:sz w:val="18"/>
                <w:szCs w:val="18"/>
              </w:rPr>
              <w:t>送红股、资本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公积金转增 </w:t>
            </w:r>
            <w:r>
              <w:rPr>
                <w:rFonts w:ascii="宋体" w:hAnsi="宋体" w:cs="宋体" w:eastAsia="宋体" w:hint="default"/>
                <w:spacing w:val="-15"/>
                <w:sz w:val="18"/>
                <w:szCs w:val="18"/>
              </w:rPr>
              <w:t>等）；亦不通</w:t>
            </w:r>
            <w:r>
              <w:rPr>
                <w:rFonts w:ascii="宋体" w:hAnsi="宋体" w:cs="宋体" w:eastAsia="宋体" w:hint="default"/>
                <w:sz w:val="18"/>
                <w:szCs w:val="18"/>
              </w:rPr>
              <w:t> 过由信息发 展回购本人 所直接或间 接持有股份 </w:t>
            </w:r>
            <w:r>
              <w:rPr>
                <w:rFonts w:ascii="宋体" w:hAnsi="宋体" w:cs="宋体" w:eastAsia="宋体" w:hint="default"/>
                <w:spacing w:val="-2"/>
                <w:sz w:val="18"/>
                <w:szCs w:val="18"/>
              </w:rPr>
              <w:t>等方式，减少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本人所持有 或者实际持 有的信息发 展本次发行 前已发行的 </w:t>
            </w:r>
            <w:r>
              <w:rPr>
                <w:rFonts w:ascii="宋体" w:hAnsi="宋体" w:cs="宋体" w:eastAsia="宋体" w:hint="default"/>
                <w:spacing w:val="-2"/>
                <w:sz w:val="18"/>
                <w:szCs w:val="18"/>
              </w:rPr>
              <w:t>股份。上述十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二个月期满 </w:t>
            </w:r>
            <w:r>
              <w:rPr>
                <w:rFonts w:ascii="宋体" w:hAnsi="宋体" w:cs="宋体" w:eastAsia="宋体" w:hint="default"/>
                <w:spacing w:val="-2"/>
                <w:sz w:val="18"/>
                <w:szCs w:val="18"/>
              </w:rPr>
              <w:t>后，本人在担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任公司的董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2"/>
                <w:sz w:val="18"/>
                <w:szCs w:val="18"/>
              </w:rPr>
              <w:t> </w:t>
            </w:r>
            <w:r>
              <w:rPr>
                <w:rFonts w:ascii="Times New Roman" w:hAnsi="Times New Roman" w:cs="Times New Roman" w:eastAsia="Times New Roman" w:hint="default"/>
                <w:spacing w:val="-12"/>
                <w:sz w:val="18"/>
                <w:szCs w:val="18"/>
              </w:rPr>
              <w:t>25%</w:t>
            </w:r>
            <w:r>
              <w:rPr>
                <w:rFonts w:ascii="宋体" w:hAnsi="宋体" w:cs="宋体" w:eastAsia="宋体" w:hint="default"/>
                <w:spacing w:val="-12"/>
                <w:sz w:val="18"/>
                <w:szCs w:val="18"/>
              </w:rPr>
              <w:t>；离职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后半年内，不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份。发行人上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股票连续二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的收盘价（指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复权后的价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格，下同）均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自动延长六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其直接或者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行人回购其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直接或者间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本人不因职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务变更或离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职等主观原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因而放弃履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行此承诺。本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格（指复权后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的，本人的减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持所得收入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归发行人所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有。本人不因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职务变更或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离职等主观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原因而放弃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履行此承诺。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票连续二十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收盘价（指复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权后的价格，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下同）均低于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价，本人持有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期限将自动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在延长锁定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人管理其直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接或者间接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不由发行人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不因职务变 更或离职等 主观原因而 放弃履行此 </w:t>
            </w:r>
            <w:r>
              <w:rPr>
                <w:rFonts w:ascii="宋体" w:hAnsi="宋体" w:cs="宋体" w:eastAsia="宋体" w:hint="default"/>
                <w:spacing w:val="-2"/>
                <w:sz w:val="18"/>
                <w:szCs w:val="18"/>
              </w:rPr>
              <w:t>承诺。本人所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持发行人公 开发行股份 前已发行的 股份在上述 锁定期期满 后两年内减 </w:t>
            </w:r>
            <w:r>
              <w:rPr>
                <w:rFonts w:ascii="宋体" w:hAnsi="宋体" w:cs="宋体" w:eastAsia="宋体" w:hint="default"/>
                <w:spacing w:val="-2"/>
                <w:sz w:val="18"/>
                <w:szCs w:val="18"/>
              </w:rPr>
              <w:t>持，本人承诺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减持价格（指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复权后的价 </w:t>
            </w:r>
            <w:r>
              <w:rPr>
                <w:rFonts w:ascii="宋体" w:hAnsi="宋体" w:cs="宋体" w:eastAsia="宋体" w:hint="default"/>
                <w:spacing w:val="-2"/>
                <w:sz w:val="18"/>
                <w:szCs w:val="18"/>
              </w:rPr>
              <w:t>格）不低于发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行价，若低于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发行价的，本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人的减持所 得收入归发 </w:t>
            </w:r>
            <w:r>
              <w:rPr>
                <w:rFonts w:ascii="宋体" w:hAnsi="宋体" w:cs="宋体" w:eastAsia="宋体" w:hint="default"/>
                <w:spacing w:val="-2"/>
                <w:sz w:val="18"/>
                <w:szCs w:val="18"/>
              </w:rPr>
              <w:t>行人所有。本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人不因职务 变更或离职 等主观原因 而放弃履行 此承诺。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自信息发展 股票在深圳 证券交易所 创业板上市 之日起三十 </w:t>
            </w:r>
            <w:r>
              <w:rPr>
                <w:rFonts w:ascii="宋体" w:hAnsi="宋体" w:cs="宋体" w:eastAsia="宋体" w:hint="default"/>
                <w:spacing w:val="-2"/>
                <w:sz w:val="18"/>
                <w:szCs w:val="18"/>
              </w:rPr>
              <w:t>六个月内，本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人将不通过 包括但不限 于签署转让 </w:t>
            </w:r>
            <w:r>
              <w:rPr>
                <w:rFonts w:ascii="宋体" w:hAnsi="宋体" w:cs="宋体" w:eastAsia="宋体" w:hint="default"/>
                <w:spacing w:val="-2"/>
                <w:sz w:val="18"/>
                <w:szCs w:val="18"/>
              </w:rPr>
              <w:t>协议、进行股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权托管等任 </w:t>
            </w:r>
            <w:r>
              <w:rPr>
                <w:rFonts w:ascii="宋体" w:hAnsi="宋体" w:cs="宋体" w:eastAsia="宋体" w:hint="default"/>
                <w:spacing w:val="-2"/>
                <w:sz w:val="18"/>
                <w:szCs w:val="18"/>
              </w:rPr>
              <w:t>何方式，减少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本人所持有 或者实际持 有的信息发 展本次发行 前已发行的 </w:t>
            </w:r>
            <w:r>
              <w:rPr>
                <w:rFonts w:ascii="宋体" w:hAnsi="宋体" w:cs="宋体" w:eastAsia="宋体" w:hint="default"/>
                <w:spacing w:val="-2"/>
                <w:sz w:val="18"/>
                <w:szCs w:val="18"/>
              </w:rPr>
              <w:t>股份（包括由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该部分股份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派生的股份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如送红股、资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本公积金转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增等</w:t>
            </w:r>
            <w:r>
              <w:rPr>
                <w:rFonts w:ascii="宋体" w:hAnsi="宋体" w:cs="宋体" w:eastAsia="宋体" w:hint="default"/>
                <w:spacing w:val="-90"/>
                <w:sz w:val="18"/>
                <w:szCs w:val="18"/>
              </w:rPr>
              <w:t>）</w:t>
            </w:r>
            <w:r>
              <w:rPr>
                <w:rFonts w:ascii="宋体" w:hAnsi="宋体" w:cs="宋体" w:eastAsia="宋体" w:hint="default"/>
                <w:sz w:val="18"/>
                <w:szCs w:val="18"/>
              </w:rPr>
              <w:t>；亦不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通过由信息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发展回购本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份等方式，减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少本人所持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有或者实际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在担任公司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的董事、高管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发展股份。发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连续二十个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盘价（指复权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后的价格，下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发行股份前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已发行的股 份的锁定期 限将自动延 </w:t>
            </w:r>
            <w:r>
              <w:rPr>
                <w:rFonts w:ascii="宋体" w:hAnsi="宋体" w:cs="宋体" w:eastAsia="宋体" w:hint="default"/>
                <w:spacing w:val="-2"/>
                <w:sz w:val="18"/>
                <w:szCs w:val="18"/>
              </w:rPr>
              <w:t>长六个月。在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延长锁定期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管理其直接 或者间接持 有的发行人 公开发行股 票前已发行 </w:t>
            </w:r>
            <w:r>
              <w:rPr>
                <w:rFonts w:ascii="宋体" w:hAnsi="宋体" w:cs="宋体" w:eastAsia="宋体" w:hint="default"/>
                <w:spacing w:val="-2"/>
                <w:sz w:val="18"/>
                <w:szCs w:val="18"/>
              </w:rPr>
              <w:t>的股份，也不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购其直接或 者间接持有 的发行人公 开发行股票 前已发行的 </w:t>
            </w:r>
            <w:r>
              <w:rPr>
                <w:rFonts w:ascii="宋体" w:hAnsi="宋体" w:cs="宋体" w:eastAsia="宋体" w:hint="default"/>
                <w:spacing w:val="-2"/>
                <w:sz w:val="18"/>
                <w:szCs w:val="18"/>
              </w:rPr>
              <w:t>股份。本人不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因职务变更 或离职等主 观原因而放 弃履行此承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上海中信电 子发展有限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本公司所持 发行人公开 发行股份前 已发行的股 份在锁定期 期满后两年 内将进行股 </w:t>
            </w:r>
            <w:r>
              <w:rPr>
                <w:rFonts w:ascii="宋体" w:hAnsi="宋体" w:cs="宋体" w:eastAsia="宋体" w:hint="default"/>
                <w:spacing w:val="-2"/>
                <w:sz w:val="18"/>
                <w:szCs w:val="18"/>
              </w:rPr>
              <w:t>份减持，减持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股份数量为 不超过本公 司所持股份 数的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40%</w:t>
            </w:r>
            <w:r>
              <w:rPr>
                <w:rFonts w:ascii="宋体" w:hAnsi="宋体" w:cs="宋体" w:eastAsia="宋体" w:hint="default"/>
                <w:spacing w:val="-11"/>
                <w:sz w:val="18"/>
                <w:szCs w:val="18"/>
              </w:rPr>
              <w:t>；本</w:t>
            </w:r>
            <w:r>
              <w:rPr>
                <w:rFonts w:ascii="宋体" w:hAnsi="宋体" w:cs="宋体" w:eastAsia="宋体" w:hint="default"/>
                <w:spacing w:val="-26"/>
                <w:sz w:val="18"/>
                <w:szCs w:val="18"/>
              </w:rPr>
              <w:t> </w:t>
            </w:r>
            <w:r>
              <w:rPr>
                <w:rFonts w:ascii="宋体" w:hAnsi="宋体" w:cs="宋体" w:eastAsia="宋体" w:hint="default"/>
                <w:sz w:val="18"/>
                <w:szCs w:val="18"/>
              </w:rPr>
              <w:t>公司在减持</w:t>
            </w:r>
            <w:r>
              <w:rPr>
                <w:rFonts w:ascii="宋体" w:hAnsi="宋体" w:cs="宋体" w:eastAsia="宋体" w:hint="default"/>
                <w:sz w:val="18"/>
                <w:szCs w:val="18"/>
              </w:rPr>
              <w:t> </w:t>
            </w:r>
            <w:r>
              <w:rPr>
                <w:rFonts w:ascii="宋体" w:hAnsi="宋体" w:cs="宋体" w:eastAsia="宋体" w:hint="default"/>
                <w:spacing w:val="-2"/>
                <w:sz w:val="18"/>
                <w:szCs w:val="18"/>
              </w:rPr>
              <w:t>股份时，将提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前五个交易 日向发行人 提交减持原 因、减持数 </w:t>
            </w:r>
            <w:r>
              <w:rPr>
                <w:rFonts w:ascii="宋体" w:hAnsi="宋体" w:cs="宋体" w:eastAsia="宋体" w:hint="default"/>
                <w:spacing w:val="-2"/>
                <w:sz w:val="18"/>
                <w:szCs w:val="18"/>
              </w:rPr>
              <w:t>量、未来减持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计划、减持对 发行人治理 结构及持续 经营影响的 说明，并由发 行人在减持 前三个交易 日予以公告； 减持将通过 证券交易所 集中竞价交 易系统、大宗 交易系统等 方式进行，并 且本公司承 诺减持价格</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（指复权后 </w:t>
            </w:r>
            <w:r>
              <w:rPr>
                <w:rFonts w:ascii="宋体" w:hAnsi="宋体" w:cs="宋体" w:eastAsia="宋体" w:hint="default"/>
                <w:spacing w:val="-2"/>
                <w:sz w:val="18"/>
                <w:szCs w:val="18"/>
              </w:rPr>
              <w:t>的价格）不低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于发行价，若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低于发行价 </w:t>
            </w:r>
            <w:r>
              <w:rPr>
                <w:rFonts w:ascii="宋体" w:hAnsi="宋体" w:cs="宋体" w:eastAsia="宋体" w:hint="default"/>
                <w:spacing w:val="-2"/>
                <w:sz w:val="18"/>
                <w:szCs w:val="18"/>
              </w:rPr>
              <w:t>的，本公司的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减持所得收 入归发行人 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本人所持发 行人公开发 行股份前已 发行的股份 在锁定期期 满后两年内 减持不超过 本人所持股 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本人减持时， 将提前五个 交易日向发 行人提交减 持原因、减持 数量、未来减 持计划、减持 对发行人治 理结构及持 续经营影响 的说明，并由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发行人在减 持前三个交 易日予以公 </w:t>
            </w:r>
            <w:r>
              <w:rPr>
                <w:rFonts w:ascii="宋体" w:hAnsi="宋体" w:cs="宋体" w:eastAsia="宋体" w:hint="default"/>
                <w:spacing w:val="-2"/>
                <w:sz w:val="18"/>
                <w:szCs w:val="18"/>
              </w:rPr>
              <w:t>告；减持将通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过证券交易 所集中竞价 </w:t>
            </w:r>
            <w:r>
              <w:rPr>
                <w:rFonts w:ascii="宋体" w:hAnsi="宋体" w:cs="宋体" w:eastAsia="宋体" w:hint="default"/>
                <w:spacing w:val="-2"/>
                <w:sz w:val="18"/>
                <w:szCs w:val="18"/>
              </w:rPr>
              <w:t>交易系统、大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宗交易系统 等方式进行 并且本人承 诺减持价格</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（指复权后 的价格</w:t>
            </w:r>
            <w:r>
              <w:rPr>
                <w:rFonts w:ascii="Times New Roman" w:hAnsi="Times New Roman" w:cs="Times New Roman" w:eastAsia="Times New Roman" w:hint="default"/>
                <w:sz w:val="18"/>
                <w:szCs w:val="18"/>
              </w:rPr>
              <w:t>)</w:t>
            </w:r>
            <w:r>
              <w:rPr>
                <w:rFonts w:ascii="宋体" w:hAnsi="宋体" w:cs="宋体" w:eastAsia="宋体" w:hint="default"/>
                <w:sz w:val="18"/>
                <w:szCs w:val="18"/>
              </w:rPr>
              <w:t>不低 于发行价，若 低于发行价 的，本人的减 持所得收入 归发行人所 有。本人不因 职务变更或 离职等主观 原因而放弃 履行此承诺。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上海红土创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创新投资集 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苏州国嘉创 业投资有限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本公司所持 股票在锁定 期满后两年 内将进行股 </w:t>
            </w:r>
            <w:r>
              <w:rPr>
                <w:rFonts w:ascii="宋体" w:hAnsi="宋体" w:cs="宋体" w:eastAsia="宋体" w:hint="default"/>
                <w:spacing w:val="-2"/>
                <w:sz w:val="18"/>
                <w:szCs w:val="18"/>
              </w:rPr>
              <w:t>份减持，减持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股份数量为 不超过本公 司所持股份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本公司在减 </w:t>
            </w:r>
            <w:r>
              <w:rPr>
                <w:rFonts w:ascii="宋体" w:hAnsi="宋体" w:cs="宋体" w:eastAsia="宋体" w:hint="default"/>
                <w:spacing w:val="-2"/>
                <w:sz w:val="18"/>
                <w:szCs w:val="18"/>
              </w:rPr>
              <w:t>持股份时，将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提前五个交 易日向发行 人提交减持 </w:t>
            </w:r>
            <w:r>
              <w:rPr>
                <w:rFonts w:ascii="宋体" w:hAnsi="宋体" w:cs="宋体" w:eastAsia="宋体" w:hint="default"/>
                <w:spacing w:val="-2"/>
                <w:sz w:val="18"/>
                <w:szCs w:val="18"/>
              </w:rPr>
              <w:t>原因、减持数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量、未来减持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计划、减持对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发行人治理 结构及持续 经营影响的 </w:t>
            </w:r>
            <w:r>
              <w:rPr>
                <w:rFonts w:ascii="宋体" w:hAnsi="宋体" w:cs="宋体" w:eastAsia="宋体" w:hint="default"/>
                <w:spacing w:val="-2"/>
                <w:sz w:val="18"/>
                <w:szCs w:val="18"/>
              </w:rPr>
              <w:t>说明，并由发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4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行人在减持 前三个交易 日予以公告； 减持将通过 证券交易所 集中竞价交 易系统、大宗 交易系统等 方式进行，且 减持价格（指 复权后的价 格）不低于发 行价；若所持 股票在锁定 期满后两年 内减持价格 低于发行价 的，则减持价 格与发行价 之间的差额 由发行人在 现金分红时 从分配当年 及以后年度 的现金分红 中予以先行 扣除，且扣除 的现金分红 归发行人所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李志卿</w:t>
            </w:r>
            <w:r>
              <w:rPr>
                <w:rFonts w:ascii="Times New Roman" w:hAnsi="Times New Roman" w:cs="Times New Roman" w:eastAsia="Times New Roman" w:hint="default"/>
                <w:sz w:val="18"/>
                <w:szCs w:val="18"/>
              </w:rPr>
              <w:t>;</w:t>
            </w:r>
            <w:r>
              <w:rPr>
                <w:rFonts w:ascii="宋体" w:hAnsi="宋体" w:cs="宋体" w:eastAsia="宋体" w:hint="default"/>
                <w:sz w:val="18"/>
                <w:szCs w:val="18"/>
              </w:rPr>
              <w:t>刘理 洲</w:t>
            </w:r>
            <w:r>
              <w:rPr>
                <w:rFonts w:ascii="Times New Roman" w:hAnsi="Times New Roman" w:cs="Times New Roman" w:eastAsia="Times New Roman" w:hint="default"/>
                <w:sz w:val="18"/>
                <w:szCs w:val="18"/>
              </w:rPr>
              <w:t>;</w:t>
            </w:r>
            <w:r>
              <w:rPr>
                <w:rFonts w:ascii="宋体" w:hAnsi="宋体" w:cs="宋体" w:eastAsia="宋体" w:hint="default"/>
                <w:sz w:val="18"/>
                <w:szCs w:val="18"/>
              </w:rPr>
              <w:t>杨安荣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上述十二个 月期满后，本 人在担任公 司的董事、监 事、高级管理 人员期间，每 年转让的股 份不超过本 人所持有信 息发展股份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离职后半年 内，不转让本 人所持有的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份；本人在信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息发展首次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展股份。发行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人上市后六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个月内如发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续二十个交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价（指复权后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发行股份前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限将自动延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长六个月。在 延长锁定期 内，不转让或 者委托他人 管理其直接 或者间接持 有的发行人 公开发行股 票前已发行 的股份，也不 由发行人回 购其直接或 者间接持有 的发行人公 开发行股票 前已发行的 股份。本人不 因职务变更 或离职等主 观原因而放 弃履行此承 诺。本人所持 发行人公开 发行股份前 已发行的股 份在上述锁 定期期满后 两年内减持， 本人承诺减 持价格（指复 权后的价格） 不低于发行 价，若低于发 行价的，本人 的减持所得 收入归发行 人所有。本人 不因职务变 更或离职等 主观原因而 放弃履行此 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90"/>
              <w:jc w:val="left"/>
              <w:rPr>
                <w:rFonts w:ascii="宋体" w:hAnsi="宋体" w:cs="宋体" w:eastAsia="宋体" w:hint="default"/>
                <w:sz w:val="18"/>
                <w:szCs w:val="18"/>
              </w:rPr>
            </w:pPr>
            <w:r>
              <w:rPr>
                <w:rFonts w:ascii="宋体" w:hAnsi="宋体" w:cs="宋体" w:eastAsia="宋体" w:hint="default"/>
                <w:sz w:val="18"/>
                <w:szCs w:val="18"/>
              </w:rPr>
              <w:t>上海中信电 子发展有限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 </w:t>
            </w:r>
            <w:r>
              <w:rPr>
                <w:rFonts w:ascii="宋体" w:hAnsi="宋体" w:cs="宋体" w:eastAsia="宋体" w:hint="default"/>
                <w:spacing w:val="-2"/>
                <w:sz w:val="18"/>
                <w:szCs w:val="18"/>
              </w:rPr>
              <w:t>目前没有、将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来也不直接 或间接从事 与发行人及 其控股或实 际控制的子 公司现有及 将来从事的 业务构成同 业竞争的任 </w:t>
            </w:r>
            <w:r>
              <w:rPr>
                <w:rFonts w:ascii="宋体" w:hAnsi="宋体" w:cs="宋体" w:eastAsia="宋体" w:hint="default"/>
                <w:spacing w:val="-2"/>
                <w:sz w:val="18"/>
                <w:szCs w:val="18"/>
              </w:rPr>
              <w:t>何活动，并愿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意对违反上 述承诺而给 发行人造成 的经济损失 承担赔偿责 </w:t>
            </w:r>
            <w:r>
              <w:rPr>
                <w:rFonts w:ascii="宋体" w:hAnsi="宋体" w:cs="宋体" w:eastAsia="宋体" w:hint="default"/>
                <w:spacing w:val="-15"/>
                <w:sz w:val="18"/>
                <w:szCs w:val="18"/>
              </w:rPr>
              <w:t>任。（</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本公司直接 和间接控制</w:t>
            </w:r>
            <w:r>
              <w:rPr>
                <w:rFonts w:ascii="Times New Roman" w:hAnsi="Times New Roman" w:cs="Times New Roman" w:eastAsia="Times New Roman" w:hint="default"/>
                <w:sz w:val="18"/>
                <w:szCs w:val="18"/>
              </w:rPr>
              <w:t>/ </w:t>
            </w:r>
            <w:r>
              <w:rPr>
                <w:rFonts w:ascii="宋体" w:hAnsi="宋体" w:cs="宋体" w:eastAsia="宋体" w:hint="default"/>
                <w:sz w:val="18"/>
                <w:szCs w:val="18"/>
              </w:rPr>
              <w:t>控股的其他 </w:t>
            </w:r>
            <w:r>
              <w:rPr>
                <w:rFonts w:ascii="宋体" w:hAnsi="宋体" w:cs="宋体" w:eastAsia="宋体" w:hint="default"/>
                <w:spacing w:val="-2"/>
                <w:sz w:val="18"/>
                <w:szCs w:val="18"/>
              </w:rPr>
              <w:t>企业，本公司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将通过派出 机构和人员</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（包括但不 限于董事、总 经理等）以及 本公司在该 等企业中的 控股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控制地 位，保证该等 企业履行本 承诺函中与 本公司相同 的义务，保证 该等企业不 与发行人进 行同业竞争， 本公司并愿 意对违反上 述承诺而给 发行人造成 的经济损失 承担全部连 带的赔偿责 </w:t>
            </w:r>
            <w:r>
              <w:rPr>
                <w:rFonts w:ascii="宋体" w:hAnsi="宋体" w:cs="宋体" w:eastAsia="宋体" w:hint="default"/>
                <w:spacing w:val="-15"/>
                <w:sz w:val="18"/>
                <w:szCs w:val="18"/>
              </w:rPr>
              <w:t>任。（</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）在本</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522.639954pt;width:55.85pt;height:240.8pt;mso-position-horizontal-relative:page;mso-position-vertical-relative:page;z-index:-1157032" coordorigin="7353,10453" coordsize="1117,4816">
            <v:shape style="position:absolute;left:7353;top:10453;width:1117;height:4816" coordorigin="7353,10453" coordsize="1117,4816" path="m7353,15269l8470,15269,8470,10453,7353,10453,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公司及本公 司所控制的 其他公司与 发行人存在 关联关系期 间或本公司 构成发行人 的控股股东 </w:t>
            </w:r>
            <w:r>
              <w:rPr>
                <w:rFonts w:ascii="宋体" w:hAnsi="宋体" w:cs="宋体" w:eastAsia="宋体" w:hint="default"/>
                <w:spacing w:val="-2"/>
                <w:sz w:val="18"/>
                <w:szCs w:val="18"/>
              </w:rPr>
              <w:t>期间，本承诺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函对本公司 持续有效。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①本人目前 </w:t>
            </w:r>
            <w:r>
              <w:rPr>
                <w:rFonts w:ascii="宋体" w:hAnsi="宋体" w:cs="宋体" w:eastAsia="宋体" w:hint="default"/>
                <w:spacing w:val="-2"/>
                <w:sz w:val="18"/>
                <w:szCs w:val="18"/>
              </w:rPr>
              <w:t>没有、将来也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不直接或间 接从事与发 行人及其控 股或实际控 制的子公司 现有及将来 从事的业务 构成同业竞 争的任何活 </w:t>
            </w:r>
            <w:r>
              <w:rPr>
                <w:rFonts w:ascii="宋体" w:hAnsi="宋体" w:cs="宋体" w:eastAsia="宋体" w:hint="default"/>
                <w:spacing w:val="-2"/>
                <w:sz w:val="18"/>
                <w:szCs w:val="18"/>
              </w:rPr>
              <w:t>动，并愿意对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 诺而给发行 人造成的经 济损失承担 </w:t>
            </w:r>
            <w:r>
              <w:rPr>
                <w:rFonts w:ascii="宋体" w:hAnsi="宋体" w:cs="宋体" w:eastAsia="宋体" w:hint="default"/>
                <w:spacing w:val="-2"/>
                <w:sz w:val="18"/>
                <w:szCs w:val="18"/>
              </w:rPr>
              <w:t>赔偿责任。②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对于本人直 接和间接控 制</w:t>
            </w:r>
            <w:r>
              <w:rPr>
                <w:rFonts w:ascii="Times New Roman" w:hAnsi="Times New Roman" w:cs="Times New Roman" w:eastAsia="Times New Roman" w:hint="default"/>
                <w:sz w:val="18"/>
                <w:szCs w:val="18"/>
              </w:rPr>
              <w:t>/</w:t>
            </w:r>
            <w:r>
              <w:rPr>
                <w:rFonts w:ascii="宋体" w:hAnsi="宋体" w:cs="宋体" w:eastAsia="宋体" w:hint="default"/>
                <w:sz w:val="18"/>
                <w:szCs w:val="18"/>
              </w:rPr>
              <w:t>控股的其 </w:t>
            </w:r>
            <w:r>
              <w:rPr>
                <w:rFonts w:ascii="宋体" w:hAnsi="宋体" w:cs="宋体" w:eastAsia="宋体" w:hint="default"/>
                <w:spacing w:val="-2"/>
                <w:sz w:val="18"/>
                <w:szCs w:val="18"/>
              </w:rPr>
              <w:t>他企业，本人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将通过派出 机构和人员</w:t>
            </w:r>
          </w:p>
          <w:p>
            <w:pPr>
              <w:pStyle w:val="TableParagraph"/>
              <w:spacing w:line="316"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（包括但不 限于董事、总 经理等）以及 本人在该等 企业中的控 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控制地位， 保证该等企 业履行本承 诺函中与本 人相同的义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务，保证该等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企业不与发 行人进行同 </w:t>
            </w:r>
            <w:r>
              <w:rPr>
                <w:rFonts w:ascii="宋体" w:hAnsi="宋体" w:cs="宋体" w:eastAsia="宋体" w:hint="default"/>
                <w:spacing w:val="-2"/>
                <w:sz w:val="18"/>
                <w:szCs w:val="18"/>
              </w:rPr>
              <w:t>业竞争，本人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并愿意对违 反上述承诺 而给发行人 造成的经济 损失承担全 部连带的赔 </w:t>
            </w:r>
            <w:r>
              <w:rPr>
                <w:rFonts w:ascii="宋体" w:hAnsi="宋体" w:cs="宋体" w:eastAsia="宋体" w:hint="default"/>
                <w:spacing w:val="-2"/>
                <w:sz w:val="18"/>
                <w:szCs w:val="18"/>
              </w:rPr>
              <w:t>偿责任。③在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本人及本人 所控制的其 他公司与发 行人存在关 联关系期间 或本人构成 发行人的实 际控制人期 </w:t>
            </w:r>
            <w:r>
              <w:rPr>
                <w:rFonts w:ascii="宋体" w:hAnsi="宋体" w:cs="宋体" w:eastAsia="宋体" w:hint="default"/>
                <w:spacing w:val="-2"/>
                <w:sz w:val="18"/>
                <w:szCs w:val="18"/>
              </w:rPr>
              <w:t>间，本承诺函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对本人持续 有效。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上海中信电 子发展有限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）除已经 向相关中介 机构书面披 露的关联交 </w:t>
            </w:r>
            <w:r>
              <w:rPr>
                <w:rFonts w:ascii="宋体" w:hAnsi="宋体" w:cs="宋体" w:eastAsia="宋体" w:hint="default"/>
                <w:spacing w:val="-2"/>
                <w:sz w:val="18"/>
                <w:szCs w:val="18"/>
              </w:rPr>
              <w:t>易以外，本公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司以及下属 </w:t>
            </w:r>
            <w:r>
              <w:rPr>
                <w:rFonts w:ascii="宋体" w:hAnsi="宋体" w:cs="宋体" w:eastAsia="宋体" w:hint="default"/>
                <w:spacing w:val="-2"/>
                <w:sz w:val="18"/>
                <w:szCs w:val="18"/>
              </w:rPr>
              <w:t>全资、控股子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公司及其他 可实际控制 </w:t>
            </w:r>
            <w:r>
              <w:rPr>
                <w:rFonts w:ascii="宋体" w:hAnsi="宋体" w:cs="宋体" w:eastAsia="宋体" w:hint="default"/>
                <w:spacing w:val="-2"/>
                <w:sz w:val="18"/>
                <w:szCs w:val="18"/>
              </w:rPr>
              <w:t>企业（以下简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附属企 </w:t>
            </w:r>
            <w:r>
              <w:rPr>
                <w:rFonts w:ascii="宋体" w:hAnsi="宋体" w:cs="宋体" w:eastAsia="宋体" w:hint="default"/>
                <w:spacing w:val="-13"/>
                <w:w w:val="100"/>
                <w:sz w:val="18"/>
                <w:szCs w:val="18"/>
              </w:rPr>
              <w:t>业</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）与信息发</w:t>
            </w:r>
            <w:r>
              <w:rPr>
                <w:rFonts w:ascii="宋体" w:hAnsi="宋体" w:cs="宋体" w:eastAsia="宋体" w:hint="default"/>
                <w:sz w:val="18"/>
                <w:szCs w:val="18"/>
              </w:rPr>
              <w:t> 展之间现时 不存在其他 任何依照法 律法规和中 国证监会的 有关规定应 披露而未披 露的关联交 </w:t>
            </w:r>
            <w:r>
              <w:rPr>
                <w:rFonts w:ascii="宋体" w:hAnsi="宋体" w:cs="宋体" w:eastAsia="宋体" w:hint="default"/>
                <w:spacing w:val="-15"/>
                <w:sz w:val="18"/>
                <w:szCs w:val="18"/>
              </w:rPr>
              <w:t>易；（</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）在本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公司作为信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息发展控股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公司及附属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企业将尽量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避免、减少与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如因客观情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况导致必要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属企业将严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格遵守法律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海中信信息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《上海中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管理办法》等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相关制度的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规定，按照公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平、公允、合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理、通常的商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业准则进行。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展及其他股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东的合法利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将转让竞业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4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业务，停止竞 业活动，或由 发行人收购 相关业务或 活动的成果； 若本公司不 停止已存在 的或潜在的 侵害，或本公 司与发行人 的关联交易 中未按照公 平、公开、公 正的原则给 发行人造成 损失，由发行 人将预计损 失从当年或 以后年度分 配给本公司 的分红中扣 除</w:t>
            </w:r>
            <w:r>
              <w:rPr>
                <w:rFonts w:ascii="Times New Roman" w:hAnsi="Times New Roman" w:cs="Times New Roman" w:eastAsia="Times New Roman" w:hint="default"/>
                <w:sz w:val="18"/>
                <w:szCs w:val="18"/>
              </w:rPr>
              <w:t>,</w:t>
            </w:r>
            <w:r>
              <w:rPr>
                <w:rFonts w:ascii="宋体" w:hAnsi="宋体" w:cs="宋体" w:eastAsia="宋体" w:hint="default"/>
                <w:sz w:val="18"/>
                <w:szCs w:val="18"/>
              </w:rPr>
              <w:t>并归发行 人所有。本公 司以直接和 间接所持发 行人的全部 股份对上述 承诺提供连 带责任保证 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）除已经 向相关中介 机构书面披 露的关联交 </w:t>
            </w:r>
            <w:r>
              <w:rPr>
                <w:rFonts w:ascii="宋体" w:hAnsi="宋体" w:cs="宋体" w:eastAsia="宋体" w:hint="default"/>
                <w:spacing w:val="-2"/>
                <w:sz w:val="18"/>
                <w:szCs w:val="18"/>
              </w:rPr>
              <w:t>易以外，本人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以及下属全 </w:t>
            </w:r>
            <w:r>
              <w:rPr>
                <w:rFonts w:ascii="宋体" w:hAnsi="宋体" w:cs="宋体" w:eastAsia="宋体" w:hint="default"/>
                <w:spacing w:val="-2"/>
                <w:sz w:val="18"/>
                <w:szCs w:val="18"/>
              </w:rPr>
              <w:t>资、控股子公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司及其他可 实际控制企 </w:t>
            </w:r>
            <w:r>
              <w:rPr>
                <w:rFonts w:ascii="宋体" w:hAnsi="宋体" w:cs="宋体" w:eastAsia="宋体" w:hint="default"/>
                <w:spacing w:val="-2"/>
                <w:sz w:val="18"/>
                <w:szCs w:val="18"/>
              </w:rPr>
              <w:t>业（以下简称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附属企业</w:t>
            </w:r>
            <w:r>
              <w:rPr>
                <w:rFonts w:ascii="Times New Roman" w:hAnsi="Times New Roman" w:cs="Times New Roman" w:eastAsia="Times New Roman" w:hint="default"/>
                <w:sz w:val="18"/>
                <w:szCs w:val="18"/>
              </w:rPr>
              <w:t>”</w:t>
            </w:r>
            <w:r>
              <w:rPr>
                <w:rFonts w:ascii="宋体" w:hAnsi="宋体" w:cs="宋体" w:eastAsia="宋体" w:hint="default"/>
                <w:sz w:val="18"/>
                <w:szCs w:val="18"/>
              </w:rPr>
              <w:t>） 与信息发展 之间现时不 存在其他任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何依照法律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证监会的有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关规定应披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露而未披露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人期间，本人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及附属企业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将尽量避免、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减少与信息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发展发生关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客观情况导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致必要的关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及附属企业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将严格遵守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和《上海中信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《上海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中信信息发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易管理办法》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等相关制度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合理、通常的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商业准则进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股东地位，损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的合法利益。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2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）若本人 从事与发行 人的业务有 竞争或可能 构成竞争的 业务或活动， 本人将转让 竞业业务，停 止竞业活动， 或由发行人 收购相关业 务或活动的 成果；若本人 不停止已存 在的或潜在 的侵害，或本 人与发行人 的关联交易 中未按照公 平、公开、公 正的原则给 发行人造成 损失，由发行 人将预计损 失从当年或 以后年度分 配给本人的 分红中扣除， 并归发行人 所有。本人以 直接和间接 所持发行人 的全部股份 对上述承诺 提供连带责 任保证担保。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李志卿</w:t>
            </w:r>
            <w:r>
              <w:rPr>
                <w:rFonts w:ascii="Times New Roman" w:hAnsi="Times New Roman" w:cs="Times New Roman" w:eastAsia="Times New Roman" w:hint="default"/>
                <w:sz w:val="18"/>
                <w:szCs w:val="18"/>
              </w:rPr>
              <w:t>;</w:t>
            </w:r>
            <w:r>
              <w:rPr>
                <w:rFonts w:ascii="宋体" w:hAnsi="宋体" w:cs="宋体" w:eastAsia="宋体" w:hint="default"/>
                <w:sz w:val="18"/>
                <w:szCs w:val="18"/>
              </w:rPr>
              <w:t>上海 中信电子发 展有限公司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上海中信信 息发展股份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石 富义</w:t>
            </w:r>
            <w:r>
              <w:rPr>
                <w:rFonts w:ascii="Times New Roman" w:hAnsi="Times New Roman" w:cs="Times New Roman" w:eastAsia="Times New Roman" w:hint="default"/>
                <w:sz w:val="18"/>
                <w:szCs w:val="18"/>
              </w:rPr>
              <w:t>;</w:t>
            </w:r>
            <w:r>
              <w:rPr>
                <w:rFonts w:ascii="宋体" w:hAnsi="宋体" w:cs="宋体" w:eastAsia="宋体" w:hint="default"/>
                <w:sz w:val="18"/>
                <w:szCs w:val="18"/>
              </w:rPr>
              <w:t>杨安荣</w:t>
            </w:r>
            <w:r>
              <w:rPr>
                <w:rFonts w:ascii="Times New Roman" w:hAnsi="Times New Roman" w:cs="Times New Roman" w:eastAsia="Times New Roman" w:hint="default"/>
                <w:sz w:val="18"/>
                <w:szCs w:val="18"/>
              </w:rPr>
              <w:t>; </w:t>
            </w:r>
            <w:r>
              <w:rPr>
                <w:rFonts w:ascii="宋体" w:hAnsi="宋体" w:cs="宋体" w:eastAsia="宋体" w:hint="default"/>
                <w:sz w:val="18"/>
                <w:szCs w:val="18"/>
              </w:rPr>
              <w:t>尹於舜</w:t>
            </w:r>
            <w:r>
              <w:rPr>
                <w:rFonts w:ascii="Times New Roman" w:hAnsi="Times New Roman" w:cs="Times New Roman" w:eastAsia="Times New Roman" w:hint="default"/>
                <w:sz w:val="18"/>
                <w:szCs w:val="18"/>
              </w:rPr>
              <w:t>;</w:t>
            </w:r>
            <w:r>
              <w:rPr>
                <w:rFonts w:ascii="宋体" w:hAnsi="宋体" w:cs="宋体" w:eastAsia="宋体" w:hint="default"/>
                <w:sz w:val="18"/>
                <w:szCs w:val="18"/>
              </w:rPr>
              <w:t>张曙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发行人及其 </w:t>
            </w:r>
            <w:r>
              <w:rPr>
                <w:rFonts w:ascii="宋体" w:hAnsi="宋体" w:cs="宋体" w:eastAsia="宋体" w:hint="default"/>
                <w:spacing w:val="-2"/>
                <w:sz w:val="18"/>
                <w:szCs w:val="18"/>
              </w:rPr>
              <w:t>控股股东、实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际控制人、董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事及高级管 理人员就上 市后三年内 可能出现连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89"/>
              <w:jc w:val="left"/>
              <w:rPr>
                <w:rFonts w:ascii="宋体" w:hAnsi="宋体" w:cs="宋体" w:eastAsia="宋体"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张颖</w:t>
            </w:r>
            <w:r>
              <w:rPr>
                <w:rFonts w:ascii="Times New Roman" w:hAnsi="Times New Roman" w:cs="Times New Roman" w:eastAsia="Times New Roman" w:hint="default"/>
                <w:sz w:val="18"/>
                <w:szCs w:val="18"/>
              </w:rPr>
              <w:t>;</w:t>
            </w:r>
            <w:r>
              <w:rPr>
                <w:rFonts w:ascii="宋体" w:hAnsi="宋体" w:cs="宋体" w:eastAsia="宋体" w:hint="default"/>
                <w:sz w:val="18"/>
                <w:szCs w:val="18"/>
              </w:rPr>
              <w:t>张元 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日收盘价低 于最近一期 末每股净资 产情形时出 具了《关于修 订公司首次 公开发行股 票并在创业 板上市后股 价稳定预案 </w:t>
            </w:r>
            <w:r>
              <w:rPr>
                <w:rFonts w:ascii="宋体" w:hAnsi="宋体" w:cs="宋体" w:eastAsia="宋体" w:hint="default"/>
                <w:spacing w:val="-15"/>
                <w:sz w:val="18"/>
                <w:szCs w:val="18"/>
              </w:rPr>
              <w:t>的议案》。该</w:t>
            </w:r>
            <w:r>
              <w:rPr>
                <w:rFonts w:ascii="宋体" w:hAnsi="宋体" w:cs="宋体" w:eastAsia="宋体" w:hint="default"/>
                <w:sz w:val="18"/>
                <w:szCs w:val="18"/>
              </w:rPr>
              <w:t> 预案在发行 人完成首次 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股股票并上 市之日起生 效，有效期三 年。对于在本 预案有效期 内新聘任的 董事（独立董 </w:t>
            </w:r>
            <w:r>
              <w:rPr>
                <w:rFonts w:ascii="宋体" w:hAnsi="宋体" w:cs="宋体" w:eastAsia="宋体" w:hint="default"/>
                <w:spacing w:val="-15"/>
                <w:sz w:val="18"/>
                <w:szCs w:val="18"/>
              </w:rPr>
              <w:t>事除外）、高</w:t>
            </w:r>
            <w:r>
              <w:rPr>
                <w:rFonts w:ascii="宋体" w:hAnsi="宋体" w:cs="宋体" w:eastAsia="宋体" w:hint="default"/>
                <w:sz w:val="18"/>
                <w:szCs w:val="18"/>
              </w:rPr>
              <w:t> 级管理人员， 发行人也要 求其履行发 行上市时董 事（独立董事 </w:t>
            </w:r>
            <w:r>
              <w:rPr>
                <w:rFonts w:ascii="宋体" w:hAnsi="宋体" w:cs="宋体" w:eastAsia="宋体" w:hint="default"/>
                <w:spacing w:val="-15"/>
                <w:sz w:val="18"/>
                <w:szCs w:val="18"/>
              </w:rPr>
              <w:t>除外）、高级</w:t>
            </w:r>
            <w:r>
              <w:rPr>
                <w:rFonts w:ascii="宋体" w:hAnsi="宋体" w:cs="宋体" w:eastAsia="宋体" w:hint="default"/>
                <w:sz w:val="18"/>
                <w:szCs w:val="18"/>
              </w:rPr>
              <w:t> 管理人员已 作出的稳定 股价预案的 承诺。预案具 体内容如下： 发行人采取 的稳定股价 的措施包括： 由公司回购 股票；由控股 股东及实际 控制人增持 公司股票；由 公司董事（独 立董事除 </w:t>
            </w:r>
            <w:r>
              <w:rPr>
                <w:rFonts w:ascii="宋体" w:hAnsi="宋体" w:cs="宋体" w:eastAsia="宋体" w:hint="default"/>
                <w:spacing w:val="-15"/>
                <w:sz w:val="18"/>
                <w:szCs w:val="18"/>
              </w:rPr>
              <w:t>外）、高级管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理人员增持</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票；以及公司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大会通过的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价的措施。上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述措施的实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施须符合相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及监管部门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会导致发行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人股权结构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不符合上市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基础上，可综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合考虑单独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或合并实施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上述措施。在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前述事项发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交易日内，发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行人应当综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经营发展实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际情况、财务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处行业及股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表现等状况，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提出稳定公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Times New Roman" w:hAnsi="Times New Roman" w:cs="Times New Roman" w:eastAsia="Times New Roman" w:hint="default"/>
                <w:sz w:val="18"/>
                <w:szCs w:val="18"/>
              </w:rPr>
              <w:t>/</w:t>
            </w: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入股份金额、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数量等</w:t>
            </w:r>
            <w:r>
              <w:rPr>
                <w:rFonts w:ascii="宋体" w:hAnsi="宋体" w:cs="宋体" w:eastAsia="宋体" w:hint="default"/>
                <w:spacing w:val="-90"/>
                <w:sz w:val="18"/>
                <w:szCs w:val="18"/>
              </w:rPr>
              <w:t>）</w:t>
            </w:r>
            <w:r>
              <w:rPr>
                <w:rFonts w:ascii="宋体" w:hAnsi="宋体" w:cs="宋体" w:eastAsia="宋体" w:hint="default"/>
                <w:sz w:val="18"/>
                <w:szCs w:val="18"/>
              </w:rPr>
              <w:t>。具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措施及承诺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行人回购股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票措施：公司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资金为自有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资金，回购股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份的方式以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方式或中国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证监会认可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份。在达到启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后，若公司决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定采取回购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股份方式稳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内做出回购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并在做出回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日内公告董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事会决议、回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东大会的通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知。公司单次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用于回购公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万元；且单次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及或连续十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司股本总额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股东大会对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出决议，须经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出席会议的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股东所持表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决权的三分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之二以上通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动回购，并应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法定手续后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施完毕。公司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回购方案实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施完毕后，应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内公告公司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股份变动报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股份，办理工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手续。</w:t>
            </w:r>
            <w:r>
              <w:rPr>
                <w:rFonts w:ascii="Times New Roman" w:hAnsi="Times New Roman" w:cs="Times New Roman" w:eastAsia="Times New Roman" w:hint="default"/>
                <w:sz w:val="18"/>
                <w:szCs w:val="18"/>
              </w:rPr>
              <w:t>2</w:t>
            </w:r>
            <w:r>
              <w:rPr>
                <w:rFonts w:ascii="宋体" w:hAnsi="宋体" w:cs="宋体" w:eastAsia="宋体" w:hint="default"/>
                <w:sz w:val="18"/>
                <w:szCs w:val="18"/>
              </w:rPr>
              <w:t>、控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决定采取由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人通过深圳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统在二级市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场以买入的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司股份，资金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来源为自筹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取得。并且在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增持期间及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法定期限内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不减持其所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人单次用于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票的金额不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元；且单次及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或连续十二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人应在增持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公告做出之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日起次日开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始启动增持，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并应在履行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相关法定手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公司有权责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令控股股东、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在限期内履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人仍不履行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扣减归属于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的当年上市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公司现金分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红收益。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决定采取由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司股票方式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员通过深圳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统在二级市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场以买入的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方式，增持</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份，资金来源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为自筹取得。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并且在增持</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买入期间及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法定期限内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不减持其所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额不少于上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领取税后薪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酬总额的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15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Times New Roman" w:hAnsi="Times New Roman" w:cs="Times New Roman" w:eastAsia="Times New Roman" w:hint="default"/>
                <w:spacing w:val="-21"/>
                <w:w w:val="99"/>
                <w:sz w:val="18"/>
                <w:szCs w:val="18"/>
              </w:rPr>
              <w:t>20%</w:t>
            </w:r>
            <w:r>
              <w:rPr>
                <w:rFonts w:ascii="宋体" w:hAnsi="宋体" w:cs="宋体" w:eastAsia="宋体" w:hint="default"/>
                <w:spacing w:val="-21"/>
                <w:w w:val="99"/>
                <w:sz w:val="18"/>
                <w:szCs w:val="18"/>
              </w:rPr>
              <w:t>。董事（独</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立董事除</w:t>
            </w:r>
            <w:r>
              <w:rPr>
                <w:rFonts w:ascii="宋体" w:hAnsi="宋体" w:cs="宋体" w:eastAsia="宋体" w:hint="default"/>
                <w:w w:val="99"/>
                <w:sz w:val="18"/>
                <w:szCs w:val="18"/>
              </w:rPr>
              <w:t> </w:t>
            </w:r>
            <w:r>
              <w:rPr>
                <w:rFonts w:ascii="宋体" w:hAnsi="宋体" w:cs="宋体" w:eastAsia="宋体" w:hint="default"/>
                <w:spacing w:val="-15"/>
                <w:w w:val="99"/>
                <w:sz w:val="18"/>
                <w:szCs w:val="18"/>
              </w:rPr>
              <w:t>外）、高级管</w:t>
            </w:r>
            <w:r>
              <w:rPr>
                <w:rFonts w:ascii="宋体" w:hAnsi="宋体" w:cs="宋体" w:eastAsia="宋体" w:hint="default"/>
                <w:w w:val="99"/>
                <w:sz w:val="18"/>
                <w:szCs w:val="18"/>
              </w:rPr>
              <w:t> </w:t>
            </w:r>
            <w:r>
              <w:rPr>
                <w:rFonts w:ascii="宋体" w:hAnsi="宋体" w:cs="宋体" w:eastAsia="宋体" w:hint="default"/>
                <w:sz w:val="18"/>
                <w:szCs w:val="18"/>
              </w:rPr>
              <w:t>理人员应在</w:t>
            </w:r>
            <w:r>
              <w:rPr>
                <w:rFonts w:ascii="宋体" w:hAnsi="宋体" w:cs="宋体" w:eastAsia="宋体" w:hint="default"/>
                <w:w w:val="99"/>
                <w:sz w:val="18"/>
                <w:szCs w:val="18"/>
              </w:rPr>
              <w:t> </w:t>
            </w: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w:t>
            </w:r>
            <w:r>
              <w:rPr>
                <w:rFonts w:ascii="宋体" w:hAnsi="宋体" w:cs="宋体" w:eastAsia="宋体" w:hint="default"/>
                <w:w w:val="99"/>
                <w:sz w:val="18"/>
                <w:szCs w:val="18"/>
              </w:rPr>
              <w:t> </w:t>
            </w:r>
            <w:r>
              <w:rPr>
                <w:rFonts w:ascii="宋体" w:hAnsi="宋体" w:cs="宋体" w:eastAsia="宋体" w:hint="default"/>
                <w:sz w:val="18"/>
                <w:szCs w:val="18"/>
              </w:rPr>
              <w:t>告做出之日</w:t>
            </w:r>
            <w:r>
              <w:rPr>
                <w:rFonts w:ascii="宋体" w:hAnsi="宋体" w:cs="宋体" w:eastAsia="宋体" w:hint="default"/>
                <w:w w:val="99"/>
                <w:sz w:val="18"/>
                <w:szCs w:val="18"/>
              </w:rPr>
              <w:t> </w:t>
            </w:r>
            <w:r>
              <w:rPr>
                <w:rFonts w:ascii="宋体" w:hAnsi="宋体" w:cs="宋体" w:eastAsia="宋体" w:hint="default"/>
                <w:sz w:val="18"/>
                <w:szCs w:val="18"/>
              </w:rPr>
              <w:t>起次日开始</w:t>
            </w:r>
            <w:r>
              <w:rPr>
                <w:rFonts w:ascii="宋体" w:hAnsi="宋体" w:cs="宋体" w:eastAsia="宋体" w:hint="default"/>
                <w:w w:val="99"/>
                <w:sz w:val="18"/>
                <w:szCs w:val="18"/>
              </w:rPr>
              <w:t> </w:t>
            </w:r>
            <w:r>
              <w:rPr>
                <w:rFonts w:ascii="宋体" w:hAnsi="宋体" w:cs="宋体" w:eastAsia="宋体" w:hint="default"/>
                <w:sz w:val="18"/>
                <w:szCs w:val="18"/>
              </w:rPr>
              <w:t>启动增持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w:t>
            </w:r>
            <w:r>
              <w:rPr>
                <w:rFonts w:ascii="宋体" w:hAnsi="宋体" w:cs="宋体" w:eastAsia="宋体" w:hint="default"/>
                <w:w w:val="99"/>
                <w:sz w:val="18"/>
                <w:szCs w:val="18"/>
              </w:rPr>
              <w:t> </w:t>
            </w:r>
            <w:r>
              <w:rPr>
                <w:rFonts w:ascii="宋体" w:hAnsi="宋体" w:cs="宋体" w:eastAsia="宋体" w:hint="default"/>
                <w:spacing w:val="-2"/>
                <w:sz w:val="18"/>
                <w:szCs w:val="18"/>
              </w:rPr>
              <w:t>入，并应在履</w:t>
            </w:r>
            <w:r>
              <w:rPr>
                <w:rFonts w:ascii="宋体" w:hAnsi="宋体" w:cs="宋体" w:eastAsia="宋体" w:hint="default"/>
                <w:w w:val="99"/>
                <w:sz w:val="18"/>
                <w:szCs w:val="18"/>
              </w:rPr>
              <w:t> </w:t>
            </w:r>
            <w:r>
              <w:rPr>
                <w:rFonts w:ascii="宋体" w:hAnsi="宋体" w:cs="宋体" w:eastAsia="宋体" w:hint="default"/>
                <w:sz w:val="18"/>
                <w:szCs w:val="18"/>
              </w:rPr>
              <w:t>行相关法定</w:t>
            </w:r>
            <w:r>
              <w:rPr>
                <w:rFonts w:ascii="宋体" w:hAnsi="宋体" w:cs="宋体" w:eastAsia="宋体" w:hint="default"/>
                <w:w w:val="99"/>
                <w:sz w:val="18"/>
                <w:szCs w:val="18"/>
              </w:rPr>
              <w:t> </w:t>
            </w:r>
            <w:r>
              <w:rPr>
                <w:rFonts w:ascii="宋体" w:hAnsi="宋体" w:cs="宋体" w:eastAsia="宋体" w:hint="default"/>
                <w:sz w:val="18"/>
                <w:szCs w:val="18"/>
              </w:rPr>
              <w:t>手续后的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日内实施完</w:t>
            </w:r>
            <w:r>
              <w:rPr>
                <w:rFonts w:ascii="宋体" w:hAnsi="宋体" w:cs="宋体" w:eastAsia="宋体" w:hint="default"/>
                <w:w w:val="99"/>
                <w:sz w:val="18"/>
                <w:szCs w:val="18"/>
              </w:rPr>
              <w:t> </w:t>
            </w:r>
            <w:r>
              <w:rPr>
                <w:rFonts w:ascii="宋体" w:hAnsi="宋体" w:cs="宋体" w:eastAsia="宋体" w:hint="default"/>
                <w:spacing w:val="-2"/>
                <w:sz w:val="18"/>
                <w:szCs w:val="18"/>
              </w:rPr>
              <w:t>毕。如未履行</w:t>
            </w:r>
            <w:r>
              <w:rPr>
                <w:rFonts w:ascii="宋体" w:hAnsi="宋体" w:cs="宋体" w:eastAsia="宋体" w:hint="default"/>
                <w:w w:val="99"/>
                <w:sz w:val="18"/>
                <w:szCs w:val="18"/>
              </w:rPr>
              <w:t> </w:t>
            </w:r>
            <w:r>
              <w:rPr>
                <w:rFonts w:ascii="宋体" w:hAnsi="宋体" w:cs="宋体" w:eastAsia="宋体" w:hint="default"/>
                <w:sz w:val="18"/>
                <w:szCs w:val="18"/>
              </w:rPr>
              <w:t>上述承诺事</w:t>
            </w:r>
            <w:r>
              <w:rPr>
                <w:rFonts w:ascii="宋体" w:hAnsi="宋体" w:cs="宋体" w:eastAsia="宋体" w:hint="default"/>
                <w:w w:val="99"/>
                <w:sz w:val="18"/>
                <w:szCs w:val="18"/>
              </w:rPr>
              <w:t> </w:t>
            </w:r>
            <w:r>
              <w:rPr>
                <w:rFonts w:ascii="宋体" w:hAnsi="宋体" w:cs="宋体" w:eastAsia="宋体" w:hint="default"/>
                <w:spacing w:val="-2"/>
                <w:sz w:val="18"/>
                <w:szCs w:val="18"/>
              </w:rPr>
              <w:t>项，公司有权</w:t>
            </w:r>
            <w:r>
              <w:rPr>
                <w:rFonts w:ascii="宋体" w:hAnsi="宋体" w:cs="宋体" w:eastAsia="宋体" w:hint="default"/>
                <w:w w:val="99"/>
                <w:sz w:val="18"/>
                <w:szCs w:val="18"/>
              </w:rPr>
              <w:t> </w:t>
            </w:r>
            <w:r>
              <w:rPr>
                <w:rFonts w:ascii="宋体" w:hAnsi="宋体" w:cs="宋体" w:eastAsia="宋体" w:hint="default"/>
                <w:spacing w:val="-2"/>
                <w:sz w:val="18"/>
                <w:szCs w:val="18"/>
              </w:rPr>
              <w:t>责令董事（独</w:t>
            </w:r>
            <w:r>
              <w:rPr>
                <w:rFonts w:ascii="宋体" w:hAnsi="宋体" w:cs="宋体" w:eastAsia="宋体" w:hint="default"/>
                <w:w w:val="99"/>
                <w:sz w:val="18"/>
                <w:szCs w:val="18"/>
              </w:rPr>
              <w:t> </w:t>
            </w:r>
            <w:r>
              <w:rPr>
                <w:rFonts w:ascii="宋体" w:hAnsi="宋体" w:cs="宋体" w:eastAsia="宋体" w:hint="default"/>
                <w:sz w:val="18"/>
                <w:szCs w:val="18"/>
              </w:rPr>
              <w:t>立董事除</w:t>
            </w:r>
            <w:r>
              <w:rPr>
                <w:rFonts w:ascii="宋体" w:hAnsi="宋体" w:cs="宋体" w:eastAsia="宋体" w:hint="default"/>
                <w:w w:val="99"/>
                <w:sz w:val="18"/>
                <w:szCs w:val="18"/>
              </w:rPr>
              <w:t> </w:t>
            </w:r>
            <w:r>
              <w:rPr>
                <w:rFonts w:ascii="宋体" w:hAnsi="宋体" w:cs="宋体" w:eastAsia="宋体" w:hint="default"/>
                <w:spacing w:val="-15"/>
                <w:w w:val="99"/>
                <w:sz w:val="18"/>
                <w:szCs w:val="18"/>
              </w:rPr>
              <w:t>外）、高级管</w:t>
            </w:r>
            <w:r>
              <w:rPr>
                <w:rFonts w:ascii="宋体" w:hAnsi="宋体" w:cs="宋体" w:eastAsia="宋体" w:hint="default"/>
                <w:w w:val="99"/>
                <w:sz w:val="18"/>
                <w:szCs w:val="18"/>
              </w:rPr>
              <w:t> </w:t>
            </w:r>
            <w:r>
              <w:rPr>
                <w:rFonts w:ascii="宋体" w:hAnsi="宋体" w:cs="宋体" w:eastAsia="宋体" w:hint="default"/>
                <w:sz w:val="18"/>
                <w:szCs w:val="18"/>
              </w:rPr>
              <w:t>理人员在限</w:t>
            </w:r>
            <w:r>
              <w:rPr>
                <w:rFonts w:ascii="宋体" w:hAnsi="宋体" w:cs="宋体" w:eastAsia="宋体" w:hint="default"/>
                <w:w w:val="99"/>
                <w:sz w:val="18"/>
                <w:szCs w:val="18"/>
              </w:rPr>
              <w:t> </w:t>
            </w:r>
            <w:r>
              <w:rPr>
                <w:rFonts w:ascii="宋体" w:hAnsi="宋体" w:cs="宋体" w:eastAsia="宋体" w:hint="default"/>
                <w:sz w:val="18"/>
                <w:szCs w:val="18"/>
              </w:rPr>
              <w:t>期内履行增</w:t>
            </w:r>
            <w:r>
              <w:rPr>
                <w:rFonts w:ascii="宋体" w:hAnsi="宋体" w:cs="宋体" w:eastAsia="宋体" w:hint="default"/>
                <w:w w:val="99"/>
                <w:sz w:val="18"/>
                <w:szCs w:val="18"/>
              </w:rPr>
              <w:t> </w:t>
            </w: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买入股票</w:t>
            </w:r>
            <w:r>
              <w:rPr>
                <w:rFonts w:ascii="宋体" w:hAnsi="宋体" w:cs="宋体" w:eastAsia="宋体" w:hint="default"/>
                <w:w w:val="99"/>
                <w:sz w:val="18"/>
                <w:szCs w:val="18"/>
              </w:rPr>
              <w:t> </w:t>
            </w:r>
            <w:r>
              <w:rPr>
                <w:rFonts w:ascii="宋体" w:hAnsi="宋体" w:cs="宋体" w:eastAsia="宋体" w:hint="default"/>
                <w:sz w:val="18"/>
                <w:szCs w:val="18"/>
              </w:rPr>
              <w:t>义务。董事</w:t>
            </w:r>
          </w:p>
          <w:p>
            <w:pPr>
              <w:pStyle w:val="TableParagraph"/>
              <w:spacing w:line="316"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（独立董事 </w:t>
            </w:r>
            <w:r>
              <w:rPr>
                <w:rFonts w:ascii="宋体" w:hAnsi="宋体" w:cs="宋体" w:eastAsia="宋体" w:hint="default"/>
                <w:spacing w:val="-15"/>
                <w:sz w:val="18"/>
                <w:szCs w:val="18"/>
              </w:rPr>
              <w:t>除外）、高级</w:t>
            </w:r>
            <w:r>
              <w:rPr>
                <w:rFonts w:ascii="宋体" w:hAnsi="宋体" w:cs="宋体" w:eastAsia="宋体" w:hint="default"/>
                <w:sz w:val="18"/>
                <w:szCs w:val="18"/>
              </w:rPr>
              <w:t> 管理人员仍 </w:t>
            </w:r>
            <w:r>
              <w:rPr>
                <w:rFonts w:ascii="宋体" w:hAnsi="宋体" w:cs="宋体" w:eastAsia="宋体" w:hint="default"/>
                <w:spacing w:val="-2"/>
                <w:sz w:val="18"/>
                <w:szCs w:val="18"/>
              </w:rPr>
              <w:t>不履行的，公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司有权扣减 归属于董事</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（独立董事 </w:t>
            </w:r>
            <w:r>
              <w:rPr>
                <w:rFonts w:ascii="宋体" w:hAnsi="宋体" w:cs="宋体" w:eastAsia="宋体" w:hint="default"/>
                <w:spacing w:val="-2"/>
                <w:sz w:val="18"/>
                <w:szCs w:val="18"/>
              </w:rPr>
              <w:t>除外）和高级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管理人员的 当年上市公 司现金分红 </w:t>
            </w:r>
            <w:r>
              <w:rPr>
                <w:rFonts w:ascii="宋体" w:hAnsi="宋体" w:cs="宋体" w:eastAsia="宋体" w:hint="default"/>
                <w:spacing w:val="-2"/>
                <w:sz w:val="18"/>
                <w:szCs w:val="18"/>
              </w:rPr>
              <w:t>收益。情节严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重的，经股东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大会同意，公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司有权更换 </w:t>
            </w:r>
            <w:r>
              <w:rPr>
                <w:rFonts w:ascii="宋体" w:hAnsi="宋体" w:cs="宋体" w:eastAsia="宋体" w:hint="default"/>
                <w:spacing w:val="-2"/>
                <w:sz w:val="18"/>
                <w:szCs w:val="18"/>
              </w:rPr>
              <w:t>相关董事；公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司董事会有 权解聘相关 高级管理人 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103"/>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 除非经常性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7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损益后的净 利润为固定 </w:t>
            </w:r>
            <w:r>
              <w:rPr>
                <w:rFonts w:ascii="宋体" w:hAnsi="宋体" w:cs="宋体" w:eastAsia="宋体" w:hint="default"/>
                <w:spacing w:val="-8"/>
                <w:sz w:val="18"/>
                <w:szCs w:val="18"/>
              </w:rPr>
              <w:t>基数，</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扣除非经常 性损益和股 份支付费用 影响后的净 利润增长率 不低</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15%</w:t>
            </w:r>
            <w:r>
              <w:rPr>
                <w:rFonts w:ascii="宋体" w:hAnsi="宋体" w:cs="宋体" w:eastAsia="宋体" w:hint="default"/>
                <w:spacing w:val="-11"/>
                <w:sz w:val="18"/>
                <w:szCs w:val="18"/>
              </w:rPr>
              <w:t>；以</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 非经常性损 益后的净利 润为固定基 </w:t>
            </w:r>
            <w:r>
              <w:rPr>
                <w:rFonts w:ascii="宋体" w:hAnsi="宋体" w:cs="宋体" w:eastAsia="宋体" w:hint="default"/>
                <w:spacing w:val="-10"/>
                <w:sz w:val="18"/>
                <w:szCs w:val="18"/>
              </w:rPr>
              <w:t>数，</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年扣 除非经常性 损益和股份 支付费用影 响后的净利 润增长率不 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 非经常性损 益后的净利 润为固定基 </w:t>
            </w:r>
            <w:r>
              <w:rPr>
                <w:rFonts w:ascii="宋体" w:hAnsi="宋体" w:cs="宋体" w:eastAsia="宋体" w:hint="default"/>
                <w:spacing w:val="-10"/>
                <w:sz w:val="18"/>
                <w:szCs w:val="18"/>
              </w:rPr>
              <w:t>数，</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年扣 除非经常性 损益和股份 支付费用影 响后的净利 润增长率不 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本人在担任 公司的董事、 监事、高级管 理人员期间， 每年转让的 股份不超过 本人所持有 信息发展股 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 让本人所持 有的信息发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发行人及其 </w:t>
            </w:r>
            <w:r>
              <w:rPr>
                <w:rFonts w:ascii="宋体" w:hAnsi="宋体" w:cs="宋体" w:eastAsia="宋体" w:hint="default"/>
                <w:spacing w:val="-2"/>
                <w:sz w:val="18"/>
                <w:szCs w:val="18"/>
              </w:rPr>
              <w:t>控股股东、实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际控制人、董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事及高级管 理人员就上 市后三年内 可能出现连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日收盘价低 于最近一期 末每股净资 产情形时出 </w:t>
            </w:r>
            <w:r>
              <w:rPr>
                <w:rFonts w:ascii="宋体" w:hAnsi="宋体" w:cs="宋体" w:eastAsia="宋体" w:hint="default"/>
                <w:spacing w:val="-2"/>
                <w:sz w:val="18"/>
                <w:szCs w:val="18"/>
              </w:rPr>
              <w:t>具了《关于修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订公司首次 公开发行股 票并在创业 板上市后股 价稳定预案 </w:t>
            </w:r>
            <w:r>
              <w:rPr>
                <w:rFonts w:ascii="宋体" w:hAnsi="宋体" w:cs="宋体" w:eastAsia="宋体" w:hint="default"/>
                <w:spacing w:val="-15"/>
                <w:sz w:val="18"/>
                <w:szCs w:val="18"/>
              </w:rPr>
              <w:t>的议案》。该</w:t>
            </w:r>
            <w:r>
              <w:rPr>
                <w:rFonts w:ascii="宋体" w:hAnsi="宋体" w:cs="宋体" w:eastAsia="宋体" w:hint="default"/>
                <w:sz w:val="18"/>
                <w:szCs w:val="18"/>
              </w:rPr>
              <w:t> 预案在发行 人完成首次 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股股票并上 市之日起生 </w:t>
            </w:r>
            <w:r>
              <w:rPr>
                <w:rFonts w:ascii="宋体" w:hAnsi="宋体" w:cs="宋体" w:eastAsia="宋体" w:hint="default"/>
                <w:spacing w:val="-2"/>
                <w:sz w:val="18"/>
                <w:szCs w:val="18"/>
              </w:rPr>
              <w:t>效，有效期三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年。对于在本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预案有效期 内新聘任的 </w:t>
            </w:r>
            <w:r>
              <w:rPr>
                <w:rFonts w:ascii="宋体" w:hAnsi="宋体" w:cs="宋体" w:eastAsia="宋体" w:hint="default"/>
                <w:spacing w:val="-2"/>
                <w:sz w:val="18"/>
                <w:szCs w:val="18"/>
              </w:rPr>
              <w:t>董事（独立董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事除外）、高</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级管理人员， 发行人也要 求其履行发 行上市时董 事（独立董事 </w:t>
            </w:r>
            <w:r>
              <w:rPr>
                <w:rFonts w:ascii="宋体" w:hAnsi="宋体" w:cs="宋体" w:eastAsia="宋体" w:hint="default"/>
                <w:spacing w:val="-15"/>
                <w:sz w:val="18"/>
                <w:szCs w:val="18"/>
              </w:rPr>
              <w:t>除外）、高级</w:t>
            </w:r>
            <w:r>
              <w:rPr>
                <w:rFonts w:ascii="宋体" w:hAnsi="宋体" w:cs="宋体" w:eastAsia="宋体" w:hint="default"/>
                <w:sz w:val="18"/>
                <w:szCs w:val="18"/>
              </w:rPr>
              <w:t> 管理人员已 作出的稳定 股价预案的 承诺。预案具 体内容如下： 发行人采取 的稳定股价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的措施包括：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股票；由控股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股东及实际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理人员增持</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票；以及公司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大会通过的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价的措施。上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述措施的实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施须符合相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及监管部门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会导致发行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人股权结构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不符合上市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基础上，可综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合考虑单独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或合并实施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上述措施。在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前述事项发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交易日内，发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行人应当综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经营发展实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际情况、财务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处行业及股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表现等状况，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提出稳定公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Times New Roman" w:hAnsi="Times New Roman" w:cs="Times New Roman" w:eastAsia="Times New Roman" w:hint="default"/>
                <w:sz w:val="18"/>
                <w:szCs w:val="18"/>
              </w:rPr>
              <w:t>/</w:t>
            </w: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入股份金额、</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数量等</w:t>
            </w:r>
            <w:r>
              <w:rPr>
                <w:rFonts w:ascii="宋体" w:hAnsi="宋体" w:cs="宋体" w:eastAsia="宋体" w:hint="default"/>
                <w:spacing w:val="-90"/>
                <w:sz w:val="18"/>
                <w:szCs w:val="18"/>
              </w:rPr>
              <w:t>）</w:t>
            </w:r>
            <w:r>
              <w:rPr>
                <w:rFonts w:ascii="宋体" w:hAnsi="宋体" w:cs="宋体" w:eastAsia="宋体" w:hint="default"/>
                <w:sz w:val="18"/>
                <w:szCs w:val="18"/>
              </w:rPr>
              <w:t>。具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措施及承诺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行人回购股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票措施：公司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资金为自有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份的方式以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方式或中国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证监会认可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份。在达到启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后，若公司决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定采取回购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股份方式稳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内做出回购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并在做出回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日内公告董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事会决议、回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东大会的通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知。公司单次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用于回购公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万元；且单次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及或连续十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二个月回购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司股本总额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股东大会对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出决议，须经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出席会议的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股东所持表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决权的三分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之二以上通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动回购，并应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法定手续后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施完毕。公司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回购方案实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施完毕后，应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内公告公司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股份变动报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股份，办理工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手续。</w:t>
            </w:r>
            <w:r>
              <w:rPr>
                <w:rFonts w:ascii="Times New Roman" w:hAnsi="Times New Roman" w:cs="Times New Roman" w:eastAsia="Times New Roman" w:hint="default"/>
                <w:sz w:val="18"/>
                <w:szCs w:val="18"/>
              </w:rPr>
              <w:t>2</w:t>
            </w:r>
            <w:r>
              <w:rPr>
                <w:rFonts w:ascii="宋体" w:hAnsi="宋体" w:cs="宋体" w:eastAsia="宋体" w:hint="default"/>
                <w:sz w:val="18"/>
                <w:szCs w:val="18"/>
              </w:rPr>
              <w:t>、控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决定采取由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方式稳定股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价，控股股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人通过深圳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统在二级市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场以买入的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来源为自筹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取得。并且在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增持期间及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法定期限内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不减持其所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人单次用于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票的金额不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元；且单次及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或连续十二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人应在增持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公告做出之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日起次日开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始启动增持，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并应在履行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相关法定手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公司有权责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令控股股东、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在限期内履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行增持股票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义务，控股股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人仍不履行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扣减归属于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的当年上市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红收益。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决定采取由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司股票方式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员通过深圳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统在二级市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场以买入的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方式，增持</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份，资金来源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为自筹取得。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并且在增持</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买入期间及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法定期限内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不减持其所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股份。公司董</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额不少于上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领取税后薪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w:t>
            </w:r>
            <w:r>
              <w:rPr>
                <w:rFonts w:ascii="宋体" w:hAnsi="宋体" w:cs="宋体" w:eastAsia="宋体" w:hint="default"/>
                <w:spacing w:val="-81"/>
                <w:w w:val="99"/>
                <w:sz w:val="18"/>
                <w:szCs w:val="18"/>
              </w:rPr>
              <w:t>。</w:t>
            </w:r>
            <w:r>
              <w:rPr>
                <w:rFonts w:ascii="宋体" w:hAnsi="宋体" w:cs="宋体" w:eastAsia="宋体" w:hint="default"/>
                <w:w w:val="99"/>
                <w:sz w:val="18"/>
                <w:szCs w:val="18"/>
              </w:rPr>
              <w:t>董</w:t>
            </w:r>
            <w:r>
              <w:rPr>
                <w:rFonts w:ascii="宋体" w:hAnsi="宋体" w:cs="宋体" w:eastAsia="宋体" w:hint="default"/>
                <w:spacing w:val="-81"/>
                <w:w w:val="99"/>
                <w:sz w:val="18"/>
                <w:szCs w:val="18"/>
              </w:rPr>
              <w:t>事</w:t>
            </w:r>
            <w:r>
              <w:rPr>
                <w:rFonts w:ascii="宋体" w:hAnsi="宋体" w:cs="宋体" w:eastAsia="宋体" w:hint="default"/>
                <w:w w:val="99"/>
                <w:sz w:val="18"/>
                <w:szCs w:val="18"/>
              </w:rPr>
              <w:t>（独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告做出之日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起次日开始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入，并应在履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行相关法定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手续后的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毕。如未履行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项，公司有权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责令董事（独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期内履行增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义务。董事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不履行的，公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司有权扣减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当年上市公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收益。情节严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重的，经股东</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25"/>
        <w:gridCol w:w="1137"/>
        <w:gridCol w:w="1126"/>
        <w:gridCol w:w="1127"/>
        <w:gridCol w:w="1126"/>
        <w:gridCol w:w="1121"/>
        <w:gridCol w:w="1108"/>
      </w:tblGrid>
      <w:tr>
        <w:trPr>
          <w:trHeight w:val="2235"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大会同意，公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司有权更换 </w:t>
            </w:r>
            <w:r>
              <w:rPr>
                <w:rFonts w:ascii="宋体" w:hAnsi="宋体" w:cs="宋体" w:eastAsia="宋体" w:hint="default"/>
                <w:spacing w:val="-2"/>
                <w:sz w:val="18"/>
                <w:szCs w:val="18"/>
              </w:rPr>
              <w:t>相关董事；公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司董事会有 权解聘相关 高级管理人 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left="1134" w:right="985"/>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4"/>
        <w:spacing w:line="240" w:lineRule="auto"/>
        <w:ind w:right="985"/>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ind w:left="0" w:right="1139"/>
        <w:jc w:val="right"/>
      </w:pPr>
      <w:r>
        <w:rPr/>
        <w:pict>
          <v:shape style="position:absolute;margin-left:56.34pt;margin-top:-22.988287pt;width:479.6pt;height:142.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0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64"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2"/>
                            <w:sz w:val="18"/>
                            <w:szCs w:val="18"/>
                          </w:rPr>
                          <w:t>目，将部分原列示为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营业外收入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的资产</w:t>
                        </w:r>
                        <w:r>
                          <w:rPr>
                            <w:rFonts w:ascii="宋体" w:hAnsi="宋体" w:cs="宋体" w:eastAsia="宋体" w:hint="default"/>
                            <w:sz w:val="18"/>
                            <w:szCs w:val="18"/>
                          </w:rPr>
                          <w:t> 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年度：无影响；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年度：无影响</w:t>
                        </w:r>
                      </w:p>
                    </w:tc>
                  </w:tr>
                  <w:tr>
                    <w:trPr>
                      <w:trHeight w:val="1051"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）利润表中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下分别列示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持续</w:t>
                        </w:r>
                        <w:r>
                          <w:rPr>
                            <w:rFonts w:ascii="宋体" w:hAnsi="宋体" w:cs="宋体" w:eastAsia="宋体" w:hint="default"/>
                            <w:spacing w:val="-74"/>
                            <w:sz w:val="18"/>
                            <w:szCs w:val="18"/>
                          </w:rPr>
                          <w:t> </w:t>
                        </w:r>
                        <w:r>
                          <w:rPr>
                            <w:rFonts w:ascii="宋体" w:hAnsi="宋体" w:cs="宋体" w:eastAsia="宋体" w:hint="default"/>
                            <w:sz w:val="18"/>
                            <w:szCs w:val="18"/>
                          </w:rPr>
                          <w:t>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 数据相应调整。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年度：列示持续经营净利润本年金额</w:t>
                        </w:r>
                      </w:p>
                      <w:p>
                        <w:pPr>
                          <w:pStyle w:val="TableParagraph"/>
                          <w:spacing w:line="300" w:lineRule="auto" w:before="61"/>
                          <w:ind w:left="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32,811,909.76</w:t>
                        </w:r>
                        <w:r>
                          <w:rPr>
                            <w:rFonts w:ascii="宋体" w:hAnsi="宋体" w:cs="宋体" w:eastAsia="宋体" w:hint="default"/>
                            <w:spacing w:val="-2"/>
                            <w:sz w:val="18"/>
                            <w:szCs w:val="18"/>
                          </w:rPr>
                          <w:t>元，列示终止经营净利润本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年金额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年度：列示持续经营净</w:t>
                        </w:r>
                      </w:p>
                    </w:tc>
                  </w:tr>
                </w:tbl>
                <w:p>
                  <w:pPr/>
                </w:p>
              </w:txbxContent>
            </v:textbox>
            <w10:wrap type="none"/>
          </v:shape>
        </w:pict>
      </w:r>
      <w:r>
        <w:rPr/>
        <w:t>。</w:t>
      </w:r>
    </w:p>
    <w:p>
      <w:pPr>
        <w:spacing w:line="240" w:lineRule="auto" w:before="13"/>
        <w:rPr>
          <w:rFonts w:ascii="宋体" w:hAnsi="宋体" w:cs="宋体" w:eastAsia="宋体" w:hint="default"/>
          <w:sz w:val="7"/>
          <w:szCs w:val="7"/>
        </w:rPr>
      </w:pPr>
    </w:p>
    <w:p>
      <w:pPr>
        <w:spacing w:line="946" w:lineRule="exact"/>
        <w:ind w:left="432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59.9pt;height:47.3pt;mso-position-horizontal-relative:char;mso-position-vertical-relative:line" coordorigin="0,0" coordsize="3198,946">
            <v:group style="position:absolute;left:11;top:0;width:3176;height:946" coordorigin="11,0" coordsize="3176,946">
              <v:shape style="position:absolute;left:11;top:0;width:3176;height:946" coordorigin="11,0" coordsize="3176,946" path="m11,946l3186,946,3186,0,11,0,11,946xe" filled="true" fillcolor="#ffffff" stroked="false">
                <v:path arrowok="t"/>
                <v:fill type="solid"/>
              </v:shape>
            </v:group>
            <v:group style="position:absolute;left:5;top:941;width:3188;height:2" coordorigin="5,941" coordsize="3188,2">
              <v:shape style="position:absolute;left:5;top:941;width:3188;height:2" coordorigin="5,941" coordsize="3188,0" path="m5,941l3192,941e" filled="false" stroked="true" strokeweight=".48pt" strokecolor="#ffffff">
                <v:path arrowok="t"/>
              </v:shape>
            </v:group>
          </v:group>
        </w:pict>
      </w:r>
      <w:r>
        <w:rPr>
          <w:rFonts w:ascii="宋体" w:hAnsi="宋体" w:cs="宋体" w:eastAsia="宋体" w:hint="default"/>
          <w:position w:val="-18"/>
          <w:sz w:val="20"/>
          <w:szCs w:val="20"/>
        </w:rPr>
      </w:r>
    </w:p>
    <w:p>
      <w:pPr>
        <w:spacing w:after="0" w:line="946"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191"/>
        <w:gridCol w:w="3190"/>
        <w:gridCol w:w="3189"/>
      </w:tblGrid>
      <w:tr>
        <w:trPr>
          <w:trHeight w:val="698" w:hRule="exact"/>
        </w:trPr>
        <w:tc>
          <w:tcPr>
            <w:tcW w:w="3191" w:type="dxa"/>
            <w:tcBorders>
              <w:top w:val="single" w:sz="6" w:space="0" w:color="000000"/>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利润本年金额</w:t>
            </w:r>
            <w:r>
              <w:rPr>
                <w:rFonts w:ascii="Times New Roman" w:hAnsi="Times New Roman" w:cs="Times New Roman" w:eastAsia="Times New Roman" w:hint="default"/>
                <w:spacing w:val="-2"/>
                <w:sz w:val="18"/>
                <w:szCs w:val="18"/>
              </w:rPr>
              <w:t>30,990,573.09</w:t>
            </w:r>
            <w:r>
              <w:rPr>
                <w:rFonts w:ascii="宋体" w:hAnsi="宋体" w:cs="宋体" w:eastAsia="宋体" w:hint="default"/>
                <w:spacing w:val="-2"/>
                <w:sz w:val="18"/>
                <w:szCs w:val="18"/>
              </w:rPr>
              <w:t>元，列示终止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经营净利润本年金额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w:t>
            </w:r>
          </w:p>
        </w:tc>
      </w:tr>
      <w:tr>
        <w:trPr>
          <w:trHeight w:val="1053"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）与本公司日常活动相关的政府补助</w:t>
            </w:r>
            <w:r>
              <w:rPr>
                <w:rFonts w:ascii="宋体" w:hAnsi="宋体" w:cs="宋体" w:eastAsia="宋体" w:hint="default"/>
                <w:sz w:val="18"/>
                <w:szCs w:val="18"/>
              </w:rPr>
              <w:t> </w:t>
            </w:r>
            <w:r>
              <w:rPr>
                <w:rFonts w:ascii="宋体" w:hAnsi="宋体" w:cs="宋体" w:eastAsia="宋体" w:hint="default"/>
                <w:spacing w:val="-4"/>
                <w:sz w:val="18"/>
                <w:szCs w:val="18"/>
              </w:rPr>
              <w:t>计入其他收益，不再计入营业外收入。比</w:t>
            </w:r>
            <w:r>
              <w:rPr>
                <w:rFonts w:ascii="宋体" w:hAnsi="宋体" w:cs="宋体" w:eastAsia="宋体" w:hint="default"/>
                <w:sz w:val="18"/>
                <w:szCs w:val="18"/>
              </w:rPr>
              <w:t> 较数据不调整。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董事会审批</w:t>
            </w:r>
          </w:p>
          <w:p>
            <w:pPr>
              <w:pStyle w:val="TableParagraph"/>
              <w:spacing w:line="392" w:lineRule="exact"/>
              <w:ind w:left="3" w:right="-47"/>
              <w:jc w:val="left"/>
              <w:rPr>
                <w:rFonts w:ascii="宋体" w:hAnsi="宋体" w:cs="宋体" w:eastAsia="宋体" w:hint="default"/>
                <w:sz w:val="20"/>
                <w:szCs w:val="20"/>
              </w:rPr>
            </w:pPr>
            <w:r>
              <w:rPr>
                <w:rFonts w:ascii="宋体" w:hAnsi="宋体" w:cs="宋体" w:eastAsia="宋体" w:hint="default"/>
                <w:position w:val="-7"/>
                <w:sz w:val="20"/>
                <w:szCs w:val="20"/>
              </w:rPr>
              <w:pict>
                <v:group style="width:158.450pt;height:19.650pt;mso-position-horizontal-relative:char;mso-position-vertical-relative:line" coordorigin="0,0" coordsize="3169,393">
                  <v:group style="position:absolute;left:0;top:0;width:3169;height:393" coordorigin="0,0" coordsize="3169,393">
                    <v:shape style="position:absolute;left:0;top:0;width:3169;height:393" coordorigin="0,0" coordsize="3169,393" path="m0,392l3168,392,3168,0,0,0,0,392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年度：本年营业外收入减少</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12,528,675.00</w:t>
            </w:r>
            <w:r>
              <w:rPr>
                <w:rFonts w:ascii="宋体" w:hAnsi="宋体" w:cs="宋体" w:eastAsia="宋体" w:hint="default"/>
                <w:sz w:val="18"/>
                <w:szCs w:val="18"/>
              </w:rPr>
              <w:t>元，重分类至其他收益；</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年度：无影响。</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26"/>
        <w:ind w:left="1134" w:right="985"/>
        <w:jc w:val="left"/>
        <w:rPr>
          <w:b w:val="0"/>
          <w:bCs w:val="0"/>
        </w:rPr>
      </w:pPr>
      <w:r>
        <w:rPr/>
        <w:pict>
          <v:shape style="position:absolute;margin-left:211.197006pt;margin-top:-79.564392pt;width:164.05pt;height:19.650pt;mso-position-horizontal-relative:page;mso-position-vertical-relative:paragraph;z-index:-1156936" type="#_x0000_t202" filled="false" stroked="false">
            <v:textbox inset="0,0,0,0">
              <w:txbxContent>
                <w:p>
                  <w:pPr>
                    <w:pStyle w:val="BodyText"/>
                    <w:spacing w:line="240" w:lineRule="auto" w:before="51"/>
                    <w:ind w:left="0" w:right="0"/>
                    <w:jc w:val="left"/>
                  </w:pPr>
                  <w:r>
                    <w:rPr/>
                    <w:t>，</w:t>
                  </w:r>
                </w:p>
              </w:txbxContent>
            </v:textbox>
            <w10:wrap type="none"/>
          </v:shape>
        </w:pict>
      </w: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4"/>
        <w:spacing w:line="240" w:lineRule="auto"/>
        <w:ind w:right="985"/>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庄继宁、吴海燕</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985"/>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85"/>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85"/>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4"/>
        <w:spacing w:line="240" w:lineRule="auto"/>
        <w:ind w:right="985"/>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本年度公司无重大诉讼、仲裁事项。</w:t>
      </w:r>
    </w:p>
    <w:p>
      <w:pPr>
        <w:spacing w:line="240" w:lineRule="auto" w:before="13"/>
        <w:rPr>
          <w:rFonts w:ascii="宋体" w:hAnsi="宋体" w:cs="宋体" w:eastAsia="宋体" w:hint="default"/>
          <w:sz w:val="24"/>
          <w:szCs w:val="24"/>
        </w:rPr>
      </w:pPr>
    </w:p>
    <w:p>
      <w:pPr>
        <w:pStyle w:val="Heading4"/>
        <w:spacing w:line="240" w:lineRule="auto"/>
        <w:ind w:right="985"/>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985"/>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85"/>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4"/>
        <w:spacing w:line="240" w:lineRule="auto"/>
        <w:ind w:right="985"/>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5"/>
        <w:spacing w:line="240" w:lineRule="auto"/>
        <w:ind w:right="985"/>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5"/>
        <w:spacing w:line="240" w:lineRule="auto"/>
        <w:ind w:left="1134" w:right="985"/>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5"/>
        <w:spacing w:line="240" w:lineRule="auto"/>
        <w:ind w:right="985"/>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5"/>
        <w:spacing w:line="240" w:lineRule="auto"/>
        <w:ind w:right="985"/>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985"/>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5"/>
        <w:spacing w:line="240" w:lineRule="auto"/>
        <w:ind w:right="985"/>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5"/>
        <w:spacing w:line="240" w:lineRule="auto"/>
        <w:ind w:right="985"/>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5"/>
        <w:spacing w:line="240" w:lineRule="auto"/>
        <w:ind w:left="1134" w:right="985"/>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5"/>
        <w:spacing w:line="240" w:lineRule="auto"/>
        <w:ind w:right="985"/>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5"/>
        <w:spacing w:line="240" w:lineRule="auto"/>
        <w:ind w:right="985"/>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5"/>
        <w:spacing w:line="240" w:lineRule="auto"/>
        <w:ind w:right="985"/>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985"/>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033"/>
        <w:jc w:val="left"/>
      </w:pPr>
      <w:r>
        <w:rPr>
          <w:spacing w:val="-2"/>
        </w:rPr>
        <w:t>社会责任是企业的经营之本，在遵纪守法、合规经营的同时，公司高度重视企业责任的履行。公司根据《公司法》、《证券</w:t>
      </w:r>
      <w:r>
        <w:rPr>
          <w:spacing w:val="-68"/>
        </w:rPr>
        <w:t> </w:t>
      </w:r>
      <w:r>
        <w:rPr>
          <w:spacing w:val="-68"/>
        </w:rPr>
      </w:r>
      <w:r>
        <w:rPr>
          <w:spacing w:val="-2"/>
        </w:rPr>
        <w:t>法》、《股票上市规则》、《主板上市公司规范运作指引》等法律法规、部门规章、规范性文件和《公司章程》的规定，规</w:t>
      </w:r>
      <w:r>
        <w:rPr>
          <w:spacing w:val="-74"/>
        </w:rPr>
        <w:t> </w:t>
      </w:r>
      <w:r>
        <w:rPr>
          <w:spacing w:val="-74"/>
        </w:rPr>
      </w:r>
      <w:r>
        <w:rPr>
          <w:spacing w:val="-2"/>
        </w:rPr>
        <w:t>范公司治理结构和建立健全内部控制制度，依法召开股东大会、董事会、监事会，严格履行信息披露义务，积极承担社会责</w:t>
      </w:r>
      <w:r>
        <w:rPr>
          <w:spacing w:val="-66"/>
        </w:rPr>
        <w:t> </w:t>
      </w:r>
      <w:r>
        <w:rPr>
          <w:spacing w:val="-66"/>
        </w:rPr>
      </w:r>
      <w:r>
        <w:rPr/>
        <w:t>任，采取有效措施保护投资者特别是中小投资者的合法权益。 </w:t>
      </w:r>
      <w:r>
        <w:rPr>
          <w:rFonts w:ascii="Times New Roman" w:hAnsi="Times New Roman" w:cs="Times New Roman" w:eastAsia="Times New Roman" w:hint="default"/>
        </w:rPr>
        <w:t>1</w:t>
      </w:r>
      <w:r>
        <w:rPr/>
        <w:t>、股东及债权人权益保护：公司依法召开股东大会，根据《深圳证券交易所上市公司股东大会网络投票实施细则》的规定 积极提供网络投票的方式扩大股东参与股东大会的比例。公司严格依法履行信息披露义务，积极配合监管机关的各类调查、 检查及问询工作。公司在经营决策过程中，充分考虑债权人的合法权益。 </w:t>
      </w:r>
      <w:r>
        <w:rPr>
          <w:rFonts w:ascii="Times New Roman" w:hAnsi="Times New Roman" w:cs="Times New Roman" w:eastAsia="Times New Roman" w:hint="default"/>
        </w:rPr>
        <w:t>2</w:t>
      </w:r>
      <w:r>
        <w:rPr/>
        <w:t>、职工权益保护：公司严格按照《劳动法》、《劳动合同法》等法律法规的要求录用职工并依法为职工缴纳社会保险。公 </w:t>
      </w:r>
      <w:r>
        <w:rPr>
          <w:spacing w:val="-2"/>
        </w:rPr>
        <w:t>司还为新员工提供了系统性的入职培训让新入职的员工更好的了解公司。公司依法安排生产经营时间，按规定为职工提供各</w:t>
      </w:r>
      <w:r>
        <w:rPr>
          <w:spacing w:val="-64"/>
        </w:rPr>
        <w:t> </w:t>
      </w:r>
      <w:r>
        <w:rPr>
          <w:spacing w:val="-64"/>
        </w:rPr>
      </w:r>
      <w:r>
        <w:rPr/>
        <w:t>类合法假期。在每年</w:t>
      </w:r>
      <w:r>
        <w:rPr>
          <w:rFonts w:ascii="Times New Roman" w:hAnsi="Times New Roman" w:cs="Times New Roman" w:eastAsia="Times New Roman" w:hint="default"/>
        </w:rPr>
        <w:t>“3.8</w:t>
      </w:r>
      <w:r>
        <w:rPr/>
        <w:t>妇女节</w:t>
      </w:r>
      <w:r>
        <w:rPr>
          <w:rFonts w:ascii="Times New Roman" w:hAnsi="Times New Roman" w:cs="Times New Roman" w:eastAsia="Times New Roman" w:hint="default"/>
        </w:rPr>
        <w:t>”</w:t>
      </w:r>
      <w:r>
        <w:rPr/>
        <w:t>公司为全体女性员工送上礼品以体现对女性同胞的关爱。公司建立了科学化、规范化、系 </w:t>
      </w:r>
      <w:r>
        <w:rPr>
          <w:spacing w:val="-2"/>
        </w:rPr>
        <w:t>统化的培训管理体系，积极筹划各类培训工作以促使员工不断提升职业技能，同时提供经费以鼓励员工积极参加各类社会培</w:t>
      </w:r>
      <w:r>
        <w:rPr>
          <w:spacing w:val="-64"/>
        </w:rPr>
        <w:t> </w:t>
      </w:r>
      <w:r>
        <w:rPr>
          <w:spacing w:val="-64"/>
        </w:rPr>
      </w:r>
      <w:r>
        <w:rPr>
          <w:spacing w:val="-2"/>
        </w:rPr>
        <w:t>训以取得相关执业资格。公司每年一度的年会为全体员工提供了展现才艺的舞台，也为员工之间、员工与企业之间提供了建</w:t>
      </w:r>
      <w:r>
        <w:rPr>
          <w:spacing w:val="-66"/>
        </w:rPr>
        <w:t> </w:t>
      </w:r>
      <w:r>
        <w:rPr>
          <w:spacing w:val="-66"/>
        </w:rPr>
      </w:r>
      <w:r>
        <w:rPr/>
        <w:t>立深厚情谊的机会，促进了员工良好人际关系的发展和公司舒适工作环境创建。 </w:t>
      </w:r>
      <w:r>
        <w:rPr>
          <w:rFonts w:ascii="Times New Roman" w:hAnsi="Times New Roman" w:cs="Times New Roman" w:eastAsia="Times New Roman" w:hint="default"/>
        </w:rPr>
        <w:t>3</w:t>
      </w:r>
      <w:r>
        <w:rPr/>
        <w:t>、重视投资者关系管理：公司重视投资者关系管理工作，贯彻真实、准确、完整、及时、公平的原则，认真履行信息披露 </w:t>
      </w:r>
      <w:r>
        <w:rPr>
          <w:spacing w:val="-2"/>
        </w:rPr>
        <w:t>义务，塑造公司在资本市场的良好形象。公司通过路演、投资者热线电话、投资者专用电子信箱、现场调研等多种渠道，积</w:t>
      </w:r>
      <w:r>
        <w:rPr>
          <w:spacing w:val="-67"/>
        </w:rPr>
        <w:t> </w:t>
      </w:r>
      <w:r>
        <w:rPr>
          <w:spacing w:val="-67"/>
        </w:rPr>
      </w:r>
      <w:r>
        <w:rPr/>
        <w:t>极与投资者交流互动，提高了投资者对公司的认知度。 </w:t>
      </w:r>
      <w:r>
        <w:rPr>
          <w:spacing w:val="-2"/>
        </w:rPr>
        <w:t>今后我们将继续在社会责任各方面努力，在追求经济效益的同时，最大化的履行社会责任，促进公司进步与社会、环境的协</w:t>
      </w:r>
      <w:r>
        <w:rPr>
          <w:spacing w:val="-66"/>
        </w:rPr>
        <w:t> </w:t>
      </w:r>
      <w:r>
        <w:rPr>
          <w:spacing w:val="-66"/>
        </w:rPr>
      </w:r>
      <w:r>
        <w:rPr/>
        <w:t>调发展，实现企业经济价值与社会价值之间的良性互动，创造共享价值，推动企业与社会的可持续发展。</w:t>
      </w:r>
    </w:p>
    <w:p>
      <w:pPr>
        <w:spacing w:line="240" w:lineRule="auto" w:before="9"/>
        <w:rPr>
          <w:rFonts w:ascii="宋体" w:hAnsi="宋体" w:cs="宋体" w:eastAsia="宋体" w:hint="default"/>
          <w:sz w:val="22"/>
          <w:szCs w:val="22"/>
        </w:rPr>
      </w:pPr>
    </w:p>
    <w:p>
      <w:pPr>
        <w:pStyle w:val="Heading5"/>
        <w:spacing w:line="240" w:lineRule="auto"/>
        <w:ind w:right="985"/>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right="1111"/>
        <w:jc w:val="left"/>
      </w:pPr>
      <w:r>
        <w:rPr>
          <w:spacing w:val="-2"/>
        </w:rPr>
        <w:t>公司曾在</w:t>
      </w:r>
      <w:r>
        <w:rPr>
          <w:rFonts w:ascii="Times New Roman" w:hAnsi="Times New Roman" w:cs="Times New Roman" w:eastAsia="Times New Roman" w:hint="default"/>
          <w:spacing w:val="-2"/>
        </w:rPr>
        <w:t>2016</w:t>
      </w:r>
      <w:r>
        <w:rPr>
          <w:spacing w:val="-2"/>
        </w:rPr>
        <w:t>年为四川广安地区提供扶贫服务，</w:t>
      </w:r>
      <w:r>
        <w:rPr>
          <w:rFonts w:ascii="Times New Roman" w:hAnsi="Times New Roman" w:cs="Times New Roman" w:eastAsia="Times New Roman" w:hint="default"/>
          <w:spacing w:val="-2"/>
        </w:rPr>
        <w:t>2017</w:t>
      </w:r>
      <w:r>
        <w:rPr>
          <w:spacing w:val="-2"/>
        </w:rPr>
        <w:t>年更进一步针对当地四川广安市龙安乡群策村制定产供销一体化的互联</w:t>
      </w:r>
      <w:r>
        <w:rPr>
          <w:spacing w:val="-56"/>
        </w:rPr>
        <w:t> </w:t>
      </w:r>
      <w:r>
        <w:rPr>
          <w:spacing w:val="-1"/>
        </w:rPr>
        <w:t>网</w:t>
      </w:r>
      <w:r>
        <w:rPr>
          <w:rFonts w:ascii="Times New Roman" w:hAnsi="Times New Roman" w:cs="Times New Roman" w:eastAsia="Times New Roman" w:hint="default"/>
          <w:spacing w:val="-1"/>
        </w:rPr>
        <w:t>+</w:t>
      </w:r>
      <w:r>
        <w:rPr>
          <w:spacing w:val="-1"/>
        </w:rPr>
        <w:t>追溯</w:t>
      </w:r>
      <w:r>
        <w:rPr>
          <w:rFonts w:ascii="Times New Roman" w:hAnsi="Times New Roman" w:cs="Times New Roman" w:eastAsia="Times New Roman" w:hint="default"/>
          <w:spacing w:val="-1"/>
        </w:rPr>
        <w:t>+</w:t>
      </w:r>
      <w:r>
        <w:rPr>
          <w:spacing w:val="-1"/>
        </w:rPr>
        <w:t>精准扶贫计划，该计划主要是对于当地特产龙安柚提供</w:t>
      </w:r>
      <w:r>
        <w:rPr>
          <w:rFonts w:ascii="Times New Roman" w:hAnsi="Times New Roman" w:cs="Times New Roman" w:eastAsia="Times New Roman" w:hint="default"/>
          <w:spacing w:val="-1"/>
        </w:rPr>
        <w:t>“</w:t>
      </w:r>
      <w:r>
        <w:rPr>
          <w:spacing w:val="-1"/>
        </w:rPr>
        <w:t>品控</w:t>
      </w:r>
      <w:r>
        <w:rPr>
          <w:rFonts w:ascii="Times New Roman" w:hAnsi="Times New Roman" w:cs="Times New Roman" w:eastAsia="Times New Roman" w:hint="default"/>
          <w:spacing w:val="-1"/>
        </w:rPr>
        <w:t>+</w:t>
      </w:r>
      <w:r>
        <w:rPr>
          <w:spacing w:val="-1"/>
        </w:rPr>
        <w:t>品宣</w:t>
      </w:r>
      <w:r>
        <w:rPr>
          <w:rFonts w:ascii="Times New Roman" w:hAnsi="Times New Roman" w:cs="Times New Roman" w:eastAsia="Times New Roman" w:hint="default"/>
          <w:spacing w:val="-1"/>
        </w:rPr>
        <w:t>+</w:t>
      </w:r>
      <w:r>
        <w:rPr>
          <w:spacing w:val="-1"/>
        </w:rPr>
        <w:t>品塑</w:t>
      </w:r>
      <w:r>
        <w:rPr>
          <w:rFonts w:ascii="Times New Roman" w:hAnsi="Times New Roman" w:cs="Times New Roman" w:eastAsia="Times New Roman" w:hint="default"/>
          <w:spacing w:val="-1"/>
        </w:rPr>
        <w:t>+</w:t>
      </w:r>
      <w:r>
        <w:rPr>
          <w:spacing w:val="-1"/>
        </w:rPr>
        <w:t>品销</w:t>
      </w:r>
      <w:r>
        <w:rPr>
          <w:rFonts w:ascii="Times New Roman" w:hAnsi="Times New Roman" w:cs="Times New Roman" w:eastAsia="Times New Roman" w:hint="default"/>
          <w:spacing w:val="-1"/>
        </w:rPr>
        <w:t>”</w:t>
      </w:r>
      <w:r>
        <w:rPr>
          <w:spacing w:val="-1"/>
        </w:rPr>
        <w:t>的新模式，通过追溯到户、对接线</w:t>
      </w:r>
      <w:r>
        <w:rPr>
          <w:spacing w:val="-68"/>
        </w:rPr>
        <w:t> </w:t>
      </w:r>
      <w:r>
        <w:rPr>
          <w:spacing w:val="-68"/>
        </w:rPr>
      </w:r>
      <w:r>
        <w:rPr>
          <w:spacing w:val="-2"/>
        </w:rPr>
        <w:t>上微店电商平台和生鲜电商平台、全程跟踪监控柚子从种植到开花到采摘的过程、规范柚子收购标准等一系列举措，全力打</w:t>
      </w:r>
      <w:r>
        <w:rPr>
          <w:spacing w:val="-66"/>
        </w:rPr>
        <w:t> </w:t>
      </w:r>
      <w:r>
        <w:rPr>
          <w:spacing w:val="-66"/>
        </w:rPr>
      </w:r>
      <w:r>
        <w:rPr/>
        <w:t>造</w:t>
      </w:r>
      <w:r>
        <w:rPr>
          <w:rFonts w:ascii="Times New Roman" w:hAnsi="Times New Roman" w:cs="Times New Roman" w:eastAsia="Times New Roman" w:hint="default"/>
        </w:rPr>
        <w:t>“</w:t>
      </w:r>
      <w:r>
        <w:rPr/>
        <w:t>群策</w:t>
      </w:r>
      <w:r>
        <w:rPr>
          <w:rFonts w:ascii="Times New Roman" w:hAnsi="Times New Roman" w:cs="Times New Roman" w:eastAsia="Times New Roman" w:hint="default"/>
        </w:rPr>
        <w:t>”</w:t>
      </w:r>
      <w:r>
        <w:rPr/>
        <w:t>产业新升级的局面，提升产品附加值。 </w:t>
      </w:r>
      <w:r>
        <w:rPr>
          <w:spacing w:val="-2"/>
        </w:rPr>
        <w:t>公司提供的</w:t>
      </w:r>
      <w:r>
        <w:rPr>
          <w:rFonts w:ascii="Times New Roman" w:hAnsi="Times New Roman" w:cs="Times New Roman" w:eastAsia="Times New Roman" w:hint="default"/>
          <w:spacing w:val="-2"/>
        </w:rPr>
        <w:t>“</w:t>
      </w:r>
      <w:r>
        <w:rPr>
          <w:spacing w:val="-2"/>
        </w:rPr>
        <w:t>群策</w:t>
      </w:r>
      <w:r>
        <w:rPr>
          <w:rFonts w:ascii="Times New Roman" w:hAnsi="Times New Roman" w:cs="Times New Roman" w:eastAsia="Times New Roman" w:hint="default"/>
          <w:spacing w:val="-2"/>
        </w:rPr>
        <w:t>”</w:t>
      </w:r>
      <w:r>
        <w:rPr>
          <w:spacing w:val="-2"/>
        </w:rPr>
        <w:t>产业精准扶贫计划，一方面让真正的原产地产品直送到达消费者手中，为农民增收，推动农产品向质优价</w:t>
      </w:r>
      <w:r>
        <w:rPr>
          <w:spacing w:val="-43"/>
        </w:rPr>
        <w:t> </w:t>
      </w:r>
      <w:r>
        <w:rPr>
          <w:spacing w:val="-43"/>
        </w:rPr>
      </w:r>
      <w:r>
        <w:rPr/>
        <w:t>高的品牌化方向发展；另一方面，帮助产区完成互联网</w:t>
      </w:r>
      <w:r>
        <w:rPr>
          <w:rFonts w:ascii="Times New Roman" w:hAnsi="Times New Roman" w:cs="Times New Roman" w:eastAsia="Times New Roman" w:hint="default"/>
        </w:rPr>
        <w:t>+</w:t>
      </w:r>
      <w:r>
        <w:rPr/>
        <w:t>的转型升级，提高产品溢价空间，增强消费者对品牌的信任，协助 产品创造更高价值，加快当地群众迈向小康生活的步伐。</w:t>
      </w:r>
    </w:p>
    <w:p>
      <w:pPr>
        <w:spacing w:line="240" w:lineRule="auto" w:before="4"/>
        <w:rPr>
          <w:rFonts w:ascii="宋体" w:hAnsi="宋体" w:cs="宋体" w:eastAsia="宋体" w:hint="default"/>
          <w:sz w:val="23"/>
          <w:szCs w:val="23"/>
        </w:rPr>
      </w:pPr>
    </w:p>
    <w:p>
      <w:pPr>
        <w:pStyle w:val="Heading5"/>
        <w:spacing w:line="240" w:lineRule="auto"/>
        <w:ind w:left="1134" w:right="985"/>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985"/>
        <w:jc w:val="left"/>
      </w:pPr>
      <w:r>
        <w:rPr>
          <w:spacing w:val="-2"/>
        </w:rPr>
        <w:t>公司精准扶贫规划帮助四川省广安市广安区龙安乡群策村实现龙安柚销量</w:t>
      </w:r>
      <w:r>
        <w:rPr>
          <w:rFonts w:ascii="Times New Roman" w:hAnsi="Times New Roman" w:cs="Times New Roman" w:eastAsia="Times New Roman" w:hint="default"/>
          <w:spacing w:val="-2"/>
        </w:rPr>
        <w:t>3200</w:t>
      </w:r>
      <w:r>
        <w:rPr>
          <w:spacing w:val="-2"/>
        </w:rPr>
        <w:t>个，总销售额</w:t>
      </w:r>
      <w:r>
        <w:rPr>
          <w:rFonts w:ascii="Times New Roman" w:hAnsi="Times New Roman" w:cs="Times New Roman" w:eastAsia="Times New Roman" w:hint="default"/>
          <w:spacing w:val="-2"/>
        </w:rPr>
        <w:t>52123</w:t>
      </w:r>
      <w:r>
        <w:rPr>
          <w:spacing w:val="-2"/>
        </w:rPr>
        <w:t>元，平均每户增收</w:t>
      </w:r>
      <w:r>
        <w:rPr>
          <w:rFonts w:ascii="Times New Roman" w:hAnsi="Times New Roman" w:cs="Times New Roman" w:eastAsia="Times New Roman" w:hint="default"/>
          <w:spacing w:val="-2"/>
        </w:rPr>
        <w:t>1600</w:t>
      </w:r>
      <w:r>
        <w:rPr>
          <w:spacing w:val="-2"/>
        </w:rPr>
        <w:t>元，</w:t>
      </w:r>
      <w:r>
        <w:rPr>
          <w:spacing w:val="-50"/>
        </w:rPr>
        <w:t> </w:t>
      </w:r>
      <w:r>
        <w:rPr/>
        <w:t>脱贫率达</w:t>
      </w:r>
      <w:r>
        <w:rPr>
          <w:rFonts w:ascii="Times New Roman" w:hAnsi="Times New Roman" w:cs="Times New Roman" w:eastAsia="Times New Roman" w:hint="default"/>
        </w:rPr>
        <w:t>60%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0"/>
        <w:ind w:left="1134" w:right="985"/>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1111"/>
        <w:jc w:val="left"/>
      </w:pPr>
      <w:r>
        <w:rPr>
          <w:spacing w:val="-2"/>
        </w:rPr>
        <w:t>公司提供的</w:t>
      </w:r>
      <w:r>
        <w:rPr>
          <w:rFonts w:ascii="Times New Roman" w:hAnsi="Times New Roman" w:cs="Times New Roman" w:eastAsia="Times New Roman" w:hint="default"/>
          <w:spacing w:val="-2"/>
        </w:rPr>
        <w:t>“</w:t>
      </w:r>
      <w:r>
        <w:rPr>
          <w:spacing w:val="-2"/>
        </w:rPr>
        <w:t>群策</w:t>
      </w:r>
      <w:r>
        <w:rPr>
          <w:rFonts w:ascii="Times New Roman" w:hAnsi="Times New Roman" w:cs="Times New Roman" w:eastAsia="Times New Roman" w:hint="default"/>
          <w:spacing w:val="-2"/>
        </w:rPr>
        <w:t>”</w:t>
      </w:r>
      <w:r>
        <w:rPr>
          <w:spacing w:val="-2"/>
        </w:rPr>
        <w:t>产业精准扶贫计划，一方面让真正的原产地产品直送到达消费者手中，为农民增收、精准扶贫，推动农产</w:t>
      </w:r>
      <w:r>
        <w:rPr>
          <w:spacing w:val="-44"/>
        </w:rPr>
        <w:t> </w:t>
      </w:r>
      <w:r>
        <w:rPr>
          <w:spacing w:val="-44"/>
        </w:rPr>
      </w:r>
      <w:r>
        <w:rPr/>
        <w:t>品向质优价高的品牌化方向发展；另一方面，帮助产区完成互联网</w:t>
      </w:r>
      <w:r>
        <w:rPr>
          <w:rFonts w:ascii="Times New Roman" w:hAnsi="Times New Roman" w:cs="Times New Roman" w:eastAsia="Times New Roman" w:hint="default"/>
        </w:rPr>
        <w:t>+</w:t>
      </w:r>
      <w:r>
        <w:rPr/>
        <w:t>的转型升级，提高产品溢价空间，增强消费者对品牌的 信任，协助产品创造更高价值，加快当地群众迈向小康生活的步伐。 </w:t>
      </w:r>
      <w:r>
        <w:rPr>
          <w:spacing w:val="-2"/>
        </w:rPr>
        <w:t>未来公司将重点帮助上海对口支援的贵州省遵义市道真自治县阳溪镇种植密本南瓜的</w:t>
      </w:r>
      <w:r>
        <w:rPr>
          <w:rFonts w:ascii="Times New Roman" w:hAnsi="Times New Roman" w:cs="Times New Roman" w:eastAsia="Times New Roman" w:hint="default"/>
          <w:spacing w:val="-2"/>
        </w:rPr>
        <w:t>12</w:t>
      </w:r>
      <w:r>
        <w:rPr>
          <w:spacing w:val="-2"/>
        </w:rPr>
        <w:t>家贫困户，实现滞销农产品在上海平</w:t>
      </w:r>
      <w:r>
        <w:rPr>
          <w:spacing w:val="-62"/>
        </w:rPr>
        <w:t> </w:t>
      </w:r>
      <w:r>
        <w:rPr>
          <w:spacing w:val="-62"/>
        </w:rPr>
      </w:r>
      <w:r>
        <w:rPr/>
        <w:t>价菜专柜直销；帮助该镇种植生态花菜瓜的</w:t>
      </w:r>
      <w:r>
        <w:rPr>
          <w:rFonts w:ascii="Times New Roman" w:hAnsi="Times New Roman" w:cs="Times New Roman" w:eastAsia="Times New Roman" w:hint="default"/>
        </w:rPr>
        <w:t>17</w:t>
      </w:r>
      <w:r>
        <w:rPr/>
        <w:t>家贫困户，实现滞销农产品上海平价菜专柜直销。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5"/>
        <w:spacing w:line="240" w:lineRule="auto"/>
        <w:ind w:right="985"/>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5712"/>
        <w:jc w:val="left"/>
      </w:pPr>
      <w:r>
        <w:rPr/>
        <w:t>上市公司及其子公司是否属于环境保护部门公布的重点排污单位 否</w:t>
      </w:r>
    </w:p>
    <w:p>
      <w:pPr>
        <w:pStyle w:val="BodyText"/>
        <w:spacing w:line="240" w:lineRule="auto" w:before="25"/>
        <w:ind w:left="1134" w:right="985"/>
        <w:jc w:val="left"/>
      </w:pPr>
      <w:r>
        <w:rPr/>
        <w:t>不适用</w:t>
      </w:r>
    </w:p>
    <w:p>
      <w:pPr>
        <w:spacing w:line="240" w:lineRule="auto" w:before="2"/>
        <w:rPr>
          <w:rFonts w:ascii="宋体" w:hAnsi="宋体" w:cs="宋体" w:eastAsia="宋体" w:hint="default"/>
          <w:sz w:val="25"/>
          <w:szCs w:val="25"/>
        </w:rPr>
      </w:pPr>
    </w:p>
    <w:p>
      <w:pPr>
        <w:pStyle w:val="Heading4"/>
        <w:spacing w:line="240" w:lineRule="auto"/>
        <w:ind w:left="1134" w:right="985"/>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日召开第四届董事会第五次会议、第四届监事会第四次会议审议通过了《关于公司符合非公</w:t>
      </w:r>
      <w:r>
        <w:rPr>
          <w:spacing w:val="-59"/>
        </w:rPr>
        <w:t> </w:t>
      </w:r>
      <w:r>
        <w:rPr>
          <w:spacing w:val="-59"/>
        </w:rPr>
      </w:r>
      <w:r>
        <w:rPr>
          <w:spacing w:val="-2"/>
        </w:rPr>
        <w:t>开发行股票条件的议案》等相关议案。并将提交至</w:t>
      </w:r>
      <w:r>
        <w:rPr>
          <w:rFonts w:ascii="Times New Roman" w:hAnsi="Times New Roman" w:cs="Times New Roman" w:eastAsia="Times New Roman" w:hint="default"/>
          <w:spacing w:val="-2"/>
        </w:rPr>
        <w:t>2018</w:t>
      </w:r>
      <w:r>
        <w:rPr>
          <w:spacing w:val="-2"/>
        </w:rPr>
        <w:t>年第一次临时股东大会审议。同时在中国证监会指定创业板信息披露</w:t>
      </w:r>
    </w:p>
    <w:p>
      <w:pPr>
        <w:pStyle w:val="BodyText"/>
        <w:spacing w:line="233" w:lineRule="exact" w:before="0"/>
        <w:ind w:left="1134" w:right="985"/>
        <w:jc w:val="left"/>
      </w:pPr>
      <w:r>
        <w:rPr/>
        <w:t>媒体巨潮资讯网披露。</w:t>
      </w:r>
    </w:p>
    <w:p>
      <w:pPr>
        <w:spacing w:line="240" w:lineRule="auto" w:before="2"/>
        <w:rPr>
          <w:rFonts w:ascii="宋体" w:hAnsi="宋体" w:cs="宋体" w:eastAsia="宋体" w:hint="default"/>
          <w:sz w:val="25"/>
          <w:szCs w:val="25"/>
        </w:rPr>
      </w:pPr>
    </w:p>
    <w:p>
      <w:pPr>
        <w:pStyle w:val="Heading4"/>
        <w:spacing w:line="240" w:lineRule="auto"/>
        <w:ind w:left="1134" w:right="985"/>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985"/>
        <w:jc w:val="left"/>
        <w:rPr>
          <w:b w:val="0"/>
          <w:bCs w:val="0"/>
        </w:rPr>
      </w:pPr>
      <w:bookmarkStart w:name="_TOC_250006" w:id="105"/>
      <w:bookmarkStart w:name="第六节 股份变动及股东情况" w:id="106"/>
      <w:r>
        <w:rPr>
          <w:b w:val="0"/>
          <w:bCs w:val="0"/>
        </w:rPr>
      </w:r>
      <w:r>
        <w:rPr/>
        <w:t>第六节</w:t>
      </w:r>
      <w:r>
        <w:rPr>
          <w:spacing w:val="-10"/>
        </w:rPr>
        <w:t> </w:t>
      </w:r>
      <w:r>
        <w:rPr/>
        <w:t>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85"/>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58.49%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-251,250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-251,250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39,695,49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58.49%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-251,250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-251,250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39,695,49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21,242,40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31.10%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21,242,40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31.10%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27.39%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28,353,26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251,250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251,250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41.88%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28,353,26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251,250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251,250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41.88%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985"/>
        <w:jc w:val="left"/>
      </w:pPr>
      <w:r>
        <w:rPr/>
        <w:t>股份变动的原因</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240" w:lineRule="auto" w:before="42"/>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股份变动的过户情况</w:t>
      </w:r>
    </w:p>
    <w:p>
      <w:pPr>
        <w:pStyle w:val="BodyText"/>
        <w:spacing w:line="340" w:lineRule="auto" w:before="11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0" w:right="1139"/>
        <w:jc w:val="right"/>
      </w:pPr>
      <w:r>
        <w:rPr/>
        <w:pict>
          <v:shape style="position:absolute;margin-left:56.459999pt;margin-top:-324.238281pt;width:479.25pt;height:502.5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上海中信信息发 展股份有限公司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21,242,400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21,242,400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15,070,080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871,740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796,740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年起每年的 第一个交易日解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直至高管 锁定期止</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706,410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605,160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年起每年的 第一个交易日解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直至高管 锁定期止。</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556,110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481,110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年起每年的 第一个交易日解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直至高管 锁定期止。</w:t>
                        </w:r>
                      </w:p>
                    </w:tc>
                  </w:tr>
                  <w:tr>
                    <w:trPr>
                      <w:trHeight w:val="258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授予股权激励限 制性股票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在授予日的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月后、</w:t>
                        </w:r>
                        <w:r>
                          <w:rPr>
                            <w:rFonts w:ascii="Times New Roman" w:hAnsi="Times New Roman" w:cs="Times New Roman" w:eastAsia="Times New Roman" w:hint="default"/>
                            <w:spacing w:val="-18"/>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个月后分三次 解锁，每次解锁 的限制性股票比 例分别为授予总 量的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p>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40%</w:t>
                        </w:r>
                      </w:p>
                    </w:tc>
                  </w:tr>
                  <w:tr>
                    <w:trPr>
                      <w:trHeight w:val="129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授予股权激励限 制性股票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在授予日的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月后、</w:t>
                        </w:r>
                        <w:r>
                          <w:rPr>
                            <w:rFonts w:ascii="Times New Roman" w:hAnsi="Times New Roman" w:cs="Times New Roman" w:eastAsia="Times New Roman" w:hint="default"/>
                            <w:spacing w:val="-18"/>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个月后分三次 解锁，每次解锁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63"/>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8"/>
        <w:rPr>
          <w:rFonts w:ascii="宋体" w:hAnsi="宋体" w:cs="宋体" w:eastAsia="宋体" w:hint="default"/>
          <w:sz w:val="26"/>
          <w:szCs w:val="26"/>
        </w:rPr>
      </w:pPr>
    </w:p>
    <w:p>
      <w:pPr>
        <w:pStyle w:val="BodyText"/>
        <w:spacing w:line="326" w:lineRule="auto"/>
        <w:ind w:left="9369" w:right="1123"/>
        <w:jc w:val="left"/>
        <w:rPr>
          <w:rFonts w:ascii="Times New Roman" w:hAnsi="Times New Roman" w:cs="Times New Roman" w:eastAsia="Times New Roman" w:hint="default"/>
        </w:rPr>
      </w:pPr>
      <w:r>
        <w:rPr/>
        <w:pict>
          <v:group style="position:absolute;margin-left:56.459999pt;margin-top:.951743pt;width:479pt;height:603.25pt;mso-position-horizontal-relative:page;mso-position-vertical-relative:paragraph;z-index:-1156888" coordorigin="1129,19" coordsize="9580,12065">
            <v:group style="position:absolute;left:1139;top:29;width:1353;height:2" coordorigin="1139,29" coordsize="1353,2">
              <v:shape style="position:absolute;left:1139;top:29;width:1353;height:2" coordorigin="1139,29" coordsize="1353,0" path="m1139,29l2492,29e" filled="false" stroked="true" strokeweight=".48pt" strokecolor="#000000">
                <v:path arrowok="t"/>
              </v:shape>
            </v:group>
            <v:group style="position:absolute;left:2501;top:29;width:1360;height:2" coordorigin="2501,29" coordsize="1360,2">
              <v:shape style="position:absolute;left:2501;top:29;width:1360;height:2" coordorigin="2501,29" coordsize="1360,0" path="m2501,29l3861,29e" filled="false" stroked="true" strokeweight=".48pt" strokecolor="#000000">
                <v:path arrowok="t"/>
              </v:shape>
            </v:group>
            <v:group style="position:absolute;left:3870;top:29;width:1360;height:2" coordorigin="3870,29" coordsize="1360,2">
              <v:shape style="position:absolute;left:3870;top:29;width:1360;height:2" coordorigin="3870,29" coordsize="1360,0" path="m3870,29l5230,29e" filled="false" stroked="true" strokeweight=".48pt" strokecolor="#000000">
                <v:path arrowok="t"/>
              </v:shape>
            </v:group>
            <v:group style="position:absolute;left:5240;top:29;width:1360;height:2" coordorigin="5240,29" coordsize="1360,2">
              <v:shape style="position:absolute;left:5240;top:29;width:1360;height:2" coordorigin="5240,29" coordsize="1360,0" path="m5240,29l6600,29e" filled="false" stroked="true" strokeweight=".48pt" strokecolor="#000000">
                <v:path arrowok="t"/>
              </v:shape>
            </v:group>
            <v:group style="position:absolute;left:6609;top:29;width:1359;height:2" coordorigin="6609,29" coordsize="1359,2">
              <v:shape style="position:absolute;left:6609;top:29;width:1359;height:2" coordorigin="6609,29" coordsize="1359,0" path="m6609,29l7968,29e" filled="false" stroked="true" strokeweight=".48pt" strokecolor="#000000">
                <v:path arrowok="t"/>
              </v:shape>
            </v:group>
            <v:group style="position:absolute;left:7977;top:29;width:1360;height:2" coordorigin="7977,29" coordsize="1360,2">
              <v:shape style="position:absolute;left:7977;top:29;width:1360;height:2" coordorigin="7977,29" coordsize="1360,0" path="m7977,29l9337,29e" filled="false" stroked="true" strokeweight=".48pt" strokecolor="#000000">
                <v:path arrowok="t"/>
              </v:shape>
            </v:group>
            <v:group style="position:absolute;left:9347;top:29;width:1353;height:2" coordorigin="9347,29" coordsize="1353,2">
              <v:shape style="position:absolute;left:9347;top:29;width:1353;height:2" coordorigin="9347,29" coordsize="1353,0" path="m9347,29l10699,29e" filled="false" stroked="true" strokeweight=".48pt" strokecolor="#000000">
                <v:path arrowok="t"/>
              </v:shape>
            </v:group>
            <v:group style="position:absolute;left:1139;top:1327;width:1353;height:2" coordorigin="1139,1327" coordsize="1353,2">
              <v:shape style="position:absolute;left:1139;top:1327;width:1353;height:2" coordorigin="1139,1327" coordsize="1353,0" path="m1139,1327l2492,1327e" filled="false" stroked="true" strokeweight=".48pt" strokecolor="#000000">
                <v:path arrowok="t"/>
              </v:shape>
            </v:group>
            <v:group style="position:absolute;left:2501;top:1327;width:1360;height:2" coordorigin="2501,1327" coordsize="1360,2">
              <v:shape style="position:absolute;left:2501;top:1327;width:1360;height:2" coordorigin="2501,1327" coordsize="1360,0" path="m2501,1327l3861,1327e" filled="false" stroked="true" strokeweight=".48pt" strokecolor="#000000">
                <v:path arrowok="t"/>
              </v:shape>
            </v:group>
            <v:group style="position:absolute;left:3870;top:1327;width:1360;height:2" coordorigin="3870,1327" coordsize="1360,2">
              <v:shape style="position:absolute;left:3870;top:1327;width:1360;height:2" coordorigin="3870,1327" coordsize="1360,0" path="m3870,1327l5230,1327e" filled="false" stroked="true" strokeweight=".48pt" strokecolor="#000000">
                <v:path arrowok="t"/>
              </v:shape>
            </v:group>
            <v:group style="position:absolute;left:5240;top:1327;width:1360;height:2" coordorigin="5240,1327" coordsize="1360,2">
              <v:shape style="position:absolute;left:5240;top:1327;width:1360;height:2" coordorigin="5240,1327" coordsize="1360,0" path="m5240,1327l6600,1327e" filled="false" stroked="true" strokeweight=".48pt" strokecolor="#000000">
                <v:path arrowok="t"/>
              </v:shape>
            </v:group>
            <v:group style="position:absolute;left:6609;top:1327;width:1359;height:2" coordorigin="6609,1327" coordsize="1359,2">
              <v:shape style="position:absolute;left:6609;top:1327;width:1359;height:2" coordorigin="6609,1327" coordsize="1359,0" path="m6609,1327l7968,1327e" filled="false" stroked="true" strokeweight=".48pt" strokecolor="#000000">
                <v:path arrowok="t"/>
              </v:shape>
            </v:group>
            <v:group style="position:absolute;left:7977;top:1327;width:1360;height:2" coordorigin="7977,1327" coordsize="1360,2">
              <v:shape style="position:absolute;left:7977;top:1327;width:1360;height:2" coordorigin="7977,1327" coordsize="1360,0" path="m7977,1327l9337,1327e" filled="false" stroked="true" strokeweight=".48pt" strokecolor="#000000">
                <v:path arrowok="t"/>
              </v:shape>
            </v:group>
            <v:group style="position:absolute;left:9347;top:1327;width:1353;height:2" coordorigin="9347,1327" coordsize="1353,2">
              <v:shape style="position:absolute;left:9347;top:1327;width:1353;height:2" coordorigin="9347,1327" coordsize="1353,0" path="m9347,1327l10699,1327e" filled="false" stroked="true" strokeweight=".48pt" strokecolor="#000000">
                <v:path arrowok="t"/>
              </v:shape>
            </v:group>
            <v:group style="position:absolute;left:1139;top:3913;width:1353;height:2" coordorigin="1139,3913" coordsize="1353,2">
              <v:shape style="position:absolute;left:1139;top:3913;width:1353;height:2" coordorigin="1139,3913" coordsize="1353,0" path="m1139,3913l2492,3913e" filled="false" stroked="true" strokeweight=".48pt" strokecolor="#000000">
                <v:path arrowok="t"/>
              </v:shape>
            </v:group>
            <v:group style="position:absolute;left:2501;top:3913;width:1360;height:2" coordorigin="2501,3913" coordsize="1360,2">
              <v:shape style="position:absolute;left:2501;top:3913;width:1360;height:2" coordorigin="2501,3913" coordsize="1360,0" path="m2501,3913l3861,3913e" filled="false" stroked="true" strokeweight=".48pt" strokecolor="#000000">
                <v:path arrowok="t"/>
              </v:shape>
            </v:group>
            <v:group style="position:absolute;left:3870;top:3913;width:1360;height:2" coordorigin="3870,3913" coordsize="1360,2">
              <v:shape style="position:absolute;left:3870;top:3913;width:1360;height:2" coordorigin="3870,3913" coordsize="1360,0" path="m3870,3913l5230,3913e" filled="false" stroked="true" strokeweight=".48pt" strokecolor="#000000">
                <v:path arrowok="t"/>
              </v:shape>
            </v:group>
            <v:group style="position:absolute;left:5240;top:3913;width:1360;height:2" coordorigin="5240,3913" coordsize="1360,2">
              <v:shape style="position:absolute;left:5240;top:3913;width:1360;height:2" coordorigin="5240,3913" coordsize="1360,0" path="m5240,3913l6600,3913e" filled="false" stroked="true" strokeweight=".48pt" strokecolor="#000000">
                <v:path arrowok="t"/>
              </v:shape>
            </v:group>
            <v:group style="position:absolute;left:6609;top:3913;width:1359;height:2" coordorigin="6609,3913" coordsize="1359,2">
              <v:shape style="position:absolute;left:6609;top:3913;width:1359;height:2" coordorigin="6609,3913" coordsize="1359,0" path="m6609,3913l7968,3913e" filled="false" stroked="true" strokeweight=".48pt" strokecolor="#000000">
                <v:path arrowok="t"/>
              </v:shape>
            </v:group>
            <v:group style="position:absolute;left:7977;top:3913;width:1360;height:2" coordorigin="7977,3913" coordsize="1360,2">
              <v:shape style="position:absolute;left:7977;top:3913;width:1360;height:2" coordorigin="7977,3913" coordsize="1360,0" path="m7977,3913l9337,3913e" filled="false" stroked="true" strokeweight=".48pt" strokecolor="#000000">
                <v:path arrowok="t"/>
              </v:shape>
            </v:group>
            <v:group style="position:absolute;left:9347;top:3913;width:1353;height:2" coordorigin="9347,3913" coordsize="1353,2">
              <v:shape style="position:absolute;left:9347;top:3913;width:1353;height:2" coordorigin="9347,3913" coordsize="1353,0" path="m9347,3913l10699,3913e" filled="false" stroked="true" strokeweight=".48pt" strokecolor="#000000">
                <v:path arrowok="t"/>
              </v:shape>
            </v:group>
            <v:group style="position:absolute;left:1139;top:6499;width:1353;height:2" coordorigin="1139,6499" coordsize="1353,2">
              <v:shape style="position:absolute;left:1139;top:6499;width:1353;height:2" coordorigin="1139,6499" coordsize="1353,0" path="m1139,6499l2492,6499e" filled="false" stroked="true" strokeweight=".48pt" strokecolor="#000000">
                <v:path arrowok="t"/>
              </v:shape>
            </v:group>
            <v:group style="position:absolute;left:2501;top:6499;width:1360;height:2" coordorigin="2501,6499" coordsize="1360,2">
              <v:shape style="position:absolute;left:2501;top:6499;width:1360;height:2" coordorigin="2501,6499" coordsize="1360,0" path="m2501,6499l3861,6499e" filled="false" stroked="true" strokeweight=".48pt" strokecolor="#000000">
                <v:path arrowok="t"/>
              </v:shape>
            </v:group>
            <v:group style="position:absolute;left:3870;top:6499;width:1360;height:2" coordorigin="3870,6499" coordsize="1360,2">
              <v:shape style="position:absolute;left:3870;top:6499;width:1360;height:2" coordorigin="3870,6499" coordsize="1360,0" path="m3870,6499l5230,6499e" filled="false" stroked="true" strokeweight=".48pt" strokecolor="#000000">
                <v:path arrowok="t"/>
              </v:shape>
            </v:group>
            <v:group style="position:absolute;left:5240;top:6499;width:1360;height:2" coordorigin="5240,6499" coordsize="1360,2">
              <v:shape style="position:absolute;left:5240;top:6499;width:1360;height:2" coordorigin="5240,6499" coordsize="1360,0" path="m5240,6499l6600,6499e" filled="false" stroked="true" strokeweight=".48pt" strokecolor="#000000">
                <v:path arrowok="t"/>
              </v:shape>
            </v:group>
            <v:group style="position:absolute;left:6609;top:6499;width:1359;height:2" coordorigin="6609,6499" coordsize="1359,2">
              <v:shape style="position:absolute;left:6609;top:6499;width:1359;height:2" coordorigin="6609,6499" coordsize="1359,0" path="m6609,6499l7968,6499e" filled="false" stroked="true" strokeweight=".48pt" strokecolor="#000000">
                <v:path arrowok="t"/>
              </v:shape>
            </v:group>
            <v:group style="position:absolute;left:7977;top:6499;width:1360;height:2" coordorigin="7977,6499" coordsize="1360,2">
              <v:shape style="position:absolute;left:7977;top:6499;width:1360;height:2" coordorigin="7977,6499" coordsize="1360,0" path="m7977,6499l9337,6499e" filled="false" stroked="true" strokeweight=".48pt" strokecolor="#000000">
                <v:path arrowok="t"/>
              </v:shape>
            </v:group>
            <v:group style="position:absolute;left:9347;top:6499;width:1353;height:2" coordorigin="9347,6499" coordsize="1353,2">
              <v:shape style="position:absolute;left:9347;top:6499;width:1353;height:2" coordorigin="9347,6499" coordsize="1353,0" path="m9347,6499l10699,6499e" filled="false" stroked="true" strokeweight=".48pt" strokecolor="#000000">
                <v:path arrowok="t"/>
              </v:shape>
            </v:group>
            <v:group style="position:absolute;left:1139;top:9086;width:1353;height:2" coordorigin="1139,9086" coordsize="1353,2">
              <v:shape style="position:absolute;left:1139;top:9086;width:1353;height:2" coordorigin="1139,9086" coordsize="1353,0" path="m1139,9086l2492,9086e" filled="false" stroked="true" strokeweight=".48pt" strokecolor="#000000">
                <v:path arrowok="t"/>
              </v:shape>
            </v:group>
            <v:group style="position:absolute;left:2501;top:9086;width:1360;height:2" coordorigin="2501,9086" coordsize="1360,2">
              <v:shape style="position:absolute;left:2501;top:9086;width:1360;height:2" coordorigin="2501,9086" coordsize="1360,0" path="m2501,9086l3861,9086e" filled="false" stroked="true" strokeweight=".48pt" strokecolor="#000000">
                <v:path arrowok="t"/>
              </v:shape>
            </v:group>
            <v:group style="position:absolute;left:3870;top:9086;width:1360;height:2" coordorigin="3870,9086" coordsize="1360,2">
              <v:shape style="position:absolute;left:3870;top:9086;width:1360;height:2" coordorigin="3870,9086" coordsize="1360,0" path="m3870,9086l5230,9086e" filled="false" stroked="true" strokeweight=".48pt" strokecolor="#000000">
                <v:path arrowok="t"/>
              </v:shape>
            </v:group>
            <v:group style="position:absolute;left:5240;top:9086;width:1360;height:2" coordorigin="5240,9086" coordsize="1360,2">
              <v:shape style="position:absolute;left:5240;top:9086;width:1360;height:2" coordorigin="5240,9086" coordsize="1360,0" path="m5240,9086l6600,9086e" filled="false" stroked="true" strokeweight=".48pt" strokecolor="#000000">
                <v:path arrowok="t"/>
              </v:shape>
            </v:group>
            <v:group style="position:absolute;left:6609;top:9086;width:1359;height:2" coordorigin="6609,9086" coordsize="1359,2">
              <v:shape style="position:absolute;left:6609;top:9086;width:1359;height:2" coordorigin="6609,9086" coordsize="1359,0" path="m6609,9086l7968,9086e" filled="false" stroked="true" strokeweight=".48pt" strokecolor="#000000">
                <v:path arrowok="t"/>
              </v:shape>
            </v:group>
            <v:group style="position:absolute;left:7977;top:9086;width:1360;height:2" coordorigin="7977,9086" coordsize="1360,2">
              <v:shape style="position:absolute;left:7977;top:9086;width:1360;height:2" coordorigin="7977,9086" coordsize="1360,0" path="m7977,9086l9337,9086e" filled="false" stroked="true" strokeweight=".48pt" strokecolor="#000000">
                <v:path arrowok="t"/>
              </v:shape>
            </v:group>
            <v:group style="position:absolute;left:9347;top:9086;width:1353;height:2" coordorigin="9347,9086" coordsize="1353,2">
              <v:shape style="position:absolute;left:9347;top:9086;width:1353;height:2" coordorigin="9347,9086" coordsize="1353,0" path="m9347,9086l10699,9086e" filled="false" stroked="true" strokeweight=".48pt" strokecolor="#000000">
                <v:path arrowok="t"/>
              </v:shape>
            </v:group>
            <v:group style="position:absolute;left:1150;top:11677;width:2;height:393" coordorigin="1150,11677" coordsize="2,393">
              <v:shape style="position:absolute;left:1150;top:11677;width:2;height:393" coordorigin="1150,11677" coordsize="0,393" path="m1150,11677l1150,12069e" filled="false" stroked="true" strokeweight="1.140pt" strokecolor="#d2d2d2">
                <v:path arrowok="t"/>
              </v:shape>
            </v:group>
            <v:group style="position:absolute;left:2480;top:11677;width:2;height:393" coordorigin="2480,11677" coordsize="2,393">
              <v:shape style="position:absolute;left:2480;top:11677;width:2;height:393" coordorigin="2480,11677" coordsize="0,393" path="m2480,11677l2480,12069e" filled="false" stroked="true" strokeweight="1.140pt" strokecolor="#d2d2d2">
                <v:path arrowok="t"/>
              </v:shape>
            </v:group>
            <v:group style="position:absolute;left:1162;top:11677;width:1308;height:393" coordorigin="1162,11677" coordsize="1308,393">
              <v:shape style="position:absolute;left:1162;top:11677;width:1308;height:393" coordorigin="1162,11677" coordsize="1308,393" path="m1162,12069l2469,12069,2469,11677,1162,11677,1162,12069xe" filled="true" fillcolor="#d2d2d2" stroked="false">
                <v:path arrowok="t"/>
                <v:fill type="solid"/>
              </v:shape>
            </v:group>
            <v:group style="position:absolute;left:1139;top:11672;width:1353;height:2" coordorigin="1139,11672" coordsize="1353,2">
              <v:shape style="position:absolute;left:1139;top:11672;width:1353;height:2" coordorigin="1139,11672" coordsize="1353,0" path="m1139,11672l2492,11672e" filled="false" stroked="true" strokeweight=".48pt" strokecolor="#000000">
                <v:path arrowok="t"/>
              </v:shape>
            </v:group>
            <v:group style="position:absolute;left:2501;top:11672;width:1360;height:2" coordorigin="2501,11672" coordsize="1360,2">
              <v:shape style="position:absolute;left:2501;top:11672;width:1360;height:2" coordorigin="2501,11672" coordsize="1360,0" path="m2501,11672l3861,11672e" filled="false" stroked="true" strokeweight=".48pt" strokecolor="#000000">
                <v:path arrowok="t"/>
              </v:shape>
            </v:group>
            <v:group style="position:absolute;left:3870;top:11672;width:1360;height:2" coordorigin="3870,11672" coordsize="1360,2">
              <v:shape style="position:absolute;left:3870;top:11672;width:1360;height:2" coordorigin="3870,11672" coordsize="1360,0" path="m3870,11672l5230,11672e" filled="false" stroked="true" strokeweight=".48pt" strokecolor="#000000">
                <v:path arrowok="t"/>
              </v:shape>
            </v:group>
            <v:group style="position:absolute;left:5240;top:11672;width:1360;height:2" coordorigin="5240,11672" coordsize="1360,2">
              <v:shape style="position:absolute;left:5240;top:11672;width:1360;height:2" coordorigin="5240,11672" coordsize="1360,0" path="m5240,11672l6600,11672e" filled="false" stroked="true" strokeweight=".48pt" strokecolor="#000000">
                <v:path arrowok="t"/>
              </v:shape>
            </v:group>
            <v:group style="position:absolute;left:7989;top:11677;width:2;height:393" coordorigin="7989,11677" coordsize="2,393">
              <v:shape style="position:absolute;left:7989;top:11677;width:2;height:393" coordorigin="7989,11677" coordsize="0,393" path="m7989,11677l7989,12069e" filled="false" stroked="true" strokeweight="1.2pt" strokecolor="#d2d2d2">
                <v:path arrowok="t"/>
              </v:shape>
            </v:group>
            <v:group style="position:absolute;left:9326;top:11677;width:2;height:393" coordorigin="9326,11677" coordsize="2,393">
              <v:shape style="position:absolute;left:9326;top:11677;width:2;height:393" coordorigin="9326,11677" coordsize="0,393" path="m9326,11677l9326,12069e" filled="false" stroked="true" strokeweight="1.140pt" strokecolor="#d2d2d2">
                <v:path arrowok="t"/>
              </v:shape>
            </v:group>
            <v:group style="position:absolute;left:8001;top:11677;width:1314;height:393" coordorigin="8001,11677" coordsize="1314,393">
              <v:shape style="position:absolute;left:8001;top:11677;width:1314;height:393" coordorigin="8001,11677" coordsize="1314,393" path="m8001,12069l9314,12069,9314,11677,8001,11677,8001,12069xe" filled="true" fillcolor="#d2d2d2" stroked="false">
                <v:path arrowok="t"/>
                <v:fill type="solid"/>
              </v:shape>
            </v:group>
            <v:group style="position:absolute;left:9358;top:11677;width:2;height:393" coordorigin="9358,11677" coordsize="2,393">
              <v:shape style="position:absolute;left:9358;top:11677;width:2;height:393" coordorigin="9358,11677" coordsize="0,393" path="m9358,11677l9358,12069e" filled="false" stroked="true" strokeweight="1.140pt" strokecolor="#d2d2d2">
                <v:path arrowok="t"/>
              </v:shape>
            </v:group>
            <v:group style="position:absolute;left:10688;top:11677;width:2;height:393" coordorigin="10688,11677" coordsize="2,393">
              <v:shape style="position:absolute;left:10688;top:11677;width:2;height:393" coordorigin="10688,11677" coordsize="0,393" path="m10688,11677l10688,12069e" filled="false" stroked="true" strokeweight="1.140pt" strokecolor="#d2d2d2">
                <v:path arrowok="t"/>
              </v:shape>
            </v:group>
            <v:group style="position:absolute;left:9370;top:11677;width:1307;height:393" coordorigin="9370,11677" coordsize="1307,393">
              <v:shape style="position:absolute;left:9370;top:11677;width:1307;height:393" coordorigin="9370,11677" coordsize="1307,393" path="m9370,12069l10676,12069,10676,11677,9370,11677,9370,12069xe" filled="true" fillcolor="#d2d2d2" stroked="false">
                <v:path arrowok="t"/>
                <v:fill type="solid"/>
              </v:shape>
            </v:group>
            <v:group style="position:absolute;left:6609;top:11672;width:1359;height:2" coordorigin="6609,11672" coordsize="1359,2">
              <v:shape style="position:absolute;left:6609;top:11672;width:1359;height:2" coordorigin="6609,11672" coordsize="1359,0" path="m6609,11672l7968,11672e" filled="false" stroked="true" strokeweight=".48pt" strokecolor="#000000">
                <v:path arrowok="t"/>
              </v:shape>
            </v:group>
            <v:group style="position:absolute;left:7977;top:11672;width:1360;height:2" coordorigin="7977,11672" coordsize="1360,2">
              <v:shape style="position:absolute;left:7977;top:11672;width:1360;height:2" coordorigin="7977,11672" coordsize="1360,0" path="m7977,11672l9337,11672e" filled="false" stroked="true" strokeweight=".48pt" strokecolor="#000000">
                <v:path arrowok="t"/>
              </v:shape>
            </v:group>
            <v:group style="position:absolute;left:9347;top:11672;width:1353;height:2" coordorigin="9347,11672" coordsize="1353,2">
              <v:shape style="position:absolute;left:9347;top:11672;width:1353;height:2" coordorigin="9347,11672" coordsize="1353,0" path="m9347,11672l10699,11672e" filled="false" stroked="true" strokeweight=".48pt" strokecolor="#000000">
                <v:path arrowok="t"/>
              </v:shape>
            </v:group>
            <v:group style="position:absolute;left:1134;top:24;width:2;height:12055" coordorigin="1134,24" coordsize="2,12055">
              <v:shape style="position:absolute;left:1134;top:24;width:2;height:12055" coordorigin="1134,24" coordsize="0,12055" path="m1134,24l1134,12079e" filled="false" stroked="true" strokeweight=".48pt" strokecolor="#000000">
                <v:path arrowok="t"/>
              </v:shape>
            </v:group>
            <v:group style="position:absolute;left:1139;top:12074;width:1353;height:2" coordorigin="1139,12074" coordsize="1353,2">
              <v:shape style="position:absolute;left:1139;top:12074;width:1353;height:2" coordorigin="1139,12074" coordsize="1353,0" path="m1139,12074l2492,12074e" filled="false" stroked="true" strokeweight=".48pt" strokecolor="#000000">
                <v:path arrowok="t"/>
              </v:shape>
            </v:group>
            <v:group style="position:absolute;left:2496;top:24;width:2;height:12055" coordorigin="2496,24" coordsize="2,12055">
              <v:shape style="position:absolute;left:2496;top:24;width:2;height:12055" coordorigin="2496,24" coordsize="0,12055" path="m2496,24l2496,12079e" filled="false" stroked="true" strokeweight=".48pt" strokecolor="#000000">
                <v:path arrowok="t"/>
              </v:shape>
            </v:group>
            <v:group style="position:absolute;left:2501;top:12074;width:1360;height:2" coordorigin="2501,12074" coordsize="1360,2">
              <v:shape style="position:absolute;left:2501;top:12074;width:1360;height:2" coordorigin="2501,12074" coordsize="1360,0" path="m2501,12074l3861,12074e" filled="false" stroked="true" strokeweight=".48pt" strokecolor="#000000">
                <v:path arrowok="t"/>
              </v:shape>
            </v:group>
            <v:group style="position:absolute;left:3866;top:24;width:2;height:12055" coordorigin="3866,24" coordsize="2,12055">
              <v:shape style="position:absolute;left:3866;top:24;width:2;height:12055" coordorigin="3866,24" coordsize="0,12055" path="m3866,24l3866,12079e" filled="false" stroked="true" strokeweight=".48pt" strokecolor="#000000">
                <v:path arrowok="t"/>
              </v:shape>
            </v:group>
            <v:group style="position:absolute;left:3870;top:12074;width:1360;height:2" coordorigin="3870,12074" coordsize="1360,2">
              <v:shape style="position:absolute;left:3870;top:12074;width:1360;height:2" coordorigin="3870,12074" coordsize="1360,0" path="m3870,12074l5230,12074e" filled="false" stroked="true" strokeweight=".48pt" strokecolor="#000000">
                <v:path arrowok="t"/>
              </v:shape>
            </v:group>
            <v:group style="position:absolute;left:5235;top:24;width:2;height:12055" coordorigin="5235,24" coordsize="2,12055">
              <v:shape style="position:absolute;left:5235;top:24;width:2;height:12055" coordorigin="5235,24" coordsize="0,12055" path="m5235,24l5235,12079e" filled="false" stroked="true" strokeweight=".48pt" strokecolor="#000000">
                <v:path arrowok="t"/>
              </v:shape>
            </v:group>
            <v:group style="position:absolute;left:5240;top:12074;width:1360;height:2" coordorigin="5240,12074" coordsize="1360,2">
              <v:shape style="position:absolute;left:5240;top:12074;width:1360;height:2" coordorigin="5240,12074" coordsize="1360,0" path="m5240,12074l6600,12074e" filled="false" stroked="true" strokeweight=".48pt" strokecolor="#000000">
                <v:path arrowok="t"/>
              </v:shape>
            </v:group>
            <v:group style="position:absolute;left:6604;top:24;width:2;height:12055" coordorigin="6604,24" coordsize="2,12055">
              <v:shape style="position:absolute;left:6604;top:24;width:2;height:12055" coordorigin="6604,24" coordsize="0,12055" path="m6604,24l6604,12079e" filled="false" stroked="true" strokeweight=".48pt" strokecolor="#000000">
                <v:path arrowok="t"/>
              </v:shape>
            </v:group>
            <v:group style="position:absolute;left:6609;top:12074;width:1359;height:2" coordorigin="6609,12074" coordsize="1359,2">
              <v:shape style="position:absolute;left:6609;top:12074;width:1359;height:2" coordorigin="6609,12074" coordsize="1359,0" path="m6609,12074l7968,12074e" filled="false" stroked="true" strokeweight=".48pt" strokecolor="#000000">
                <v:path arrowok="t"/>
              </v:shape>
            </v:group>
            <v:group style="position:absolute;left:7972;top:24;width:2;height:12055" coordorigin="7972,24" coordsize="2,12055">
              <v:shape style="position:absolute;left:7972;top:24;width:2;height:12055" coordorigin="7972,24" coordsize="0,12055" path="m7972,24l7972,12079e" filled="false" stroked="true" strokeweight=".48pt" strokecolor="#000000">
                <v:path arrowok="t"/>
              </v:shape>
            </v:group>
            <v:group style="position:absolute;left:7977;top:12074;width:1360;height:2" coordorigin="7977,12074" coordsize="1360,2">
              <v:shape style="position:absolute;left:7977;top:12074;width:1360;height:2" coordorigin="7977,12074" coordsize="1360,0" path="m7977,12074l9337,12074e" filled="false" stroked="true" strokeweight=".48pt" strokecolor="#000000">
                <v:path arrowok="t"/>
              </v:shape>
            </v:group>
            <v:group style="position:absolute;left:9342;top:24;width:2;height:12055" coordorigin="9342,24" coordsize="2,12055">
              <v:shape style="position:absolute;left:9342;top:24;width:2;height:12055" coordorigin="9342,24" coordsize="0,12055" path="m9342,24l9342,12079e" filled="false" stroked="true" strokeweight=".48pt" strokecolor="#000000">
                <v:path arrowok="t"/>
              </v:shape>
            </v:group>
            <v:group style="position:absolute;left:9347;top:12074;width:1353;height:2" coordorigin="9347,12074" coordsize="1353,2">
              <v:shape style="position:absolute;left:9347;top:12074;width:1353;height:2" coordorigin="9347,12074" coordsize="1353,0" path="m9347,12074l10699,12074e" filled="false" stroked="true" strokeweight=".48pt" strokecolor="#000000">
                <v:path arrowok="t"/>
              </v:shape>
            </v:group>
            <v:group style="position:absolute;left:10704;top:24;width:2;height:12055" coordorigin="10704,24" coordsize="2,12055">
              <v:shape style="position:absolute;left:10704;top:24;width:2;height:12055" coordorigin="10704,24" coordsize="0,12055" path="m10704,24l10704,12079e" filled="false" stroked="true" strokeweight=".48pt" strokecolor="#000000">
                <v:path arrowok="t"/>
              </v:shape>
            </v:group>
            <w10:wrap type="none"/>
          </v:group>
        </w:pict>
      </w:r>
      <w:r>
        <w:rPr/>
        <w:t>的限制性股票比 例分别为授予总 量的</w:t>
      </w:r>
      <w:r>
        <w:rPr>
          <w:spacing w:val="-44"/>
        </w:rPr>
        <w:t> </w:t>
      </w: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30%</w:t>
      </w:r>
      <w:r>
        <w:rPr>
          <w:spacing w:val="-4"/>
        </w:rPr>
        <w:t>、</w:t>
      </w:r>
      <w:r>
        <w:rPr/>
        <w:t> </w:t>
      </w:r>
      <w:r>
        <w:rPr>
          <w:rFonts w:ascii="Times New Roman" w:hAnsi="Times New Roman" w:cs="Times New Roman" w:eastAsia="Times New Roman" w:hint="default"/>
        </w:rPr>
        <w:t>40%</w:t>
      </w:r>
    </w:p>
    <w:p>
      <w:pPr>
        <w:spacing w:after="0" w:line="326"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tabs>
          <w:tab w:pos="3342" w:val="left" w:leader="none"/>
          <w:tab w:pos="5116" w:val="left" w:leader="none"/>
          <w:tab w:pos="6485" w:val="left" w:leader="none"/>
          <w:tab w:pos="7450" w:val="left" w:leader="none"/>
        </w:tabs>
        <w:spacing w:line="240" w:lineRule="auto" w:before="141"/>
        <w:ind w:left="1161" w:right="-20"/>
        <w:jc w:val="left"/>
        <w:rPr>
          <w:rFonts w:ascii="Times New Roman" w:hAnsi="Times New Roman" w:cs="Times New Roman" w:eastAsia="Times New Roman" w:hint="default"/>
        </w:rPr>
      </w:pPr>
      <w:r>
        <w:rPr/>
        <w:t>易江南</w:t>
        <w:tab/>
      </w:r>
      <w:r>
        <w:rPr>
          <w:rFonts w:ascii="Times New Roman" w:hAnsi="Times New Roman" w:cs="Times New Roman" w:eastAsia="Times New Roman" w:hint="default"/>
        </w:rPr>
        <w:t>83,500</w:t>
        <w:tab/>
        <w:t>0</w:t>
        <w:tab/>
        <w:t>0</w:t>
        <w:tab/>
        <w:t>83,500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pStyle w:val="BodyText"/>
        <w:spacing w:line="316" w:lineRule="auto" w:before="0"/>
        <w:ind w:left="15" w:right="-20"/>
        <w:jc w:val="left"/>
      </w:pPr>
      <w:r>
        <w:rPr/>
        <w:t>授予股权激励限 制性股票</w:t>
      </w:r>
    </w:p>
    <w:p>
      <w:pPr>
        <w:pStyle w:val="BodyText"/>
        <w:spacing w:line="309" w:lineRule="auto" w:before="84"/>
        <w:ind w:left="68" w:right="1122"/>
        <w:jc w:val="left"/>
      </w:pPr>
      <w:r>
        <w:rPr/>
        <w:br w:type="column"/>
      </w:r>
      <w:r>
        <w:rPr/>
        <w:t>在授予日的</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个 </w:t>
      </w:r>
      <w:r>
        <w:rPr>
          <w:spacing w:val="-18"/>
        </w:rPr>
        <w:t>月后、</w:t>
      </w:r>
      <w:r>
        <w:rPr>
          <w:rFonts w:ascii="Times New Roman" w:hAnsi="Times New Roman" w:cs="Times New Roman" w:eastAsia="Times New Roman" w:hint="default"/>
          <w:spacing w:val="-18"/>
        </w:rPr>
        <w:t>24</w:t>
      </w:r>
      <w:r>
        <w:rPr>
          <w:rFonts w:ascii="Times New Roman" w:hAnsi="Times New Roman" w:cs="Times New Roman" w:eastAsia="Times New Roman" w:hint="default"/>
          <w:spacing w:val="-1"/>
        </w:rPr>
        <w:t> </w:t>
      </w:r>
      <w:r>
        <w:rPr/>
        <w:t>个月后、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个月后分三次 解锁，每次解锁 的限制性股票比 例分别为授予总 量的</w:t>
      </w:r>
      <w:r>
        <w:rPr>
          <w:spacing w:val="-43"/>
        </w:rPr>
        <w:t> </w:t>
      </w: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30%</w:t>
      </w:r>
      <w:r>
        <w:rPr>
          <w:spacing w:val="-4"/>
        </w:rPr>
        <w:t>、</w:t>
      </w:r>
    </w:p>
    <w:p>
      <w:pPr>
        <w:pStyle w:val="BodyText"/>
        <w:spacing w:line="240" w:lineRule="auto" w:before="46"/>
        <w:ind w:left="68" w:right="1122"/>
        <w:jc w:val="left"/>
        <w:rPr>
          <w:rFonts w:ascii="Times New Roman" w:hAnsi="Times New Roman" w:cs="Times New Roman" w:eastAsia="Times New Roman" w:hint="default"/>
        </w:rPr>
      </w:pPr>
      <w:r>
        <w:rPr>
          <w:rFonts w:ascii="Times New Roman"/>
        </w:rPr>
        <w:t>40%</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3" w:equalWidth="0">
            <w:col w:w="7946" w:space="40"/>
            <w:col w:w="1276" w:space="40"/>
            <w:col w:w="2608"/>
          </w:cols>
        </w:sectPr>
      </w:pP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tabs>
          <w:tab w:pos="3342" w:val="left" w:leader="none"/>
          <w:tab w:pos="5116" w:val="left" w:leader="none"/>
          <w:tab w:pos="6485" w:val="left" w:leader="none"/>
          <w:tab w:pos="7450" w:val="left" w:leader="none"/>
        </w:tabs>
        <w:spacing w:line="240" w:lineRule="auto" w:before="0"/>
        <w:ind w:left="1161" w:right="-20"/>
        <w:jc w:val="left"/>
        <w:rPr>
          <w:rFonts w:ascii="Times New Roman" w:hAnsi="Times New Roman" w:cs="Times New Roman" w:eastAsia="Times New Roman" w:hint="default"/>
        </w:rPr>
      </w:pPr>
      <w:r>
        <w:rPr/>
        <w:t>郭勇</w:t>
        <w:tab/>
      </w:r>
      <w:r>
        <w:rPr>
          <w:rFonts w:ascii="Times New Roman" w:hAnsi="Times New Roman" w:cs="Times New Roman" w:eastAsia="Times New Roman" w:hint="default"/>
        </w:rPr>
        <w:t>82,500</w:t>
        <w:tab/>
        <w:t>0</w:t>
        <w:tab/>
        <w:t>0</w:t>
        <w:tab/>
        <w:t>82,500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52"/>
        <w:ind w:left="15" w:right="-20"/>
        <w:jc w:val="left"/>
      </w:pPr>
      <w:r>
        <w:rPr/>
        <w:t>授予股权激励限 制性股票</w:t>
      </w:r>
    </w:p>
    <w:p>
      <w:pPr>
        <w:pStyle w:val="BodyText"/>
        <w:spacing w:line="309" w:lineRule="auto"/>
        <w:ind w:left="68" w:right="1122"/>
        <w:jc w:val="left"/>
      </w:pPr>
      <w:r>
        <w:rPr/>
        <w:br w:type="column"/>
      </w:r>
      <w:r>
        <w:rPr/>
        <w:t>在授予日的</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个 </w:t>
      </w:r>
      <w:r>
        <w:rPr>
          <w:spacing w:val="-18"/>
        </w:rPr>
        <w:t>月后、</w:t>
      </w:r>
      <w:r>
        <w:rPr>
          <w:rFonts w:ascii="Times New Roman" w:hAnsi="Times New Roman" w:cs="Times New Roman" w:eastAsia="Times New Roman" w:hint="default"/>
          <w:spacing w:val="-18"/>
        </w:rPr>
        <w:t>24</w:t>
      </w:r>
      <w:r>
        <w:rPr>
          <w:rFonts w:ascii="Times New Roman" w:hAnsi="Times New Roman" w:cs="Times New Roman" w:eastAsia="Times New Roman" w:hint="default"/>
          <w:spacing w:val="-1"/>
        </w:rPr>
        <w:t> </w:t>
      </w:r>
      <w:r>
        <w:rPr/>
        <w:t>个月后、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个月后分三次 解锁，每次解锁 的限制性股票比 例分别为授予总 量的</w:t>
      </w:r>
      <w:r>
        <w:rPr>
          <w:spacing w:val="-43"/>
        </w:rPr>
        <w:t> </w:t>
      </w: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30%</w:t>
      </w:r>
      <w:r>
        <w:rPr>
          <w:spacing w:val="-4"/>
        </w:rPr>
        <w:t>、</w:t>
      </w:r>
    </w:p>
    <w:p>
      <w:pPr>
        <w:pStyle w:val="BodyText"/>
        <w:spacing w:line="240" w:lineRule="auto" w:before="46"/>
        <w:ind w:left="68" w:right="1122"/>
        <w:jc w:val="left"/>
        <w:rPr>
          <w:rFonts w:ascii="Times New Roman" w:hAnsi="Times New Roman" w:cs="Times New Roman" w:eastAsia="Times New Roman" w:hint="default"/>
        </w:rPr>
      </w:pPr>
      <w:r>
        <w:rPr>
          <w:rFonts w:ascii="Times New Roman"/>
        </w:rPr>
        <w:t>40%</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3" w:equalWidth="0">
            <w:col w:w="7946" w:space="40"/>
            <w:col w:w="1276" w:space="40"/>
            <w:col w:w="2608"/>
          </w:cols>
        </w:sectPr>
      </w:pP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tabs>
          <w:tab w:pos="3342" w:val="left" w:leader="none"/>
          <w:tab w:pos="5116" w:val="left" w:leader="none"/>
          <w:tab w:pos="6485" w:val="left" w:leader="none"/>
          <w:tab w:pos="7450" w:val="left" w:leader="none"/>
        </w:tabs>
        <w:spacing w:line="240" w:lineRule="auto" w:before="0"/>
        <w:ind w:left="1161" w:right="-20"/>
        <w:jc w:val="left"/>
        <w:rPr>
          <w:rFonts w:ascii="Times New Roman" w:hAnsi="Times New Roman" w:cs="Times New Roman" w:eastAsia="Times New Roman" w:hint="default"/>
        </w:rPr>
      </w:pPr>
      <w:r>
        <w:rPr/>
        <w:t>张颖</w:t>
        <w:tab/>
      </w:r>
      <w:r>
        <w:rPr>
          <w:rFonts w:ascii="Times New Roman" w:hAnsi="Times New Roman" w:cs="Times New Roman" w:eastAsia="Times New Roman" w:hint="default"/>
        </w:rPr>
        <w:t>80,000</w:t>
        <w:tab/>
        <w:t>0</w:t>
        <w:tab/>
        <w:t>0</w:t>
        <w:tab/>
        <w:t>80,000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53"/>
        <w:ind w:left="15" w:right="-20"/>
        <w:jc w:val="left"/>
      </w:pPr>
      <w:r>
        <w:rPr/>
        <w:t>授予股权激励限 制性股票</w:t>
      </w:r>
    </w:p>
    <w:p>
      <w:pPr>
        <w:pStyle w:val="BodyText"/>
        <w:spacing w:line="307" w:lineRule="auto"/>
        <w:ind w:left="68" w:right="1123"/>
        <w:jc w:val="left"/>
      </w:pPr>
      <w:r>
        <w:rPr/>
        <w:br w:type="column"/>
      </w:r>
      <w:r>
        <w:rPr/>
        <w:t>在授予日的</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个 </w:t>
      </w:r>
      <w:r>
        <w:rPr>
          <w:spacing w:val="-18"/>
        </w:rPr>
        <w:t>月后、</w:t>
      </w:r>
      <w:r>
        <w:rPr>
          <w:rFonts w:ascii="Times New Roman" w:hAnsi="Times New Roman" w:cs="Times New Roman" w:eastAsia="Times New Roman" w:hint="default"/>
          <w:spacing w:val="-18"/>
        </w:rPr>
        <w:t>24</w:t>
      </w:r>
      <w:r>
        <w:rPr>
          <w:rFonts w:ascii="Times New Roman" w:hAnsi="Times New Roman" w:cs="Times New Roman" w:eastAsia="Times New Roman" w:hint="default"/>
          <w:spacing w:val="-1"/>
        </w:rPr>
        <w:t> </w:t>
      </w:r>
      <w:r>
        <w:rPr/>
        <w:t>个月后、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个月后分三次 解锁，每次解锁 的限制性股票比 例分别为授予总</w:t>
      </w:r>
    </w:p>
    <w:p>
      <w:pPr>
        <w:pStyle w:val="BodyText"/>
        <w:spacing w:line="340" w:lineRule="auto" w:before="26"/>
        <w:ind w:left="68" w:right="1123"/>
        <w:jc w:val="left"/>
        <w:rPr>
          <w:rFonts w:ascii="Times New Roman" w:hAnsi="Times New Roman" w:cs="Times New Roman" w:eastAsia="Times New Roman" w:hint="default"/>
        </w:rPr>
      </w:pPr>
      <w:r>
        <w:rPr/>
        <w:t>量的</w:t>
      </w:r>
      <w:r>
        <w:rPr>
          <w:spacing w:val="-44"/>
        </w:rPr>
        <w:t> </w:t>
      </w: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30%</w:t>
      </w:r>
      <w:r>
        <w:rPr>
          <w:spacing w:val="-4"/>
        </w:rPr>
        <w:t>、</w:t>
      </w:r>
      <w:r>
        <w:rPr/>
        <w:t> </w:t>
      </w:r>
      <w:r>
        <w:rPr>
          <w:rFonts w:ascii="Times New Roman" w:hAnsi="Times New Roman" w:cs="Times New Roman" w:eastAsia="Times New Roman" w:hint="default"/>
        </w:rPr>
        <w:t>40%</w:t>
      </w:r>
    </w:p>
    <w:p>
      <w:pPr>
        <w:spacing w:after="0" w:line="340" w:lineRule="auto"/>
        <w:jc w:val="left"/>
        <w:rPr>
          <w:rFonts w:ascii="Times New Roman" w:hAnsi="Times New Roman" w:cs="Times New Roman" w:eastAsia="Times New Roman" w:hint="default"/>
        </w:rPr>
        <w:sectPr>
          <w:type w:val="continuous"/>
          <w:pgSz w:w="11910" w:h="16840"/>
          <w:pgMar w:top="1060" w:bottom="1160" w:left="0" w:right="0"/>
          <w:cols w:num="3" w:equalWidth="0">
            <w:col w:w="7946" w:space="40"/>
            <w:col w:w="1276" w:space="40"/>
            <w:col w:w="2608"/>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tabs>
          <w:tab w:pos="3116" w:val="left" w:leader="none"/>
          <w:tab w:pos="5116" w:val="left" w:leader="none"/>
          <w:tab w:pos="6485" w:val="left" w:leader="none"/>
          <w:tab w:pos="7224" w:val="left" w:leader="none"/>
        </w:tabs>
        <w:spacing w:line="240" w:lineRule="auto" w:before="128"/>
        <w:ind w:left="1161" w:right="-19"/>
        <w:jc w:val="left"/>
        <w:rPr>
          <w:rFonts w:ascii="Times New Roman" w:hAnsi="Times New Roman" w:cs="Times New Roman" w:eastAsia="Times New Roman" w:hint="default"/>
        </w:rPr>
      </w:pPr>
      <w:r>
        <w:rPr/>
        <w:t>其他限制性股票</w:t>
        <w:tab/>
      </w:r>
      <w:r>
        <w:rPr>
          <w:rFonts w:ascii="Times New Roman" w:hAnsi="Times New Roman" w:cs="Times New Roman" w:eastAsia="Times New Roman" w:hint="default"/>
        </w:rPr>
        <w:t>1,081,100</w:t>
        <w:tab/>
        <w:t>0</w:t>
        <w:tab/>
        <w:t>0</w:t>
        <w:tab/>
        <w:t>1,081,100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316" w:lineRule="auto" w:before="0"/>
        <w:ind w:left="15" w:right="-20"/>
        <w:jc w:val="left"/>
      </w:pPr>
      <w:r>
        <w:rPr/>
        <w:t>授予股权激励限 制性股票</w:t>
      </w:r>
    </w:p>
    <w:p>
      <w:pPr>
        <w:pStyle w:val="BodyText"/>
        <w:spacing w:line="309" w:lineRule="auto" w:before="71"/>
        <w:ind w:left="68" w:right="1122"/>
        <w:jc w:val="left"/>
      </w:pPr>
      <w:r>
        <w:rPr/>
        <w:br w:type="column"/>
      </w:r>
      <w:r>
        <w:rPr/>
        <w:t>在授予日的</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个 </w:t>
      </w:r>
      <w:r>
        <w:rPr>
          <w:spacing w:val="-18"/>
        </w:rPr>
        <w:t>月后、</w:t>
      </w:r>
      <w:r>
        <w:rPr>
          <w:rFonts w:ascii="Times New Roman" w:hAnsi="Times New Roman" w:cs="Times New Roman" w:eastAsia="Times New Roman" w:hint="default"/>
          <w:spacing w:val="-18"/>
        </w:rPr>
        <w:t>24</w:t>
      </w:r>
      <w:r>
        <w:rPr>
          <w:rFonts w:ascii="Times New Roman" w:hAnsi="Times New Roman" w:cs="Times New Roman" w:eastAsia="Times New Roman" w:hint="default"/>
          <w:spacing w:val="-1"/>
        </w:rPr>
        <w:t> </w:t>
      </w:r>
      <w:r>
        <w:rPr/>
        <w:t>个月后、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个月后分三次 解锁，每次解锁 的限制性股票比 例分别为授予总 量的</w:t>
      </w:r>
      <w:r>
        <w:rPr>
          <w:spacing w:val="-43"/>
        </w:rPr>
        <w:t> </w:t>
      </w: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30%</w:t>
      </w:r>
      <w:r>
        <w:rPr>
          <w:spacing w:val="-4"/>
        </w:rPr>
        <w:t>、</w:t>
      </w:r>
    </w:p>
    <w:p>
      <w:pPr>
        <w:pStyle w:val="BodyText"/>
        <w:spacing w:line="240" w:lineRule="auto" w:before="46"/>
        <w:ind w:left="68" w:right="1122"/>
        <w:jc w:val="left"/>
        <w:rPr>
          <w:rFonts w:ascii="Times New Roman" w:hAnsi="Times New Roman" w:cs="Times New Roman" w:eastAsia="Times New Roman" w:hint="default"/>
        </w:rPr>
      </w:pPr>
      <w:r>
        <w:rPr>
          <w:rFonts w:ascii="Times New Roman"/>
        </w:rPr>
        <w:t>40%</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3" w:equalWidth="0">
            <w:col w:w="7946" w:space="40"/>
            <w:col w:w="1276" w:space="40"/>
            <w:col w:w="2608"/>
          </w:cols>
        </w:sectPr>
      </w:pPr>
    </w:p>
    <w:p>
      <w:pPr>
        <w:spacing w:line="240" w:lineRule="auto" w:before="7"/>
        <w:rPr>
          <w:rFonts w:ascii="Times New Roman" w:hAnsi="Times New Roman" w:cs="Times New Roman" w:eastAsia="Times New Roman" w:hint="default"/>
          <w:sz w:val="9"/>
          <w:szCs w:val="9"/>
        </w:rPr>
      </w:pPr>
    </w:p>
    <w:p>
      <w:pPr>
        <w:pStyle w:val="BodyText"/>
        <w:tabs>
          <w:tab w:pos="3026" w:val="left" w:leader="none"/>
          <w:tab w:pos="4621" w:val="left" w:leader="none"/>
          <w:tab w:pos="6485" w:val="left" w:leader="none"/>
          <w:tab w:pos="7134" w:val="left" w:leader="none"/>
          <w:tab w:pos="8597" w:val="left" w:leader="none"/>
          <w:tab w:pos="9962" w:val="left" w:leader="none"/>
        </w:tabs>
        <w:spacing w:line="240" w:lineRule="auto"/>
        <w:ind w:left="1161" w:right="985"/>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39,946,740</w:t>
        <w:tab/>
        <w:t>251,250</w:t>
        <w:tab/>
        <w:t>0</w:t>
        <w:tab/>
        <w:t>39,695,490</w:t>
        <w:tab/>
        <w:t>--</w:t>
        <w:tab/>
        <w:t>--</w:t>
      </w:r>
    </w:p>
    <w:p>
      <w:pPr>
        <w:spacing w:line="240" w:lineRule="auto" w:before="6"/>
        <w:rPr>
          <w:rFonts w:ascii="Times New Roman" w:hAnsi="Times New Roman" w:cs="Times New Roman" w:eastAsia="Times New Roman" w:hint="default"/>
          <w:sz w:val="29"/>
          <w:szCs w:val="29"/>
        </w:rPr>
      </w:pPr>
    </w:p>
    <w:p>
      <w:pPr>
        <w:pStyle w:val="Heading4"/>
        <w:spacing w:line="240" w:lineRule="auto" w:before="26"/>
        <w:ind w:left="1134" w:right="985"/>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530"/>
        <w:gridCol w:w="3848"/>
        <w:gridCol w:w="3191"/>
      </w:tblGrid>
      <w:tr>
        <w:trPr>
          <w:trHeight w:val="401"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8"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3"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w:t>
            </w:r>
          </w:p>
        </w:tc>
      </w:tr>
    </w:tbl>
    <w:p>
      <w:pPr>
        <w:spacing w:line="240" w:lineRule="auto" w:before="2"/>
        <w:rPr>
          <w:rFonts w:ascii="宋体" w:hAnsi="宋体" w:cs="宋体" w:eastAsia="宋体" w:hint="default"/>
          <w:sz w:val="18"/>
          <w:szCs w:val="18"/>
        </w:rPr>
      </w:pPr>
    </w:p>
    <w:p>
      <w:pPr>
        <w:pStyle w:val="Heading4"/>
        <w:spacing w:line="240" w:lineRule="auto" w:before="26"/>
        <w:ind w:left="1134" w:right="985"/>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pict>
          <v:shape style="position:absolute;margin-left:449.277008pt;margin-top:70.491707pt;width:85.6pt;height:31.2pt;mso-position-horizontal-relative:page;mso-position-vertical-relative:paragraph;z-index:-1156864"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70.491707pt;width:52.45pt;height:31.2pt;mso-position-horizontal-relative:page;mso-position-vertical-relative:paragraph;z-index:-1156840"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11,718</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15,609</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上海中信电子发 展有限公司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31.10%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21,242,40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21,242,40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4,990,000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22.06%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5,800,000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2,113,072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-534700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2,113,072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上海红土创业投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1,530,900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-451100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1,530,900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1,107,600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1,107,600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1,062,320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796,740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265,580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1.18%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806,880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605,160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201,720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0.94%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641,480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Times New Roman" w:hAnsi="Times New Roman" w:cs="Times New Roman" w:eastAsia="Times New Roman" w:hint="default"/>
                <w:sz w:val="18"/>
                <w:szCs w:val="18"/>
              </w:rPr>
            </w:pPr>
            <w:r>
              <w:rPr>
                <w:rFonts w:ascii="Times New Roman"/>
                <w:spacing w:val="-2"/>
                <w:sz w:val="18"/>
              </w:rPr>
              <w:t>481,110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160,370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马桂荣</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0.80%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中信证券股份有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527,391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527,391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0"/>
        <w:ind w:left="0" w:right="1141"/>
        <w:jc w:val="right"/>
      </w:pPr>
      <w:r>
        <w:rPr/>
        <w:pict>
          <v:shape style="position:absolute;margin-left:56.459999pt;margin-top:-398.188293pt;width:479.2pt;height:498.2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5"/>
                    <w:gridCol w:w="3995"/>
                    <w:gridCol w:w="1349"/>
                    <w:gridCol w:w="1350"/>
                  </w:tblGrid>
                  <w:tr>
                    <w:trPr>
                      <w:trHeight w:val="1026"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4" w:type="dxa"/>
                        <w:gridSpan w:val="3"/>
                        <w:vMerge w:val="restart"/>
                        <w:tcBorders>
                          <w:top w:val="single" w:sz="4" w:space="0" w:color="000000"/>
                          <w:left w:val="single" w:sz="9" w:space="0" w:color="D2D2D2"/>
                          <w:right w:val="single" w:sz="4" w:space="0" w:color="000000"/>
                        </w:tcBorders>
                      </w:tcPr>
                      <w:p>
                        <w:pPr>
                          <w:pStyle w:val="TableParagraph"/>
                          <w:spacing w:line="319" w:lineRule="auto" w:before="51"/>
                          <w:ind w:left="21" w:right="22"/>
                          <w:jc w:val="both"/>
                          <w:rPr>
                            <w:rFonts w:ascii="宋体" w:hAnsi="宋体" w:cs="宋体" w:eastAsia="宋体" w:hint="default"/>
                            <w:sz w:val="18"/>
                            <w:szCs w:val="18"/>
                          </w:rPr>
                        </w:pPr>
                        <w:r>
                          <w:rPr>
                            <w:rFonts w:ascii="宋体" w:hAnsi="宋体" w:cs="宋体" w:eastAsia="宋体" w:hint="default"/>
                            <w:spacing w:val="-1"/>
                            <w:sz w:val="18"/>
                            <w:szCs w:val="18"/>
                          </w:rPr>
                          <w:t>除上海中信电子发展有限公司和张曙华属一致行动人，深圳市创新投资集团有限公司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和上海红土创业投资有限公司属一致行动人，公司未曾知悉其他股东间是否存在关联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关系或属于《上市公司股东持股变动信息披露管理办法》规定的一致行动人。</w:t>
                        </w:r>
                      </w:p>
                    </w:tc>
                  </w:tr>
                  <w:tr>
                    <w:trPr>
                      <w:trHeight w:val="705" w:hRule="exact"/>
                    </w:trPr>
                    <w:tc>
                      <w:tcPr>
                        <w:tcW w:w="28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4" w:type="dxa"/>
                        <w:gridSpan w:val="3"/>
                        <w:vMerge/>
                        <w:tcBorders>
                          <w:left w:val="single" w:sz="9" w:space="0" w:color="D2D2D2"/>
                          <w:right w:val="single" w:sz="4" w:space="0" w:color="000000"/>
                        </w:tcBorders>
                      </w:tcPr>
                      <w:p>
                        <w:pPr/>
                      </w:p>
                    </w:tc>
                  </w:tr>
                  <w:tr>
                    <w:trPr>
                      <w:trHeight w:val="161" w:hRule="exact"/>
                    </w:trPr>
                    <w:tc>
                      <w:tcPr>
                        <w:tcW w:w="2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4" w:type="dxa"/>
                        <w:gridSpan w:val="3"/>
                        <w:vMerge/>
                        <w:tcBorders>
                          <w:left w:val="single" w:sz="9" w:space="0" w:color="D2D2D2"/>
                          <w:bottom w:val="single" w:sz="4" w:space="0" w:color="000000"/>
                          <w:right w:val="single" w:sz="4" w:space="0" w:color="000000"/>
                        </w:tcBorders>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vMerge/>
                        <w:tcBorders>
                          <w:left w:val="single" w:sz="4" w:space="0" w:color="000000"/>
                          <w:bottom w:val="nil" w:sz="6" w:space="0" w:color="auto"/>
                          <w:right w:val="single" w:sz="4" w:space="0" w:color="000000"/>
                        </w:tcBorders>
                        <w:shd w:val="clear" w:color="auto" w:fill="D2D2D2"/>
                      </w:tcPr>
                      <w:p>
                        <w:pPr/>
                      </w:p>
                    </w:tc>
                    <w:tc>
                      <w:tcPr>
                        <w:tcW w:w="3995"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2,113,072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2,113,072</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上海红土创业投资有限公司</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1,530,900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1,107,600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1,107,600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马桂荣</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544,000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527,391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527,391</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俞月祥</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269,600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265,580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265,580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周玉坤</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263,100</w:t>
                        </w:r>
                      </w:p>
                    </w:tc>
                  </w:tr>
                  <w:tr>
                    <w:trPr>
                      <w:trHeight w:val="1026"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杭州来兴元品投资管理合伙企业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－来兴成长型私募证券投资 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206,650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206,650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201,720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201,720</w:t>
                        </w:r>
                      </w:p>
                    </w:tc>
                  </w:tr>
                  <w:tr>
                    <w:trPr>
                      <w:trHeight w:val="1338"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名除深圳市创新投资集团有限公司和上海红土创业投资有限公司属一致行动人</w:t>
                        </w:r>
                      </w:p>
                      <w:p>
                        <w:pPr>
                          <w:pStyle w:val="TableParagraph"/>
                          <w:spacing w:line="309" w:lineRule="auto" w:before="63"/>
                          <w:ind w:left="21" w:right="22"/>
                          <w:jc w:val="both"/>
                          <w:rPr>
                            <w:rFonts w:ascii="宋体" w:hAnsi="宋体" w:cs="宋体" w:eastAsia="宋体" w:hint="default"/>
                            <w:sz w:val="18"/>
                            <w:szCs w:val="18"/>
                          </w:rPr>
                        </w:pPr>
                        <w:r>
                          <w:rPr>
                            <w:rFonts w:ascii="宋体" w:hAnsi="宋体" w:cs="宋体" w:eastAsia="宋体" w:hint="default"/>
                            <w:sz w:val="18"/>
                            <w:szCs w:val="18"/>
                          </w:rPr>
                          <w:t>公司未曾知悉前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
                            <w:sz w:val="18"/>
                            <w:szCs w:val="18"/>
                          </w:rPr>
                          <w:t>名股东之间存在关联关系或属于《上市公司股东持股变动信息披露管理办法》规定的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1134" w:right="98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98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上海中信电子发展有限公</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81"/>
              <w:jc w:val="center"/>
              <w:rPr>
                <w:rFonts w:ascii="Times New Roman" w:hAnsi="Times New Roman" w:cs="Times New Roman" w:eastAsia="Times New Roman" w:hint="default"/>
                <w:sz w:val="18"/>
                <w:szCs w:val="18"/>
              </w:rPr>
            </w:pPr>
            <w:r>
              <w:rPr>
                <w:rFonts w:ascii="Times New Roman"/>
                <w:sz w:val="18"/>
              </w:rPr>
              <w:t>060000002014112400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
              <w:jc w:val="center"/>
              <w:rPr>
                <w:rFonts w:ascii="宋体" w:hAnsi="宋体" w:cs="宋体" w:eastAsia="宋体" w:hint="default"/>
                <w:sz w:val="18"/>
                <w:szCs w:val="18"/>
              </w:rPr>
            </w:pPr>
            <w:r>
              <w:rPr>
                <w:rFonts w:ascii="宋体" w:hAnsi="宋体" w:cs="宋体" w:eastAsia="宋体" w:hint="default"/>
                <w:sz w:val="18"/>
                <w:szCs w:val="18"/>
              </w:rPr>
              <w:t>持有信息发展股权，无具体</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202"/>
        <w:gridCol w:w="1792"/>
        <w:gridCol w:w="1592"/>
        <w:gridCol w:w="1754"/>
        <w:gridCol w:w="2231"/>
      </w:tblGrid>
      <w:tr>
        <w:trPr>
          <w:trHeight w:val="362" w:hRule="exact"/>
        </w:trPr>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73</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实际经营业务</w:t>
            </w:r>
          </w:p>
        </w:tc>
      </w:tr>
    </w:tbl>
    <w:p>
      <w:pPr>
        <w:pStyle w:val="BodyText"/>
        <w:spacing w:line="240" w:lineRule="auto" w:before="51"/>
        <w:ind w:left="1134" w:right="985"/>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right="985"/>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董事长、总裁</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985"/>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1"/>
          <w:szCs w:val="21"/>
        </w:rPr>
      </w:pPr>
    </w:p>
    <w:p>
      <w:pPr>
        <w:spacing w:line="4485" w:lineRule="exact"/>
        <w:ind w:left="2338"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590661" cy="2847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0661" cy="284797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2"/>
        <w:rPr>
          <w:rFonts w:ascii="宋体" w:hAnsi="宋体" w:cs="宋体" w:eastAsia="宋体" w:hint="default"/>
          <w:sz w:val="19"/>
          <w:szCs w:val="19"/>
        </w:rPr>
      </w:pPr>
    </w:p>
    <w:p>
      <w:pPr>
        <w:spacing w:before="0"/>
        <w:ind w:left="1133" w:right="985"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10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3"/>
        </w:rPr>
        <w:t>1</w:t>
      </w:r>
      <w:r>
        <w:rPr>
          <w:spacing w:val="-3"/>
        </w:rPr>
        <w:t>、发行人控股股东中信电子、实际控制人张曙华承诺：</w:t>
      </w:r>
      <w:r>
        <w:rPr>
          <w:rFonts w:ascii="Times New Roman" w:hAnsi="Times New Roman" w:cs="Times New Roman" w:eastAsia="Times New Roman" w:hint="default"/>
          <w:spacing w:val="-3"/>
        </w:rPr>
        <w:t>“</w:t>
      </w:r>
      <w:r>
        <w:rPr>
          <w:spacing w:val="-3"/>
        </w:rPr>
        <w:t>自信息发展股票在深圳证券交易所创业板上市之日起三十六个月内，</w:t>
      </w:r>
      <w:r>
        <w:rPr>
          <w:spacing w:val="-84"/>
        </w:rPr>
        <w:t> </w:t>
      </w:r>
      <w:r>
        <w:rPr>
          <w:spacing w:val="-84"/>
        </w:rPr>
      </w:r>
      <w:r>
        <w:rPr/>
        <w:t>本公司</w:t>
      </w:r>
      <w:r>
        <w:rPr>
          <w:rFonts w:ascii="Times New Roman" w:hAnsi="Times New Roman" w:cs="Times New Roman" w:eastAsia="Times New Roman" w:hint="default"/>
        </w:rPr>
        <w:t>/</w:t>
      </w:r>
      <w:r>
        <w:rPr/>
        <w:t>本人将不通过包括但不限于签署转让协议、进行股权托管等任何方式，减少本公司</w:t>
      </w:r>
      <w:r>
        <w:rPr>
          <w:rFonts w:ascii="Times New Roman" w:hAnsi="Times New Roman" w:cs="Times New Roman" w:eastAsia="Times New Roman" w:hint="default"/>
        </w:rPr>
        <w:t>/</w:t>
      </w:r>
      <w:r>
        <w:rPr/>
        <w:t>本人所持有或者实际持有的信息</w:t>
      </w:r>
    </w:p>
    <w:p>
      <w:pPr>
        <w:pStyle w:val="BodyText"/>
        <w:spacing w:line="309" w:lineRule="auto" w:before="0"/>
        <w:ind w:right="985"/>
        <w:jc w:val="left"/>
      </w:pPr>
      <w:r>
        <w:rPr>
          <w:spacing w:val="-2"/>
        </w:rPr>
        <w:t>发展本次发行前已发行的股份（包括由该部分股份派生的股份如送红股、资本公积金转增等）；亦不通过由信息发展回购本</w:t>
      </w:r>
      <w:r>
        <w:rPr>
          <w:spacing w:val="-66"/>
        </w:rPr>
        <w:t> </w:t>
      </w:r>
      <w:r>
        <w:rPr>
          <w:spacing w:val="-66"/>
        </w:rPr>
      </w:r>
      <w:r>
        <w:rPr/>
        <w:t>公司</w:t>
      </w:r>
      <w:r>
        <w:rPr>
          <w:rFonts w:ascii="Times New Roman" w:hAnsi="Times New Roman" w:cs="Times New Roman" w:eastAsia="Times New Roman" w:hint="default"/>
        </w:rPr>
        <w:t>/</w:t>
      </w:r>
      <w:r>
        <w:rPr/>
        <w:t>本人所直接或间接持有股份等方式，减少本公司</w:t>
      </w:r>
      <w:r>
        <w:rPr>
          <w:rFonts w:ascii="Times New Roman" w:hAnsi="Times New Roman" w:cs="Times New Roman" w:eastAsia="Times New Roman" w:hint="default"/>
        </w:rPr>
        <w:t>/</w:t>
      </w:r>
      <w:r>
        <w:rPr/>
        <w:t>本人所持有或者实际持有的信息发展本次发行前已发行的股份。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2</w:t>
      </w:r>
      <w:r>
        <w:rPr>
          <w:spacing w:val="-2"/>
        </w:rPr>
        <w:t>、发行人实际控制人张曙华承诺：</w:t>
      </w:r>
      <w:r>
        <w:rPr>
          <w:rFonts w:ascii="Times New Roman" w:hAnsi="Times New Roman" w:cs="Times New Roman" w:eastAsia="Times New Roman" w:hint="default"/>
          <w:spacing w:val="-2"/>
        </w:rPr>
        <w:t>“</w:t>
      </w:r>
      <w:r>
        <w:rPr>
          <w:spacing w:val="-2"/>
        </w:rPr>
        <w:t>上述三十六个月期满后，本人在担任公司的董事、高管期间，每年转让的股份不超过本</w:t>
      </w:r>
      <w:r>
        <w:rPr>
          <w:spacing w:val="-54"/>
        </w:rPr>
        <w:t> </w:t>
      </w:r>
      <w:r>
        <w:rPr>
          <w:spacing w:val="-54"/>
        </w:rPr>
      </w:r>
      <w:r>
        <w:rPr/>
        <w:t>人所持有信息发展股份总数的</w:t>
      </w:r>
      <w:r>
        <w:rPr>
          <w:rFonts w:ascii="Times New Roman" w:hAnsi="Times New Roman" w:cs="Times New Roman" w:eastAsia="Times New Roman" w:hint="default"/>
        </w:rPr>
        <w:t>25%</w:t>
      </w:r>
      <w:r>
        <w:rPr/>
        <w:t>；离职后半年内，不转让本人所持有的信息发展股份。发行人上市后六个月内如发行人股 </w:t>
      </w:r>
      <w:r>
        <w:rPr>
          <w:spacing w:val="-2"/>
        </w:rPr>
        <w:t>票连续二十个交易日的收盘价（指复权后的价格，下同）均低于发行价，或者上市后六个月期末收盘价低于发行价，本人持</w:t>
      </w:r>
      <w:r>
        <w:rPr>
          <w:spacing w:val="-66"/>
        </w:rPr>
        <w:t> </w:t>
      </w:r>
      <w:r>
        <w:rPr>
          <w:spacing w:val="-66"/>
        </w:rPr>
      </w:r>
      <w:r>
        <w:rPr>
          <w:spacing w:val="-2"/>
        </w:rPr>
        <w:t>有的发行人公开发行股份前已发行的股份的锁定期限将自动延长六个月。在延长锁定期内，不转让或者委托他人管理其直接</w:t>
      </w:r>
      <w:r>
        <w:rPr>
          <w:spacing w:val="-64"/>
        </w:rPr>
        <w:t> </w:t>
      </w:r>
      <w:r>
        <w:rPr>
          <w:spacing w:val="-64"/>
        </w:rPr>
      </w:r>
      <w:r>
        <w:rPr>
          <w:spacing w:val="-2"/>
        </w:rPr>
        <w:t>或者间接持有的发行人公开发行股票前已发行的股份，也不由发行人回购其直接或者间接持有的发行人公开发行股票前已发</w:t>
      </w:r>
      <w:r>
        <w:rPr>
          <w:spacing w:val="-64"/>
        </w:rPr>
        <w:t> </w:t>
      </w:r>
      <w:r>
        <w:rPr>
          <w:spacing w:val="-64"/>
        </w:rPr>
      </w:r>
      <w:r>
        <w:rPr/>
        <w:t>行的股份。本人不因职务变更或离职等主观原因而放弃履行此承诺。</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3</w:t>
      </w:r>
      <w:r>
        <w:rPr>
          <w:spacing w:val="-2"/>
        </w:rPr>
        <w:t>、发行人控股股东中信电子承诺：</w:t>
      </w:r>
      <w:r>
        <w:rPr>
          <w:rFonts w:ascii="Times New Roman" w:hAnsi="Times New Roman" w:cs="Times New Roman" w:eastAsia="Times New Roman" w:hint="default"/>
          <w:spacing w:val="-2"/>
        </w:rPr>
        <w:t>“</w:t>
      </w:r>
      <w:r>
        <w:rPr>
          <w:spacing w:val="-2"/>
        </w:rPr>
        <w:t>上述三十六个月期满后，在张曙华持有中信电子的股份期间且担任公司的董事或高管期</w:t>
      </w:r>
      <w:r>
        <w:rPr>
          <w:spacing w:val="-52"/>
        </w:rPr>
        <w:t> </w:t>
      </w:r>
      <w:r>
        <w:rPr>
          <w:spacing w:val="-52"/>
        </w:rPr>
      </w:r>
      <w:r>
        <w:rPr/>
        <w:t>间，中信电子每年转让的股份不超过其所持有信息发展股份总数的</w:t>
      </w:r>
      <w:r>
        <w:rPr>
          <w:rFonts w:ascii="Times New Roman" w:hAnsi="Times New Roman" w:cs="Times New Roman" w:eastAsia="Times New Roman" w:hint="default"/>
        </w:rPr>
        <w:t>25%</w:t>
      </w:r>
      <w:r>
        <w:rPr/>
        <w:t>；离职后半年内，中信电子不转让其所持有的信息发 </w:t>
      </w:r>
      <w:r>
        <w:rPr>
          <w:spacing w:val="-2"/>
        </w:rPr>
        <w:t>展股份。发行人上市后六个月内如发行人股票连续二十个交易日的收盘价（指复权后的价格，下同）均低于发行价，或者上</w:t>
      </w:r>
      <w:r>
        <w:rPr>
          <w:spacing w:val="-66"/>
        </w:rPr>
        <w:t> </w:t>
      </w:r>
      <w:r>
        <w:rPr>
          <w:spacing w:val="-66"/>
        </w:rPr>
      </w:r>
      <w:r>
        <w:rPr>
          <w:spacing w:val="-2"/>
        </w:rPr>
        <w:t>市后六个月期末收盘价低于发行价，本公司持有的发行人公开发行股份前已发行的股份的锁定期限将自动延长六个月。在延</w:t>
      </w:r>
      <w:r>
        <w:rPr>
          <w:spacing w:val="-64"/>
        </w:rPr>
        <w:t> </w:t>
      </w:r>
      <w:r>
        <w:rPr>
          <w:spacing w:val="-64"/>
        </w:rPr>
      </w:r>
      <w:r>
        <w:rPr>
          <w:spacing w:val="-2"/>
        </w:rPr>
        <w:t>长锁定期内，不转让或者委托他人管理其直接或者间接持有的发行人公开发行股票前已发行的股份，也不由发行人回购其直</w:t>
      </w:r>
      <w:r>
        <w:rPr>
          <w:spacing w:val="-64"/>
        </w:rPr>
        <w:t> </w:t>
      </w:r>
      <w:r>
        <w:rPr>
          <w:spacing w:val="-64"/>
        </w:rPr>
      </w:r>
      <w:r>
        <w:rPr/>
        <w:t>接或者间接持有的发行人公开发行股票前已发行的股份。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4</w:t>
      </w:r>
      <w:r>
        <w:rPr>
          <w:spacing w:val="-2"/>
        </w:rPr>
        <w:t>、发行人股东苏州国嘉创投、深创投、上海红土创投、上海统易财务分别承诺：</w:t>
      </w:r>
      <w:r>
        <w:rPr>
          <w:rFonts w:ascii="Times New Roman" w:hAnsi="Times New Roman" w:cs="Times New Roman" w:eastAsia="Times New Roman" w:hint="default"/>
          <w:spacing w:val="-2"/>
        </w:rPr>
        <w:t>“</w:t>
      </w:r>
      <w:r>
        <w:rPr>
          <w:spacing w:val="-2"/>
        </w:rPr>
        <w:t>自信息发展股票在深圳证券交易所创业板</w:t>
      </w:r>
      <w:r>
        <w:rPr>
          <w:spacing w:val="-54"/>
        </w:rPr>
        <w:t> </w:t>
      </w:r>
      <w:r>
        <w:rPr>
          <w:spacing w:val="-54"/>
        </w:rPr>
      </w:r>
      <w:r>
        <w:rPr>
          <w:spacing w:val="-2"/>
        </w:rPr>
        <w:t>上市之日起十二个月内，本公司将不通过包括但不限于签署转让协议、进行股权托管等任何方式，减少本公司所持有或者实</w:t>
      </w:r>
      <w:r>
        <w:rPr>
          <w:spacing w:val="-66"/>
        </w:rPr>
        <w:t> </w:t>
      </w:r>
      <w:r>
        <w:rPr>
          <w:spacing w:val="-66"/>
        </w:rPr>
      </w:r>
      <w:r>
        <w:rPr>
          <w:spacing w:val="-2"/>
        </w:rPr>
        <w:t>际持有的信息发展本次发行前已发行的股份（包括由该部分股份派生的股份如送红股、资本公积金转增等）；亦不通过由信</w:t>
      </w:r>
      <w:r>
        <w:rPr>
          <w:spacing w:val="-66"/>
        </w:rPr>
        <w:t> </w:t>
      </w:r>
      <w:r>
        <w:rPr>
          <w:spacing w:val="-66"/>
        </w:rPr>
      </w:r>
      <w:r>
        <w:rPr/>
        <w:t>息发展回购本公司所直接或间接持有股份等方式，减少本公司所持有或者实际持有的信息发展本次发行前已发行的股份。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5</w:t>
      </w:r>
      <w:r>
        <w:rPr>
          <w:spacing w:val="-2"/>
        </w:rPr>
        <w:t>、发行人股东张志红、杨安荣、刘理洲、李志卿、刘赣分别承诺：</w:t>
      </w:r>
      <w:r>
        <w:rPr>
          <w:rFonts w:ascii="Times New Roman" w:hAnsi="Times New Roman" w:cs="Times New Roman" w:eastAsia="Times New Roman" w:hint="default"/>
          <w:spacing w:val="-2"/>
        </w:rPr>
        <w:t>“</w:t>
      </w:r>
      <w:r>
        <w:rPr>
          <w:spacing w:val="-2"/>
        </w:rPr>
        <w:t>自信息发展股票在深圳证券交易所创业板上市之日起十</w:t>
      </w:r>
      <w:r>
        <w:rPr>
          <w:spacing w:val="-56"/>
        </w:rPr>
        <w:t> </w:t>
      </w:r>
      <w:r>
        <w:rPr>
          <w:spacing w:val="-56"/>
        </w:rPr>
      </w:r>
      <w:r>
        <w:rPr>
          <w:spacing w:val="-2"/>
        </w:rPr>
        <w:t>二个月内，本人将不通过包括但不限于签署转让协议、进行股权托管等任何方式，减少本人所持有或者实际持有的信息发展</w:t>
      </w:r>
      <w:r>
        <w:rPr>
          <w:spacing w:val="-66"/>
        </w:rPr>
        <w:t> </w:t>
      </w:r>
      <w:r>
        <w:rPr>
          <w:spacing w:val="-66"/>
        </w:rPr>
      </w:r>
      <w:r>
        <w:rPr>
          <w:spacing w:val="-2"/>
        </w:rPr>
        <w:t>本次发行前已发行的股份（包括由该部分股份派生的股份如送红股、资本公积金转增等）；亦不通过由信息发展回购本人所</w:t>
      </w:r>
      <w:r>
        <w:rPr>
          <w:spacing w:val="-66"/>
        </w:rPr>
        <w:t> </w:t>
      </w:r>
      <w:r>
        <w:rPr>
          <w:spacing w:val="-66"/>
        </w:rPr>
      </w:r>
      <w:r>
        <w:rPr/>
        <w:t>直接或间接持有股份等方式，减少本人所持有或者实际持有的信息发展本次发行前已发行的股份。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6</w:t>
      </w:r>
      <w:r>
        <w:rPr>
          <w:spacing w:val="-2"/>
        </w:rPr>
        <w:t>、担任发行人董事、监事、高级管理人员的股东杨安荣、刘理洲、李志卿分别承诺：</w:t>
      </w:r>
      <w:r>
        <w:rPr>
          <w:rFonts w:ascii="Times New Roman" w:hAnsi="Times New Roman" w:cs="Times New Roman" w:eastAsia="Times New Roman" w:hint="default"/>
          <w:spacing w:val="-2"/>
        </w:rPr>
        <w:t>“</w:t>
      </w:r>
      <w:r>
        <w:rPr>
          <w:spacing w:val="-2"/>
        </w:rPr>
        <w:t>上述十二个月期满后，本人在担任公</w:t>
      </w:r>
      <w:r>
        <w:rPr>
          <w:spacing w:val="-54"/>
        </w:rPr>
        <w:t> </w:t>
      </w:r>
      <w:r>
        <w:rPr>
          <w:spacing w:val="-54"/>
        </w:rPr>
      </w:r>
      <w:r>
        <w:rPr/>
        <w:t>司的董事、监事、高级管理人员期间，每年转让的股份不超过本人所持有信息发展股份总数的</w:t>
      </w:r>
      <w:r>
        <w:rPr>
          <w:rFonts w:ascii="Times New Roman" w:hAnsi="Times New Roman" w:cs="Times New Roman" w:eastAsia="Times New Roman" w:hint="default"/>
        </w:rPr>
        <w:t>25%</w:t>
      </w:r>
      <w:r>
        <w:rPr/>
        <w:t>；离职后半年内，不转让 </w:t>
      </w:r>
      <w:r>
        <w:rPr>
          <w:spacing w:val="-2"/>
        </w:rPr>
        <w:t>本人所持有的信息发展股份；本人在信息发展首次公开发行股票上市之日起六个月内申报离职的，自申报离职之日起十八个</w:t>
      </w:r>
      <w:r>
        <w:rPr>
          <w:spacing w:val="-64"/>
        </w:rPr>
        <w:t> </w:t>
      </w:r>
      <w:r>
        <w:rPr>
          <w:spacing w:val="-64"/>
        </w:rPr>
      </w:r>
      <w:r>
        <w:rPr/>
        <w:t>月内不转让本人直接持有的信息发展股份；在信息发展首次公开发行股票上市之日起第七个月至第十二个月之间申报离职 </w:t>
      </w:r>
      <w:r>
        <w:rPr>
          <w:spacing w:val="-2"/>
        </w:rPr>
        <w:t>的，自申报离职之日起十二个月内不转让本人直接持有的信息发展股份。发行人上市后六个月内如发行人股票连续二十个交</w:t>
      </w:r>
      <w:r>
        <w:rPr>
          <w:spacing w:val="-64"/>
        </w:rPr>
        <w:t> </w:t>
      </w:r>
      <w:r>
        <w:rPr>
          <w:spacing w:val="-64"/>
        </w:rPr>
      </w:r>
      <w:r>
        <w:rPr>
          <w:spacing w:val="-2"/>
        </w:rPr>
        <w:t>易日的收盘价（指复权后的价格，下同）均低于发行价，或者上市后六个月期末收盘价低于发行价，本人持有的发行人公开</w:t>
      </w:r>
      <w:r>
        <w:rPr>
          <w:spacing w:val="-66"/>
        </w:rPr>
        <w:t> </w:t>
      </w:r>
      <w:r>
        <w:rPr>
          <w:spacing w:val="-66"/>
        </w:rPr>
      </w:r>
      <w:r>
        <w:rPr>
          <w:spacing w:val="-2"/>
        </w:rPr>
        <w:t>发行股份前已发行的股份的锁定期限将自动延长六个月。在延长锁定期内，不转让或者委托他人管理其直接或者间接持有的</w:t>
      </w:r>
      <w:r>
        <w:rPr>
          <w:spacing w:val="-64"/>
        </w:rPr>
        <w:t> </w:t>
      </w:r>
      <w:r>
        <w:rPr>
          <w:spacing w:val="-64"/>
        </w:rPr>
      </w:r>
      <w:r>
        <w:rPr>
          <w:spacing w:val="-2"/>
        </w:rPr>
        <w:t>发行人公开发行股票前已发行的股份，也不由发行人回购其直接或者间接持有的发行人公开发行股票前已发行的股份。本人</w:t>
      </w:r>
      <w:r>
        <w:rPr>
          <w:spacing w:val="-64"/>
        </w:rPr>
        <w:t> </w:t>
      </w:r>
      <w:r>
        <w:rPr>
          <w:spacing w:val="-64"/>
        </w:rPr>
      </w:r>
      <w:r>
        <w:rPr>
          <w:spacing w:val="-2"/>
        </w:rPr>
        <w:t>不因职务变更或离职等主观原因而放弃履行此承诺。本人所持发行人公开发行股份前已发行的股份在上述锁定期期满后两年</w:t>
      </w:r>
      <w:r>
        <w:rPr>
          <w:spacing w:val="-64"/>
        </w:rPr>
        <w:t> </w:t>
      </w:r>
      <w:r>
        <w:rPr>
          <w:spacing w:val="-64"/>
        </w:rPr>
      </w:r>
      <w:r>
        <w:rPr>
          <w:spacing w:val="-2"/>
        </w:rPr>
        <w:t>内减持，本人承诺减持价格（指复权后的价格）不低于发行价，若低于发行价的，本人的减持所得收入归发行人所有。本人</w:t>
      </w:r>
      <w:r>
        <w:rPr>
          <w:spacing w:val="-68"/>
        </w:rPr>
        <w:t> </w:t>
      </w:r>
      <w:r>
        <w:rPr>
          <w:spacing w:val="-68"/>
        </w:rPr>
      </w:r>
      <w:r>
        <w:rPr/>
        <w:t>不因职务变更或离职等主观原因而放弃履行此承诺。</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7</w:t>
      </w:r>
      <w:r>
        <w:rPr>
          <w:spacing w:val="-2"/>
        </w:rPr>
        <w:t>、中信电子承诺：</w:t>
      </w:r>
      <w:r>
        <w:rPr>
          <w:rFonts w:ascii="Times New Roman" w:hAnsi="Times New Roman" w:cs="Times New Roman" w:eastAsia="Times New Roman" w:hint="default"/>
          <w:spacing w:val="-2"/>
        </w:rPr>
        <w:t>“</w:t>
      </w:r>
      <w:r>
        <w:rPr>
          <w:spacing w:val="-2"/>
        </w:rPr>
        <w:t>本公司所持发行人公开发行股份前已发行的股份在锁定期期满后两年内将进行股份减持，减持股份数量</w:t>
      </w:r>
      <w:r>
        <w:rPr>
          <w:spacing w:val="-52"/>
        </w:rPr>
        <w:t> </w:t>
      </w:r>
      <w:r>
        <w:rPr>
          <w:spacing w:val="-52"/>
        </w:rPr>
      </w:r>
      <w:r>
        <w:rPr/>
        <w:t>为不超过本公司所持股份数的</w:t>
      </w:r>
      <w:r>
        <w:rPr>
          <w:rFonts w:ascii="Times New Roman" w:hAnsi="Times New Roman" w:cs="Times New Roman" w:eastAsia="Times New Roman" w:hint="default"/>
        </w:rPr>
        <w:t>40%</w:t>
      </w:r>
      <w:r>
        <w:rPr/>
        <w:t>；本公司在减持股份时，将提前五个交易日向发行人提交减持原因、减持数量、未来减持 </w:t>
      </w:r>
      <w:r>
        <w:rPr>
          <w:spacing w:val="-2"/>
        </w:rPr>
        <w:t>计划、减持对发行人治理结构及持续经营影响的说明，并由发行人在减持前三个交易日予以公告；减持将通过证券交易所集</w:t>
      </w:r>
      <w:r>
        <w:rPr>
          <w:spacing w:val="-66"/>
        </w:rPr>
        <w:t> </w:t>
      </w:r>
      <w:r>
        <w:rPr>
          <w:spacing w:val="-66"/>
        </w:rPr>
      </w:r>
      <w:r>
        <w:rPr>
          <w:spacing w:val="-4"/>
        </w:rPr>
        <w:t>中竞价交易系统、大宗交易系统等方式进行，并且本公司承诺减持价格（指复权后的价格）不低于发行价，若低于发行价的，</w:t>
      </w:r>
      <w:r>
        <w:rPr>
          <w:spacing w:val="-44"/>
        </w:rPr>
        <w:t> </w:t>
      </w:r>
      <w:r>
        <w:rPr>
          <w:spacing w:val="-44"/>
        </w:rPr>
      </w:r>
      <w:r>
        <w:rPr/>
        <w:t>本公司的减持所得收入归发行人所有。</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8</w:t>
      </w:r>
      <w:r>
        <w:rPr/>
        <w:t>、张曙华承诺：</w:t>
      </w:r>
      <w:r>
        <w:rPr>
          <w:rFonts w:ascii="Times New Roman" w:hAnsi="Times New Roman" w:cs="Times New Roman" w:eastAsia="Times New Roman" w:hint="default"/>
        </w:rPr>
        <w:t>“</w:t>
      </w:r>
      <w:r>
        <w:rPr/>
        <w:t>本人所持发行人公开发行股份前已发行的股份在锁定期期满后两年内减持不超过本人所持股份数的</w:t>
      </w:r>
      <w:r>
        <w:rPr>
          <w:rFonts w:ascii="Times New Roman" w:hAnsi="Times New Roman" w:cs="Times New Roman" w:eastAsia="Times New Roman" w:hint="default"/>
        </w:rPr>
        <w:t>40%</w:t>
      </w:r>
      <w:r>
        <w:rPr/>
        <w:t>；</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ind w:right="985"/>
        <w:jc w:val="left"/>
        <w:rPr>
          <w:rFonts w:ascii="Times New Roman" w:hAnsi="Times New Roman" w:cs="Times New Roman" w:eastAsia="Times New Roman" w:hint="default"/>
        </w:rPr>
      </w:pPr>
      <w:r>
        <w:rPr>
          <w:spacing w:val="-2"/>
        </w:rPr>
        <w:t>本人减持时，将提前五个交易日向发行人提交减持原因、减持数量、未来减持计划、减持对发行人治理结构及持续经营影响</w:t>
      </w:r>
      <w:r>
        <w:rPr>
          <w:spacing w:val="-66"/>
        </w:rPr>
        <w:t> </w:t>
      </w:r>
      <w:r>
        <w:rPr>
          <w:spacing w:val="-66"/>
        </w:rPr>
      </w:r>
      <w:r>
        <w:rPr>
          <w:spacing w:val="-2"/>
        </w:rPr>
        <w:t>的说明，并由发行人在减持前三个交易日予以公告；减持将通过证券交易所集中竞价交易系统、大宗交易系统等方式进行并</w:t>
      </w:r>
      <w:r>
        <w:rPr>
          <w:spacing w:val="-66"/>
        </w:rPr>
        <w:t> </w:t>
      </w:r>
      <w:r>
        <w:rPr>
          <w:spacing w:val="-66"/>
        </w:rPr>
      </w:r>
      <w:r>
        <w:rPr/>
        <w:t>且本人承诺减持价格（指复权后的价格</w:t>
      </w:r>
      <w:r>
        <w:rPr>
          <w:rFonts w:ascii="Times New Roman" w:hAnsi="Times New Roman" w:cs="Times New Roman" w:eastAsia="Times New Roman" w:hint="default"/>
        </w:rPr>
        <w:t>)</w:t>
      </w:r>
      <w:r>
        <w:rPr/>
        <w:t>不低于发行价，若低于发行价的，本人的减持所得收入归发行人所有。本人不因职 务变更或离职等主观原因而放弃履行此承诺。</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9</w:t>
      </w:r>
      <w:r>
        <w:rPr>
          <w:spacing w:val="-2"/>
        </w:rPr>
        <w:t>、深创投、上海红土、苏国嘉承诺：</w:t>
      </w:r>
      <w:r>
        <w:rPr>
          <w:rFonts w:ascii="Times New Roman" w:hAnsi="Times New Roman" w:cs="Times New Roman" w:eastAsia="Times New Roman" w:hint="default"/>
          <w:spacing w:val="-2"/>
        </w:rPr>
        <w:t>“</w:t>
      </w:r>
      <w:r>
        <w:rPr>
          <w:spacing w:val="-2"/>
        </w:rPr>
        <w:t>本公司所持股票在锁定期满后两年内将进行股份减持，减持股份数量为不超过本公司</w:t>
      </w:r>
      <w:r>
        <w:rPr>
          <w:spacing w:val="-54"/>
        </w:rPr>
        <w:t> </w:t>
      </w:r>
      <w:r>
        <w:rPr>
          <w:spacing w:val="-54"/>
        </w:rPr>
      </w:r>
      <w:r>
        <w:rPr/>
        <w:t>所持股份数的</w:t>
      </w:r>
      <w:r>
        <w:rPr>
          <w:rFonts w:ascii="Times New Roman" w:hAnsi="Times New Roman" w:cs="Times New Roman" w:eastAsia="Times New Roman" w:hint="default"/>
        </w:rPr>
        <w:t>100%</w:t>
      </w:r>
      <w:r>
        <w:rPr/>
        <w:t>；本公司在减持股份时，将提前五个交易日向发行人提交减持原因、减持数量、未来减持计划、减持对 </w:t>
      </w:r>
      <w:r>
        <w:rPr>
          <w:spacing w:val="-2"/>
        </w:rPr>
        <w:t>发行人治理结构及持续经营影响的说明，并由发行人在减持前三个交易日予以公告；减持将通过证券交易所集中竞价交易系</w:t>
      </w:r>
      <w:r>
        <w:rPr>
          <w:spacing w:val="-64"/>
        </w:rPr>
        <w:t> </w:t>
      </w:r>
      <w:r>
        <w:rPr>
          <w:spacing w:val="-64"/>
        </w:rPr>
      </w:r>
      <w:r>
        <w:rPr>
          <w:spacing w:val="-2"/>
        </w:rPr>
        <w:t>统、大宗交易系统等方式进行，且减持价格（指复权后的价格）不低于发行价；若所持股票在锁定期满后两年内减持价格低</w:t>
      </w:r>
      <w:r>
        <w:rPr>
          <w:spacing w:val="-66"/>
        </w:rPr>
        <w:t> </w:t>
      </w:r>
      <w:r>
        <w:rPr>
          <w:spacing w:val="-66"/>
        </w:rPr>
      </w:r>
      <w:r>
        <w:rPr>
          <w:spacing w:val="-2"/>
        </w:rPr>
        <w:t>于发行价的，则减持价格与发行价之间的差额由发行人在现金分红时从分配当年及以后年度的现金分红中予以先行扣除，且</w:t>
      </w:r>
      <w:r>
        <w:rPr>
          <w:spacing w:val="-64"/>
        </w:rPr>
        <w:t> </w:t>
      </w:r>
      <w:r>
        <w:rPr>
          <w:spacing w:val="-64"/>
        </w:rPr>
      </w:r>
      <w:r>
        <w:rPr/>
        <w:t>扣除的现金分红归发行人所有。</w:t>
      </w:r>
      <w:r>
        <w:rPr>
          <w:rFonts w:ascii="Times New Roman" w:hAnsi="Times New Roman" w:cs="Times New Roman" w:eastAsia="Times New Roman" w:hint="default"/>
        </w:rPr>
        <w:t>”</w:t>
      </w:r>
    </w:p>
    <w:p>
      <w:pPr>
        <w:spacing w:after="0" w:line="309"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403"/>
        <w:jc w:val="center"/>
        <w:rPr>
          <w:b w:val="0"/>
          <w:bCs w:val="0"/>
        </w:rPr>
      </w:pPr>
      <w:bookmarkStart w:name="_TOC_250005" w:id="120"/>
      <w:bookmarkStart w:name="第七节 优先股相关情况" w:id="121"/>
      <w:r>
        <w:rPr>
          <w:b w:val="0"/>
          <w:bCs w:val="0"/>
        </w:rPr>
      </w:r>
      <w:r>
        <w:rPr/>
        <w:t>第七节</w:t>
      </w:r>
      <w:r>
        <w:rPr>
          <w:spacing w:val="-8"/>
        </w:rPr>
        <w:t> </w:t>
      </w:r>
      <w:r>
        <w:rPr/>
        <w:t>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985"/>
        <w:jc w:val="left"/>
        <w:rPr>
          <w:b w:val="0"/>
          <w:bCs w:val="0"/>
        </w:rPr>
      </w:pPr>
      <w:bookmarkStart w:name="_TOC_250004" w:id="122"/>
      <w:bookmarkStart w:name="第八节 董事、监事、高级管理人员和员工情况" w:id="123"/>
      <w:r>
        <w:rPr>
          <w:b w:val="0"/>
          <w:bCs w:val="0"/>
        </w:rPr>
      </w:r>
      <w:r>
        <w:rPr/>
        <w:t>第八节</w:t>
      </w:r>
      <w:r>
        <w:rPr>
          <w:spacing w:val="-16"/>
        </w:rPr>
        <w:t> </w:t>
      </w:r>
      <w:r>
        <w:rPr/>
        <w:t>董事、监事、高级管理人员和员工情况</w:t>
      </w:r>
      <w:bookmarkEnd w:id="122"/>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985"/>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1,062,320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1,062,320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806,880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641,480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641,480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张元利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陈若初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时泂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石富义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事会秘 书、副总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17,780,86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17,780,76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85"/>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石富义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both"/>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公司现任董事、监事、高级管理人员专业背景、主要工作经历以及目前在公司的主要职责</w:t>
      </w:r>
    </w:p>
    <w:p>
      <w:pPr>
        <w:pStyle w:val="BodyText"/>
        <w:spacing w:line="300" w:lineRule="auto" w:before="115"/>
        <w:ind w:right="1129"/>
        <w:jc w:val="both"/>
      </w:pPr>
      <w:r>
        <w:rPr>
          <w:spacing w:val="-2"/>
        </w:rPr>
        <w:t>张曙华先生，中国国籍，无境外永久居留权，</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12</w:t>
      </w:r>
      <w:r>
        <w:rPr>
          <w:spacing w:val="-2"/>
        </w:rPr>
        <w:t>月出生，本科学历。</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1997</w:t>
      </w:r>
      <w:r>
        <w:rPr>
          <w:spacing w:val="-2"/>
        </w:rPr>
        <w:t>年任上海中信电子发展公司副总经</w:t>
      </w:r>
      <w:r>
        <w:rPr>
          <w:spacing w:val="-52"/>
        </w:rPr>
        <w:t> </w:t>
      </w:r>
      <w:r>
        <w:rPr>
          <w:spacing w:val="-52"/>
        </w:rPr>
      </w:r>
      <w:r>
        <w:rPr>
          <w:spacing w:val="-2"/>
        </w:rPr>
        <w:t>理；</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10</w:t>
      </w:r>
      <w:r>
        <w:rPr>
          <w:spacing w:val="-2"/>
        </w:rPr>
        <w:t>月创办本公司，现任公司董事长、总裁，并兼任中信电子、金档信息、光典信息、追索信息执行董事。张曙华</w:t>
      </w:r>
      <w:r>
        <w:rPr>
          <w:spacing w:val="-61"/>
        </w:rPr>
        <w:t> </w:t>
      </w:r>
      <w:r>
        <w:rPr>
          <w:spacing w:val="-61"/>
        </w:rPr>
      </w:r>
      <w:r>
        <w:rPr>
          <w:spacing w:val="-1"/>
        </w:rPr>
        <w:t>先生曾荣获</w:t>
      </w:r>
      <w:r>
        <w:rPr>
          <w:rFonts w:ascii="Times New Roman" w:hAnsi="Times New Roman" w:cs="Times New Roman" w:eastAsia="Times New Roman" w:hint="default"/>
          <w:spacing w:val="-1"/>
        </w:rPr>
        <w:t>2015</w:t>
      </w:r>
      <w:r>
        <w:rPr>
          <w:spacing w:val="-1"/>
        </w:rPr>
        <w:t>年静安区杰出人才奖；</w:t>
      </w:r>
      <w:r>
        <w:rPr>
          <w:rFonts w:ascii="Times New Roman" w:hAnsi="Times New Roman" w:cs="Times New Roman" w:eastAsia="Times New Roman" w:hint="default"/>
          <w:spacing w:val="-1"/>
        </w:rPr>
        <w:t>2003</w:t>
      </w:r>
      <w:r>
        <w:rPr>
          <w:spacing w:val="-1"/>
        </w:rPr>
        <w:t>年荣获</w:t>
      </w:r>
      <w:r>
        <w:rPr>
          <w:rFonts w:ascii="Times New Roman" w:hAnsi="Times New Roman" w:cs="Times New Roman" w:eastAsia="Times New Roman" w:hint="default"/>
          <w:spacing w:val="-1"/>
        </w:rPr>
        <w:t>“</w:t>
      </w:r>
      <w:r>
        <w:rPr>
          <w:spacing w:val="-1"/>
        </w:rPr>
        <w:t>上海市科学技术进步二等奖</w:t>
      </w:r>
      <w:r>
        <w:rPr>
          <w:rFonts w:ascii="Times New Roman" w:hAnsi="Times New Roman" w:cs="Times New Roman" w:eastAsia="Times New Roman" w:hint="default"/>
          <w:spacing w:val="-1"/>
        </w:rPr>
        <w:t>”</w:t>
      </w:r>
      <w:r>
        <w:rPr>
          <w:spacing w:val="-1"/>
        </w:rPr>
        <w:t>以及</w:t>
      </w:r>
      <w:r>
        <w:rPr>
          <w:rFonts w:ascii="Times New Roman" w:hAnsi="Times New Roman" w:cs="Times New Roman" w:eastAsia="Times New Roman" w:hint="default"/>
          <w:spacing w:val="-1"/>
        </w:rPr>
        <w:t>“</w:t>
      </w:r>
      <w:r>
        <w:rPr>
          <w:spacing w:val="-1"/>
        </w:rPr>
        <w:t>上海市科学技术进步三等奖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2007</w:t>
      </w:r>
      <w:r>
        <w:rPr>
          <w:spacing w:val="-1"/>
        </w:rPr>
        <w:t>年</w:t>
      </w:r>
      <w:r>
        <w:rPr>
          <w:spacing w:val="-71"/>
        </w:rPr>
        <w:t> </w:t>
      </w:r>
      <w:r>
        <w:rPr>
          <w:spacing w:val="-1"/>
        </w:rPr>
        <w:t>荣获</w:t>
      </w:r>
      <w:r>
        <w:rPr>
          <w:rFonts w:ascii="Times New Roman" w:hAnsi="Times New Roman" w:cs="Times New Roman" w:eastAsia="Times New Roman" w:hint="default"/>
          <w:spacing w:val="-1"/>
        </w:rPr>
        <w:t>“</w:t>
      </w:r>
      <w:r>
        <w:rPr>
          <w:spacing w:val="-1"/>
        </w:rPr>
        <w:t>上海市科学技术成果证书</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上海实施发明成果优秀企业家</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2009</w:t>
      </w:r>
      <w:r>
        <w:rPr>
          <w:spacing w:val="-1"/>
        </w:rPr>
        <w:t>年荣获</w:t>
      </w:r>
      <w:r>
        <w:rPr>
          <w:rFonts w:ascii="Times New Roman" w:hAnsi="Times New Roman" w:cs="Times New Roman" w:eastAsia="Times New Roman" w:hint="default"/>
          <w:spacing w:val="-1"/>
        </w:rPr>
        <w:t>“</w:t>
      </w:r>
      <w:r>
        <w:rPr>
          <w:spacing w:val="-1"/>
        </w:rPr>
        <w:t>上海市科学技术进步三等奖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2010</w:t>
      </w:r>
      <w:r>
        <w:rPr>
          <w:spacing w:val="-1"/>
        </w:rPr>
        <w:t>年</w:t>
      </w:r>
      <w:r>
        <w:rPr>
          <w:spacing w:val="-54"/>
        </w:rPr>
        <w:t> </w:t>
      </w:r>
      <w:r>
        <w:rPr/>
        <w:t>荣获</w:t>
      </w:r>
      <w:r>
        <w:rPr>
          <w:rFonts w:ascii="Times New Roman" w:hAnsi="Times New Roman" w:cs="Times New Roman" w:eastAsia="Times New Roman" w:hint="default"/>
        </w:rPr>
        <w:t>“</w:t>
      </w:r>
      <w:r>
        <w:rPr/>
        <w:t>上海市软件行业标兵</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静安区优秀中国特色社会主义事业建设者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年荣获国家档案局颁发的</w:t>
      </w:r>
      <w:r>
        <w:rPr>
          <w:rFonts w:ascii="Times New Roman" w:hAnsi="Times New Roman" w:cs="Times New Roman" w:eastAsia="Times New Roman" w:hint="default"/>
        </w:rPr>
        <w:t>“</w:t>
      </w:r>
      <w:r>
        <w:rPr/>
        <w:t>档案科研成果三 </w:t>
      </w:r>
      <w:r>
        <w:rPr>
          <w:spacing w:val="-1"/>
        </w:rPr>
        <w:t>等奖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上海市企业管理现代化创新成果三等奖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2012</w:t>
      </w:r>
      <w:r>
        <w:rPr>
          <w:spacing w:val="-1"/>
        </w:rPr>
        <w:t>年荣获上海市静安区</w:t>
      </w:r>
      <w:r>
        <w:rPr>
          <w:rFonts w:ascii="Times New Roman" w:hAnsi="Times New Roman" w:cs="Times New Roman" w:eastAsia="Times New Roman" w:hint="default"/>
          <w:spacing w:val="-1"/>
        </w:rPr>
        <w:t>“</w:t>
      </w:r>
      <w:r>
        <w:rPr>
          <w:spacing w:val="-1"/>
        </w:rPr>
        <w:t>第三批领军人才</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2013</w:t>
      </w:r>
      <w:r>
        <w:rPr>
          <w:spacing w:val="-1"/>
        </w:rPr>
        <w:t>年荣获</w:t>
      </w:r>
      <w:r>
        <w:rPr>
          <w:rFonts w:ascii="Times New Roman" w:hAnsi="Times New Roman" w:cs="Times New Roman" w:eastAsia="Times New Roman" w:hint="default"/>
          <w:spacing w:val="-1"/>
        </w:rPr>
        <w:t>“</w:t>
      </w:r>
      <w:r>
        <w:rPr>
          <w:spacing w:val="-1"/>
        </w:rPr>
        <w:t>上海市软</w:t>
      </w:r>
      <w:r>
        <w:rPr>
          <w:spacing w:val="-53"/>
        </w:rPr>
        <w:t> </w:t>
      </w:r>
      <w:r>
        <w:rPr>
          <w:spacing w:val="-4"/>
        </w:rPr>
        <w:t>件行业标兵</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2015</w:t>
      </w:r>
      <w:r>
        <w:rPr>
          <w:spacing w:val="-4"/>
        </w:rPr>
        <w:t>年荣获第二届</w:t>
      </w:r>
      <w:r>
        <w:rPr>
          <w:rFonts w:ascii="Times New Roman" w:hAnsi="Times New Roman" w:cs="Times New Roman" w:eastAsia="Times New Roman" w:hint="default"/>
          <w:spacing w:val="-4"/>
        </w:rPr>
        <w:t>“</w:t>
      </w:r>
      <w:r>
        <w:rPr>
          <w:spacing w:val="-4"/>
        </w:rPr>
        <w:t>静安区杰出人才</w:t>
      </w:r>
      <w:r>
        <w:rPr>
          <w:rFonts w:ascii="Times New Roman" w:hAnsi="Times New Roman" w:cs="Times New Roman" w:eastAsia="Times New Roman" w:hint="default"/>
          <w:spacing w:val="-4"/>
        </w:rPr>
        <w:t>”</w:t>
      </w:r>
      <w:r>
        <w:rPr>
          <w:spacing w:val="-4"/>
        </w:rPr>
        <w:t>提名奖、</w:t>
      </w:r>
      <w:r>
        <w:rPr>
          <w:rFonts w:ascii="Times New Roman" w:hAnsi="Times New Roman" w:cs="Times New Roman" w:eastAsia="Times New Roman" w:hint="default"/>
          <w:spacing w:val="-4"/>
        </w:rPr>
        <w:t>“</w:t>
      </w:r>
      <w:r>
        <w:rPr>
          <w:spacing w:val="-4"/>
        </w:rPr>
        <w:t>上海市科学技术进步三等奖</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2016</w:t>
      </w:r>
      <w:r>
        <w:rPr>
          <w:spacing w:val="-4"/>
        </w:rPr>
        <w:t>年荣获上海市计算机行业</w:t>
      </w:r>
      <w:r>
        <w:rPr>
          <w:rFonts w:ascii="Times New Roman" w:hAnsi="Times New Roman" w:cs="Times New Roman" w:eastAsia="Times New Roman" w:hint="default"/>
          <w:spacing w:val="-4"/>
        </w:rPr>
        <w:t>“</w:t>
      </w:r>
      <w:r>
        <w:rPr>
          <w:spacing w:val="-4"/>
        </w:rPr>
        <w:t>创</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ind w:right="1040"/>
        <w:jc w:val="left"/>
      </w:pPr>
      <w:r>
        <w:rPr/>
        <w:t>新人物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上海市科学技术进步二等奖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首届静安质量奖</w:t>
      </w:r>
      <w:r>
        <w:rPr>
          <w:rFonts w:ascii="Times New Roman" w:hAnsi="Times New Roman" w:cs="Times New Roman" w:eastAsia="Times New Roman" w:hint="default"/>
        </w:rPr>
        <w:t>”</w:t>
      </w:r>
      <w:r>
        <w:rPr/>
        <w:t>。目前张曙华担任的社会职务：上海市静安区政协委员，上海 市静安区工商业联合会（商会）副会长。 杨安荣先生，中国国籍，无境外永久居留权，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月出生，工学博士，教授级高级工程师。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月起就职于中信有 </w:t>
      </w:r>
      <w:r>
        <w:rPr>
          <w:spacing w:val="-2"/>
        </w:rPr>
        <w:t>限，历任公司项目经理、产品部经理、软件部经理、技术总监、副总经理等职，现任公司董事，高级副总裁。杨安荣先生曾</w:t>
      </w:r>
      <w:r>
        <w:rPr>
          <w:spacing w:val="-67"/>
        </w:rPr>
        <w:t> </w:t>
      </w:r>
      <w:r>
        <w:rPr>
          <w:spacing w:val="-67"/>
        </w:rPr>
      </w:r>
      <w:r>
        <w:rPr/>
        <w:t>荣获</w:t>
      </w:r>
      <w:r>
        <w:rPr>
          <w:rFonts w:ascii="Times New Roman" w:hAnsi="Times New Roman" w:cs="Times New Roman" w:eastAsia="Times New Roman" w:hint="default"/>
        </w:rPr>
        <w:t>2001-2003</w:t>
      </w:r>
      <w:r>
        <w:rPr/>
        <w:t>年度</w:t>
      </w:r>
      <w:r>
        <w:rPr>
          <w:rFonts w:ascii="Times New Roman" w:hAnsi="Times New Roman" w:cs="Times New Roman" w:eastAsia="Times New Roman" w:hint="default"/>
        </w:rPr>
        <w:t>“</w:t>
      </w:r>
      <w:r>
        <w:rPr/>
        <w:t>静安区先进生产（工作）者</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2003</w:t>
      </w:r>
      <w:r>
        <w:rPr/>
        <w:t>年上海市科技进步二等奖，</w:t>
      </w:r>
      <w:r>
        <w:rPr>
          <w:rFonts w:ascii="Times New Roman" w:hAnsi="Times New Roman" w:cs="Times New Roman" w:eastAsia="Times New Roman" w:hint="default"/>
        </w:rPr>
        <w:t>2005</w:t>
      </w:r>
      <w:r>
        <w:rPr/>
        <w:t>年上海市优秀</w:t>
      </w:r>
      <w:r>
        <w:rPr>
          <w:rFonts w:ascii="Times New Roman" w:hAnsi="Times New Roman" w:cs="Times New Roman" w:eastAsia="Times New Roman" w:hint="default"/>
        </w:rPr>
        <w:t>CIO</w:t>
      </w:r>
      <w:r>
        <w:rPr/>
        <w:t>（信息主管、 信息中心主任）提名奖，</w:t>
      </w:r>
      <w:r>
        <w:rPr>
          <w:rFonts w:ascii="Times New Roman" w:hAnsi="Times New Roman" w:cs="Times New Roman" w:eastAsia="Times New Roman" w:hint="default"/>
        </w:rPr>
        <w:t>2006</w:t>
      </w:r>
      <w:r>
        <w:rPr/>
        <w:t>年度</w:t>
      </w:r>
      <w:r>
        <w:rPr>
          <w:rFonts w:ascii="Times New Roman" w:hAnsi="Times New Roman" w:cs="Times New Roman" w:eastAsia="Times New Roman" w:hint="default"/>
        </w:rPr>
        <w:t>“</w:t>
      </w:r>
      <w:r>
        <w:rPr/>
        <w:t>静安区科技创新标兵</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2009</w:t>
      </w:r>
      <w:r>
        <w:rPr/>
        <w:t>年上海市科技进步三等奖，</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w:t>
      </w:r>
      <w:r>
        <w:rPr/>
        <w:t>上海市软 件行业标兵</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2011</w:t>
      </w:r>
      <w:r>
        <w:rPr/>
        <w:t>年中国技术市场协会第五届金桥奖先进个人，</w:t>
      </w:r>
      <w:r>
        <w:rPr>
          <w:rFonts w:ascii="Times New Roman" w:hAnsi="Times New Roman" w:cs="Times New Roman" w:eastAsia="Times New Roman" w:hint="default"/>
        </w:rPr>
        <w:t>2012</w:t>
      </w:r>
      <w:r>
        <w:rPr/>
        <w:t>年静安区第七批优秀中青年拔尖人才。</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 </w:t>
      </w:r>
      <w:r>
        <w:rPr/>
        <w:t>月起至今被上海市财政局聘为上海市政府采购评审专家。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月起至今被上海市经信委聘为专项资金评审专家。 刘理洲先生，中国国籍，无境外永久居留权，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w:t>
      </w:r>
      <w:r>
        <w:rPr/>
        <w:t>月出生，同济大学</w:t>
      </w:r>
      <w:r>
        <w:rPr>
          <w:rFonts w:ascii="Times New Roman" w:hAnsi="Times New Roman" w:cs="Times New Roman" w:eastAsia="Times New Roman" w:hint="default"/>
        </w:rPr>
        <w:t>EMBA</w:t>
      </w:r>
      <w:r>
        <w:rPr/>
        <w:t>，中级工程师。</w:t>
      </w:r>
      <w:r>
        <w:rPr>
          <w:rFonts w:ascii="Times New Roman" w:hAnsi="Times New Roman" w:cs="Times New Roman" w:eastAsia="Times New Roman" w:hint="default"/>
        </w:rPr>
        <w:t>1998</w:t>
      </w:r>
      <w:r>
        <w:rPr/>
        <w:t>年起就职于中信有限， </w:t>
      </w:r>
      <w:r>
        <w:rPr>
          <w:spacing w:val="-2"/>
        </w:rPr>
        <w:t>历任公司技术部经理、销售部经理、</w:t>
      </w:r>
      <w:r>
        <w:rPr>
          <w:rFonts w:ascii="Times New Roman" w:hAnsi="Times New Roman" w:cs="Times New Roman" w:eastAsia="Times New Roman" w:hint="default"/>
          <w:spacing w:val="-2"/>
        </w:rPr>
        <w:t>S1</w:t>
      </w:r>
      <w:r>
        <w:rPr>
          <w:spacing w:val="-2"/>
        </w:rPr>
        <w:t>集成事业部总经理、流通追溯事业部总经理、副总裁等职。</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月起任公司监事。</w:t>
      </w:r>
      <w:r>
        <w:rPr>
          <w:spacing w:val="-66"/>
        </w:rPr>
        <w:t> </w:t>
      </w:r>
      <w:r>
        <w:rPr>
          <w:spacing w:val="-2"/>
        </w:rPr>
        <w:t>现任公司董事、食安事业群总裁，光典信息监事。刘理洲先生曾荣获</w:t>
      </w:r>
      <w:r>
        <w:rPr>
          <w:rFonts w:ascii="Times New Roman" w:hAnsi="Times New Roman" w:cs="Times New Roman" w:eastAsia="Times New Roman" w:hint="default"/>
          <w:spacing w:val="-2"/>
        </w:rPr>
        <w:t>2009</w:t>
      </w:r>
      <w:r>
        <w:rPr>
          <w:spacing w:val="-2"/>
        </w:rPr>
        <w:t>年度上海市科技进步奖，</w:t>
      </w:r>
      <w:r>
        <w:rPr>
          <w:rFonts w:ascii="Times New Roman" w:hAnsi="Times New Roman" w:cs="Times New Roman" w:eastAsia="Times New Roman" w:hint="default"/>
          <w:spacing w:val="-2"/>
        </w:rPr>
        <w:t>2010</w:t>
      </w:r>
      <w:r>
        <w:rPr>
          <w:spacing w:val="-2"/>
        </w:rPr>
        <w:t>年度被评为上海市软</w:t>
      </w:r>
      <w:r>
        <w:rPr>
          <w:spacing w:val="-57"/>
        </w:rPr>
        <w:t> </w:t>
      </w:r>
      <w:r>
        <w:rPr/>
        <w:t>件行业标兵。</w:t>
      </w:r>
      <w:r>
        <w:rPr>
          <w:rFonts w:ascii="Times New Roman" w:hAnsi="Times New Roman" w:cs="Times New Roman" w:eastAsia="Times New Roman" w:hint="default"/>
        </w:rPr>
        <w:t>2017</w:t>
      </w:r>
      <w:r>
        <w:rPr/>
        <w:t>年获得静安区诚实守信道德模范奖。 李志卿先生，中国国籍，无境外永久居留权，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4</w:t>
      </w:r>
      <w:r>
        <w:rPr/>
        <w:t>月出生，本科学历，高级项目经理，信息系统项目管理师（高级）。 </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月任江苏兰德软件有限公司产品经理；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月任上海启明软件股份有限公司产品经理；</w:t>
      </w:r>
    </w:p>
    <w:p>
      <w:pPr>
        <w:pStyle w:val="BodyText"/>
        <w:spacing w:line="304" w:lineRule="auto" w:before="11"/>
        <w:ind w:right="1033"/>
        <w:jc w:val="lef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月任上海仲尼软件有限公司技术总监；</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月起就职于中信有限，历任技术总监、档案事业部总经</w:t>
      </w:r>
      <w:r>
        <w:rPr>
          <w:spacing w:val="-50"/>
        </w:rPr>
        <w:t> </w:t>
      </w:r>
      <w:r>
        <w:rPr>
          <w:spacing w:val="-50"/>
        </w:rPr>
      </w:r>
      <w:r>
        <w:rPr>
          <w:spacing w:val="-5"/>
        </w:rPr>
        <w:t>理、产品技术中心副总经理，现任公司董事、档案事业群总裁。李志卿先生曾荣获</w:t>
      </w:r>
      <w:r>
        <w:rPr>
          <w:rFonts w:ascii="Times New Roman" w:hAnsi="Times New Roman" w:cs="Times New Roman" w:eastAsia="Times New Roman" w:hint="default"/>
          <w:spacing w:val="-5"/>
        </w:rPr>
        <w:t>“2009</w:t>
      </w:r>
      <w:r>
        <w:rPr>
          <w:spacing w:val="-5"/>
        </w:rPr>
        <w:t>年度上海市软件行业标兵</w:t>
      </w:r>
      <w:r>
        <w:rPr>
          <w:rFonts w:ascii="Times New Roman" w:hAnsi="Times New Roman" w:cs="Times New Roman" w:eastAsia="Times New Roman" w:hint="default"/>
          <w:spacing w:val="-5"/>
        </w:rPr>
        <w:t>”</w:t>
      </w:r>
      <w:r>
        <w:rPr>
          <w:spacing w:val="-5"/>
        </w:rPr>
        <w:t>称号，</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年度上海市科技进步奖，</w:t>
      </w:r>
      <w:r>
        <w:rPr>
          <w:rFonts w:ascii="Times New Roman" w:hAnsi="Times New Roman" w:cs="Times New Roman" w:eastAsia="Times New Roman" w:hint="default"/>
        </w:rPr>
        <w:t>2011</w:t>
      </w:r>
      <w:r>
        <w:rPr/>
        <w:t>年度上海市档案科技研究成果奖三等奖。 </w:t>
      </w:r>
      <w:r>
        <w:rPr>
          <w:spacing w:val="-2"/>
        </w:rPr>
        <w:t>张元利先生，中国国籍，无境外永久居留权，</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11</w:t>
      </w:r>
      <w:r>
        <w:rPr>
          <w:spacing w:val="-2"/>
        </w:rPr>
        <w:t>月出生，研究生学历。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2003</w:t>
      </w:r>
      <w:r>
        <w:rPr>
          <w:spacing w:val="-2"/>
        </w:rPr>
        <w:t>年任泰安市卫生局医学仪器研究</w:t>
      </w:r>
      <w:r>
        <w:rPr>
          <w:spacing w:val="-52"/>
        </w:rPr>
        <w:t> </w:t>
      </w:r>
      <w:r>
        <w:rPr>
          <w:spacing w:val="-52"/>
        </w:rPr>
      </w:r>
      <w:r>
        <w:rPr>
          <w:spacing w:val="-2"/>
        </w:rPr>
        <w:t>所（医疗器械维修管理站）副主任；</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年就职于联合软件，先后任部门经理、项目技术总监；</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2008</w:t>
      </w:r>
      <w:r>
        <w:rPr>
          <w:spacing w:val="-2"/>
        </w:rPr>
        <w:t>年任</w:t>
      </w:r>
      <w:r>
        <w:rPr>
          <w:spacing w:val="-52"/>
        </w:rPr>
        <w:t> </w:t>
      </w:r>
      <w:r>
        <w:rPr/>
        <w:t>山大鲁能易通信息科技有限公司部门经理。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月起就职于中信有限，现任公司董事，项目总监。 </w:t>
      </w:r>
      <w:r>
        <w:rPr>
          <w:spacing w:val="-2"/>
        </w:rPr>
        <w:t>张颖女士，中国国籍，无境外永久居留权，</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12</w:t>
      </w:r>
      <w:r>
        <w:rPr>
          <w:spacing w:val="-2"/>
        </w:rPr>
        <w:t>月出生，研究生学历，高级国际财务管理师。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2002</w:t>
      </w:r>
      <w:r>
        <w:rPr>
          <w:spacing w:val="-2"/>
        </w:rPr>
        <w:t>年任上海台</w:t>
      </w:r>
      <w:r>
        <w:rPr>
          <w:spacing w:val="-52"/>
        </w:rPr>
        <w:t> </w:t>
      </w:r>
      <w:r>
        <w:rPr>
          <w:spacing w:val="-52"/>
        </w:rPr>
      </w:r>
      <w:r>
        <w:rPr>
          <w:spacing w:val="-2"/>
        </w:rPr>
        <w:t>丰食品有限公司成本会计；</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2005</w:t>
      </w:r>
      <w:r>
        <w:rPr>
          <w:spacing w:val="-2"/>
        </w:rPr>
        <w:t>年任上海中纺电子系统有限公司主管会计；</w:t>
      </w:r>
      <w:r>
        <w:rPr>
          <w:rFonts w:ascii="Times New Roman" w:hAnsi="Times New Roman" w:cs="Times New Roman" w:eastAsia="Times New Roman" w:hint="default"/>
          <w:spacing w:val="-2"/>
        </w:rPr>
        <w:t>2006</w:t>
      </w:r>
      <w:r>
        <w:rPr>
          <w:spacing w:val="-2"/>
        </w:rPr>
        <w:t>年起就职于中信有限，任公司财务</w:t>
      </w:r>
      <w:r>
        <w:rPr>
          <w:spacing w:val="-54"/>
        </w:rPr>
        <w:t> </w:t>
      </w:r>
      <w:r>
        <w:rPr>
          <w:spacing w:val="-54"/>
        </w:rPr>
      </w:r>
      <w:r>
        <w:rPr>
          <w:spacing w:val="-2"/>
        </w:rPr>
        <w:t>部经理。现任公司董事、财务总监，兼任追索信息财务总监。</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年上海市普陀区长征镇人大代表，</w:t>
      </w:r>
      <w:r>
        <w:rPr>
          <w:rFonts w:ascii="Times New Roman" w:hAnsi="Times New Roman" w:cs="Times New Roman" w:eastAsia="Times New Roman" w:hint="default"/>
          <w:spacing w:val="-2"/>
        </w:rPr>
        <w:t>2011</w:t>
      </w:r>
      <w:r>
        <w:rPr>
          <w:spacing w:val="-2"/>
        </w:rPr>
        <w:t>年荣获软</w:t>
      </w:r>
      <w:r>
        <w:rPr>
          <w:spacing w:val="-54"/>
        </w:rPr>
        <w:t> </w:t>
      </w:r>
      <w:r>
        <w:rPr>
          <w:spacing w:val="-54"/>
        </w:rPr>
      </w:r>
      <w:r>
        <w:rPr/>
        <w:t>件企业一体化管理实践个人三等奖，</w:t>
      </w:r>
      <w:r>
        <w:rPr>
          <w:rFonts w:ascii="Times New Roman" w:hAnsi="Times New Roman" w:cs="Times New Roman" w:eastAsia="Times New Roman" w:hint="default"/>
        </w:rPr>
        <w:t>2014</w:t>
      </w:r>
      <w:r>
        <w:rPr/>
        <w:t>年荣获软件行业标兵称号，</w:t>
      </w:r>
      <w:r>
        <w:rPr>
          <w:rFonts w:ascii="Times New Roman" w:hAnsi="Times New Roman" w:cs="Times New Roman" w:eastAsia="Times New Roman" w:hint="default"/>
        </w:rPr>
        <w:t>2017</w:t>
      </w:r>
      <w:r>
        <w:rPr/>
        <w:t>年中国上海国际财务管理师（</w:t>
      </w:r>
      <w:r>
        <w:rPr>
          <w:rFonts w:ascii="Times New Roman" w:hAnsi="Times New Roman" w:cs="Times New Roman" w:eastAsia="Times New Roman" w:hint="default"/>
        </w:rPr>
        <w:t>IFM</w:t>
      </w:r>
      <w:r>
        <w:rPr/>
        <w:t>）</w:t>
      </w:r>
      <w:r>
        <w:rPr>
          <w:rFonts w:ascii="Times New Roman" w:hAnsi="Times New Roman" w:cs="Times New Roman" w:eastAsia="Times New Roman" w:hint="default"/>
        </w:rPr>
        <w:t>“</w:t>
      </w:r>
      <w:r>
        <w:rPr/>
        <w:t>十大年度人 物</w:t>
      </w:r>
      <w:r>
        <w:rPr>
          <w:rFonts w:ascii="Times New Roman" w:hAnsi="Times New Roman" w:cs="Times New Roman" w:eastAsia="Times New Roman" w:hint="default"/>
        </w:rPr>
        <w:t>”</w:t>
      </w:r>
      <w:r>
        <w:rPr/>
        <w:t>。 黄亚钧先生，中国国籍，无境外永久居留权，</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1</w:t>
      </w:r>
      <w:r>
        <w:rPr/>
        <w:t>月出生，博士学历，教授，博士生导师。历任复旦大学经济学院副院 </w:t>
      </w:r>
      <w:r>
        <w:rPr>
          <w:spacing w:val="-2"/>
        </w:rPr>
        <w:t>长、院长，澳门大学副校长等职。现任复旦大学世界经济系主任，复旦大学证券研究所所长，东海证券有限责任公司独立董</w:t>
      </w:r>
      <w:r>
        <w:rPr>
          <w:spacing w:val="-66"/>
        </w:rPr>
        <w:t> </w:t>
      </w:r>
      <w:r>
        <w:rPr>
          <w:spacing w:val="-66"/>
        </w:rPr>
      </w:r>
      <w:r>
        <w:rPr/>
        <w:t>事，上海紫江企业集团股份有限公司（紫江企业</w:t>
      </w:r>
      <w:r>
        <w:rPr>
          <w:rFonts w:ascii="Times New Roman" w:hAnsi="Times New Roman" w:cs="Times New Roman" w:eastAsia="Times New Roman" w:hint="default"/>
        </w:rPr>
        <w:t>600210</w:t>
      </w:r>
      <w:r>
        <w:rPr/>
        <w:t>）独立董事，山西榆次农村商业银行独立董事，现任公司独立董事。 </w:t>
      </w:r>
      <w:r>
        <w:rPr>
          <w:spacing w:val="-2"/>
        </w:rPr>
        <w:t>黄亚钧先生曾先后兼任教育部经济学教学指导委员会副主任、中国国际贸易学会常务理事、中国世界经济学会常务理事、中</w:t>
      </w:r>
      <w:r>
        <w:rPr>
          <w:spacing w:val="-65"/>
        </w:rPr>
        <w:t> </w:t>
      </w:r>
      <w:r>
        <w:rPr>
          <w:spacing w:val="-65"/>
        </w:rPr>
      </w:r>
      <w:r>
        <w:rPr>
          <w:spacing w:val="-4"/>
        </w:rPr>
        <w:t>国美国经济学会副会长、上海证券研究学会副会长、上海证券交易所上证指数委员会委员、深圳证券交易所特聘专家等职务。</w:t>
      </w:r>
      <w:r>
        <w:rPr>
          <w:spacing w:val="-44"/>
        </w:rPr>
        <w:t> </w:t>
      </w:r>
      <w:r>
        <w:rPr>
          <w:spacing w:val="-44"/>
        </w:rPr>
      </w:r>
      <w:r>
        <w:rPr/>
        <w:t>享受国务院政府特殊津贴（</w:t>
      </w:r>
      <w:r>
        <w:rPr>
          <w:rFonts w:ascii="Times New Roman" w:hAnsi="Times New Roman" w:cs="Times New Roman" w:eastAsia="Times New Roman" w:hint="default"/>
        </w:rPr>
        <w:t>1996</w:t>
      </w:r>
      <w:r>
        <w:rPr/>
        <w:t>年），入选教育部首批跨世纪优秀人才（人文社会科学），荣获中宣部</w:t>
      </w:r>
      <w:r>
        <w:rPr>
          <w:rFonts w:ascii="Times New Roman" w:hAnsi="Times New Roman" w:cs="Times New Roman" w:eastAsia="Times New Roman" w:hint="default"/>
        </w:rPr>
        <w:t>“</w:t>
      </w:r>
      <w:r>
        <w:rPr/>
        <w:t>五个一工程</w:t>
      </w:r>
      <w:r>
        <w:rPr>
          <w:rFonts w:ascii="Times New Roman" w:hAnsi="Times New Roman" w:cs="Times New Roman" w:eastAsia="Times New Roman" w:hint="default"/>
        </w:rPr>
        <w:t>”</w:t>
      </w:r>
      <w:r>
        <w:rPr/>
        <w:t>奖。 </w:t>
      </w:r>
      <w:r>
        <w:rPr>
          <w:spacing w:val="-2"/>
        </w:rPr>
        <w:t>刘红梅女士，中国国籍，无境外永久居留权，</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11</w:t>
      </w:r>
      <w:r>
        <w:rPr>
          <w:spacing w:val="-2"/>
        </w:rPr>
        <w:t>月出生，博士学历，教授。历任上海交通大学安泰管理学院会计学教</w:t>
      </w:r>
      <w:r>
        <w:rPr>
          <w:spacing w:val="-60"/>
        </w:rPr>
        <w:t> </w:t>
      </w:r>
      <w:r>
        <w:rPr>
          <w:spacing w:val="-60"/>
        </w:rPr>
      </w:r>
      <w:r>
        <w:rPr/>
        <w:t>研室讲师，上海师范大学商学院财务管理系副教授等职。现任上海师范大学商学院财务管理系教授，并担任公司独立董事。 刘红梅女士为上海市政府采购评审专家，并获得上海市曙光学者，上海市教育系统三八红旗手荣誉称号。 </w:t>
      </w:r>
      <w:r>
        <w:rPr>
          <w:spacing w:val="-2"/>
        </w:rPr>
        <w:t>乐嘉锦先生，男，中国国籍，</w:t>
      </w:r>
      <w:r>
        <w:rPr>
          <w:rFonts w:ascii="Times New Roman" w:hAnsi="Times New Roman" w:cs="Times New Roman" w:eastAsia="Times New Roman" w:hint="default"/>
          <w:spacing w:val="-2"/>
        </w:rPr>
        <w:t>1951</w:t>
      </w:r>
      <w:r>
        <w:rPr>
          <w:spacing w:val="-2"/>
        </w:rPr>
        <w:t>年出生，无永久境外居留权，</w:t>
      </w:r>
      <w:r>
        <w:rPr>
          <w:rFonts w:ascii="Times New Roman" w:hAnsi="Times New Roman" w:cs="Times New Roman" w:eastAsia="Times New Roman" w:hint="default"/>
          <w:spacing w:val="-2"/>
        </w:rPr>
        <w:t>1984</w:t>
      </w:r>
      <w:r>
        <w:rPr>
          <w:spacing w:val="-2"/>
        </w:rPr>
        <w:t>年获复旦大学计算机理学硕士，中共党员，东华大学计</w:t>
      </w:r>
      <w:r>
        <w:rPr>
          <w:spacing w:val="-62"/>
        </w:rPr>
        <w:t> </w:t>
      </w:r>
      <w:r>
        <w:rPr>
          <w:spacing w:val="-62"/>
        </w:rPr>
      </w:r>
      <w:r>
        <w:rPr>
          <w:spacing w:val="-2"/>
        </w:rPr>
        <w:t>算机学院教授，博士生导师。任中国计算机学会数据库专委会委员、中国软件行业协会软件工程分会理事、上海计算机开放</w:t>
      </w:r>
      <w:r>
        <w:rPr>
          <w:spacing w:val="-66"/>
        </w:rPr>
        <w:t> </w:t>
      </w:r>
      <w:r>
        <w:rPr>
          <w:spacing w:val="-66"/>
        </w:rPr>
      </w:r>
      <w:r>
        <w:rPr>
          <w:spacing w:val="-2"/>
        </w:rPr>
        <w:t>系统协会常务副理事长兼秘书长、上海市浦东新区信息协会会长。受聘于上海市公安局、档案局、财政局、民政局、上海市</w:t>
      </w:r>
      <w:r>
        <w:rPr>
          <w:spacing w:val="-68"/>
        </w:rPr>
        <w:t> </w:t>
      </w:r>
      <w:r>
        <w:rPr>
          <w:spacing w:val="-68"/>
        </w:rPr>
      </w:r>
      <w:r>
        <w:rPr/>
        <w:t>科委、上海市经信委、上海市卫计委等委办局信息化专家。 陈若初先生，中国国籍，无境外永久居留权，</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5</w:t>
      </w:r>
      <w:r>
        <w:rPr/>
        <w:t>月出生，中专学历。</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月任上海彭浦化工厂助理工 程师、科员；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月起就职于中信有限，历任公司项目部经理、商务部经理、金档信息副总经理、总经理等职。现任公 司监事会主席。 </w:t>
      </w:r>
      <w:r>
        <w:rPr>
          <w:spacing w:val="-3"/>
        </w:rPr>
        <w:t>尹於舜先生，中国国籍，无境外永久居留权，</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4</w:t>
      </w:r>
      <w:r>
        <w:rPr>
          <w:spacing w:val="-3"/>
        </w:rPr>
        <w:t>月出生，博士学历。</w:t>
      </w:r>
      <w:r>
        <w:rPr>
          <w:rFonts w:ascii="Times New Roman" w:hAnsi="Times New Roman" w:cs="Times New Roman" w:eastAsia="Times New Roman" w:hint="default"/>
          <w:spacing w:val="-3"/>
        </w:rPr>
        <w:t>1988</w:t>
      </w:r>
      <w:r>
        <w:rPr>
          <w:spacing w:val="-3"/>
        </w:rPr>
        <w:t>年至</w:t>
      </w:r>
      <w:r>
        <w:rPr>
          <w:rFonts w:ascii="Times New Roman" w:hAnsi="Times New Roman" w:cs="Times New Roman" w:eastAsia="Times New Roman" w:hint="default"/>
          <w:spacing w:val="-3"/>
        </w:rPr>
        <w:t>1990</w:t>
      </w:r>
      <w:r>
        <w:rPr>
          <w:spacing w:val="-3"/>
        </w:rPr>
        <w:t>年任中央财经大学金融系讲师，</w:t>
      </w:r>
      <w:r>
        <w:rPr>
          <w:rFonts w:ascii="Times New Roman" w:hAnsi="Times New Roman" w:cs="Times New Roman" w:eastAsia="Times New Roman" w:hint="default"/>
          <w:spacing w:val="-3"/>
        </w:rPr>
        <w:t>1990</w:t>
      </w:r>
      <w:r>
        <w:rPr>
          <w:rFonts w:ascii="Times New Roman" w:hAnsi="Times New Roman" w:cs="Times New Roman" w:eastAsia="Times New Roman" w:hint="default"/>
          <w:spacing w:val="-30"/>
        </w:rPr>
        <w:t> </w:t>
      </w:r>
      <w:r>
        <w:rPr/>
        <w:t>年至</w:t>
      </w:r>
      <w:r>
        <w:rPr>
          <w:rFonts w:ascii="Times New Roman" w:hAnsi="Times New Roman" w:cs="Times New Roman" w:eastAsia="Times New Roman" w:hint="default"/>
        </w:rPr>
        <w:t>1992</w:t>
      </w:r>
      <w:r>
        <w:rPr/>
        <w:t>年任中国京安公司金融部经理，</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1999</w:t>
      </w:r>
      <w:r>
        <w:rPr/>
        <w:t>年任珠海经济特区金图实业公司董事长兼总经理。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月起就职 </w:t>
      </w:r>
      <w:r>
        <w:rPr>
          <w:spacing w:val="-2"/>
        </w:rPr>
        <w:t>于深圳市创新投资集团有限公司，现任深圳市创新投资集团有限公司沪浙区域总经理，并兼任上海创新投资管理有限公司总</w:t>
      </w:r>
    </w:p>
    <w:p>
      <w:pPr>
        <w:spacing w:after="0" w:line="30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ind w:right="1123"/>
        <w:jc w:val="left"/>
      </w:pPr>
      <w:r>
        <w:rPr>
          <w:spacing w:val="-2"/>
        </w:rPr>
        <w:t>经理，上海红土创业投资有限公司董事，浙江红土创业投资有限公司董事、总经理，杭州红土创业投资有限公司董事、总经</w:t>
      </w:r>
      <w:r>
        <w:rPr>
          <w:spacing w:val="-66"/>
        </w:rPr>
        <w:t> </w:t>
      </w:r>
      <w:r>
        <w:rPr>
          <w:spacing w:val="-66"/>
        </w:rPr>
      </w:r>
      <w:r>
        <w:rPr>
          <w:spacing w:val="-2"/>
        </w:rPr>
        <w:t>理，福建华威股份有限公司董事，云南丽都花卉发展有限公司副董事长，米粒影业有限公司董事、浙江爱侣科技有限公司董</w:t>
      </w:r>
      <w:r>
        <w:rPr>
          <w:spacing w:val="-66"/>
        </w:rPr>
        <w:t> </w:t>
      </w:r>
      <w:r>
        <w:rPr>
          <w:spacing w:val="-66"/>
        </w:rPr>
      </w:r>
      <w:r>
        <w:rPr/>
        <w:t>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月至今任公司监事。 时泂先生，中国国籍，无境外永久居留权，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月出生，本科学历。</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1995</w:t>
      </w:r>
      <w:r>
        <w:rPr/>
        <w:t>年任台湾英协电通集团英业达电子有 </w:t>
      </w:r>
      <w:r>
        <w:rPr>
          <w:spacing w:val="-2"/>
        </w:rPr>
        <w:t>限公司程序员；</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1999</w:t>
      </w:r>
      <w:r>
        <w:rPr>
          <w:spacing w:val="-2"/>
        </w:rPr>
        <w:t>年任上海（香港）霸才数据信息有限公司（上海分公司）工程部开发主管；</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2000</w:t>
      </w:r>
      <w:r>
        <w:rPr>
          <w:spacing w:val="-2"/>
        </w:rPr>
        <w:t>年任</w:t>
      </w:r>
      <w:r>
        <w:rPr>
          <w:spacing w:val="-52"/>
        </w:rPr>
        <w:t> </w:t>
      </w:r>
      <w:r>
        <w:rPr>
          <w:spacing w:val="-2"/>
        </w:rPr>
        <w:t>法国赛特有限公司信息系统开发主管；</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2007</w:t>
      </w:r>
      <w:r>
        <w:rPr>
          <w:spacing w:val="-2"/>
        </w:rPr>
        <w:t>任万达信息股份有限公司综合业务部部门经理；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任上海易</w:t>
      </w:r>
      <w:r>
        <w:rPr>
          <w:spacing w:val="-48"/>
        </w:rPr>
        <w:t> </w:t>
      </w:r>
      <w:r>
        <w:rPr/>
        <w:t>宝软件有限公司总经理；</w:t>
      </w:r>
      <w:r>
        <w:rPr>
          <w:rFonts w:ascii="Times New Roman" w:hAnsi="Times New Roman" w:cs="Times New Roman" w:eastAsia="Times New Roman" w:hint="default"/>
        </w:rPr>
        <w:t>2011</w:t>
      </w:r>
      <w:r>
        <w:rPr/>
        <w:t>年起就职于信息发展，任质量管理中心质量总监。 徐云蔚先生，中国国籍，无境外永久居留权，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12</w:t>
      </w:r>
      <w:r>
        <w:rPr/>
        <w:t>月出生，大专学历，西安交通大学金融财务硕士研究生在读。</w:t>
      </w:r>
      <w:r>
        <w:rPr>
          <w:rFonts w:ascii="Times New Roman" w:hAnsi="Times New Roman" w:cs="Times New Roman" w:eastAsia="Times New Roman" w:hint="default"/>
        </w:rPr>
        <w:t>1994 </w:t>
      </w:r>
      <w:r>
        <w:rPr>
          <w:spacing w:val="-2"/>
        </w:rPr>
        <w:t>年至</w:t>
      </w:r>
      <w:r>
        <w:rPr>
          <w:rFonts w:ascii="Times New Roman" w:hAnsi="Times New Roman" w:cs="Times New Roman" w:eastAsia="Times New Roman" w:hint="default"/>
          <w:spacing w:val="-2"/>
        </w:rPr>
        <w:t>1998</w:t>
      </w:r>
      <w:r>
        <w:rPr>
          <w:spacing w:val="-2"/>
        </w:rPr>
        <w:t>年任百事顺期货经纪有限公司期货交易员；</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年任环球资源销售代表；</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2004</w:t>
      </w:r>
      <w:r>
        <w:rPr>
          <w:spacing w:val="-2"/>
        </w:rPr>
        <w:t>年任新加坡利全信</w:t>
      </w:r>
      <w:r>
        <w:rPr>
          <w:spacing w:val="-44"/>
        </w:rPr>
        <w:t> </w:t>
      </w:r>
      <w:r>
        <w:rPr>
          <w:spacing w:val="-2"/>
        </w:rPr>
        <w:t>息（上海）有限公司负责人。</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月起就职于中信有限，历任公司高级销售经理、市场部经理、总经理助理、华北区总</w:t>
      </w:r>
      <w:r>
        <w:rPr>
          <w:spacing w:val="-66"/>
        </w:rPr>
        <w:t> </w:t>
      </w:r>
      <w:r>
        <w:rPr>
          <w:spacing w:val="-66"/>
        </w:rPr>
      </w:r>
      <w:r>
        <w:rPr/>
        <w:t>经理、总裁助理、副总裁、代理董事会秘书。徐云蔚先生于公司第四届董事会第四次会议当选为公司董事会秘书一职。</w:t>
      </w:r>
    </w:p>
    <w:p>
      <w:pPr>
        <w:pStyle w:val="BodyText"/>
        <w:spacing w:line="240" w:lineRule="auto" w:before="68"/>
        <w:ind w:right="985"/>
        <w:jc w:val="left"/>
      </w:pPr>
      <w:r>
        <w:rPr/>
        <w:t>在股东单位任职情况</w:t>
      </w:r>
    </w:p>
    <w:p>
      <w:pPr>
        <w:pStyle w:val="BodyText"/>
        <w:spacing w:line="240" w:lineRule="auto" w:before="117"/>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沪浙区域总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985"/>
        <w:jc w:val="left"/>
      </w:pPr>
      <w:r>
        <w:rPr/>
        <w:t>在其他单位任职情况</w:t>
      </w:r>
    </w:p>
    <w:p>
      <w:pPr>
        <w:pStyle w:val="BodyText"/>
        <w:spacing w:line="240" w:lineRule="auto" w:before="117"/>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复旦大学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上海师范大学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985"/>
        <w:jc w:val="left"/>
      </w:pPr>
      <w:r>
        <w:rPr/>
        <w:t>公司现任及报告期内离任董事、监事和高级管理人员近三年证券监管机构处罚的情况</w:t>
      </w:r>
    </w:p>
    <w:p>
      <w:pPr>
        <w:pStyle w:val="BodyText"/>
        <w:spacing w:line="240" w:lineRule="auto" w:before="116"/>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85"/>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985"/>
        <w:jc w:val="left"/>
      </w:pPr>
      <w:r>
        <w:rPr/>
        <w:t>董事、监事、高级管理人员报酬的决策程序、确定依据、实际支付情况 </w:t>
      </w:r>
      <w:r>
        <w:rPr>
          <w:spacing w:val="-2"/>
        </w:rPr>
        <w:t>公司董事、监事、高级管理人员报酬由基本薪酬、绩效奖励两部分组成。基本薪酬主要考虑职位、责任、能力、市场薪资行</w:t>
      </w:r>
      <w:r>
        <w:rPr>
          <w:spacing w:val="-71"/>
        </w:rPr>
        <w:t> </w:t>
      </w:r>
      <w:r>
        <w:rPr>
          <w:spacing w:val="-71"/>
        </w:rPr>
      </w:r>
      <w:r>
        <w:rPr>
          <w:spacing w:val="-2"/>
        </w:rPr>
        <w:t>情等因素确定，按月发放，公司董事、监事及高级管理人员基本薪酬由薪酬与考核委员会拟订，董事和监事的薪酬由股东大</w:t>
      </w:r>
    </w:p>
    <w:p>
      <w:pPr>
        <w:pStyle w:val="BodyText"/>
        <w:spacing w:line="312" w:lineRule="auto" w:before="2"/>
        <w:ind w:right="1129"/>
        <w:jc w:val="both"/>
      </w:pPr>
      <w:r>
        <w:rPr>
          <w:spacing w:val="-2"/>
        </w:rPr>
        <w:t>会审议批准，独立董事薪酬由股东大会审议批准，高级管理人员薪酬由董事会审议批准。绩效奖励以年度经营目标为考核基</w:t>
      </w:r>
      <w:r>
        <w:rPr>
          <w:spacing w:val="-66"/>
        </w:rPr>
        <w:t> </w:t>
      </w:r>
      <w:r>
        <w:rPr>
          <w:spacing w:val="-66"/>
        </w:rPr>
      </w:r>
      <w:r>
        <w:rPr>
          <w:spacing w:val="-2"/>
        </w:rPr>
        <w:t>础，根据董事、监事及高级管理人员完成年度经营指标核定年度奖励总额，并根据董事、监事及高级管理人员的绩效奖励总</w:t>
      </w:r>
      <w:r>
        <w:rPr>
          <w:spacing w:val="-66"/>
        </w:rPr>
        <w:t> </w:t>
      </w:r>
      <w:r>
        <w:rPr>
          <w:spacing w:val="-66"/>
        </w:rPr>
      </w:r>
      <w:r>
        <w:rPr>
          <w:spacing w:val="-2"/>
        </w:rPr>
        <w:t>额、等级、系数、计算和发放办法等由薪酬考核委员会确定。</w:t>
      </w:r>
      <w:r>
        <w:rPr>
          <w:rFonts w:ascii="Times New Roman" w:hAnsi="Times New Roman" w:cs="Times New Roman" w:eastAsia="Times New Roman" w:hint="default"/>
          <w:spacing w:val="-2"/>
        </w:rPr>
        <w:t>2017</w:t>
      </w:r>
      <w:r>
        <w:rPr>
          <w:spacing w:val="-2"/>
        </w:rPr>
        <w:t>年度公司董事、监事及高级管理人员共</w:t>
      </w:r>
      <w:r>
        <w:rPr>
          <w:rFonts w:ascii="Times New Roman" w:hAnsi="Times New Roman" w:cs="Times New Roman" w:eastAsia="Times New Roman" w:hint="default"/>
          <w:spacing w:val="-2"/>
        </w:rPr>
        <w:t>14</w:t>
      </w:r>
      <w:r>
        <w:rPr>
          <w:spacing w:val="-2"/>
        </w:rPr>
        <w:t>人（含历任董事</w:t>
      </w:r>
      <w:r>
        <w:rPr>
          <w:spacing w:val="-61"/>
        </w:rPr>
        <w:t> </w:t>
      </w:r>
      <w:r>
        <w:rPr>
          <w:spacing w:val="-61"/>
        </w:rPr>
      </w:r>
      <w:r>
        <w:rPr/>
        <w:t>会秘书），</w:t>
      </w:r>
      <w:r>
        <w:rPr>
          <w:rFonts w:ascii="Times New Roman" w:hAnsi="Times New Roman" w:cs="Times New Roman" w:eastAsia="Times New Roman" w:hint="default"/>
        </w:rPr>
        <w:t>2017</w:t>
      </w:r>
      <w:r>
        <w:rPr/>
        <w:t>年度实际支付</w:t>
      </w:r>
      <w:r>
        <w:rPr>
          <w:rFonts w:ascii="Times New Roman" w:hAnsi="Times New Roman" w:cs="Times New Roman" w:eastAsia="Times New Roman" w:hint="default"/>
        </w:rPr>
        <w:t>439.48</w:t>
      </w:r>
      <w:r>
        <w:rPr/>
        <w:t>万元。</w:t>
      </w:r>
    </w:p>
    <w:p>
      <w:pPr>
        <w:pStyle w:val="BodyText"/>
        <w:spacing w:line="240" w:lineRule="auto"/>
        <w:ind w:right="985"/>
        <w:jc w:val="left"/>
      </w:pPr>
      <w:r>
        <w:rPr/>
        <w:t>公司报告期内董事、监事和高级管理人员报酬情况</w:t>
      </w:r>
    </w:p>
    <w:p>
      <w:pPr>
        <w:pStyle w:val="BodyText"/>
        <w:spacing w:line="240" w:lineRule="auto" w:before="116"/>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张元利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陈若初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石富义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439.48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公司董事、高级管理人员报告期内被授予的股权激励情况</w:t>
      </w:r>
    </w:p>
    <w:p>
      <w:pPr>
        <w:pStyle w:val="BodyText"/>
        <w:spacing w:line="240" w:lineRule="auto" w:before="117"/>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043" w:firstLine="506"/>
        <w:jc w:val="both"/>
      </w:pPr>
      <w:r>
        <w:rPr/>
        <w:t>公司高度重视人力资源建设，根据发展战略，结合人力资源现状和未来需求预测，建立和实施了薪酬管理制度，制度 </w:t>
      </w:r>
      <w:r>
        <w:rPr>
          <w:spacing w:val="-2"/>
        </w:rPr>
        <w:t>是根据岗位职级与岗位类别进行制定，并切实做到岗位薪资与业绩挂钩，以提高员工的满意度，鼓励员工长期稳定的在企业</w:t>
      </w:r>
      <w:r>
        <w:rPr>
          <w:spacing w:val="-66"/>
        </w:rPr>
        <w:t> </w:t>
      </w:r>
      <w:r>
        <w:rPr>
          <w:spacing w:val="-66"/>
        </w:rPr>
      </w:r>
      <w:r>
        <w:rPr>
          <w:spacing w:val="-4"/>
        </w:rPr>
        <w:t>发展，同时为企业的发展做出应有的贡献。在本公司领取薪酬的人员，按国家及地方的有关规定享受本公司提供的社会保障。</w:t>
      </w:r>
    </w:p>
    <w:p>
      <w:pPr>
        <w:pStyle w:val="BodyText"/>
        <w:spacing w:line="316" w:lineRule="auto" w:before="19"/>
        <w:ind w:left="1134" w:right="1084" w:firstLine="506"/>
        <w:jc w:val="both"/>
      </w:pPr>
      <w:r>
        <w:rPr/>
        <w:t>根据公司薪酬管理制度，公司员工薪酬由基本工资和绩效薪酬所组成。其中，基本工资系根据工作岗位的主要范围、 职责、重要性以及其他相关企业相关岗位的薪酬水平制定，绩效薪酬则根据绩效考核结果确定。</w:t>
      </w:r>
    </w:p>
    <w:p>
      <w:pPr>
        <w:spacing w:line="240" w:lineRule="auto" w:before="7"/>
        <w:rPr>
          <w:rFonts w:ascii="宋体" w:hAnsi="宋体" w:cs="宋体" w:eastAsia="宋体" w:hint="default"/>
          <w:sz w:val="22"/>
          <w:szCs w:val="22"/>
        </w:rPr>
      </w:pPr>
    </w:p>
    <w:p>
      <w:pPr>
        <w:pStyle w:val="Heading5"/>
        <w:spacing w:line="240" w:lineRule="auto"/>
        <w:ind w:right="985"/>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3" w:firstLine="506"/>
        <w:jc w:val="left"/>
      </w:pPr>
      <w:r>
        <w:rPr/>
        <w:t>人才是企业发展的重要战略，人才战略也是信息发展实现业绩增长的加速器，信息发展在多年的经营发展中一直牢记 </w:t>
      </w:r>
      <w:r>
        <w:rPr>
          <w:spacing w:val="-2"/>
        </w:rPr>
        <w:t>并努力践行这一人才战略理念，在积累了稳定且结构合理的高素质人才队伍同时，信息发展更注重高标准人才的选用机制建</w:t>
      </w:r>
      <w:r>
        <w:rPr>
          <w:spacing w:val="-64"/>
        </w:rPr>
        <w:t> </w:t>
      </w:r>
      <w:r>
        <w:rPr>
          <w:spacing w:val="-64"/>
        </w:rPr>
      </w:r>
      <w:r>
        <w:rPr/>
        <w:t>设工作，并同步引进了许多高端人才、领军人才来助力企业快速发展，各类人才在管理经营、新产品研发、重大项目建设、 </w:t>
      </w:r>
      <w:r>
        <w:rPr>
          <w:spacing w:val="-2"/>
        </w:rPr>
        <w:t>科技公关、前沿技术探索、云计算、人工智能、大数据研究等方面发挥了重要作用，形成了人尽其才，才尽其用的良好人才</w:t>
      </w:r>
      <w:r>
        <w:rPr>
          <w:spacing w:val="-68"/>
        </w:rPr>
        <w:t> </w:t>
      </w:r>
      <w:r>
        <w:rPr>
          <w:spacing w:val="-68"/>
        </w:rPr>
      </w:r>
      <w:r>
        <w:rPr>
          <w:spacing w:val="-2"/>
        </w:rPr>
        <w:t>发展环境。未来，信息发展将在创新发展过程中，积极做好人力资源战略规划，构建人才战略版图，让人才成为企业未来发</w:t>
      </w:r>
      <w:r>
        <w:rPr>
          <w:spacing w:val="-66"/>
        </w:rPr>
        <w:t> </w:t>
      </w:r>
      <w:r>
        <w:rPr>
          <w:spacing w:val="-66"/>
        </w:rPr>
      </w:r>
      <w:r>
        <w:rPr/>
        <w:t>展聚力赋能的重要保障。</w:t>
      </w:r>
    </w:p>
    <w:p>
      <w:pPr>
        <w:pStyle w:val="BodyText"/>
        <w:spacing w:line="314" w:lineRule="auto" w:before="19"/>
        <w:ind w:right="1131" w:firstLine="506"/>
        <w:jc w:val="both"/>
      </w:pPr>
      <w:r>
        <w:rPr>
          <w:spacing w:val="-1"/>
        </w:rPr>
        <w:t>在注重人才引进的同时，信息发展非常重视人才培训、培养机制建设工作，信息发展鹰学院是承担这一重要任务的专</w:t>
      </w:r>
      <w:r>
        <w:rPr/>
        <w:t> </w:t>
      </w:r>
      <w:r>
        <w:rPr>
          <w:spacing w:val="-2"/>
        </w:rPr>
        <w:t>业内部机构。学院自成立以来，每年都以企业的战略业务发展为导向，凭借行业资源知识的储备、严谨的管理制度、多元化</w:t>
      </w:r>
      <w:r>
        <w:rPr>
          <w:spacing w:val="-66"/>
        </w:rPr>
        <w:t> </w:t>
      </w:r>
      <w:r>
        <w:rPr>
          <w:spacing w:val="-66"/>
        </w:rPr>
      </w:r>
      <w:r>
        <w:rPr>
          <w:spacing w:val="-2"/>
        </w:rPr>
        <w:t>的课程体系、专业的内外部精英讲师团队、注重成果导向的教学模式，为企业持续不断的培养符合企业核心价值观的复合型</w:t>
      </w:r>
      <w:r>
        <w:rPr>
          <w:spacing w:val="-66"/>
        </w:rPr>
        <w:t> </w:t>
      </w:r>
      <w:r>
        <w:rPr>
          <w:spacing w:val="-66"/>
        </w:rPr>
      </w:r>
      <w:r>
        <w:rPr>
          <w:spacing w:val="-1"/>
        </w:rPr>
        <w:t>优秀人才，并以</w:t>
      </w:r>
      <w:r>
        <w:rPr>
          <w:rFonts w:ascii="Times New Roman" w:hAnsi="Times New Roman" w:cs="Times New Roman" w:eastAsia="Times New Roman" w:hint="default"/>
          <w:spacing w:val="-1"/>
        </w:rPr>
        <w:t>“</w:t>
      </w:r>
      <w:r>
        <w:rPr>
          <w:spacing w:val="-1"/>
        </w:rPr>
        <w:t>鹰</w:t>
      </w:r>
      <w:r>
        <w:rPr>
          <w:rFonts w:ascii="Times New Roman" w:hAnsi="Times New Roman" w:cs="Times New Roman" w:eastAsia="Times New Roman" w:hint="default"/>
          <w:spacing w:val="-1"/>
        </w:rPr>
        <w:t>”</w:t>
      </w:r>
      <w:r>
        <w:rPr>
          <w:spacing w:val="-1"/>
        </w:rPr>
        <w:t>的成长为主线，将人才划分为</w:t>
      </w:r>
      <w:r>
        <w:rPr>
          <w:rFonts w:ascii="Times New Roman" w:hAnsi="Times New Roman" w:cs="Times New Roman" w:eastAsia="Times New Roman" w:hint="default"/>
          <w:spacing w:val="-1"/>
        </w:rPr>
        <w:t>“</w:t>
      </w:r>
      <w:r>
        <w:rPr>
          <w:spacing w:val="-1"/>
        </w:rPr>
        <w:t>雄鹰、精鹰、飞鹰、雏鹰</w:t>
      </w:r>
      <w:r>
        <w:rPr>
          <w:rFonts w:ascii="Times New Roman" w:hAnsi="Times New Roman" w:cs="Times New Roman" w:eastAsia="Times New Roman" w:hint="default"/>
          <w:spacing w:val="-1"/>
        </w:rPr>
        <w:t>”</w:t>
      </w:r>
      <w:r>
        <w:rPr>
          <w:spacing w:val="-1"/>
        </w:rPr>
        <w:t>，通过</w:t>
      </w:r>
      <w:r>
        <w:rPr>
          <w:rFonts w:ascii="Times New Roman" w:hAnsi="Times New Roman" w:cs="Times New Roman" w:eastAsia="Times New Roman" w:hint="default"/>
          <w:spacing w:val="-1"/>
        </w:rPr>
        <w:t>“</w:t>
      </w:r>
      <w:r>
        <w:rPr>
          <w:spacing w:val="-1"/>
        </w:rPr>
        <w:t>历练</w:t>
      </w:r>
      <w:r>
        <w:rPr>
          <w:rFonts w:ascii="Times New Roman" w:hAnsi="Times New Roman" w:cs="Times New Roman" w:eastAsia="Times New Roman" w:hint="default"/>
          <w:spacing w:val="-1"/>
        </w:rPr>
        <w:t>”</w:t>
      </w:r>
      <w:r>
        <w:rPr>
          <w:spacing w:val="-1"/>
        </w:rPr>
        <w:t>成长，最终成为企业未来发展需</w:t>
      </w:r>
      <w:r>
        <w:rPr>
          <w:spacing w:val="-61"/>
        </w:rPr>
        <w:t> </w:t>
      </w:r>
      <w:r>
        <w:rPr>
          <w:spacing w:val="-61"/>
        </w:rPr>
      </w:r>
      <w:r>
        <w:rPr/>
        <w:t>要的</w:t>
      </w:r>
      <w:r>
        <w:rPr>
          <w:rFonts w:ascii="Times New Roman" w:hAnsi="Times New Roman" w:cs="Times New Roman" w:eastAsia="Times New Roman" w:hint="default"/>
        </w:rPr>
        <w:t>“</w:t>
      </w:r>
      <w:r>
        <w:rPr/>
        <w:t>鹰人才</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鹰团队</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5"/>
        <w:spacing w:line="240" w:lineRule="auto"/>
        <w:ind w:left="1134" w:right="985"/>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2,041,172.12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3" w:id="133"/>
      <w:bookmarkStart w:name="第九节 公司治理" w:id="134"/>
      <w:r>
        <w:rPr>
          <w:b w:val="0"/>
          <w:bCs w:val="0"/>
        </w:rPr>
      </w:r>
      <w:r>
        <w:rPr/>
        <w:t>第九节</w:t>
      </w:r>
      <w:r>
        <w:rPr>
          <w:spacing w:val="-5"/>
        </w:rPr>
        <w:t> </w:t>
      </w:r>
      <w:r>
        <w:rPr/>
        <w:t>公司治理</w:t>
      </w:r>
      <w:bookmarkEnd w:id="13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85"/>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640" w:right="985"/>
        <w:jc w:val="left"/>
      </w:pPr>
      <w:r>
        <w:rPr>
          <w:spacing w:val="-7"/>
        </w:rPr>
        <w:t>报告期内，公司严格按照《公司法》、《证券法》、《上市公司治理准则》、《深圳证券交易所创业板股票上市规则》、</w:t>
      </w:r>
    </w:p>
    <w:p>
      <w:pPr>
        <w:pStyle w:val="BodyText"/>
        <w:spacing w:line="316" w:lineRule="auto" w:before="76"/>
        <w:ind w:right="1033"/>
        <w:jc w:val="left"/>
      </w:pPr>
      <w:r>
        <w:rPr>
          <w:spacing w:val="-2"/>
        </w:rPr>
        <w:t>《深圳证券交易所创业板上市公司规范运作指引》等法律、法规和中国证监会有关法律法规等的要求，不断完善公司的法人</w:t>
      </w:r>
      <w:r>
        <w:rPr>
          <w:spacing w:val="-66"/>
        </w:rPr>
        <w:t> </w:t>
      </w:r>
      <w:r>
        <w:rPr>
          <w:spacing w:val="-66"/>
        </w:rPr>
      </w:r>
      <w:r>
        <w:rPr/>
        <w:t>治理结构，建立健全公司内部管理和控制制度，持续深入开展公司治理活动，促进了公司规范运作，提高了公司治理水平。</w:t>
      </w:r>
    </w:p>
    <w:p>
      <w:pPr>
        <w:pStyle w:val="BodyText"/>
        <w:spacing w:line="316" w:lineRule="auto" w:before="19"/>
        <w:ind w:right="1067" w:firstLine="506"/>
        <w:jc w:val="left"/>
      </w:pPr>
      <w:r>
        <w:rPr/>
        <w:t>截至报告期末，公司治理的实际状况符合《上市公司治理准则》和《深圳证券交易所创业板上市公司规范运作指引》 等要求，在企业管理各个流程、重大事项、重大风险等方面发挥了较好的控制和防范作用。</w:t>
      </w:r>
    </w:p>
    <w:p>
      <w:pPr>
        <w:pStyle w:val="BodyText"/>
        <w:spacing w:line="316" w:lineRule="auto" w:before="19"/>
        <w:ind w:left="1640" w:right="1117"/>
        <w:jc w:val="left"/>
      </w:pPr>
      <w:r>
        <w:rPr/>
        <w:t>一、关于股东与股东大会 </w:t>
      </w:r>
      <w:r>
        <w:rPr>
          <w:spacing w:val="-1"/>
        </w:rPr>
        <w:t>公司严格按照《公司法》、《上市公司股东大会规则》、《深圳证券交易所创业板上市公司规范运作指引》、《公司</w:t>
      </w:r>
    </w:p>
    <w:p>
      <w:pPr>
        <w:pStyle w:val="BodyText"/>
        <w:spacing w:line="316" w:lineRule="auto" w:before="19"/>
        <w:ind w:right="985"/>
        <w:jc w:val="left"/>
      </w:pPr>
      <w:r>
        <w:rPr>
          <w:spacing w:val="-4"/>
        </w:rPr>
        <w:t>章程》和公司《股东大会议事规则》等的规定和要求召集、召开股东大会，能够确保全体股东特别是中小股东享有平等地位，</w:t>
      </w:r>
      <w:r>
        <w:rPr>
          <w:spacing w:val="-44"/>
        </w:rPr>
        <w:t> </w:t>
      </w:r>
      <w:r>
        <w:rPr>
          <w:spacing w:val="-44"/>
        </w:rPr>
      </w:r>
      <w:r>
        <w:rPr>
          <w:spacing w:val="-2"/>
        </w:rPr>
        <w:t>充分行使自己的权力。同时，公司聘请专业律师见证股东大会，确保会议召集召开以及表决程序符合相关法律规定，维护股</w:t>
      </w:r>
      <w:r>
        <w:rPr>
          <w:spacing w:val="-66"/>
        </w:rPr>
        <w:t> </w:t>
      </w:r>
      <w:r>
        <w:rPr>
          <w:spacing w:val="-66"/>
        </w:rPr>
      </w:r>
      <w:r>
        <w:rPr/>
        <w:t>东的合法权益。报告期内公司共召开了</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5</w:t>
      </w:r>
      <w:r>
        <w:rPr/>
        <w:t>次临时股东大会，会议均由董事会召集召开。</w:t>
      </w:r>
    </w:p>
    <w:p>
      <w:pPr>
        <w:pStyle w:val="BodyText"/>
        <w:spacing w:line="316" w:lineRule="auto" w:before="0"/>
        <w:ind w:left="1640" w:right="1117"/>
        <w:jc w:val="left"/>
      </w:pPr>
      <w:r>
        <w:rPr/>
        <w:t>二、关于公司与控股股东 </w:t>
      </w:r>
      <w:r>
        <w:rPr>
          <w:spacing w:val="-1"/>
        </w:rPr>
        <w:t>公司控股股东能严格规范自己的行为，通过股东大会依法行使其权利并承担义务，没有超越股东大会直接或间接干预</w:t>
      </w:r>
    </w:p>
    <w:p>
      <w:pPr>
        <w:pStyle w:val="BodyText"/>
        <w:spacing w:line="316" w:lineRule="auto" w:before="19"/>
        <w:ind w:right="985"/>
        <w:jc w:val="left"/>
      </w:pPr>
      <w:r>
        <w:rPr>
          <w:spacing w:val="-2"/>
        </w:rPr>
        <w:t>公司经营活动。报告期内，公司没有为控股股东提供担保，亦不存在控股股东非经营性占用公司资金的行为。公司拥有独立</w:t>
      </w:r>
      <w:r>
        <w:rPr>
          <w:spacing w:val="-66"/>
        </w:rPr>
        <w:t> </w:t>
      </w:r>
      <w:r>
        <w:rPr>
          <w:spacing w:val="-66"/>
        </w:rPr>
      </w:r>
      <w:r>
        <w:rPr/>
        <w:t>完整的业务和自主经营能力，在业务、人员、资产、机构、财务上独立于控股股东。</w:t>
      </w:r>
    </w:p>
    <w:p>
      <w:pPr>
        <w:pStyle w:val="BodyText"/>
        <w:spacing w:line="316" w:lineRule="auto" w:before="19"/>
        <w:ind w:left="1640" w:right="1117"/>
        <w:jc w:val="left"/>
      </w:pPr>
      <w:r>
        <w:rPr/>
        <w:t>三、关于董事和董事会 </w:t>
      </w:r>
      <w:r>
        <w:rPr>
          <w:spacing w:val="-1"/>
        </w:rPr>
        <w:t>公司已制定《董事会议事规则》、《独立董事制度》等制度确保董事会规范、高效运作和审慎、科学决策。公司董事</w:t>
      </w:r>
    </w:p>
    <w:p>
      <w:pPr>
        <w:pStyle w:val="BodyText"/>
        <w:spacing w:line="309" w:lineRule="auto" w:before="19"/>
        <w:ind w:right="1131"/>
        <w:jc w:val="both"/>
      </w:pPr>
      <w:r>
        <w:rPr>
          <w:spacing w:val="-2"/>
        </w:rPr>
        <w:t>会由九名成员组成，其中独立董事三名，董事会成员具有履行职务所必需的知识、技能和素质，按规定出席董事会和股东大</w:t>
      </w:r>
      <w:r>
        <w:rPr>
          <w:spacing w:val="-66"/>
        </w:rPr>
        <w:t> </w:t>
      </w:r>
      <w:r>
        <w:rPr>
          <w:spacing w:val="-66"/>
        </w:rPr>
      </w:r>
      <w:r>
        <w:rPr>
          <w:spacing w:val="-2"/>
        </w:rPr>
        <w:t>会，勤勉尽责的履行职责和义务，同时积极参加相关培训，熟悉相关法律法规。报告期共召开董事会会议</w:t>
      </w:r>
      <w:r>
        <w:rPr>
          <w:rFonts w:ascii="Times New Roman" w:hAnsi="Times New Roman" w:cs="Times New Roman" w:eastAsia="Times New Roman" w:hint="default"/>
          <w:spacing w:val="-2"/>
        </w:rPr>
        <w:t>15</w:t>
      </w:r>
      <w:r>
        <w:rPr>
          <w:spacing w:val="-2"/>
        </w:rPr>
        <w:t>次。公司董事会</w:t>
      </w:r>
      <w:r>
        <w:rPr>
          <w:spacing w:val="-64"/>
        </w:rPr>
        <w:t> </w:t>
      </w:r>
      <w:r>
        <w:rPr>
          <w:spacing w:val="-64"/>
        </w:rPr>
      </w:r>
      <w:r>
        <w:rPr/>
        <w:t>会议能够按照有关规定召集、召开，记录完整、准确，并妥善保存。</w:t>
      </w:r>
    </w:p>
    <w:p>
      <w:pPr>
        <w:pStyle w:val="BodyText"/>
        <w:spacing w:line="316" w:lineRule="auto" w:before="24"/>
        <w:ind w:left="1640" w:right="1030"/>
        <w:jc w:val="left"/>
      </w:pPr>
      <w:r>
        <w:rPr/>
        <w:t>四、关于监事与监事会 </w:t>
      </w:r>
      <w:r>
        <w:rPr>
          <w:spacing w:val="-6"/>
        </w:rPr>
        <w:t>公司监事会设监事</w:t>
      </w:r>
      <w:r>
        <w:rPr>
          <w:rFonts w:ascii="Times New Roman" w:hAnsi="Times New Roman" w:cs="Times New Roman" w:eastAsia="Times New Roman" w:hint="default"/>
          <w:spacing w:val="-6"/>
        </w:rPr>
        <w:t>3</w:t>
      </w:r>
      <w:r>
        <w:rPr>
          <w:spacing w:val="-6"/>
        </w:rPr>
        <w:t>名，其中职工监事</w:t>
      </w:r>
      <w:r>
        <w:rPr>
          <w:rFonts w:ascii="Times New Roman" w:hAnsi="Times New Roman" w:cs="Times New Roman" w:eastAsia="Times New Roman" w:hint="default"/>
          <w:spacing w:val="-6"/>
        </w:rPr>
        <w:t>1</w:t>
      </w:r>
      <w:r>
        <w:rPr>
          <w:spacing w:val="-6"/>
        </w:rPr>
        <w:t>名，监事会的人数和构成符合法律、法规的要求。各位监事严格按照《公司法》、</w:t>
      </w:r>
    </w:p>
    <w:p>
      <w:pPr>
        <w:pStyle w:val="BodyText"/>
        <w:spacing w:line="309" w:lineRule="auto" w:before="0"/>
        <w:ind w:right="1130"/>
        <w:jc w:val="both"/>
      </w:pPr>
      <w:r>
        <w:rPr>
          <w:spacing w:val="-2"/>
        </w:rPr>
        <w:t>《公司章程》和《监事会议事规则》的有关规定认真履行职责，对公司财务状况、重大事项以及公司董事及高级管理人员履</w:t>
      </w:r>
      <w:r>
        <w:rPr>
          <w:spacing w:val="-66"/>
        </w:rPr>
        <w:t> </w:t>
      </w:r>
      <w:r>
        <w:rPr>
          <w:spacing w:val="-66"/>
        </w:rPr>
      </w:r>
      <w:r>
        <w:rPr>
          <w:spacing w:val="-2"/>
        </w:rPr>
        <w:t>行职责的合法合规性等进行监督，维护公司及股东的合法权益。报告期内，公司共召开</w:t>
      </w:r>
      <w:r>
        <w:rPr>
          <w:rFonts w:ascii="Times New Roman" w:hAnsi="Times New Roman" w:cs="Times New Roman" w:eastAsia="Times New Roman" w:hint="default"/>
          <w:spacing w:val="-2"/>
        </w:rPr>
        <w:t>12</w:t>
      </w:r>
      <w:r>
        <w:rPr>
          <w:spacing w:val="-2"/>
        </w:rPr>
        <w:t>次监事会，会议均由监事会主席召</w:t>
      </w:r>
      <w:r>
        <w:rPr>
          <w:spacing w:val="-64"/>
        </w:rPr>
        <w:t> </w:t>
      </w:r>
      <w:r>
        <w:rPr>
          <w:spacing w:val="-64"/>
        </w:rPr>
      </w:r>
      <w:r>
        <w:rPr/>
        <w:t>集召开。</w:t>
      </w:r>
    </w:p>
    <w:p>
      <w:pPr>
        <w:pStyle w:val="BodyText"/>
        <w:spacing w:line="316" w:lineRule="auto" w:before="24"/>
        <w:ind w:left="1640" w:right="1117"/>
        <w:jc w:val="left"/>
      </w:pPr>
      <w:r>
        <w:rPr/>
        <w:t>五、关于信息披露与透明度 </w:t>
      </w:r>
      <w:r>
        <w:rPr>
          <w:spacing w:val="-1"/>
        </w:rPr>
        <w:t>公司严格按照有关法律法规和公司《信息披露管理制度》的规定，加强信息披露事务管理，履行信息披露义务，并指</w:t>
      </w:r>
    </w:p>
    <w:p>
      <w:pPr>
        <w:pStyle w:val="BodyText"/>
        <w:spacing w:line="309" w:lineRule="auto" w:before="19"/>
        <w:ind w:right="985"/>
        <w:jc w:val="left"/>
      </w:pPr>
      <w:r>
        <w:rPr>
          <w:spacing w:val="-2"/>
        </w:rPr>
        <w:t>定《证券时报》、《中国证券报》、《上海证券报》、《证券日报》和中国证监会指定的创业板信息披露网站（巨潮资讯网</w:t>
      </w:r>
      <w:r>
        <w:rPr>
          <w:spacing w:val="-70"/>
        </w:rPr>
        <w:t> </w:t>
      </w:r>
      <w:r>
        <w:rPr>
          <w:spacing w:val="-70"/>
        </w:rPr>
      </w:r>
      <w:hyperlink r:id="rId11">
        <w:r>
          <w:rPr>
            <w:rFonts w:ascii="Times New Roman" w:hAnsi="Times New Roman" w:cs="Times New Roman" w:eastAsia="Times New Roman" w:hint="default"/>
          </w:rPr>
          <w:t>www.cninfo.com.cn</w:t>
        </w:r>
      </w:hyperlink>
      <w:r>
        <w:rPr/>
        <w:t>）为公司信息披露报纸和网站，真实、准确、及时、完整的披露信息，确保所有投资者公平获取公司信</w:t>
      </w:r>
      <w:r>
        <w:rPr>
          <w:w w:val="99"/>
        </w:rPr>
        <w:t> </w:t>
      </w:r>
      <w:r>
        <w:rPr/>
        <w:t>息。</w:t>
      </w:r>
    </w:p>
    <w:p>
      <w:pPr>
        <w:pStyle w:val="BodyText"/>
        <w:spacing w:line="316" w:lineRule="auto" w:before="24"/>
        <w:ind w:left="1640" w:right="1066"/>
        <w:jc w:val="left"/>
      </w:pPr>
      <w:r>
        <w:rPr/>
        <w:t>六、关于绩效评价与激励约束机制 公司已建立了有效的绩效评价和激励约束机制，公司实行高管人员薪酬与企业经营目标和个人绩效挂钩的薪酬福利，</w:t>
      </w:r>
    </w:p>
    <w:p>
      <w:pPr>
        <w:pStyle w:val="BodyText"/>
        <w:spacing w:line="316" w:lineRule="auto" w:before="19"/>
        <w:ind w:left="1640" w:right="6433" w:hanging="507"/>
        <w:jc w:val="left"/>
      </w:pPr>
      <w:r>
        <w:rPr/>
        <w:t>公司现有的考核及激励约束机制符合公司的发展现状。 七、关于相关利益者</w:t>
      </w:r>
    </w:p>
    <w:p>
      <w:pPr>
        <w:pStyle w:val="BodyText"/>
        <w:spacing w:line="338" w:lineRule="auto" w:before="19"/>
        <w:ind w:right="985" w:firstLine="506"/>
        <w:jc w:val="left"/>
      </w:pPr>
      <w:r>
        <w:rPr>
          <w:spacing w:val="-3"/>
        </w:rPr>
        <w:t>公司充分尊重和维护相关利益者的合法权益，实现股东、员工、社会等各方利益的协调平衡，诚信对待供应商和客户，</w:t>
      </w:r>
      <w:r>
        <w:rPr/>
        <w:t> 坚持与相关利益者互利共赢的原则，共同推动公司持续、稳健发展。 公司治理的实际状况与中国证监会发布的有关上市公司治理的规范性文件是否存在重大差异</w:t>
      </w:r>
    </w:p>
    <w:p>
      <w:pPr>
        <w:pStyle w:val="BodyText"/>
        <w:spacing w:line="338" w:lineRule="auto" w:before="43"/>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985"/>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40" w:firstLine="506"/>
        <w:jc w:val="both"/>
      </w:pPr>
      <w:r>
        <w:rPr>
          <w:spacing w:val="-3"/>
        </w:rPr>
        <w:t>公司严格按照《公司法》、《证券法》等有关法律、法规和《公司章程》的要求规范运作，与控股股东在业务、人员、</w:t>
      </w:r>
      <w:r>
        <w:rPr/>
        <w:t> 资产、机构、财务等方面完全独立，具有独立完整的业务及自主经营能力。</w:t>
      </w:r>
    </w:p>
    <w:p>
      <w:pPr>
        <w:pStyle w:val="BodyText"/>
        <w:spacing w:line="314" w:lineRule="auto" w:before="19"/>
        <w:ind w:left="1134" w:right="1131" w:firstLine="506"/>
        <w:jc w:val="both"/>
      </w:pPr>
      <w:r>
        <w:rPr>
          <w:rFonts w:ascii="Times New Roman" w:hAnsi="Times New Roman" w:cs="Times New Roman" w:eastAsia="Times New Roman" w:hint="default"/>
        </w:rPr>
        <w:t>1</w:t>
      </w:r>
      <w:r>
        <w:rPr/>
        <w:t>、公司的人员独立：公司的董事、监事以及高级管理人员均严格按照法定程序产生。本公司已建立独立的劳动、人 </w:t>
      </w:r>
      <w:r>
        <w:rPr>
          <w:spacing w:val="-2"/>
        </w:rPr>
        <w:t>事、社会保障体系及工资管理体系，与员工签订了劳动合同，并按国家规定办理了社会保险。除本公司的总裁兼任公司控股</w:t>
      </w:r>
      <w:r>
        <w:rPr>
          <w:spacing w:val="-66"/>
        </w:rPr>
        <w:t> </w:t>
      </w:r>
      <w:r>
        <w:rPr>
          <w:spacing w:val="-66"/>
        </w:rPr>
      </w:r>
      <w:r>
        <w:rPr>
          <w:spacing w:val="-2"/>
        </w:rPr>
        <w:t>股东的执行董事外，公司副总裁、财务总监和董事会秘书均未在本公司的控股股东、实际控制人及其控制的其他企业中担任</w:t>
      </w:r>
      <w:r>
        <w:rPr>
          <w:spacing w:val="-66"/>
        </w:rPr>
        <w:t> </w:t>
      </w:r>
      <w:r>
        <w:rPr>
          <w:spacing w:val="-66"/>
        </w:rPr>
      </w:r>
      <w:r>
        <w:rPr>
          <w:spacing w:val="-2"/>
        </w:rPr>
        <w:t>除董事、监事以外的其他职务，且均未在本公司的控股股东、实际控制人及其控制的其他企业领薪。本公司的财务人员也未</w:t>
      </w:r>
      <w:r>
        <w:rPr>
          <w:spacing w:val="-66"/>
        </w:rPr>
        <w:t> </w:t>
      </w:r>
      <w:r>
        <w:rPr>
          <w:spacing w:val="-66"/>
        </w:rPr>
      </w:r>
      <w:r>
        <w:rPr/>
        <w:t>在本公司的控股股东、实际控制人及其控制的其他企业中兼职。</w:t>
      </w:r>
    </w:p>
    <w:p>
      <w:pPr>
        <w:pStyle w:val="BodyText"/>
        <w:spacing w:line="309" w:lineRule="auto" w:before="20"/>
        <w:ind w:left="1134" w:right="1133" w:firstLine="506"/>
        <w:jc w:val="both"/>
      </w:pPr>
      <w:r>
        <w:rPr>
          <w:rFonts w:ascii="Times New Roman" w:hAnsi="Times New Roman" w:cs="Times New Roman" w:eastAsia="Times New Roman" w:hint="default"/>
        </w:rPr>
        <w:t>2</w:t>
      </w:r>
      <w:r>
        <w:rPr/>
        <w:t>、公司的资产独立完整、权属清晰：公司拥有独立的经营和办公场所，拥有经营所需的设备和其他资产，合法拥有 </w:t>
      </w:r>
      <w:r>
        <w:rPr>
          <w:spacing w:val="-2"/>
        </w:rPr>
        <w:t>与生产经营有关的注册商标、专利、非专利技术、著作权的所有权或使用权，与公司股东及实际控制人的资产完全分离，产</w:t>
      </w:r>
      <w:r>
        <w:rPr>
          <w:spacing w:val="-66"/>
        </w:rPr>
        <w:t> </w:t>
      </w:r>
      <w:r>
        <w:rPr>
          <w:spacing w:val="-66"/>
        </w:rPr>
      </w:r>
      <w:r>
        <w:rPr/>
        <w:t>权关系清晰，公司的资产独立完整。</w:t>
      </w:r>
    </w:p>
    <w:p>
      <w:pPr>
        <w:pStyle w:val="BodyText"/>
        <w:spacing w:line="309" w:lineRule="auto" w:before="24"/>
        <w:ind w:left="1134" w:right="1133" w:firstLine="506"/>
        <w:jc w:val="both"/>
      </w:pPr>
      <w:r>
        <w:rPr>
          <w:rFonts w:ascii="Times New Roman" w:hAnsi="Times New Roman" w:cs="Times New Roman" w:eastAsia="Times New Roman" w:hint="default"/>
        </w:rPr>
        <w:t>3</w:t>
      </w:r>
      <w:r>
        <w:rPr/>
        <w:t>、公司财务独立：公司建立了独立的财务部门以及独立的财务核算体系，能够独立作出财务决策，具有规范、独立 </w:t>
      </w:r>
      <w:r>
        <w:rPr>
          <w:spacing w:val="-2"/>
        </w:rPr>
        <w:t>的财务会计制度和对分支机构的财务管理制度，并拥有独立的财务会计账簿。公司拥有独立的银行帐户，未与其股东或关联</w:t>
      </w:r>
      <w:r>
        <w:rPr>
          <w:spacing w:val="-66"/>
        </w:rPr>
        <w:t> </w:t>
      </w:r>
      <w:r>
        <w:rPr>
          <w:spacing w:val="-66"/>
        </w:rPr>
      </w:r>
      <w:r>
        <w:rPr/>
        <w:t>企业共用银行帐户。</w:t>
      </w:r>
    </w:p>
    <w:p>
      <w:pPr>
        <w:pStyle w:val="BodyText"/>
        <w:spacing w:line="309" w:lineRule="auto" w:before="24"/>
        <w:ind w:left="1134" w:right="985" w:firstLine="506"/>
        <w:jc w:val="left"/>
      </w:pPr>
      <w:r>
        <w:rPr>
          <w:rFonts w:ascii="Times New Roman" w:hAnsi="Times New Roman" w:cs="Times New Roman" w:eastAsia="Times New Roman" w:hint="default"/>
        </w:rPr>
        <w:t>4</w:t>
      </w:r>
      <w:r>
        <w:rPr/>
        <w:t>、公司机构独立：公司按照有关法律、法规、《公司章程》设立的董事会、监事会，均分别对公司股东大会负责。 </w:t>
      </w:r>
      <w:r>
        <w:rPr>
          <w:spacing w:val="-4"/>
        </w:rPr>
        <w:t>公司的机构独立于股东的机构，不存在与股东合署办公的情况。公司已建立健全内部经营管理机构，独立行使经营管理职权，</w:t>
      </w:r>
      <w:r>
        <w:rPr>
          <w:spacing w:val="-44"/>
        </w:rPr>
        <w:t> </w:t>
      </w:r>
      <w:r>
        <w:rPr>
          <w:spacing w:val="-44"/>
        </w:rPr>
      </w:r>
      <w:r>
        <w:rPr/>
        <w:t>不存在与股东机构混同的情形。</w:t>
      </w:r>
    </w:p>
    <w:p>
      <w:pPr>
        <w:pStyle w:val="BodyText"/>
        <w:spacing w:line="309" w:lineRule="auto" w:before="24"/>
        <w:ind w:left="1134" w:right="1131" w:firstLine="506"/>
        <w:jc w:val="both"/>
      </w:pPr>
      <w:r>
        <w:rPr>
          <w:rFonts w:ascii="Times New Roman" w:hAnsi="Times New Roman" w:cs="Times New Roman" w:eastAsia="Times New Roman" w:hint="default"/>
        </w:rPr>
        <w:t>5</w:t>
      </w:r>
      <w:r>
        <w:rPr/>
        <w:t>、公司业务独立：公司通过自身和下属子公司开展生产、销售业务，拥有完整的业务体系。公司独立开展业务，具 </w:t>
      </w:r>
      <w:r>
        <w:rPr>
          <w:spacing w:val="-2"/>
        </w:rPr>
        <w:t>备直接面向市场独立经营的能力。公司的业务独立于控股股东、实际控制人，与控股股东、实际控制人不存在同业竞争或者</w:t>
      </w:r>
      <w:r>
        <w:rPr>
          <w:spacing w:val="-66"/>
        </w:rPr>
        <w:t> </w:t>
      </w:r>
      <w:r>
        <w:rPr>
          <w:spacing w:val="-66"/>
        </w:rPr>
      </w:r>
      <w:r>
        <w:rPr/>
        <w:t>显失公平的关联交易。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8"/>
        <w:ind w:left="1134" w:right="985"/>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9" w:lineRule="auto" w:before="64"/>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2017-035</w:t>
            </w:r>
            <w:r>
              <w:rPr>
                <w:rFonts w:ascii="宋体" w:hAnsi="宋体" w:cs="宋体" w:eastAsia="宋体" w:hint="default"/>
                <w:spacing w:val="-8"/>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0" w:lineRule="auto" w:before="64"/>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年年度时股 东大会决议公告》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2017-038</w:t>
            </w:r>
            <w:r>
              <w:rPr>
                <w:rFonts w:ascii="宋体" w:hAnsi="宋体" w:cs="宋体" w:eastAsia="宋体" w:hint="default"/>
                <w:sz w:val="18"/>
                <w:szCs w:val="18"/>
              </w:rPr>
              <w:t>）</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0" w:lineRule="auto" w:before="64"/>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2017-062</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9" w:lineRule="auto" w:before="64"/>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2017-071</w:t>
            </w:r>
            <w:r>
              <w:rPr>
                <w:rFonts w:ascii="宋体" w:hAnsi="宋体" w:cs="宋体" w:eastAsia="宋体" w:hint="default"/>
                <w:spacing w:val="-8"/>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9" w:lineRule="auto" w:before="64"/>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时股东大会决议公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2017-102</w:t>
            </w:r>
            <w:r>
              <w:rPr>
                <w:rFonts w:ascii="宋体" w:hAnsi="宋体" w:cs="宋体" w:eastAsia="宋体" w:hint="default"/>
                <w:spacing w:val="-8"/>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9" w:lineRule="auto" w:before="64"/>
              <w:ind w:left="23" w:right="7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年第四五次 临时股东大会决议 </w:t>
            </w:r>
            <w:r>
              <w:rPr>
                <w:rFonts w:ascii="宋体" w:hAnsi="宋体" w:cs="宋体" w:eastAsia="宋体" w:hint="default"/>
                <w:spacing w:val="-9"/>
                <w:sz w:val="18"/>
                <w:szCs w:val="18"/>
              </w:rPr>
              <w:t>公告》（</w:t>
            </w:r>
            <w:r>
              <w:rPr>
                <w:rFonts w:ascii="Times New Roman" w:hAnsi="Times New Roman" w:cs="Times New Roman" w:eastAsia="Times New Roman" w:hint="default"/>
                <w:spacing w:val="-9"/>
                <w:sz w:val="18"/>
                <w:szCs w:val="18"/>
              </w:rPr>
              <w:t>2017-111</w:t>
            </w:r>
            <w:r>
              <w:rPr>
                <w:rFonts w:ascii="宋体" w:hAnsi="宋体" w:cs="宋体" w:eastAsia="宋体" w:hint="default"/>
                <w:spacing w:val="-9"/>
                <w:sz w:val="18"/>
                <w:szCs w:val="18"/>
              </w:rPr>
              <w:t>）</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85"/>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985"/>
        <w:jc w:val="left"/>
      </w:pPr>
      <w:r>
        <w:rPr/>
        <w:t>连续两次未亲自出席董事会的说明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5"/>
        <w:spacing w:line="240" w:lineRule="auto"/>
        <w:ind w:right="985"/>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ind w:right="1132" w:firstLine="506"/>
        <w:jc w:val="both"/>
      </w:pPr>
      <w:r>
        <w:rPr>
          <w:spacing w:val="-1"/>
        </w:rPr>
        <w:t>公司独立董事根据《公司法》、《证券法》、《关于在上市公司建立独立董事制度的指导意见》、《深圳证券交易所</w:t>
      </w:r>
      <w:r>
        <w:rPr/>
        <w:t> </w:t>
      </w:r>
      <w:r>
        <w:rPr>
          <w:spacing w:val="-2"/>
        </w:rPr>
        <w:t>创业板上市公司规范运作指引》、《关于加强社会公众股股东权益保护的若干规定》及《公司章程》、《独立董事制度》等</w:t>
      </w:r>
      <w:r>
        <w:rPr>
          <w:spacing w:val="-69"/>
        </w:rPr>
        <w:t> </w:t>
      </w:r>
      <w:r>
        <w:rPr>
          <w:spacing w:val="-69"/>
        </w:rPr>
      </w:r>
      <w:r>
        <w:rPr>
          <w:spacing w:val="-2"/>
        </w:rPr>
        <w:t>相关法律、法规、规章的规定和要求，关注公司运作，独立履行职责，积极出席相关会议，认真审议董事会各项议案，对公</w:t>
      </w:r>
      <w:r>
        <w:rPr>
          <w:spacing w:val="-72"/>
        </w:rPr>
        <w:t> </w:t>
      </w:r>
      <w:r>
        <w:rPr>
          <w:spacing w:val="-72"/>
        </w:rPr>
      </w:r>
      <w:r>
        <w:rPr>
          <w:spacing w:val="-2"/>
        </w:rPr>
        <w:t>司重大事项发表了独立意见，充分发挥了独立董事的作用，为完善公司监督机制，维护公司和全体股东的合法权益发挥了应</w:t>
      </w:r>
      <w:r>
        <w:rPr>
          <w:spacing w:val="-66"/>
        </w:rPr>
        <w:t> </w:t>
      </w:r>
      <w:r>
        <w:rPr>
          <w:spacing w:val="-66"/>
        </w:rPr>
      </w:r>
      <w:r>
        <w:rPr/>
        <w:t>有的作用。</w:t>
      </w:r>
    </w:p>
    <w:p>
      <w:pPr>
        <w:pStyle w:val="BodyText"/>
        <w:spacing w:line="240" w:lineRule="auto" w:before="17"/>
        <w:ind w:left="1640" w:right="985"/>
        <w:jc w:val="left"/>
      </w:pPr>
      <w:r>
        <w:rPr>
          <w:rFonts w:ascii="Times New Roman" w:hAnsi="Times New Roman" w:cs="Times New Roman" w:eastAsia="Times New Roman" w:hint="default"/>
        </w:rPr>
        <w:t>2017</w:t>
      </w:r>
      <w:r>
        <w:rPr/>
        <w:t>年度，独立董事对公司以下事项发表了独立意见：</w:t>
      </w:r>
    </w:p>
    <w:p>
      <w:pPr>
        <w:pStyle w:val="BodyText"/>
        <w:spacing w:line="240" w:lineRule="auto" w:before="63"/>
        <w:ind w:left="1640"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日第三届董事会第十八次会议发表了《关于筹划重大重组停牌期满并申请继续停牌的议案的独立意见》。</w:t>
      </w:r>
    </w:p>
    <w:p>
      <w:pPr>
        <w:pStyle w:val="BodyText"/>
        <w:spacing w:line="300" w:lineRule="auto" w:before="63"/>
        <w:ind w:right="1130" w:firstLine="50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日第三届董事会第十九次会议发表了《关于确认关联交易的议案的事前认可意见》、《关于公司</w:t>
      </w:r>
      <w:r>
        <w:rPr>
          <w:rFonts w:ascii="Times New Roman" w:hAnsi="Times New Roman" w:cs="Times New Roman" w:eastAsia="Times New Roman" w:hint="default"/>
        </w:rPr>
        <w:t>2016</w:t>
      </w:r>
      <w:r>
        <w:rPr/>
        <w:t>年 </w:t>
      </w:r>
      <w:r>
        <w:rPr>
          <w:spacing w:val="-2"/>
        </w:rPr>
        <w:t>度利润分配方案的独立意见》、《关于</w:t>
      </w:r>
      <w:r>
        <w:rPr>
          <w:rFonts w:ascii="Times New Roman" w:hAnsi="Times New Roman" w:cs="Times New Roman" w:eastAsia="Times New Roman" w:hint="default"/>
          <w:spacing w:val="-2"/>
        </w:rPr>
        <w:t>2016</w:t>
      </w:r>
      <w:r>
        <w:rPr>
          <w:spacing w:val="-2"/>
        </w:rPr>
        <w:t>年度募集资金存放与使用情况专项报告的独立意见》、《关于公司</w:t>
      </w:r>
      <w:r>
        <w:rPr>
          <w:rFonts w:ascii="Times New Roman" w:hAnsi="Times New Roman" w:cs="Times New Roman" w:eastAsia="Times New Roman" w:hint="default"/>
          <w:spacing w:val="-2"/>
        </w:rPr>
        <w:t>2016</w:t>
      </w:r>
      <w:r>
        <w:rPr>
          <w:spacing w:val="-2"/>
        </w:rPr>
        <w:t>年度内部</w:t>
      </w:r>
      <w:r>
        <w:rPr>
          <w:spacing w:val="-60"/>
        </w:rPr>
        <w:t> </w:t>
      </w:r>
      <w:r>
        <w:rPr>
          <w:spacing w:val="-2"/>
        </w:rPr>
        <w:t>控制自我评价报告的独立意见》、《关于续聘公司</w:t>
      </w:r>
      <w:r>
        <w:rPr>
          <w:rFonts w:ascii="Times New Roman" w:hAnsi="Times New Roman" w:cs="Times New Roman" w:eastAsia="Times New Roman" w:hint="default"/>
          <w:spacing w:val="-2"/>
        </w:rPr>
        <w:t>2017</w:t>
      </w:r>
      <w:r>
        <w:rPr>
          <w:spacing w:val="-2"/>
        </w:rPr>
        <w:t>年度审计机构的独立意见》、《关于</w:t>
      </w:r>
      <w:r>
        <w:rPr>
          <w:rFonts w:ascii="Times New Roman" w:hAnsi="Times New Roman" w:cs="Times New Roman" w:eastAsia="Times New Roman" w:hint="default"/>
          <w:spacing w:val="-2"/>
        </w:rPr>
        <w:t>2016</w:t>
      </w:r>
      <w:r>
        <w:rPr>
          <w:spacing w:val="-2"/>
        </w:rPr>
        <w:t>年度公司控股股东及其他关</w:t>
      </w:r>
      <w:r>
        <w:rPr>
          <w:spacing w:val="-60"/>
        </w:rPr>
        <w:t> </w:t>
      </w:r>
      <w:r>
        <w:rPr>
          <w:spacing w:val="-2"/>
        </w:rPr>
        <w:t>联方占用资金和对外担保情况的独立意见》、《关于公司董事、高级管理人员</w:t>
      </w:r>
      <w:r>
        <w:rPr>
          <w:rFonts w:ascii="Times New Roman" w:hAnsi="Times New Roman" w:cs="Times New Roman" w:eastAsia="Times New Roman" w:hint="default"/>
          <w:spacing w:val="-2"/>
        </w:rPr>
        <w:t>2016</w:t>
      </w:r>
      <w:r>
        <w:rPr>
          <w:spacing w:val="-2"/>
        </w:rPr>
        <w:t>年度薪酬的独立意见》、《关于确认关联</w:t>
      </w:r>
      <w:r>
        <w:rPr>
          <w:spacing w:val="-63"/>
        </w:rPr>
        <w:t> </w:t>
      </w:r>
      <w:r>
        <w:rPr>
          <w:spacing w:val="-63"/>
        </w:rPr>
      </w:r>
      <w:r>
        <w:rPr/>
        <w:t>交易的独立意见》。</w:t>
      </w:r>
    </w:p>
    <w:p>
      <w:pPr>
        <w:pStyle w:val="BodyText"/>
        <w:spacing w:line="240" w:lineRule="auto" w:before="31"/>
        <w:ind w:left="1640"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日第三届董事会第二十次会议发表了《《关于筹划重大资产重组停牌期满并申请继续停牌的议案》。</w:t>
      </w:r>
    </w:p>
    <w:p>
      <w:pPr>
        <w:pStyle w:val="BodyText"/>
        <w:spacing w:line="300" w:lineRule="auto" w:before="63"/>
        <w:ind w:right="1174" w:firstLine="50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日第三届董事会第二十二次会议发表了《关于确认关联交易的议案的事前认可意见》、《关于回购注部 分限制性股票的独立意见》、《关于公司实际控制人为公司提供无偿融资担保暨关联交易的独立意见》。</w:t>
      </w:r>
    </w:p>
    <w:p>
      <w:pPr>
        <w:pStyle w:val="BodyText"/>
        <w:spacing w:line="300" w:lineRule="auto" w:before="31"/>
        <w:ind w:right="1174" w:firstLine="50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日第三届董事会第二十三次会议发表了《关于公司发行股份及支付现金购买资产并募集配套资金的事前 认可意见》、《关于公司发行股份及支付现金购买资产并募集配套资金的独立意见》。</w:t>
      </w:r>
    </w:p>
    <w:p>
      <w:pPr>
        <w:pStyle w:val="BodyText"/>
        <w:spacing w:line="240" w:lineRule="auto" w:before="31"/>
        <w:ind w:left="1640"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日第三届董事会第二十四次会议发表了《发行股份及支付现金购买资产并募集配套资金报告书（草案）</w:t>
      </w:r>
    </w:p>
    <w:p>
      <w:pPr>
        <w:pStyle w:val="BodyText"/>
        <w:spacing w:line="240" w:lineRule="auto" w:before="63"/>
        <w:ind w:right="985"/>
        <w:jc w:val="left"/>
      </w:pPr>
      <w:r>
        <w:rPr/>
        <w:t>（修订稿）的独立意见》、《关于调整限制性股票回购价格的独立意见》。</w:t>
      </w:r>
    </w:p>
    <w:p>
      <w:pPr>
        <w:pStyle w:val="BodyText"/>
        <w:spacing w:line="240" w:lineRule="auto" w:before="76"/>
        <w:ind w:left="1640"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日第三届董事会第二十五次会议发表了《关于回购注部分限制性股票的独立意见》。</w:t>
      </w:r>
    </w:p>
    <w:p>
      <w:pPr>
        <w:pStyle w:val="BodyText"/>
        <w:spacing w:line="300" w:lineRule="auto" w:before="63"/>
        <w:ind w:right="1130" w:firstLine="50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日第三届董事会第二十七次会议发表了《关于公司</w:t>
      </w:r>
      <w:r>
        <w:rPr>
          <w:rFonts w:ascii="Times New Roman" w:hAnsi="Times New Roman" w:cs="Times New Roman" w:eastAsia="Times New Roman" w:hint="default"/>
        </w:rPr>
        <w:t>2017</w:t>
      </w:r>
      <w:r>
        <w:rPr/>
        <w:t>年半年度募集资金存放与使用情况专项报告的独 </w:t>
      </w:r>
      <w:r>
        <w:rPr>
          <w:spacing w:val="-2"/>
        </w:rPr>
        <w:t>立意见》、《关于公司</w:t>
      </w:r>
      <w:r>
        <w:rPr>
          <w:rFonts w:ascii="Times New Roman" w:hAnsi="Times New Roman" w:cs="Times New Roman" w:eastAsia="Times New Roman" w:hint="default"/>
          <w:spacing w:val="-2"/>
        </w:rPr>
        <w:t>2017</w:t>
      </w:r>
      <w:r>
        <w:rPr>
          <w:spacing w:val="-2"/>
        </w:rPr>
        <w:t>年半年度控股股东及其他关联方资金占用和对外担保情况的独立意见》、《关于公司</w:t>
      </w:r>
      <w:r>
        <w:rPr>
          <w:rFonts w:ascii="Times New Roman" w:hAnsi="Times New Roman" w:cs="Times New Roman" w:eastAsia="Times New Roman" w:hint="default"/>
          <w:spacing w:val="-2"/>
        </w:rPr>
        <w:t>2017</w:t>
      </w:r>
      <w:r>
        <w:rPr>
          <w:spacing w:val="-2"/>
        </w:rPr>
        <w:t>年半年</w:t>
      </w:r>
      <w:r>
        <w:rPr>
          <w:spacing w:val="-60"/>
        </w:rPr>
        <w:t> </w:t>
      </w:r>
      <w:r>
        <w:rPr/>
        <w:t>度关联交易事项的独立意见》、《关于公司董事会换届选举的独立意见》。</w:t>
      </w:r>
    </w:p>
    <w:p>
      <w:pPr>
        <w:pStyle w:val="BodyText"/>
        <w:spacing w:line="240" w:lineRule="auto" w:before="31"/>
        <w:ind w:left="1640"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日第四届董事会第一次会议发表了《关于公司聘任高级管理人员的独立意见》。</w:t>
      </w:r>
    </w:p>
    <w:p>
      <w:pPr>
        <w:pStyle w:val="BodyText"/>
        <w:spacing w:line="300" w:lineRule="auto" w:before="63"/>
        <w:ind w:right="1174" w:firstLine="50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日第四届董事会第二次会议发表了《关于终止重大资产重组事项的事前认可意见》、《关于终止发行股 份及现金购买资产并募集配套资金的议案的独立意见》。</w:t>
      </w:r>
    </w:p>
    <w:p>
      <w:pPr>
        <w:pStyle w:val="BodyText"/>
        <w:spacing w:line="240" w:lineRule="auto" w:before="31"/>
        <w:ind w:left="1640"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日上第四届董事会第三次会议发表了《关于部分募集资金投资项目延期的独立意见》。</w:t>
      </w:r>
    </w:p>
    <w:p>
      <w:pPr>
        <w:pStyle w:val="BodyText"/>
        <w:spacing w:line="240" w:lineRule="auto" w:before="63"/>
        <w:ind w:left="1640"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日第四届董事会第四次会议发表了《关于聘任公司董事会秘书的独立意见》。</w:t>
      </w:r>
    </w:p>
    <w:p>
      <w:pPr>
        <w:pStyle w:val="BodyText"/>
        <w:spacing w:line="309" w:lineRule="auto" w:before="63"/>
        <w:ind w:right="1043" w:firstLine="50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日第四届董事会第五次会议发表了《关于公司符合非公开发行股票条件的议案的独立意见》、《公司非 </w:t>
      </w:r>
      <w:r>
        <w:rPr>
          <w:spacing w:val="-2"/>
        </w:rPr>
        <w:t>公开发行股票方案》的独立意见》、《关于《公司非公开发行股票方案的论证分析报告》的独立意见》、《关于《公司前次</w:t>
      </w:r>
      <w:r>
        <w:rPr>
          <w:spacing w:val="-69"/>
        </w:rPr>
        <w:t> </w:t>
      </w:r>
      <w:r>
        <w:rPr>
          <w:spacing w:val="-69"/>
        </w:rPr>
      </w:r>
      <w:r>
        <w:rPr>
          <w:spacing w:val="-7"/>
        </w:rPr>
        <w:t>募集资金使用情况报告的议案》的独立意见》、《关于公司非公开发行股票摊薄即期回报及填补措施与相关承诺的独立意见》、</w:t>
      </w:r>
    </w:p>
    <w:p>
      <w:pPr>
        <w:pStyle w:val="BodyText"/>
        <w:spacing w:line="240" w:lineRule="auto" w:before="24"/>
        <w:ind w:right="985"/>
        <w:jc w:val="left"/>
      </w:pPr>
      <w:r>
        <w:rPr/>
        <w:t>《关于公司未来</w:t>
      </w:r>
      <w:r>
        <w:rPr>
          <w:rFonts w:ascii="Times New Roman" w:hAnsi="Times New Roman" w:cs="Times New Roman" w:eastAsia="Times New Roman" w:hint="default"/>
        </w:rPr>
        <w:t>(2018-2020</w:t>
      </w:r>
      <w:r>
        <w:rPr/>
        <w:t>年度</w:t>
      </w:r>
      <w:r>
        <w:rPr>
          <w:rFonts w:ascii="Times New Roman" w:hAnsi="Times New Roman" w:cs="Times New Roman" w:eastAsia="Times New Roman" w:hint="default"/>
        </w:rPr>
        <w:t>)</w:t>
      </w:r>
      <w:r>
        <w:rPr/>
        <w:t>三年股东回报规划的独立意见》。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6"/>
        <w:ind w:right="985"/>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129"/>
        <w:jc w:val="both"/>
      </w:pPr>
      <w:r>
        <w:rPr>
          <w:spacing w:val="-2"/>
        </w:rPr>
        <w:t>公司董事会下设审计委员会、战略委员会和薪酬与考核委员会三个专门委员会。报告期内，公司董事会下设的三个专门委员</w:t>
      </w:r>
      <w:r>
        <w:rPr>
          <w:spacing w:val="-66"/>
        </w:rPr>
        <w:t> </w:t>
      </w:r>
      <w:r>
        <w:rPr>
          <w:spacing w:val="-66"/>
        </w:rPr>
      </w:r>
      <w:r>
        <w:rPr>
          <w:spacing w:val="-2"/>
        </w:rPr>
        <w:t>会严格按照《公司章程》、《董事会议事规则》及各专门委员会的工作细则等相关规定履行各项职责。现将</w:t>
      </w:r>
      <w:r>
        <w:rPr>
          <w:rFonts w:ascii="Times New Roman" w:hAnsi="Times New Roman" w:cs="Times New Roman" w:eastAsia="Times New Roman" w:hint="default"/>
          <w:spacing w:val="-2"/>
        </w:rPr>
        <w:t>2017</w:t>
      </w:r>
      <w:r>
        <w:rPr>
          <w:spacing w:val="-2"/>
        </w:rPr>
        <w:t>年度公司董</w:t>
      </w:r>
      <w:r>
        <w:rPr>
          <w:spacing w:val="-62"/>
        </w:rPr>
        <w:t> </w:t>
      </w:r>
      <w:r>
        <w:rPr/>
        <w:t>事会专门委员会履职情况报告如下：</w:t>
      </w:r>
    </w:p>
    <w:p>
      <w:pPr>
        <w:pStyle w:val="BodyText"/>
        <w:spacing w:line="319" w:lineRule="auto" w:before="24"/>
        <w:ind w:right="1033"/>
        <w:jc w:val="left"/>
      </w:pPr>
      <w:r>
        <w:rPr/>
        <w:t>（一）、审计委员会 </w:t>
      </w:r>
      <w:r>
        <w:rPr>
          <w:spacing w:val="-2"/>
        </w:rPr>
        <w:t>由黄亚钧先生、刘红梅女士和乐嘉锦先生组成，其中独立董事刘红梅女士为召集人，为会计专业人士。审计委员会负责提议</w:t>
      </w:r>
      <w:r>
        <w:rPr>
          <w:spacing w:val="-66"/>
        </w:rPr>
        <w:t> </w:t>
      </w:r>
      <w:r>
        <w:rPr>
          <w:spacing w:val="-66"/>
        </w:rPr>
      </w:r>
      <w:r>
        <w:rPr>
          <w:spacing w:val="-2"/>
        </w:rPr>
        <w:t>聘请或更换外部审计机构；监督公司的内部审计制度及其实施；负责内部审计与外部审计之间的沟通；审核公司的财务信息</w:t>
      </w:r>
      <w:r>
        <w:rPr>
          <w:spacing w:val="-65"/>
        </w:rPr>
        <w:t> </w:t>
      </w:r>
      <w:r>
        <w:rPr>
          <w:spacing w:val="-65"/>
        </w:rPr>
      </w:r>
      <w:r>
        <w:rPr/>
        <w:t>及其披露；审查公司的内部控制制度，对重大关联交易进行审计；公司董事会授予的其他职权。审计委员会对董事会负责， 委员会的提案提交董事会审议决定。审计委员会应配合监事会的监事审计活动。本报告期内共召开</w:t>
      </w:r>
      <w:r>
        <w:rPr>
          <w:rFonts w:ascii="Times New Roman" w:hAnsi="Times New Roman" w:cs="Times New Roman" w:eastAsia="Times New Roman" w:hint="default"/>
        </w:rPr>
        <w:t>4</w:t>
      </w:r>
      <w:r>
        <w:rPr/>
        <w:t>次会议，分别对公司定</w:t>
      </w:r>
    </w:p>
    <w:p>
      <w:pPr>
        <w:spacing w:after="0" w:line="31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985"/>
        <w:jc w:val="left"/>
      </w:pPr>
      <w:r>
        <w:rPr/>
        <w:t>期报告、内部审计报告等事项进行审议。</w:t>
      </w:r>
    </w:p>
    <w:p>
      <w:pPr>
        <w:pStyle w:val="BodyText"/>
        <w:spacing w:line="314" w:lineRule="auto" w:before="76"/>
        <w:ind w:right="985"/>
        <w:jc w:val="left"/>
      </w:pPr>
      <w:r>
        <w:rPr/>
        <w:t>（二）、薪酬与考核委员会 </w:t>
      </w:r>
      <w:r>
        <w:rPr>
          <w:spacing w:val="-2"/>
        </w:rPr>
        <w:t>由杨安荣先生、乐嘉锦先生和黄亚钧先生组成，其中独立董事乐嘉锦先生为召集人。薪酬与考核委员会负责根据董事及高级</w:t>
      </w:r>
      <w:r>
        <w:rPr>
          <w:spacing w:val="-66"/>
        </w:rPr>
        <w:t> </w:t>
      </w:r>
      <w:r>
        <w:rPr>
          <w:spacing w:val="-66"/>
        </w:rPr>
      </w:r>
      <w:r>
        <w:rPr>
          <w:spacing w:val="-5"/>
        </w:rPr>
        <w:t>管理人员管理岗位的主要范围、职责、重要性以及其他相关企业相关岗位的薪酬水平制定薪酬计划或方案；审查公司董事（非</w:t>
      </w:r>
      <w:r>
        <w:rPr>
          <w:spacing w:val="-82"/>
        </w:rPr>
        <w:t> </w:t>
      </w:r>
      <w:r>
        <w:rPr>
          <w:spacing w:val="-82"/>
        </w:rPr>
      </w:r>
      <w:r>
        <w:rPr>
          <w:spacing w:val="-2"/>
        </w:rPr>
        <w:t>独立董事）及高级管理人员的履行职责情况并对其进行年度绩效考评；负责对公司薪酬制度执行情况进行监督；董事会授权</w:t>
      </w:r>
      <w:r>
        <w:rPr>
          <w:spacing w:val="-66"/>
        </w:rPr>
        <w:t> </w:t>
      </w:r>
      <w:r>
        <w:rPr>
          <w:spacing w:val="-66"/>
        </w:rPr>
      </w:r>
      <w:r>
        <w:rPr>
          <w:spacing w:val="-2"/>
        </w:rPr>
        <w:t>的其他事宜。董事会有权否决损害股东利益的薪酬计划或方案。薪酬与考核委员会提出的公司董事的薪酬计划，须报经董事</w:t>
      </w:r>
      <w:r>
        <w:rPr>
          <w:spacing w:val="-66"/>
        </w:rPr>
        <w:t> </w:t>
      </w:r>
      <w:r>
        <w:rPr>
          <w:spacing w:val="-66"/>
        </w:rPr>
      </w:r>
      <w:r>
        <w:rPr>
          <w:spacing w:val="-2"/>
        </w:rPr>
        <w:t>会同意后，提交股东大会审议通过后方可实施；公司经理人员的薪酬分配方案须报董事会批准。本报告期内共召开</w:t>
      </w:r>
      <w:r>
        <w:rPr>
          <w:rFonts w:ascii="Times New Roman" w:hAnsi="Times New Roman" w:cs="Times New Roman" w:eastAsia="Times New Roman" w:hint="default"/>
          <w:spacing w:val="-2"/>
        </w:rPr>
        <w:t>1</w:t>
      </w:r>
      <w:r>
        <w:rPr>
          <w:spacing w:val="-2"/>
        </w:rPr>
        <w:t>次会议，</w:t>
      </w:r>
      <w:r>
        <w:rPr>
          <w:spacing w:val="-63"/>
        </w:rPr>
        <w:t> </w:t>
      </w:r>
      <w:r>
        <w:rPr/>
        <w:t>分别对公司独立董事津贴、高管薪酬事宜进行审议。</w:t>
      </w:r>
    </w:p>
    <w:p>
      <w:pPr>
        <w:pStyle w:val="BodyText"/>
        <w:spacing w:line="316" w:lineRule="auto" w:before="20"/>
        <w:ind w:left="1134" w:right="985"/>
        <w:jc w:val="left"/>
      </w:pPr>
      <w:r>
        <w:rPr/>
        <w:t>（三）、战略委员会 </w:t>
      </w:r>
      <w:r>
        <w:rPr>
          <w:spacing w:val="-2"/>
        </w:rPr>
        <w:t>由张曙华先生、刘理洲先生、李志卿先生组成，其中张曙华先生为召集人。战略委员会负责对公司长期发展战略规划进行研</w:t>
      </w:r>
      <w:r>
        <w:rPr>
          <w:spacing w:val="-66"/>
        </w:rPr>
        <w:t> </w:t>
      </w:r>
      <w:r>
        <w:rPr>
          <w:spacing w:val="-66"/>
        </w:rPr>
      </w:r>
      <w:r>
        <w:rPr>
          <w:spacing w:val="-2"/>
        </w:rPr>
        <w:t>究并提出建议；对《公司章程》规定须经董事会批准的重大投资融资方案进行研究并提出建议；对《公司章程》规定须经董</w:t>
      </w:r>
      <w:r>
        <w:rPr>
          <w:spacing w:val="-68"/>
        </w:rPr>
        <w:t> </w:t>
      </w:r>
      <w:r>
        <w:rPr>
          <w:spacing w:val="-68"/>
        </w:rPr>
      </w:r>
      <w:r>
        <w:rPr>
          <w:spacing w:val="-2"/>
        </w:rPr>
        <w:t>事会批准的重大资本运作、资产经营项目进行研究并提出建议；对其他影响公司发展的重大事项进行研究并提出建议；对以</w:t>
      </w:r>
      <w:r>
        <w:rPr>
          <w:spacing w:val="-66"/>
        </w:rPr>
        <w:t> </w:t>
      </w:r>
      <w:r>
        <w:rPr>
          <w:spacing w:val="-66"/>
        </w:rPr>
      </w:r>
      <w:r>
        <w:rPr>
          <w:spacing w:val="-2"/>
        </w:rPr>
        <w:t>上事项的实施进行检查；董事会授权的其他事宜。战略委员会对董事会负责，委员会的提案提交董事会审议决定。本报告期</w:t>
      </w:r>
      <w:r>
        <w:rPr>
          <w:spacing w:val="-66"/>
        </w:rPr>
        <w:t> </w:t>
      </w:r>
      <w:r>
        <w:rPr>
          <w:spacing w:val="-66"/>
        </w:rPr>
      </w:r>
      <w:r>
        <w:rPr/>
        <w:t>内共召开</w:t>
      </w:r>
      <w:r>
        <w:rPr>
          <w:rFonts w:ascii="Times New Roman" w:hAnsi="Times New Roman" w:cs="Times New Roman" w:eastAsia="Times New Roman" w:hint="default"/>
        </w:rPr>
        <w:t>1</w:t>
      </w:r>
      <w:r>
        <w:rPr/>
        <w:t>次会议，分别对</w:t>
      </w:r>
      <w:r>
        <w:rPr>
          <w:rFonts w:ascii="Times New Roman" w:hAnsi="Times New Roman" w:cs="Times New Roman" w:eastAsia="Times New Roman" w:hint="default"/>
        </w:rPr>
        <w:t>2016</w:t>
      </w:r>
      <w:r>
        <w:rPr/>
        <w:t>年度董事会工作、总经理工作事宜进行审议。</w:t>
      </w:r>
    </w:p>
    <w:p>
      <w:pPr>
        <w:spacing w:line="240" w:lineRule="auto" w:before="3"/>
        <w:rPr>
          <w:rFonts w:ascii="宋体" w:hAnsi="宋体" w:cs="宋体" w:eastAsia="宋体" w:hint="default"/>
          <w:sz w:val="19"/>
          <w:szCs w:val="19"/>
        </w:rPr>
      </w:pPr>
    </w:p>
    <w:p>
      <w:pPr>
        <w:pStyle w:val="Heading4"/>
        <w:spacing w:line="240" w:lineRule="auto"/>
        <w:ind w:right="985"/>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985"/>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4" w:lineRule="auto" w:before="0"/>
        <w:ind w:right="985"/>
        <w:jc w:val="left"/>
      </w:pPr>
      <w:r>
        <w:rPr>
          <w:spacing w:val="-4"/>
        </w:rPr>
        <w:t>公司建立了完善的薪酬管理制度和绩效考核管理制度，设立董事会薪酬和考核委员会，负责公司高级管理人员绩效考核制度、</w:t>
      </w:r>
      <w:r>
        <w:rPr>
          <w:spacing w:val="-44"/>
        </w:rPr>
        <w:t> </w:t>
      </w:r>
      <w:r>
        <w:rPr>
          <w:spacing w:val="-44"/>
        </w:rPr>
      </w:r>
      <w:r>
        <w:rPr>
          <w:spacing w:val="-2"/>
        </w:rPr>
        <w:t>流程的制定，以及考核标准及关键指标的确立。薪酬和考核委员会负责对公司高级管理人员进行绩效考核，公司根据绩效考</w:t>
      </w:r>
      <w:r>
        <w:rPr>
          <w:spacing w:val="-66"/>
        </w:rPr>
        <w:t> </w:t>
      </w:r>
      <w:r>
        <w:rPr>
          <w:spacing w:val="-66"/>
        </w:rPr>
      </w:r>
      <w:r>
        <w:rPr>
          <w:spacing w:val="-2"/>
        </w:rPr>
        <w:t>核结果实施相应的奖惩。报告期内，公司高级管理人员的薪酬由基本工资和绩效薪酬所组成。其中，基本工资系根据高级管</w:t>
      </w:r>
      <w:r>
        <w:rPr>
          <w:spacing w:val="-66"/>
        </w:rPr>
        <w:t> </w:t>
      </w:r>
      <w:r>
        <w:rPr>
          <w:spacing w:val="-66"/>
        </w:rPr>
      </w:r>
      <w:r>
        <w:rPr>
          <w:spacing w:val="-4"/>
        </w:rPr>
        <w:t>理人员工作岗位的主要范围、职责、重要性以及其他相关企业相关岗位的薪酬水平制定，绩效薪酬则根据绩效考核结果确定。</w:t>
      </w:r>
      <w:r>
        <w:rPr>
          <w:spacing w:val="-44"/>
        </w:rPr>
        <w:t> </w:t>
      </w:r>
      <w:r>
        <w:rPr>
          <w:spacing w:val="-44"/>
        </w:rPr>
      </w:r>
      <w:r>
        <w:rPr>
          <w:spacing w:val="-2"/>
        </w:rPr>
        <w:t>公司董事会薪酬和考核委员会根据实际情况对公司高级管理人员进行考核后，一致认为：</w:t>
      </w:r>
      <w:r>
        <w:rPr>
          <w:rFonts w:ascii="Times New Roman" w:hAnsi="Times New Roman" w:cs="Times New Roman" w:eastAsia="Times New Roman" w:hint="default"/>
          <w:spacing w:val="-2"/>
        </w:rPr>
        <w:t>2017</w:t>
      </w:r>
      <w:r>
        <w:rPr>
          <w:spacing w:val="-2"/>
        </w:rPr>
        <w:t>年度公司高级管理人员薪酬方</w:t>
      </w:r>
      <w:r>
        <w:rPr>
          <w:spacing w:val="-60"/>
        </w:rPr>
        <w:t> </w:t>
      </w:r>
      <w:r>
        <w:rPr/>
        <w:t>案严格执行了公司薪酬管理制度，绩效考核和薪酬发放的程序符合有关法律、法规、公司章程、规章制度等规定。</w:t>
      </w:r>
    </w:p>
    <w:p>
      <w:pPr>
        <w:spacing w:line="240" w:lineRule="auto" w:before="12"/>
        <w:rPr>
          <w:rFonts w:ascii="宋体" w:hAnsi="宋体" w:cs="宋体" w:eastAsia="宋体" w:hint="default"/>
          <w:sz w:val="20"/>
          <w:szCs w:val="20"/>
        </w:rPr>
      </w:pPr>
    </w:p>
    <w:p>
      <w:pPr>
        <w:pStyle w:val="Heading4"/>
        <w:spacing w:line="240" w:lineRule="auto"/>
        <w:ind w:right="985"/>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ind w:left="0" w:right="1139"/>
        <w:jc w:val="right"/>
      </w:pPr>
      <w:r>
        <w:rPr/>
        <w:pict>
          <v:shape style="position:absolute;margin-left:56.459999pt;margin-top:-20.94828pt;width:479.2pt;height:96.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w:t>
                        </w:r>
                        <w:r>
                          <w:rPr>
                            <w:rFonts w:ascii="宋体" w:hAnsi="宋体" w:cs="宋体" w:eastAsia="宋体" w:hint="default"/>
                            <w:spacing w:val="1"/>
                            <w:sz w:val="18"/>
                            <w:szCs w:val="18"/>
                          </w:rPr>
                          <w:t>巨</w:t>
                        </w:r>
                        <w:r>
                          <w:rPr>
                            <w:rFonts w:ascii="宋体" w:hAnsi="宋体" w:cs="宋体" w:eastAsia="宋体" w:hint="default"/>
                            <w:sz w:val="18"/>
                            <w:szCs w:val="18"/>
                          </w:rPr>
                          <w:t>潮资讯网刊登</w:t>
                        </w:r>
                        <w:r>
                          <w:rPr>
                            <w:rFonts w:ascii="宋体" w:hAnsi="宋体" w:cs="宋体" w:eastAsia="宋体" w:hint="default"/>
                            <w:spacing w:val="-90"/>
                            <w:sz w:val="18"/>
                            <w:szCs w:val="18"/>
                          </w:rPr>
                          <w:t>的</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年度内部控制自我评价报告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376.660004pt;margin-top:322.039978pt;width:158.25pt;height:46.8pt;mso-position-horizontal-relative:page;mso-position-vertical-relative:page;z-index:-1156768" type="#_x0000_t202" filled="false" stroked="false">
            <v:textbox inset="0,0,0,0">
              <w:txbxContent>
                <w:p>
                  <w:pPr>
                    <w:pStyle w:val="BodyText"/>
                    <w:spacing w:line="205" w:lineRule="exact" w:before="0"/>
                    <w:ind w:left="0" w:right="0"/>
                    <w:jc w:val="left"/>
                  </w:pPr>
                  <w:r>
                    <w:rPr/>
                    <w:t>、</w:t>
                  </w:r>
                </w:p>
              </w:txbxContent>
            </v:textbox>
            <w10:wrap type="none"/>
          </v:shape>
        </w:pict>
      </w:r>
      <w:r>
        <w:rPr/>
        <w:pict>
          <v:group style="position:absolute;margin-left:382.839996pt;margin-top:322.039978pt;width:152.1pt;height:46.8pt;mso-position-horizontal-relative:page;mso-position-vertical-relative:page;z-index:-1156744" coordorigin="7657,6441" coordsize="3042,936">
            <v:shape style="position:absolute;left:7657;top:6441;width:3042;height:936" coordorigin="7657,6441" coordsize="3042,936" path="m7657,7377l10698,7377,10698,6441,7657,6441,7657,7377xe" filled="true" fillcolor="#ffffff" stroked="false">
              <v:path arrowok="t"/>
              <v:fill type="solid"/>
            </v:shape>
            <w10:wrap type="none"/>
          </v:group>
        </w:pict>
      </w:r>
      <w:r>
        <w:rPr/>
        <w:pict>
          <v:group style="position:absolute;margin-left:383.980011pt;margin-top:392.719971pt;width:149.8pt;height:33.2pt;mso-position-horizontal-relative:page;mso-position-vertical-relative:page;z-index:-1156720" coordorigin="7680,7854" coordsize="2996,664">
            <v:group style="position:absolute;left:7680;top:7854;width:2996;height:352" coordorigin="7680,7854" coordsize="2996,352">
              <v:shape style="position:absolute;left:7680;top:7854;width:2996;height:352" coordorigin="7680,7854" coordsize="2996,352" path="m7680,8206l10675,8206,10675,7854,7680,7854,7680,8206xe" filled="true" fillcolor="#ffffff" stroked="false">
                <v:path arrowok="t"/>
                <v:fill type="solid"/>
              </v:shape>
            </v:group>
            <v:group style="position:absolute;left:7680;top:8206;width:2996;height:313" coordorigin="7680,8206" coordsize="2996,313">
              <v:shape style="position:absolute;left:7680;top:8206;width:2996;height:313" coordorigin="7680,8206" coordsize="2996,313" path="m7680,8518l10675,8518,10675,8206,7680,8206,7680,8518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、重大缺陷：公司董事、监事和高级管理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人员的舞弊行为；公司更正已公布的财务 报告；注册会计师发现的却未被公司内部 控制识别的当期财务报告中的重大报错； 审计委员会和内审部对公司的对外财务报 </w:t>
            </w:r>
            <w:r>
              <w:rPr>
                <w:rFonts w:ascii="宋体" w:hAnsi="宋体" w:cs="宋体" w:eastAsia="宋体" w:hint="default"/>
                <w:spacing w:val="-4"/>
                <w:sz w:val="18"/>
                <w:szCs w:val="18"/>
              </w:rPr>
              <w:t>告和财务报告内部控制监督无效。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缺陷：未依照公认会计准则选择和应用会 计政策；未建立反舞弊程序和控制措施； 对于非常规或特殊交易的账务处理没有建 立相应的控制机制或没有实施且没有相应 的补偿性控制；对于期末财务报告过程的 控制存在一项或多项缺陷且不能合理保证 </w:t>
            </w:r>
            <w:r>
              <w:rPr>
                <w:rFonts w:ascii="宋体" w:hAnsi="宋体" w:cs="宋体" w:eastAsia="宋体" w:hint="default"/>
                <w:spacing w:val="-9"/>
                <w:sz w:val="18"/>
                <w:szCs w:val="18"/>
              </w:rPr>
              <w:t>编制的财务报表达到真实、准确的目标。</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一般缺陷：指除上述重大缺陷和重要缺陷 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评价的定性标准如下，出现以下情形 </w:t>
            </w:r>
            <w:r>
              <w:rPr>
                <w:rFonts w:ascii="宋体" w:hAnsi="宋体" w:cs="宋体" w:eastAsia="宋体" w:hint="default"/>
                <w:spacing w:val="-4"/>
                <w:sz w:val="18"/>
                <w:szCs w:val="18"/>
              </w:rPr>
              <w:t>的，可认定为重大缺陷，其他情形按影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响程度分别确定为重要缺陷或一般缺 陷：⑴违反国家法律法规或规范性文 </w:t>
            </w:r>
            <w:r>
              <w:rPr>
                <w:rFonts w:ascii="宋体" w:hAnsi="宋体" w:cs="宋体" w:eastAsia="宋体" w:hint="default"/>
                <w:spacing w:val="-4"/>
                <w:sz w:val="18"/>
                <w:szCs w:val="18"/>
              </w:rPr>
              <w:t>件；⑵重大决策程序不科学；⑶制度缺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失可能导致系统性失效；⑷重大或重要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缺陷不能得到整改；⑸其他对公司负面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影响重大的情形。</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18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40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9"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、重大缺陷：考虑补偿性控制措施和实际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偏差率后，该缺陷总体影响水平高于重要 </w:t>
            </w:r>
            <w:r>
              <w:rPr>
                <w:rFonts w:ascii="宋体" w:hAnsi="宋体" w:cs="宋体" w:eastAsia="宋体" w:hint="default"/>
                <w:spacing w:val="-7"/>
                <w:sz w:val="18"/>
                <w:szCs w:val="18"/>
              </w:rPr>
              <w:t>性水平（营业收入的</w:t>
            </w:r>
            <w:r>
              <w:rPr>
                <w:rFonts w:ascii="宋体" w:hAnsi="宋体" w:cs="宋体" w:eastAsia="宋体" w:hint="default"/>
                <w:sz w:val="18"/>
                <w:szCs w:val="18"/>
              </w:rPr>
              <w:t> </w:t>
            </w:r>
            <w:r>
              <w:rPr>
                <w:rFonts w:ascii="Times New Roman" w:hAnsi="Times New Roman" w:cs="Times New Roman" w:eastAsia="Times New Roman" w:hint="default"/>
                <w:spacing w:val="-17"/>
                <w:sz w:val="18"/>
                <w:szCs w:val="18"/>
              </w:rPr>
              <w:t>0.5%</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考虑补偿性控制措施和实际偏差率后，该 缺陷总体影响水平低于重要性水平（营业 收入的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），但高于一般性水平（营业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收入的</w:t>
            </w:r>
            <w:r>
              <w:rPr>
                <w:rFonts w:ascii="宋体" w:hAnsi="宋体" w:cs="宋体" w:eastAsia="宋体" w:hint="default"/>
                <w:spacing w:val="6"/>
                <w:sz w:val="18"/>
                <w:szCs w:val="18"/>
              </w:rPr>
              <w:t> </w:t>
            </w:r>
            <w:r>
              <w:rPr>
                <w:rFonts w:ascii="Times New Roman" w:hAnsi="Times New Roman" w:cs="Times New Roman" w:eastAsia="Times New Roman" w:hint="default"/>
                <w:spacing w:val="-10"/>
                <w:sz w:val="18"/>
                <w:szCs w:val="18"/>
              </w:rPr>
              <w:t>0.1%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、一般缺陷：考虑补偿性</w:t>
            </w:r>
            <w:r>
              <w:rPr>
                <w:rFonts w:ascii="宋体" w:hAnsi="宋体" w:cs="宋体" w:eastAsia="宋体" w:hint="default"/>
                <w:sz w:val="18"/>
                <w:szCs w:val="18"/>
              </w:rPr>
              <w:t> 控制措施和实际偏差率后，该缺陷总体影 响水平低于一般性水平（营业收入的 </w:t>
            </w:r>
            <w:r>
              <w:rPr>
                <w:rFonts w:ascii="Times New Roman" w:hAnsi="Times New Roman" w:cs="Times New Roman" w:eastAsia="Times New Roman" w:hint="default"/>
                <w:spacing w:val="-30"/>
                <w:sz w:val="18"/>
                <w:szCs w:val="18"/>
              </w:rPr>
              <w:t>0.1%</w:t>
            </w:r>
            <w:r>
              <w:rPr>
                <w:rFonts w:ascii="宋体" w:hAnsi="宋体" w:cs="宋体" w:eastAsia="宋体" w:hint="default"/>
                <w:spacing w:val="-30"/>
                <w:sz w:val="18"/>
                <w:szCs w:val="18"/>
              </w:rPr>
              <w:t>）。</w:t>
            </w:r>
            <w:r>
              <w:rPr>
                <w:rFonts w:ascii="宋体" w:hAnsi="宋体" w:cs="宋体" w:eastAsia="宋体" w:hint="default"/>
                <w:sz w:val="18"/>
                <w:szCs w:val="18"/>
              </w:rPr>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0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w:t>
            </w:r>
          </w:p>
          <w:p>
            <w:pPr>
              <w:pStyle w:val="TableParagraph"/>
              <w:spacing w:line="14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sz w:val="18"/>
                <w:szCs w:val="18"/>
              </w:rPr>
              <w:t>陷导致的直接财产损失金额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w:t>
            </w:r>
          </w:p>
          <w:p>
            <w:pPr>
              <w:pStyle w:val="TableParagraph"/>
              <w:spacing w:line="309" w:lineRule="auto" w:before="63"/>
              <w:ind w:left="16" w:right="37"/>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 告内部控制缺陷导致的直接财产损失 金额＜</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务报告内部控制缺陷导致的直接财产 损失金额＜</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40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4"/>
        <w:spacing w:line="240" w:lineRule="auto" w:before="26"/>
        <w:ind w:left="1134" w:right="985"/>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84"/>
              <w:jc w:val="left"/>
              <w:rPr>
                <w:rFonts w:ascii="宋体" w:hAnsi="宋体" w:cs="宋体" w:eastAsia="宋体" w:hint="default"/>
                <w:sz w:val="18"/>
                <w:szCs w:val="18"/>
              </w:rPr>
            </w:pPr>
            <w:r>
              <w:rPr>
                <w:rFonts w:ascii="宋体" w:hAnsi="宋体" w:cs="宋体" w:eastAsia="宋体" w:hint="default"/>
                <w:sz w:val="18"/>
                <w:szCs w:val="18"/>
              </w:rPr>
              <w:t>我们认为，信息发展公司按照财政部等五部委颁发的《企业内部控制基本规范》及相关规定于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 重大方面保持了与财务报表相关的有效的内部控制。本结论是在受到鉴证报告中指出的固有限制的条件下形成的。</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footerReference w:type="default" r:id="rId13"/>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985"/>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footerReference w:type="default" r:id="rId14"/>
          <w:pgSz w:w="11910" w:h="16840"/>
          <w:pgMar w:footer="979" w:header="747" w:top="1060" w:bottom="1160" w:left="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2" w:id="152"/>
      <w:bookmarkStart w:name="第十节 公司债券相关情况" w:id="153"/>
      <w:r>
        <w:rPr>
          <w:b w:val="0"/>
          <w:bCs w:val="0"/>
        </w:rPr>
      </w:r>
      <w:r>
        <w:rPr/>
        <w:t>第十节</w:t>
      </w:r>
      <w:r>
        <w:rPr>
          <w:spacing w:val="-9"/>
        </w:rPr>
        <w:t> </w:t>
      </w:r>
      <w:r>
        <w:rPr/>
        <w:t>公司债券相关情况</w:t>
      </w:r>
      <w:bookmarkEnd w:id="152"/>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1" w:id="154"/>
      <w:bookmarkStart w:name="第十一节 财务报告" w:id="155"/>
      <w:r>
        <w:rPr>
          <w:b w:val="0"/>
          <w:bCs w:val="0"/>
        </w:rPr>
      </w:r>
      <w:r>
        <w:rPr/>
        <w:t>第十一节</w:t>
      </w:r>
      <w:r>
        <w:rPr>
          <w:spacing w:val="-6"/>
        </w:rPr>
        <w:t> </w:t>
      </w:r>
      <w:r>
        <w:rPr/>
        <w:t>财务报告</w:t>
      </w:r>
      <w:bookmarkEnd w:id="15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85"/>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ZA12175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庄继宁、吴海燕</w:t>
            </w:r>
          </w:p>
        </w:tc>
      </w:tr>
    </w:tbl>
    <w:p>
      <w:pPr>
        <w:pStyle w:val="BodyText"/>
        <w:spacing w:line="240" w:lineRule="auto" w:before="51"/>
        <w:ind w:left="3403" w:right="3402"/>
        <w:jc w:val="center"/>
      </w:pPr>
      <w:r>
        <w:rPr/>
        <w:t>审计报告正文</w:t>
      </w:r>
    </w:p>
    <w:p>
      <w:pPr>
        <w:spacing w:before="125"/>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6"/>
        <w:spacing w:line="240" w:lineRule="auto" w:before="35"/>
        <w:ind w:left="7937" w:right="985"/>
        <w:jc w:val="left"/>
      </w:pPr>
      <w:r>
        <w:rPr/>
        <w:t>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ZA12175</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before="13"/>
        <w:ind w:left="1134" w:right="985"/>
        <w:jc w:val="left"/>
        <w:rPr>
          <w:b w:val="0"/>
          <w:bCs w:val="0"/>
        </w:rPr>
      </w:pPr>
      <w:r>
        <w:rPr/>
        <w:t>上海中信信息发展股份有限公司全体股东：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1554" w:right="985"/>
        <w:jc w:val="left"/>
        <w:rPr>
          <w:b w:val="0"/>
          <w:bCs w:val="0"/>
        </w:rPr>
      </w:pPr>
      <w:r>
        <w:rPr>
          <w:rFonts w:ascii="宋体" w:hAnsi="宋体" w:cs="宋体" w:eastAsia="宋体" w:hint="default"/>
        </w:rPr>
        <w:t>1.</w:t>
      </w:r>
      <w:r>
        <w:rPr>
          <w:rFonts w:ascii="宋体" w:hAnsi="宋体" w:cs="宋体" w:eastAsia="宋体" w:hint="default"/>
          <w:spacing w:val="-67"/>
        </w:rPr>
        <w:t> </w:t>
      </w:r>
      <w:r>
        <w:rPr/>
        <w:t>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0" w:lineRule="auto"/>
        <w:ind w:left="1494" w:right="1168"/>
        <w:jc w:val="both"/>
      </w:pPr>
      <w:r>
        <w:rPr>
          <w:w w:val="95"/>
        </w:rPr>
        <w:t>我们审计了上海中信信息发展股份有限公司（以下简称信息发展公司）</w:t>
      </w:r>
      <w:r>
        <w:rPr>
          <w:w w:val="99"/>
        </w:rPr>
        <w:t> </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2017</w:t>
      </w:r>
      <w:r>
        <w:rPr/>
        <w:t>年度的合</w:t>
      </w:r>
      <w:r>
        <w:rPr>
          <w:w w:val="99"/>
        </w:rPr>
        <w:t> </w:t>
      </w:r>
      <w:r>
        <w:rPr/>
        <w:t>并及母公司利润表、合并及母公司现金流量表、合并及母公司股东权益变动</w:t>
      </w:r>
      <w:r>
        <w:rPr>
          <w:w w:val="99"/>
        </w:rPr>
        <w:t> </w:t>
      </w:r>
      <w:r>
        <w:rPr/>
        <w:t>表以及相关财务报表附注。</w:t>
      </w:r>
    </w:p>
    <w:p>
      <w:pPr>
        <w:pStyle w:val="Heading3"/>
        <w:spacing w:line="398" w:lineRule="auto" w:before="70"/>
        <w:ind w:left="1494" w:right="1168"/>
        <w:jc w:val="both"/>
      </w:pPr>
      <w:r>
        <w:rPr>
          <w:w w:val="95"/>
        </w:rPr>
        <w:t>我们认为，后附的财务报表在所有重大方面按照企业会计准则的规定编</w:t>
      </w:r>
      <w:r>
        <w:rPr>
          <w:w w:val="99"/>
        </w:rPr>
        <w:t> </w:t>
      </w:r>
      <w:r>
        <w:rPr>
          <w:w w:val="95"/>
        </w:rPr>
        <w:t>制，公允反映了信息发展公司</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日的合并及母公司财务状况以及</w:t>
      </w:r>
      <w:r>
        <w:rPr>
          <w:spacing w:val="46"/>
          <w:w w:val="95"/>
        </w:rPr>
        <w:t> </w:t>
      </w:r>
      <w:r>
        <w:rPr>
          <w:spacing w:val="46"/>
          <w:w w:val="95"/>
        </w:rPr>
      </w:r>
      <w:r>
        <w:rPr>
          <w:rFonts w:ascii="Times New Roman" w:hAnsi="Times New Roman" w:cs="Times New Roman" w:eastAsia="Times New Roman" w:hint="default"/>
        </w:rPr>
        <w:t>2017</w:t>
      </w:r>
      <w:r>
        <w:rPr/>
        <w:t>年度的合并及母公司经营成果和现金流量。</w:t>
      </w:r>
    </w:p>
    <w:p>
      <w:pPr>
        <w:spacing w:after="0" w:line="39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13"/>
        <w:ind w:left="1553" w:right="985"/>
        <w:jc w:val="left"/>
        <w:rPr>
          <w:b w:val="0"/>
          <w:bCs w:val="0"/>
        </w:rPr>
      </w:pPr>
      <w:r>
        <w:rPr>
          <w:rFonts w:ascii="宋体" w:hAnsi="宋体" w:cs="宋体" w:eastAsia="宋体" w:hint="default"/>
        </w:rPr>
        <w:t>1.</w:t>
      </w:r>
      <w:r>
        <w:rPr>
          <w:rFonts w:ascii="宋体" w:hAnsi="宋体" w:cs="宋体" w:eastAsia="宋体" w:hint="default"/>
          <w:spacing w:val="-73"/>
        </w:rPr>
        <w:t> </w:t>
      </w:r>
      <w:r>
        <w:rPr/>
        <w:t>形成审计意见的基础</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3" w:lineRule="auto"/>
        <w:ind w:left="1493" w:right="1168"/>
        <w:jc w:val="both"/>
      </w:pPr>
      <w:r>
        <w:rPr>
          <w:w w:val="95"/>
        </w:rPr>
        <w:t>我们按照中国注册会计师审计准则的规定执行了审计工作。审计报告的</w:t>
      </w:r>
      <w:r>
        <w:rPr>
          <w:w w:val="99"/>
        </w:rPr>
        <w:t> </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部分进一步阐述了我们在这些准则下的</w:t>
      </w:r>
      <w:r>
        <w:rPr>
          <w:w w:val="99"/>
        </w:rPr>
        <w:t> </w:t>
      </w:r>
      <w:r>
        <w:rPr/>
        <w:t>责任。按照中国注册会计师职业道德守则，我们独立于信息发展公司，并履</w:t>
      </w:r>
      <w:r>
        <w:rPr>
          <w:w w:val="99"/>
        </w:rPr>
        <w:t> </w:t>
      </w:r>
      <w:r>
        <w:rPr/>
        <w:t>行了职业道德方面的其他责任。我们相信，我们获取的审计证据是充分、适</w:t>
      </w:r>
      <w:r>
        <w:rPr>
          <w:w w:val="99"/>
        </w:rPr>
        <w:t> </w:t>
      </w:r>
      <w:r>
        <w:rPr/>
        <w:t>当的，为发表审计意见提供了基础。</w:t>
      </w: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4"/>
          <w:szCs w:val="24"/>
        </w:rPr>
      </w:pPr>
    </w:p>
    <w:p>
      <w:pPr>
        <w:pStyle w:val="Heading2"/>
        <w:spacing w:line="240" w:lineRule="auto"/>
        <w:ind w:left="1193" w:right="985"/>
        <w:jc w:val="left"/>
        <w:rPr>
          <w:b w:val="0"/>
          <w:bCs w:val="0"/>
        </w:rPr>
      </w:pPr>
      <w:r>
        <w:rPr>
          <w:rFonts w:ascii="宋体" w:hAnsi="宋体" w:cs="宋体" w:eastAsia="宋体" w:hint="default"/>
        </w:rPr>
        <w:t>1.</w:t>
      </w:r>
      <w:r>
        <w:rPr>
          <w:rFonts w:ascii="宋体" w:hAnsi="宋体" w:cs="宋体" w:eastAsia="宋体" w:hint="default"/>
          <w:spacing w:val="-72"/>
        </w:rPr>
        <w:t> </w:t>
      </w:r>
      <w:r>
        <w:rPr/>
        <w:t>关键审计事项</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249"/>
        <w:jc w:val="both"/>
      </w:pPr>
      <w:r>
        <w:rPr>
          <w:w w:val="95"/>
        </w:rPr>
        <w:t>关键审计事项是我们根据职业判断，认为对本期财务报表审计最为重要的</w:t>
      </w:r>
      <w:r>
        <w:rPr>
          <w:w w:val="99"/>
        </w:rPr>
        <w:t> </w:t>
      </w:r>
      <w:r>
        <w:rPr/>
        <w:t>事项。这些事项的应对以对财务报表整体进行审计并形成审计意见为背景，我</w:t>
      </w:r>
      <w:r>
        <w:rPr>
          <w:w w:val="99"/>
        </w:rPr>
        <w:t> </w:t>
      </w:r>
      <w:r>
        <w:rPr/>
        <w:t>们不对这些事项单独发表意见。我们确定下列事项是需要在审计报告中沟通的</w:t>
      </w:r>
      <w:r>
        <w:rPr>
          <w:w w:val="99"/>
        </w:rPr>
        <w:t> </w:t>
      </w:r>
      <w:r>
        <w:rPr/>
        <w:t>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154"/>
        <w:gridCol w:w="4070"/>
      </w:tblGrid>
      <w:tr>
        <w:trPr>
          <w:trHeight w:val="659"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225" w:right="0"/>
              <w:jc w:val="left"/>
              <w:rPr>
                <w:rFonts w:ascii="宋体" w:hAnsi="宋体" w:cs="宋体" w:eastAsia="宋体" w:hint="default"/>
                <w:sz w:val="28"/>
                <w:szCs w:val="28"/>
              </w:rPr>
            </w:pPr>
            <w:r>
              <w:rPr>
                <w:rFonts w:ascii="宋体" w:hAnsi="宋体" w:cs="宋体" w:eastAsia="宋体" w:hint="default"/>
                <w:b/>
                <w:bCs/>
                <w:sz w:val="28"/>
                <w:szCs w:val="28"/>
              </w:rPr>
              <w:t>关键审计事项</w:t>
            </w:r>
            <w:r>
              <w:rPr>
                <w:rFonts w:ascii="宋体" w:hAnsi="宋体" w:cs="宋体" w:eastAsia="宋体" w:hint="default"/>
                <w:sz w:val="28"/>
                <w:szCs w:val="28"/>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9" w:right="0"/>
              <w:jc w:val="left"/>
              <w:rPr>
                <w:rFonts w:ascii="宋体" w:hAnsi="宋体" w:cs="宋体" w:eastAsia="宋体" w:hint="default"/>
                <w:sz w:val="28"/>
                <w:szCs w:val="28"/>
              </w:rPr>
            </w:pPr>
            <w:r>
              <w:rPr>
                <w:rFonts w:ascii="宋体" w:hAnsi="宋体" w:cs="宋体" w:eastAsia="宋体" w:hint="default"/>
                <w:b/>
                <w:bCs/>
                <w:sz w:val="28"/>
                <w:szCs w:val="28"/>
              </w:rPr>
              <w:t>该事项在审计中是如何应对的</w:t>
            </w:r>
            <w:r>
              <w:rPr>
                <w:rFonts w:ascii="宋体" w:hAnsi="宋体" w:cs="宋体" w:eastAsia="宋体" w:hint="default"/>
                <w:sz w:val="28"/>
                <w:szCs w:val="28"/>
              </w:rPr>
            </w:r>
          </w:p>
        </w:tc>
      </w:tr>
      <w:tr>
        <w:trPr>
          <w:trHeight w:val="659"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 w:right="0"/>
              <w:jc w:val="left"/>
              <w:rPr>
                <w:rFonts w:ascii="宋体" w:hAnsi="宋体" w:cs="宋体" w:eastAsia="宋体" w:hint="default"/>
                <w:sz w:val="28"/>
                <w:szCs w:val="28"/>
              </w:rPr>
            </w:pPr>
            <w:r>
              <w:rPr>
                <w:rFonts w:ascii="宋体" w:hAnsi="宋体" w:cs="宋体" w:eastAsia="宋体" w:hint="default"/>
                <w:b/>
                <w:bCs/>
                <w:sz w:val="28"/>
                <w:szCs w:val="28"/>
              </w:rPr>
              <w:t>（一）收入</w:t>
            </w:r>
            <w:r>
              <w:rPr>
                <w:rFonts w:ascii="宋体" w:hAnsi="宋体" w:cs="宋体" w:eastAsia="宋体" w:hint="default"/>
                <w:sz w:val="28"/>
                <w:szCs w:val="28"/>
              </w:rPr>
            </w:r>
          </w:p>
        </w:tc>
      </w:tr>
      <w:tr>
        <w:trPr>
          <w:trHeight w:val="1284"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 w:right="-13"/>
              <w:jc w:val="left"/>
              <w:rPr>
                <w:rFonts w:ascii="宋体" w:hAnsi="宋体" w:cs="宋体" w:eastAsia="宋体" w:hint="default"/>
                <w:sz w:val="28"/>
                <w:szCs w:val="28"/>
              </w:rPr>
            </w:pPr>
            <w:r>
              <w:rPr>
                <w:rFonts w:ascii="宋体" w:hAnsi="宋体" w:cs="宋体" w:eastAsia="宋体" w:hint="default"/>
                <w:spacing w:val="16"/>
                <w:sz w:val="28"/>
                <w:szCs w:val="28"/>
              </w:rPr>
              <w:t>收入确认的会计政策详情及收入</w:t>
            </w:r>
            <w:r>
              <w:rPr>
                <w:rFonts w:ascii="宋体" w:hAnsi="宋体" w:cs="宋体" w:eastAsia="宋体" w:hint="default"/>
                <w:sz w:val="28"/>
                <w:szCs w:val="28"/>
              </w:rPr>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13"/>
              <w:jc w:val="left"/>
              <w:rPr>
                <w:rFonts w:ascii="宋体" w:hAnsi="宋体" w:cs="宋体" w:eastAsia="宋体" w:hint="default"/>
                <w:sz w:val="28"/>
                <w:szCs w:val="28"/>
              </w:rPr>
            </w:pPr>
            <w:r>
              <w:rPr>
                <w:rFonts w:ascii="宋体" w:hAnsi="宋体" w:cs="宋体" w:eastAsia="宋体" w:hint="default"/>
                <w:spacing w:val="16"/>
                <w:sz w:val="28"/>
                <w:szCs w:val="28"/>
              </w:rPr>
              <w:t>的分析请参阅合并财务报表附注</w:t>
            </w:r>
            <w:r>
              <w:rPr>
                <w:rFonts w:ascii="宋体" w:hAnsi="宋体" w:cs="宋体" w:eastAsia="宋体" w:hint="default"/>
                <w:sz w:val="28"/>
                <w:szCs w:val="28"/>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 w:right="0"/>
              <w:jc w:val="left"/>
              <w:rPr>
                <w:rFonts w:ascii="宋体" w:hAnsi="宋体" w:cs="宋体" w:eastAsia="宋体" w:hint="default"/>
                <w:sz w:val="28"/>
                <w:szCs w:val="28"/>
              </w:rPr>
            </w:pPr>
            <w:r>
              <w:rPr>
                <w:rFonts w:ascii="宋体" w:hAnsi="宋体" w:cs="宋体" w:eastAsia="宋体" w:hint="default"/>
                <w:spacing w:val="8"/>
                <w:sz w:val="28"/>
                <w:szCs w:val="28"/>
              </w:rPr>
              <w:t>与评价收入确认相关的审计程序</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28"/>
                <w:szCs w:val="28"/>
              </w:rPr>
            </w:pPr>
            <w:r>
              <w:rPr>
                <w:rFonts w:ascii="宋体" w:hAnsi="宋体" w:cs="宋体" w:eastAsia="宋体" w:hint="default"/>
                <w:sz w:val="28"/>
                <w:szCs w:val="28"/>
              </w:rPr>
              <w:t>中包括以下程序：</w:t>
            </w:r>
          </w:p>
        </w:tc>
      </w:tr>
    </w:tbl>
    <w:p>
      <w:pPr>
        <w:spacing w:after="0" w:line="240"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154"/>
        <w:gridCol w:w="4070"/>
      </w:tblGrid>
      <w:tr>
        <w:trPr>
          <w:trHeight w:val="1376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98" w:lineRule="auto" w:before="95"/>
              <w:ind w:left="2" w:right="-13"/>
              <w:jc w:val="both"/>
              <w:rPr>
                <w:rFonts w:ascii="宋体" w:hAnsi="宋体" w:cs="宋体" w:eastAsia="宋体" w:hint="default"/>
                <w:sz w:val="28"/>
                <w:szCs w:val="28"/>
              </w:rPr>
            </w:pP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三、重要会计政策和会计估计</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注</w:t>
            </w:r>
            <w:r>
              <w:rPr>
                <w:rFonts w:ascii="宋体" w:hAnsi="宋体" w:cs="宋体" w:eastAsia="宋体" w:hint="default"/>
                <w:spacing w:val="-135"/>
                <w:sz w:val="28"/>
                <w:szCs w:val="28"/>
              </w:rPr>
              <w:t> </w:t>
            </w:r>
            <w:r>
              <w:rPr>
                <w:rFonts w:ascii="宋体" w:hAnsi="宋体" w:cs="宋体" w:eastAsia="宋体" w:hint="default"/>
                <w:spacing w:val="16"/>
                <w:sz w:val="28"/>
                <w:szCs w:val="28"/>
              </w:rPr>
              <w:t>释（二十一）所述的会计政策及</w:t>
            </w:r>
            <w:r>
              <w:rPr>
                <w:rFonts w:ascii="宋体" w:hAnsi="宋体" w:cs="宋体" w:eastAsia="宋体" w:hint="default"/>
                <w:spacing w:val="16"/>
                <w:w w:val="99"/>
                <w:sz w:val="28"/>
                <w:szCs w:val="28"/>
              </w:rPr>
              <w:t> </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五、合并财务报表项目附注</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注释</w:t>
            </w:r>
          </w:p>
          <w:p>
            <w:pPr>
              <w:pStyle w:val="TableParagraph"/>
              <w:spacing w:line="240" w:lineRule="auto" w:before="31"/>
              <w:ind w:left="2" w:right="0"/>
              <w:jc w:val="left"/>
              <w:rPr>
                <w:rFonts w:ascii="宋体" w:hAnsi="宋体" w:cs="宋体" w:eastAsia="宋体" w:hint="default"/>
                <w:sz w:val="28"/>
                <w:szCs w:val="28"/>
              </w:rPr>
            </w:pPr>
            <w:r>
              <w:rPr>
                <w:rFonts w:ascii="宋体" w:hAnsi="宋体" w:cs="宋体" w:eastAsia="宋体" w:hint="default"/>
                <w:sz w:val="28"/>
                <w:szCs w:val="28"/>
              </w:rPr>
              <w:t>（二十八）。</w:t>
            </w: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405" w:lineRule="auto" w:before="237"/>
              <w:ind w:left="2" w:right="-17"/>
              <w:jc w:val="left"/>
              <w:rPr>
                <w:rFonts w:ascii="宋体" w:hAnsi="宋体" w:cs="宋体" w:eastAsia="宋体" w:hint="default"/>
                <w:sz w:val="28"/>
                <w:szCs w:val="28"/>
              </w:rPr>
            </w:pPr>
            <w:r>
              <w:rPr>
                <w:rFonts w:ascii="宋体" w:hAnsi="宋体" w:cs="宋体" w:eastAsia="宋体" w:hint="default"/>
                <w:spacing w:val="13"/>
                <w:sz w:val="28"/>
                <w:szCs w:val="28"/>
              </w:rPr>
              <w:t>信息发展公司已确认</w:t>
            </w:r>
            <w:r>
              <w:rPr>
                <w:rFonts w:ascii="Times New Roman" w:hAnsi="Times New Roman" w:cs="Times New Roman" w:eastAsia="Times New Roman" w:hint="default"/>
                <w:spacing w:val="13"/>
                <w:sz w:val="28"/>
                <w:szCs w:val="28"/>
              </w:rPr>
              <w:t>2017</w:t>
            </w:r>
            <w:r>
              <w:rPr>
                <w:rFonts w:ascii="宋体" w:hAnsi="宋体" w:cs="宋体" w:eastAsia="宋体" w:hint="default"/>
                <w:spacing w:val="13"/>
                <w:sz w:val="28"/>
                <w:szCs w:val="28"/>
              </w:rPr>
              <w:t>年度的</w:t>
            </w:r>
            <w:r>
              <w:rPr>
                <w:rFonts w:ascii="宋体" w:hAnsi="宋体" w:cs="宋体" w:eastAsia="宋体" w:hint="default"/>
                <w:w w:val="99"/>
                <w:sz w:val="28"/>
                <w:szCs w:val="28"/>
              </w:rPr>
              <w:t> </w:t>
            </w:r>
            <w:r>
              <w:rPr>
                <w:rFonts w:ascii="宋体" w:hAnsi="宋体" w:cs="宋体" w:eastAsia="宋体" w:hint="default"/>
                <w:spacing w:val="-4"/>
                <w:sz w:val="28"/>
                <w:szCs w:val="28"/>
              </w:rPr>
              <w:t>收入为人民币</w:t>
            </w:r>
            <w:r>
              <w:rPr>
                <w:rFonts w:ascii="Times New Roman" w:hAnsi="Times New Roman" w:cs="Times New Roman" w:eastAsia="Times New Roman" w:hint="default"/>
                <w:spacing w:val="-4"/>
                <w:sz w:val="28"/>
                <w:szCs w:val="28"/>
              </w:rPr>
              <w:t>56,429.36</w:t>
            </w:r>
            <w:r>
              <w:rPr>
                <w:rFonts w:ascii="宋体" w:hAnsi="宋体" w:cs="宋体" w:eastAsia="宋体" w:hint="default"/>
                <w:spacing w:val="-4"/>
                <w:sz w:val="28"/>
                <w:szCs w:val="28"/>
              </w:rPr>
              <w:t>万元，主要</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pacing w:val="-5"/>
                <w:sz w:val="28"/>
                <w:szCs w:val="28"/>
              </w:rPr>
              <w:t>包括直接系统集成、技术支持与服</w:t>
            </w:r>
            <w:r>
              <w:rPr>
                <w:rFonts w:ascii="宋体" w:hAnsi="宋体" w:cs="宋体" w:eastAsia="宋体" w:hint="default"/>
                <w:w w:val="99"/>
                <w:sz w:val="28"/>
                <w:szCs w:val="28"/>
              </w:rPr>
              <w:t> </w:t>
            </w:r>
            <w:r>
              <w:rPr>
                <w:rFonts w:ascii="宋体" w:hAnsi="宋体" w:cs="宋体" w:eastAsia="宋体" w:hint="default"/>
                <w:sz w:val="28"/>
                <w:szCs w:val="28"/>
              </w:rPr>
              <w:t>务及应用软件开发与销售收入。</w:t>
            </w:r>
            <w:r>
              <w:rPr>
                <w:rFonts w:ascii="宋体" w:hAnsi="宋体" w:cs="宋体" w:eastAsia="宋体" w:hint="default"/>
                <w:w w:val="99"/>
                <w:sz w:val="28"/>
                <w:szCs w:val="28"/>
              </w:rPr>
              <w:t> </w:t>
            </w:r>
            <w:r>
              <w:rPr>
                <w:rFonts w:ascii="宋体" w:hAnsi="宋体" w:cs="宋体" w:eastAsia="宋体" w:hint="default"/>
                <w:spacing w:val="16"/>
                <w:sz w:val="28"/>
                <w:szCs w:val="28"/>
              </w:rPr>
              <w:t>系统集成业务，是根据合同的约</w:t>
            </w:r>
            <w:r>
              <w:rPr>
                <w:rFonts w:ascii="宋体" w:hAnsi="宋体" w:cs="宋体" w:eastAsia="宋体" w:hint="default"/>
                <w:spacing w:val="16"/>
                <w:w w:val="99"/>
                <w:sz w:val="28"/>
                <w:szCs w:val="28"/>
              </w:rPr>
              <w:t> </w:t>
            </w:r>
            <w:r>
              <w:rPr>
                <w:rFonts w:ascii="宋体" w:hAnsi="宋体" w:cs="宋体" w:eastAsia="宋体" w:hint="default"/>
                <w:spacing w:val="-5"/>
                <w:sz w:val="28"/>
                <w:szCs w:val="28"/>
              </w:rPr>
              <w:t>定，在系统集成项目中的软件产品</w:t>
            </w:r>
            <w:r>
              <w:rPr>
                <w:rFonts w:ascii="宋体" w:hAnsi="宋体" w:cs="宋体" w:eastAsia="宋体" w:hint="default"/>
                <w:w w:val="99"/>
                <w:sz w:val="28"/>
                <w:szCs w:val="28"/>
              </w:rPr>
              <w:t> </w:t>
            </w:r>
            <w:r>
              <w:rPr>
                <w:rFonts w:ascii="宋体" w:hAnsi="宋体" w:cs="宋体" w:eastAsia="宋体" w:hint="default"/>
                <w:spacing w:val="-5"/>
                <w:sz w:val="28"/>
                <w:szCs w:val="28"/>
              </w:rPr>
              <w:t>和外购硬件（原材料、设备等）已</w:t>
            </w:r>
            <w:r>
              <w:rPr>
                <w:rFonts w:ascii="宋体" w:hAnsi="宋体" w:cs="宋体" w:eastAsia="宋体" w:hint="default"/>
                <w:w w:val="99"/>
                <w:sz w:val="28"/>
                <w:szCs w:val="28"/>
              </w:rPr>
              <w:t> </w:t>
            </w:r>
            <w:r>
              <w:rPr>
                <w:rFonts w:ascii="宋体" w:hAnsi="宋体" w:cs="宋体" w:eastAsia="宋体" w:hint="default"/>
                <w:spacing w:val="-5"/>
                <w:sz w:val="28"/>
                <w:szCs w:val="28"/>
              </w:rPr>
              <w:t>交付给客户，系统已按合同约定的</w:t>
            </w:r>
            <w:r>
              <w:rPr>
                <w:rFonts w:ascii="宋体" w:hAnsi="宋体" w:cs="宋体" w:eastAsia="宋体" w:hint="default"/>
                <w:w w:val="99"/>
                <w:sz w:val="28"/>
                <w:szCs w:val="28"/>
              </w:rPr>
              <w:t> </w:t>
            </w:r>
            <w:r>
              <w:rPr>
                <w:rFonts w:ascii="宋体" w:hAnsi="宋体" w:cs="宋体" w:eastAsia="宋体" w:hint="default"/>
                <w:spacing w:val="-5"/>
                <w:sz w:val="28"/>
                <w:szCs w:val="28"/>
              </w:rPr>
              <w:t>条件完成安装调试，通过客户验收</w:t>
            </w:r>
            <w:r>
              <w:rPr>
                <w:rFonts w:ascii="宋体" w:hAnsi="宋体" w:cs="宋体" w:eastAsia="宋体" w:hint="default"/>
                <w:w w:val="99"/>
                <w:sz w:val="28"/>
                <w:szCs w:val="28"/>
              </w:rPr>
              <w:t> </w:t>
            </w:r>
            <w:r>
              <w:rPr>
                <w:rFonts w:ascii="宋体" w:hAnsi="宋体" w:cs="宋体" w:eastAsia="宋体" w:hint="default"/>
                <w:spacing w:val="-5"/>
                <w:sz w:val="28"/>
                <w:szCs w:val="28"/>
              </w:rPr>
              <w:t>完成后确认收入的实现。技术支持</w:t>
            </w:r>
            <w:r>
              <w:rPr>
                <w:rFonts w:ascii="宋体" w:hAnsi="宋体" w:cs="宋体" w:eastAsia="宋体" w:hint="default"/>
                <w:w w:val="99"/>
                <w:sz w:val="28"/>
                <w:szCs w:val="28"/>
              </w:rPr>
              <w:t> </w:t>
            </w:r>
            <w:r>
              <w:rPr>
                <w:rFonts w:ascii="宋体" w:hAnsi="宋体" w:cs="宋体" w:eastAsia="宋体" w:hint="default"/>
                <w:spacing w:val="-5"/>
                <w:sz w:val="28"/>
                <w:szCs w:val="28"/>
              </w:rPr>
              <w:t>与服务，是按合同约定的服务期限</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3"/>
                <w:sz w:val="28"/>
                <w:szCs w:val="28"/>
              </w:rPr>
              <w:t>或经用户确认后确认收入的实现。</w:t>
            </w:r>
            <w:r>
              <w:rPr>
                <w:rFonts w:ascii="宋体" w:hAnsi="宋体" w:cs="宋体" w:eastAsia="宋体" w:hint="default"/>
                <w:spacing w:val="-43"/>
                <w:w w:val="99"/>
                <w:sz w:val="28"/>
                <w:szCs w:val="28"/>
              </w:rPr>
              <w:t> </w:t>
            </w:r>
            <w:r>
              <w:rPr>
                <w:rFonts w:ascii="宋体" w:hAnsi="宋体" w:cs="宋体" w:eastAsia="宋体" w:hint="default"/>
                <w:spacing w:val="-5"/>
                <w:sz w:val="28"/>
                <w:szCs w:val="28"/>
              </w:rPr>
              <w:t>应用软件开发与销售，是按照合同</w:t>
            </w:r>
            <w:r>
              <w:rPr>
                <w:rFonts w:ascii="宋体" w:hAnsi="宋体" w:cs="宋体" w:eastAsia="宋体" w:hint="default"/>
                <w:w w:val="99"/>
                <w:sz w:val="28"/>
                <w:szCs w:val="28"/>
              </w:rPr>
              <w:t> </w:t>
            </w:r>
            <w:r>
              <w:rPr>
                <w:rFonts w:ascii="宋体" w:hAnsi="宋体" w:cs="宋体" w:eastAsia="宋体" w:hint="default"/>
                <w:spacing w:val="-5"/>
                <w:sz w:val="28"/>
                <w:szCs w:val="28"/>
              </w:rPr>
              <w:t>约定、在项目实施完成并经对方验</w:t>
            </w:r>
            <w:r>
              <w:rPr>
                <w:rFonts w:ascii="宋体" w:hAnsi="宋体" w:cs="宋体" w:eastAsia="宋体" w:hint="default"/>
                <w:w w:val="99"/>
                <w:sz w:val="28"/>
                <w:szCs w:val="28"/>
              </w:rPr>
              <w:t> </w:t>
            </w:r>
            <w:r>
              <w:rPr>
                <w:rFonts w:ascii="宋体" w:hAnsi="宋体" w:cs="宋体" w:eastAsia="宋体" w:hint="default"/>
                <w:sz w:val="28"/>
                <w:szCs w:val="28"/>
              </w:rPr>
              <w:t>收合格后确认收入的实现。</w:t>
            </w: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left="2" w:right="-13"/>
              <w:jc w:val="left"/>
              <w:rPr>
                <w:rFonts w:ascii="宋体" w:hAnsi="宋体" w:cs="宋体" w:eastAsia="宋体" w:hint="default"/>
                <w:sz w:val="28"/>
                <w:szCs w:val="28"/>
              </w:rPr>
            </w:pPr>
            <w:r>
              <w:rPr>
                <w:rFonts w:ascii="宋体" w:hAnsi="宋体" w:cs="宋体" w:eastAsia="宋体" w:hint="default"/>
                <w:spacing w:val="16"/>
                <w:sz w:val="28"/>
                <w:szCs w:val="28"/>
              </w:rPr>
              <w:t>因为收入是信息发展公司的主要</w:t>
            </w:r>
            <w:r>
              <w:rPr>
                <w:rFonts w:ascii="宋体" w:hAnsi="宋体" w:cs="宋体" w:eastAsia="宋体" w:hint="default"/>
                <w:sz w:val="28"/>
                <w:szCs w:val="28"/>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403" w:lineRule="auto" w:before="95"/>
              <w:ind w:left="2" w:right="4"/>
              <w:jc w:val="left"/>
              <w:rPr>
                <w:rFonts w:ascii="宋体" w:hAnsi="宋体" w:cs="宋体" w:eastAsia="宋体" w:hint="default"/>
                <w:sz w:val="28"/>
                <w:szCs w:val="28"/>
              </w:rPr>
            </w:pPr>
            <w:r>
              <w:rPr>
                <w:rFonts w:ascii="Times New Roman" w:hAnsi="Times New Roman" w:cs="Times New Roman" w:eastAsia="Times New Roman" w:hint="default"/>
                <w:w w:val="95"/>
                <w:sz w:val="28"/>
                <w:szCs w:val="28"/>
              </w:rPr>
              <w:t>1</w:t>
            </w:r>
            <w:r>
              <w:rPr>
                <w:rFonts w:ascii="宋体" w:hAnsi="宋体" w:cs="宋体" w:eastAsia="宋体" w:hint="default"/>
                <w:w w:val="95"/>
                <w:sz w:val="28"/>
                <w:szCs w:val="28"/>
              </w:rPr>
              <w:t>、了解和评价管理层与收入确认</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pacing w:val="8"/>
                <w:sz w:val="28"/>
                <w:szCs w:val="28"/>
              </w:rPr>
              <w:t>相关的关键内部控制的设计和运</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行有效性，确定其可依赖；</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2</w:t>
            </w:r>
            <w:r>
              <w:rPr>
                <w:rFonts w:ascii="宋体" w:hAnsi="宋体" w:cs="宋体" w:eastAsia="宋体" w:hint="default"/>
                <w:w w:val="95"/>
                <w:sz w:val="28"/>
                <w:szCs w:val="28"/>
              </w:rPr>
              <w:t>、根据不同收入类别，选取样本</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pacing w:val="8"/>
                <w:sz w:val="28"/>
                <w:szCs w:val="28"/>
              </w:rPr>
              <w:t>检查销售合同，识别与商品所有</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pacing w:val="8"/>
                <w:sz w:val="28"/>
                <w:szCs w:val="28"/>
              </w:rPr>
              <w:t>权上的风险和报酬转移相关的合</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同条款与条件，评价收入确认时</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31"/>
                <w:sz w:val="28"/>
                <w:szCs w:val="28"/>
              </w:rPr>
              <w:t>点是否符合企业会计准则的要</w:t>
            </w:r>
            <w:r>
              <w:rPr>
                <w:rFonts w:ascii="宋体" w:hAnsi="宋体" w:cs="宋体" w:eastAsia="宋体" w:hint="default"/>
                <w:w w:val="99"/>
                <w:sz w:val="28"/>
                <w:szCs w:val="28"/>
              </w:rPr>
              <w:t> </w:t>
            </w:r>
            <w:r>
              <w:rPr>
                <w:rFonts w:ascii="宋体" w:hAnsi="宋体" w:cs="宋体" w:eastAsia="宋体" w:hint="default"/>
                <w:sz w:val="28"/>
                <w:szCs w:val="28"/>
              </w:rPr>
              <w:t>求；</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3</w:t>
            </w:r>
            <w:r>
              <w:rPr>
                <w:rFonts w:ascii="宋体" w:hAnsi="宋体" w:cs="宋体" w:eastAsia="宋体" w:hint="default"/>
                <w:w w:val="95"/>
                <w:sz w:val="28"/>
                <w:szCs w:val="28"/>
              </w:rPr>
              <w:t>、按项目类别对收入和成本执行</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pacing w:val="8"/>
                <w:sz w:val="28"/>
                <w:szCs w:val="28"/>
              </w:rPr>
              <w:t>分析程序，包括：本期收入、成</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本、毛利波动分析，以及与上期</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比较分析；主要项目本期收入、</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成本、毛利率的具体分析等，判</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断是否出现异常波动的情况；</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4</w:t>
            </w:r>
            <w:r>
              <w:rPr>
                <w:rFonts w:ascii="宋体" w:hAnsi="宋体" w:cs="宋体" w:eastAsia="宋体" w:hint="default"/>
                <w:w w:val="95"/>
                <w:sz w:val="28"/>
                <w:szCs w:val="28"/>
              </w:rPr>
              <w:t>、对本年记录的收入交易选取样</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pacing w:val="8"/>
                <w:sz w:val="28"/>
                <w:szCs w:val="28"/>
              </w:rPr>
              <w:t>本，核对销售合同、审批单、验</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收单、项目进度状态、回款凭证</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等资料，检查已确认收入的真实</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性，评价相关收入确认是否符合</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公司收入确认的会计政策；</w:t>
            </w:r>
          </w:p>
          <w:p>
            <w:pPr>
              <w:pStyle w:val="TableParagraph"/>
              <w:spacing w:line="240" w:lineRule="auto" w:before="67"/>
              <w:ind w:left="2" w:right="0"/>
              <w:jc w:val="left"/>
              <w:rPr>
                <w:rFonts w:ascii="宋体" w:hAnsi="宋体" w:cs="宋体" w:eastAsia="宋体" w:hint="default"/>
                <w:sz w:val="28"/>
                <w:szCs w:val="28"/>
              </w:rPr>
            </w:pPr>
            <w:r>
              <w:rPr>
                <w:rFonts w:ascii="Times New Roman" w:hAnsi="Times New Roman" w:cs="Times New Roman" w:eastAsia="Times New Roman" w:hint="default"/>
                <w:w w:val="95"/>
                <w:sz w:val="28"/>
                <w:szCs w:val="28"/>
              </w:rPr>
              <w:t>5</w:t>
            </w:r>
            <w:r>
              <w:rPr>
                <w:rFonts w:ascii="宋体" w:hAnsi="宋体" w:cs="宋体" w:eastAsia="宋体" w:hint="default"/>
                <w:w w:val="95"/>
                <w:sz w:val="28"/>
                <w:szCs w:val="28"/>
              </w:rPr>
              <w:t>、结合应收账款函证，一并执行</w:t>
            </w:r>
            <w:r>
              <w:rPr>
                <w:rFonts w:ascii="宋体" w:hAnsi="宋体" w:cs="宋体" w:eastAsia="宋体" w:hint="default"/>
                <w:sz w:val="28"/>
                <w:szCs w:val="28"/>
              </w:rPr>
            </w:r>
          </w:p>
        </w:tc>
      </w:tr>
    </w:tbl>
    <w:p>
      <w:pPr>
        <w:spacing w:after="0" w:line="240"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154"/>
        <w:gridCol w:w="4070"/>
      </w:tblGrid>
      <w:tr>
        <w:trPr>
          <w:trHeight w:val="627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95"/>
              <w:ind w:left="2" w:right="-13"/>
              <w:jc w:val="both"/>
              <w:rPr>
                <w:rFonts w:ascii="宋体" w:hAnsi="宋体" w:cs="宋体" w:eastAsia="宋体" w:hint="default"/>
                <w:sz w:val="28"/>
                <w:szCs w:val="28"/>
              </w:rPr>
            </w:pPr>
            <w:r>
              <w:rPr>
                <w:rFonts w:ascii="宋体" w:hAnsi="宋体" w:cs="宋体" w:eastAsia="宋体" w:hint="default"/>
                <w:spacing w:val="16"/>
                <w:sz w:val="28"/>
                <w:szCs w:val="28"/>
              </w:rPr>
              <w:t>业绩指标之一，且涉及管理层判</w:t>
            </w:r>
            <w:r>
              <w:rPr>
                <w:rFonts w:ascii="宋体" w:hAnsi="宋体" w:cs="宋体" w:eastAsia="宋体" w:hint="default"/>
                <w:spacing w:val="16"/>
                <w:w w:val="99"/>
                <w:sz w:val="28"/>
                <w:szCs w:val="28"/>
              </w:rPr>
              <w:t> </w:t>
            </w:r>
            <w:r>
              <w:rPr>
                <w:rFonts w:ascii="宋体" w:hAnsi="宋体" w:cs="宋体" w:eastAsia="宋体" w:hint="default"/>
                <w:spacing w:val="-5"/>
                <w:sz w:val="28"/>
                <w:szCs w:val="28"/>
              </w:rPr>
              <w:t>断，我们将收入确认识别为关键审</w:t>
            </w:r>
            <w:r>
              <w:rPr>
                <w:rFonts w:ascii="宋体" w:hAnsi="宋体" w:cs="宋体" w:eastAsia="宋体" w:hint="default"/>
                <w:w w:val="99"/>
                <w:sz w:val="28"/>
                <w:szCs w:val="28"/>
              </w:rPr>
              <w:t> </w:t>
            </w:r>
            <w:r>
              <w:rPr>
                <w:rFonts w:ascii="宋体" w:hAnsi="宋体" w:cs="宋体" w:eastAsia="宋体" w:hint="default"/>
                <w:sz w:val="28"/>
                <w:szCs w:val="28"/>
              </w:rPr>
              <w:t>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405" w:lineRule="auto" w:before="95"/>
              <w:ind w:left="2" w:right="-5"/>
              <w:jc w:val="left"/>
              <w:rPr>
                <w:rFonts w:ascii="宋体" w:hAnsi="宋体" w:cs="宋体" w:eastAsia="宋体" w:hint="default"/>
                <w:sz w:val="28"/>
                <w:szCs w:val="28"/>
              </w:rPr>
            </w:pPr>
            <w:r>
              <w:rPr>
                <w:rFonts w:ascii="宋体" w:hAnsi="宋体" w:cs="宋体" w:eastAsia="宋体" w:hint="default"/>
                <w:spacing w:val="8"/>
                <w:sz w:val="28"/>
                <w:szCs w:val="28"/>
              </w:rPr>
              <w:t>收入的函证程序，检查已确认的</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收入的真实性和准确性。</w:t>
            </w:r>
            <w:r>
              <w:rPr>
                <w:rFonts w:ascii="宋体" w:hAnsi="宋体" w:cs="宋体" w:eastAsia="宋体" w:hint="default"/>
                <w:w w:val="99"/>
                <w:sz w:val="28"/>
                <w:szCs w:val="28"/>
              </w:rPr>
              <w:t> </w:t>
            </w:r>
            <w:r>
              <w:rPr>
                <w:rFonts w:ascii="Times New Roman" w:hAnsi="Times New Roman" w:cs="Times New Roman" w:eastAsia="Times New Roman" w:hint="default"/>
                <w:sz w:val="28"/>
                <w:szCs w:val="28"/>
              </w:rPr>
              <w:t>6</w:t>
            </w:r>
            <w:r>
              <w:rPr>
                <w:rFonts w:ascii="宋体" w:hAnsi="宋体" w:cs="宋体" w:eastAsia="宋体" w:hint="default"/>
                <w:sz w:val="28"/>
                <w:szCs w:val="28"/>
              </w:rPr>
              <w:t>、针对可能出现的完整性风险，</w:t>
            </w:r>
            <w:r>
              <w:rPr>
                <w:rFonts w:ascii="宋体" w:hAnsi="宋体" w:cs="宋体" w:eastAsia="宋体" w:hint="default"/>
                <w:w w:val="99"/>
                <w:sz w:val="28"/>
                <w:szCs w:val="28"/>
              </w:rPr>
              <w:t> </w:t>
            </w:r>
            <w:r>
              <w:rPr>
                <w:rFonts w:ascii="宋体" w:hAnsi="宋体" w:cs="宋体" w:eastAsia="宋体" w:hint="default"/>
                <w:spacing w:val="8"/>
                <w:sz w:val="28"/>
                <w:szCs w:val="28"/>
              </w:rPr>
              <w:t>我们实施了具有针对性的审计程</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序，包括但不限于：在增加收入</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完整性测试样本的基础上，针对</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资产负债表日前后确认的销售收</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入执行截止性测试，以评估销售</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31"/>
                <w:sz w:val="28"/>
                <w:szCs w:val="28"/>
              </w:rPr>
              <w:t>收入是否在恰当的会计期间确</w:t>
            </w:r>
          </w:p>
          <w:p>
            <w:pPr>
              <w:pStyle w:val="TableParagraph"/>
              <w:spacing w:line="240" w:lineRule="auto" w:before="64"/>
              <w:ind w:left="2" w:right="0"/>
              <w:jc w:val="left"/>
              <w:rPr>
                <w:rFonts w:ascii="宋体" w:hAnsi="宋体" w:cs="宋体" w:eastAsia="宋体" w:hint="default"/>
                <w:sz w:val="28"/>
                <w:szCs w:val="28"/>
              </w:rPr>
            </w:pPr>
            <w:r>
              <w:rPr>
                <w:rFonts w:ascii="宋体" w:hAnsi="宋体" w:cs="宋体" w:eastAsia="宋体" w:hint="default"/>
                <w:sz w:val="28"/>
                <w:szCs w:val="28"/>
              </w:rPr>
              <w:t>认。</w:t>
            </w:r>
          </w:p>
        </w:tc>
      </w:tr>
      <w:tr>
        <w:trPr>
          <w:trHeight w:val="659"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 w:right="0"/>
              <w:jc w:val="left"/>
              <w:rPr>
                <w:rFonts w:ascii="宋体" w:hAnsi="宋体" w:cs="宋体" w:eastAsia="宋体" w:hint="default"/>
                <w:sz w:val="28"/>
                <w:szCs w:val="28"/>
              </w:rPr>
            </w:pPr>
            <w:r>
              <w:rPr>
                <w:rFonts w:ascii="宋体" w:hAnsi="宋体" w:cs="宋体" w:eastAsia="宋体" w:hint="default"/>
                <w:b/>
                <w:bCs/>
                <w:sz w:val="28"/>
                <w:szCs w:val="28"/>
              </w:rPr>
              <w:t>（二）存货存在性及完整性</w:t>
            </w:r>
            <w:r>
              <w:rPr>
                <w:rFonts w:ascii="宋体" w:hAnsi="宋体" w:cs="宋体" w:eastAsia="宋体" w:hint="default"/>
                <w:sz w:val="28"/>
                <w:szCs w:val="28"/>
              </w:rPr>
            </w:r>
          </w:p>
        </w:tc>
      </w:tr>
      <w:tr>
        <w:trPr>
          <w:trHeight w:val="6901"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86" w:lineRule="auto" w:before="95"/>
              <w:ind w:left="2" w:right="4"/>
              <w:jc w:val="left"/>
              <w:rPr>
                <w:rFonts w:ascii="宋体" w:hAnsi="宋体" w:cs="宋体" w:eastAsia="宋体" w:hint="default"/>
                <w:sz w:val="28"/>
                <w:szCs w:val="28"/>
              </w:rPr>
            </w:pPr>
            <w:r>
              <w:rPr>
                <w:rFonts w:ascii="宋体" w:hAnsi="宋体" w:cs="宋体" w:eastAsia="宋体" w:hint="default"/>
                <w:spacing w:val="5"/>
                <w:sz w:val="28"/>
                <w:szCs w:val="28"/>
              </w:rPr>
              <w:t>请参阅财务报表</w:t>
            </w:r>
            <w:r>
              <w:rPr>
                <w:rFonts w:ascii="Times New Roman" w:hAnsi="Times New Roman" w:cs="Times New Roman" w:eastAsia="Times New Roman" w:hint="default"/>
                <w:spacing w:val="5"/>
                <w:sz w:val="28"/>
                <w:szCs w:val="28"/>
              </w:rPr>
              <w:t>“</w:t>
            </w:r>
            <w:r>
              <w:rPr>
                <w:rFonts w:ascii="宋体" w:hAnsi="宋体" w:cs="宋体" w:eastAsia="宋体" w:hint="default"/>
                <w:spacing w:val="5"/>
                <w:sz w:val="28"/>
                <w:szCs w:val="28"/>
              </w:rPr>
              <w:t>附注五、合并财</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务报表项目附注</w:t>
            </w:r>
            <w:r>
              <w:rPr>
                <w:rFonts w:ascii="Times New Roman" w:hAnsi="Times New Roman" w:cs="Times New Roman" w:eastAsia="Times New Roman" w:hint="default"/>
                <w:sz w:val="28"/>
                <w:szCs w:val="28"/>
              </w:rPr>
              <w:t>”</w:t>
            </w:r>
            <w:r>
              <w:rPr>
                <w:rFonts w:ascii="宋体" w:hAnsi="宋体" w:cs="宋体" w:eastAsia="宋体" w:hint="default"/>
                <w:sz w:val="28"/>
                <w:szCs w:val="28"/>
              </w:rPr>
              <w:t>注释（五）</w:t>
            </w:r>
            <w:r>
              <w:rPr>
                <w:rFonts w:ascii="宋体" w:hAnsi="宋体" w:cs="宋体" w:eastAsia="宋体" w:hint="default"/>
                <w:spacing w:val="-34"/>
                <w:sz w:val="28"/>
                <w:szCs w:val="28"/>
              </w:rPr>
              <w:t> </w:t>
            </w:r>
            <w:r>
              <w:rPr>
                <w:rFonts w:ascii="宋体" w:hAnsi="宋体" w:cs="宋体" w:eastAsia="宋体" w:hint="default"/>
                <w:sz w:val="28"/>
                <w:szCs w:val="28"/>
              </w:rPr>
              <w:t>。</w:t>
            </w: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398" w:lineRule="auto"/>
              <w:ind w:left="2" w:right="4"/>
              <w:jc w:val="left"/>
              <w:rPr>
                <w:rFonts w:ascii="宋体" w:hAnsi="宋体" w:cs="宋体" w:eastAsia="宋体" w:hint="default"/>
                <w:sz w:val="28"/>
                <w:szCs w:val="28"/>
              </w:rPr>
            </w:pPr>
            <w:r>
              <w:rPr>
                <w:rFonts w:ascii="宋体" w:hAnsi="宋体" w:cs="宋体" w:eastAsia="宋体" w:hint="default"/>
                <w:spacing w:val="-4"/>
                <w:sz w:val="28"/>
                <w:szCs w:val="28"/>
              </w:rPr>
              <w:t>于</w:t>
            </w:r>
            <w:r>
              <w:rPr>
                <w:rFonts w:ascii="Times New Roman" w:hAnsi="Times New Roman" w:cs="Times New Roman" w:eastAsia="Times New Roman" w:hint="default"/>
                <w:spacing w:val="-4"/>
                <w:sz w:val="28"/>
                <w:szCs w:val="28"/>
              </w:rPr>
              <w:t>2017</w:t>
            </w:r>
            <w:r>
              <w:rPr>
                <w:rFonts w:ascii="宋体" w:hAnsi="宋体" w:cs="宋体" w:eastAsia="宋体" w:hint="default"/>
                <w:spacing w:val="-4"/>
                <w:sz w:val="28"/>
                <w:szCs w:val="28"/>
              </w:rPr>
              <w:t>年</w:t>
            </w:r>
            <w:r>
              <w:rPr>
                <w:rFonts w:ascii="Times New Roman" w:hAnsi="Times New Roman" w:cs="Times New Roman" w:eastAsia="Times New Roman" w:hint="default"/>
                <w:spacing w:val="-4"/>
                <w:sz w:val="28"/>
                <w:szCs w:val="28"/>
              </w:rPr>
              <w:t>12</w:t>
            </w:r>
            <w:r>
              <w:rPr>
                <w:rFonts w:ascii="宋体" w:hAnsi="宋体" w:cs="宋体" w:eastAsia="宋体" w:hint="default"/>
                <w:spacing w:val="-4"/>
                <w:sz w:val="28"/>
                <w:szCs w:val="28"/>
              </w:rPr>
              <w:t>月</w:t>
            </w:r>
            <w:r>
              <w:rPr>
                <w:rFonts w:ascii="Times New Roman" w:hAnsi="Times New Roman" w:cs="Times New Roman" w:eastAsia="Times New Roman" w:hint="default"/>
                <w:spacing w:val="-4"/>
                <w:sz w:val="28"/>
                <w:szCs w:val="28"/>
              </w:rPr>
              <w:t>31</w:t>
            </w:r>
            <w:r>
              <w:rPr>
                <w:rFonts w:ascii="宋体" w:hAnsi="宋体" w:cs="宋体" w:eastAsia="宋体" w:hint="default"/>
                <w:spacing w:val="-4"/>
                <w:sz w:val="28"/>
                <w:szCs w:val="28"/>
              </w:rPr>
              <w:t>日，信息发展公司</w:t>
            </w:r>
            <w:r>
              <w:rPr>
                <w:rFonts w:ascii="宋体" w:hAnsi="宋体" w:cs="宋体" w:eastAsia="宋体" w:hint="default"/>
                <w:w w:val="99"/>
                <w:sz w:val="28"/>
                <w:szCs w:val="28"/>
              </w:rPr>
              <w:t> </w:t>
            </w:r>
            <w:r>
              <w:rPr>
                <w:rFonts w:ascii="宋体" w:hAnsi="宋体" w:cs="宋体" w:eastAsia="宋体" w:hint="default"/>
                <w:sz w:val="28"/>
                <w:szCs w:val="28"/>
              </w:rPr>
              <w:t>存货账面金额约为人民币</w:t>
            </w:r>
            <w:r>
              <w:rPr>
                <w:rFonts w:ascii="宋体" w:hAnsi="宋体" w:cs="宋体" w:eastAsia="宋体" w:hint="default"/>
                <w:w w:val="99"/>
                <w:sz w:val="28"/>
                <w:szCs w:val="28"/>
              </w:rPr>
              <w:t> </w:t>
            </w:r>
            <w:r>
              <w:rPr>
                <w:rFonts w:ascii="Times New Roman" w:hAnsi="Times New Roman" w:cs="Times New Roman" w:eastAsia="Times New Roman" w:hint="default"/>
                <w:spacing w:val="-4"/>
                <w:sz w:val="28"/>
                <w:szCs w:val="28"/>
              </w:rPr>
              <w:t>29,054.32</w:t>
            </w:r>
            <w:r>
              <w:rPr>
                <w:rFonts w:ascii="宋体" w:hAnsi="宋体" w:cs="宋体" w:eastAsia="宋体" w:hint="default"/>
                <w:spacing w:val="-4"/>
                <w:sz w:val="28"/>
                <w:szCs w:val="28"/>
              </w:rPr>
              <w:t>万元，约占集团总资产的</w:t>
            </w:r>
          </w:p>
          <w:p>
            <w:pPr>
              <w:pStyle w:val="TableParagraph"/>
              <w:spacing w:line="240" w:lineRule="auto" w:before="31"/>
              <w:ind w:left="2"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23.87%</w:t>
            </w:r>
            <w:r>
              <w:rPr>
                <w:rFonts w:ascii="宋体" w:hAnsi="宋体" w:cs="宋体" w:eastAsia="宋体" w:hint="default"/>
                <w:sz w:val="28"/>
                <w:szCs w:val="28"/>
              </w:rPr>
              <w:t>。</w:t>
            </w:r>
          </w:p>
          <w:p>
            <w:pPr>
              <w:pStyle w:val="TableParagraph"/>
              <w:spacing w:line="408" w:lineRule="auto" w:before="236"/>
              <w:ind w:left="2" w:right="-13"/>
              <w:jc w:val="both"/>
              <w:rPr>
                <w:rFonts w:ascii="宋体" w:hAnsi="宋体" w:cs="宋体" w:eastAsia="宋体" w:hint="default"/>
                <w:sz w:val="28"/>
                <w:szCs w:val="28"/>
              </w:rPr>
            </w:pPr>
            <w:r>
              <w:rPr>
                <w:rFonts w:ascii="宋体" w:hAnsi="宋体" w:cs="宋体" w:eastAsia="宋体" w:hint="default"/>
                <w:spacing w:val="16"/>
                <w:sz w:val="28"/>
                <w:szCs w:val="28"/>
              </w:rPr>
              <w:t>信息发展公司的存货主要是未完</w:t>
            </w:r>
            <w:r>
              <w:rPr>
                <w:rFonts w:ascii="宋体" w:hAnsi="宋体" w:cs="宋体" w:eastAsia="宋体" w:hint="default"/>
                <w:spacing w:val="16"/>
                <w:w w:val="99"/>
                <w:sz w:val="28"/>
                <w:szCs w:val="28"/>
              </w:rPr>
              <w:t> </w:t>
            </w:r>
            <w:r>
              <w:rPr>
                <w:rFonts w:ascii="宋体" w:hAnsi="宋体" w:cs="宋体" w:eastAsia="宋体" w:hint="default"/>
                <w:spacing w:val="-5"/>
                <w:sz w:val="28"/>
                <w:szCs w:val="28"/>
              </w:rPr>
              <w:t>工系统集成项目等，其存在性和完</w:t>
            </w:r>
            <w:r>
              <w:rPr>
                <w:rFonts w:ascii="宋体" w:hAnsi="宋体" w:cs="宋体" w:eastAsia="宋体" w:hint="default"/>
                <w:w w:val="99"/>
                <w:sz w:val="28"/>
                <w:szCs w:val="28"/>
              </w:rPr>
              <w:t> </w:t>
            </w:r>
            <w:r>
              <w:rPr>
                <w:rFonts w:ascii="宋体" w:hAnsi="宋体" w:cs="宋体" w:eastAsia="宋体" w:hint="default"/>
                <w:spacing w:val="-5"/>
                <w:sz w:val="28"/>
                <w:szCs w:val="28"/>
              </w:rPr>
              <w:t>整性存在重大错报风险，我们将信</w:t>
            </w:r>
          </w:p>
          <w:p>
            <w:pPr>
              <w:pStyle w:val="TableParagraph"/>
              <w:spacing w:line="240" w:lineRule="auto" w:before="61"/>
              <w:ind w:left="2" w:right="-13"/>
              <w:jc w:val="left"/>
              <w:rPr>
                <w:rFonts w:ascii="宋体" w:hAnsi="宋体" w:cs="宋体" w:eastAsia="宋体" w:hint="default"/>
                <w:sz w:val="28"/>
                <w:szCs w:val="28"/>
              </w:rPr>
            </w:pPr>
            <w:r>
              <w:rPr>
                <w:rFonts w:ascii="宋体" w:hAnsi="宋体" w:cs="宋体" w:eastAsia="宋体" w:hint="default"/>
                <w:spacing w:val="16"/>
                <w:sz w:val="28"/>
                <w:szCs w:val="28"/>
              </w:rPr>
              <w:t>息发展公司存货的存在性和完整</w:t>
            </w:r>
            <w:r>
              <w:rPr>
                <w:rFonts w:ascii="宋体" w:hAnsi="宋体" w:cs="宋体" w:eastAsia="宋体" w:hint="default"/>
                <w:sz w:val="28"/>
                <w:szCs w:val="28"/>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403" w:lineRule="auto" w:before="95"/>
              <w:ind w:left="2" w:right="5"/>
              <w:jc w:val="left"/>
              <w:rPr>
                <w:rFonts w:ascii="宋体" w:hAnsi="宋体" w:cs="宋体" w:eastAsia="宋体" w:hint="default"/>
                <w:sz w:val="28"/>
                <w:szCs w:val="28"/>
              </w:rPr>
            </w:pPr>
            <w:r>
              <w:rPr>
                <w:rFonts w:ascii="宋体" w:hAnsi="宋体" w:cs="宋体" w:eastAsia="宋体" w:hint="default"/>
                <w:spacing w:val="8"/>
                <w:sz w:val="28"/>
                <w:szCs w:val="28"/>
              </w:rPr>
              <w:t>我们就存货的存在性和完整性实</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施的审计程序包括：</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1</w:t>
            </w:r>
            <w:r>
              <w:rPr>
                <w:rFonts w:ascii="宋体" w:hAnsi="宋体" w:cs="宋体" w:eastAsia="宋体" w:hint="default"/>
                <w:w w:val="95"/>
                <w:sz w:val="28"/>
                <w:szCs w:val="28"/>
              </w:rPr>
              <w:t>、了解并测试信息发展公司存货</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pacing w:val="8"/>
                <w:sz w:val="28"/>
                <w:szCs w:val="28"/>
              </w:rPr>
              <w:t>管理的内部控制，包括采购和销</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售等；</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2</w:t>
            </w:r>
            <w:r>
              <w:rPr>
                <w:rFonts w:ascii="宋体" w:hAnsi="宋体" w:cs="宋体" w:eastAsia="宋体" w:hint="default"/>
                <w:w w:val="95"/>
                <w:sz w:val="28"/>
                <w:szCs w:val="28"/>
              </w:rPr>
              <w:t>、询问被审计单位除管理层和财</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pacing w:val="8"/>
                <w:sz w:val="28"/>
                <w:szCs w:val="28"/>
              </w:rPr>
              <w:t>务部门以外的其他人员，如营销</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人员、项目负责人等以了解有关</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存货的情况；</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3</w:t>
            </w:r>
            <w:r>
              <w:rPr>
                <w:rFonts w:ascii="宋体" w:hAnsi="宋体" w:cs="宋体" w:eastAsia="宋体" w:hint="default"/>
                <w:w w:val="95"/>
                <w:sz w:val="28"/>
                <w:szCs w:val="28"/>
              </w:rPr>
              <w:t>、对存货实施现场监盘和发函确</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z w:val="28"/>
                <w:szCs w:val="28"/>
              </w:rPr>
              <w:t>认等方法，评价存货的存在性；</w:t>
            </w:r>
          </w:p>
        </w:tc>
      </w:tr>
    </w:tbl>
    <w:p>
      <w:pPr>
        <w:spacing w:after="0" w:line="403"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154"/>
        <w:gridCol w:w="4070"/>
      </w:tblGrid>
      <w:tr>
        <w:trPr>
          <w:trHeight w:val="5651"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 w:right="0"/>
              <w:jc w:val="left"/>
              <w:rPr>
                <w:rFonts w:ascii="宋体" w:hAnsi="宋体" w:cs="宋体" w:eastAsia="宋体" w:hint="default"/>
                <w:sz w:val="28"/>
                <w:szCs w:val="28"/>
              </w:rPr>
            </w:pPr>
            <w:r>
              <w:rPr>
                <w:rFonts w:ascii="宋体" w:hAnsi="宋体" w:cs="宋体" w:eastAsia="宋体" w:hint="default"/>
                <w:sz w:val="28"/>
                <w:szCs w:val="28"/>
              </w:rPr>
              <w:t>性识别为关键审计事项。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400" w:lineRule="auto" w:before="95"/>
              <w:ind w:left="2" w:right="4"/>
              <w:jc w:val="both"/>
              <w:rPr>
                <w:rFonts w:ascii="宋体" w:hAnsi="宋体" w:cs="宋体" w:eastAsia="宋体" w:hint="default"/>
                <w:sz w:val="28"/>
                <w:szCs w:val="28"/>
              </w:rPr>
            </w:pPr>
            <w:r>
              <w:rPr>
                <w:rFonts w:ascii="Times New Roman" w:hAnsi="Times New Roman" w:cs="Times New Roman" w:eastAsia="Times New Roman" w:hint="default"/>
                <w:w w:val="95"/>
                <w:sz w:val="28"/>
                <w:szCs w:val="28"/>
              </w:rPr>
              <w:t>4</w:t>
            </w:r>
            <w:r>
              <w:rPr>
                <w:rFonts w:ascii="宋体" w:hAnsi="宋体" w:cs="宋体" w:eastAsia="宋体" w:hint="default"/>
                <w:w w:val="95"/>
                <w:sz w:val="28"/>
                <w:szCs w:val="28"/>
              </w:rPr>
              <w:t>、分析存货的构成内容，并与相</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pacing w:val="8"/>
                <w:sz w:val="28"/>
                <w:szCs w:val="28"/>
              </w:rPr>
              <w:t>关项目合同勾稽，判断已执行和</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正在执行的项目成本是否已正确</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归集；</w:t>
            </w:r>
          </w:p>
          <w:p>
            <w:pPr>
              <w:pStyle w:val="TableParagraph"/>
              <w:spacing w:line="400" w:lineRule="auto" w:before="70"/>
              <w:ind w:left="2" w:right="6"/>
              <w:jc w:val="both"/>
              <w:rPr>
                <w:rFonts w:ascii="宋体" w:hAnsi="宋体" w:cs="宋体" w:eastAsia="宋体" w:hint="default"/>
                <w:sz w:val="28"/>
                <w:szCs w:val="28"/>
              </w:rPr>
            </w:pPr>
            <w:r>
              <w:rPr>
                <w:rFonts w:ascii="Times New Roman" w:hAnsi="Times New Roman" w:cs="Times New Roman" w:eastAsia="Times New Roman" w:hint="default"/>
                <w:spacing w:val="19"/>
                <w:sz w:val="28"/>
                <w:szCs w:val="28"/>
              </w:rPr>
              <w:t>5</w:t>
            </w:r>
            <w:r>
              <w:rPr>
                <w:rFonts w:ascii="宋体" w:hAnsi="宋体" w:cs="宋体" w:eastAsia="宋体" w:hint="default"/>
                <w:spacing w:val="19"/>
                <w:sz w:val="28"/>
                <w:szCs w:val="28"/>
              </w:rPr>
              <w:t>、对期末按项目归集的存货成</w:t>
            </w:r>
            <w:r>
              <w:rPr>
                <w:rFonts w:ascii="宋体" w:hAnsi="宋体" w:cs="宋体" w:eastAsia="宋体" w:hint="default"/>
                <w:w w:val="99"/>
                <w:sz w:val="28"/>
                <w:szCs w:val="28"/>
              </w:rPr>
              <w:t> </w:t>
            </w:r>
            <w:r>
              <w:rPr>
                <w:rFonts w:ascii="宋体" w:hAnsi="宋体" w:cs="宋体" w:eastAsia="宋体" w:hint="default"/>
                <w:spacing w:val="8"/>
                <w:sz w:val="28"/>
                <w:szCs w:val="28"/>
              </w:rPr>
              <w:t>本，比较相关的已签约但尚未达</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8"/>
                <w:sz w:val="28"/>
                <w:szCs w:val="28"/>
              </w:rPr>
              <w:t>到收入确认条件的合同金额，以</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判断存货的存在性和完整性。</w:t>
            </w:r>
          </w:p>
        </w:tc>
      </w:tr>
      <w:tr>
        <w:trPr>
          <w:trHeight w:val="659"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 w:right="0"/>
              <w:jc w:val="left"/>
              <w:rPr>
                <w:rFonts w:ascii="宋体" w:hAnsi="宋体" w:cs="宋体" w:eastAsia="宋体" w:hint="default"/>
                <w:sz w:val="28"/>
                <w:szCs w:val="28"/>
              </w:rPr>
            </w:pPr>
            <w:r>
              <w:rPr>
                <w:rFonts w:ascii="宋体" w:hAnsi="宋体" w:cs="宋体" w:eastAsia="宋体" w:hint="default"/>
                <w:b/>
                <w:bCs/>
                <w:sz w:val="28"/>
                <w:szCs w:val="28"/>
              </w:rPr>
              <w:t>（三）应收账款的可收回性</w:t>
            </w:r>
            <w:r>
              <w:rPr>
                <w:rFonts w:ascii="宋体" w:hAnsi="宋体" w:cs="宋体" w:eastAsia="宋体" w:hint="default"/>
                <w:sz w:val="28"/>
                <w:szCs w:val="28"/>
              </w:rPr>
            </w:r>
          </w:p>
        </w:tc>
      </w:tr>
      <w:tr>
        <w:trPr>
          <w:trHeight w:val="752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86" w:lineRule="auto" w:before="95"/>
              <w:ind w:left="2" w:right="0"/>
              <w:jc w:val="both"/>
              <w:rPr>
                <w:rFonts w:ascii="宋体" w:hAnsi="宋体" w:cs="宋体" w:eastAsia="宋体" w:hint="default"/>
                <w:sz w:val="28"/>
                <w:szCs w:val="28"/>
              </w:rPr>
            </w:pPr>
            <w:r>
              <w:rPr>
                <w:rFonts w:ascii="宋体" w:hAnsi="宋体" w:cs="宋体" w:eastAsia="宋体" w:hint="default"/>
                <w:spacing w:val="5"/>
                <w:sz w:val="28"/>
                <w:szCs w:val="28"/>
              </w:rPr>
              <w:t>请参阅财务报表附注</w:t>
            </w:r>
            <w:r>
              <w:rPr>
                <w:rFonts w:ascii="Times New Roman" w:hAnsi="Times New Roman" w:cs="Times New Roman" w:eastAsia="Times New Roman" w:hint="default"/>
                <w:spacing w:val="5"/>
                <w:sz w:val="28"/>
                <w:szCs w:val="28"/>
              </w:rPr>
              <w:t>“</w:t>
            </w:r>
            <w:r>
              <w:rPr>
                <w:rFonts w:ascii="宋体" w:hAnsi="宋体" w:cs="宋体" w:eastAsia="宋体" w:hint="default"/>
                <w:spacing w:val="5"/>
                <w:sz w:val="28"/>
                <w:szCs w:val="28"/>
              </w:rPr>
              <w:t>三、公司重</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要会计政策、会计估计</w:t>
            </w:r>
            <w:r>
              <w:rPr>
                <w:rFonts w:ascii="Times New Roman" w:hAnsi="Times New Roman" w:cs="Times New Roman" w:eastAsia="Times New Roman" w:hint="default"/>
                <w:sz w:val="28"/>
                <w:szCs w:val="28"/>
              </w:rPr>
              <w:t>”</w:t>
            </w:r>
            <w:r>
              <w:rPr>
                <w:rFonts w:ascii="宋体" w:hAnsi="宋体" w:cs="宋体" w:eastAsia="宋体" w:hint="default"/>
                <w:sz w:val="28"/>
                <w:szCs w:val="28"/>
              </w:rPr>
              <w:t>注释</w:t>
            </w:r>
            <w:r>
              <w:rPr>
                <w:rFonts w:ascii="宋体" w:hAnsi="宋体" w:cs="宋体" w:eastAsia="宋体" w:hint="default"/>
                <w:spacing w:val="-52"/>
                <w:sz w:val="28"/>
                <w:szCs w:val="28"/>
              </w:rPr>
              <w:t> </w:t>
            </w:r>
            <w:r>
              <w:rPr>
                <w:rFonts w:ascii="宋体" w:hAnsi="宋体" w:cs="宋体" w:eastAsia="宋体" w:hint="default"/>
                <w:sz w:val="28"/>
                <w:szCs w:val="28"/>
              </w:rPr>
              <w:t>九所</w:t>
            </w:r>
            <w:r>
              <w:rPr>
                <w:rFonts w:ascii="宋体" w:hAnsi="宋体" w:cs="宋体" w:eastAsia="宋体" w:hint="default"/>
                <w:spacing w:val="1"/>
                <w:w w:val="99"/>
                <w:sz w:val="28"/>
                <w:szCs w:val="28"/>
              </w:rPr>
              <w:t> </w:t>
            </w:r>
            <w:r>
              <w:rPr>
                <w:rFonts w:ascii="宋体" w:hAnsi="宋体" w:cs="宋体" w:eastAsia="宋体" w:hint="default"/>
                <w:spacing w:val="5"/>
                <w:sz w:val="28"/>
                <w:szCs w:val="28"/>
              </w:rPr>
              <w:t>述的会计政策及</w:t>
            </w:r>
            <w:r>
              <w:rPr>
                <w:rFonts w:ascii="Times New Roman" w:hAnsi="Times New Roman" w:cs="Times New Roman" w:eastAsia="Times New Roman" w:hint="default"/>
                <w:spacing w:val="5"/>
                <w:sz w:val="28"/>
                <w:szCs w:val="28"/>
              </w:rPr>
              <w:t>“</w:t>
            </w:r>
            <w:r>
              <w:rPr>
                <w:rFonts w:ascii="宋体" w:hAnsi="宋体" w:cs="宋体" w:eastAsia="宋体" w:hint="default"/>
                <w:spacing w:val="5"/>
                <w:sz w:val="28"/>
                <w:szCs w:val="28"/>
              </w:rPr>
              <w:t>五、合并财务报</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表项目附注</w:t>
            </w:r>
            <w:r>
              <w:rPr>
                <w:rFonts w:ascii="Times New Roman" w:hAnsi="Times New Roman" w:cs="Times New Roman" w:eastAsia="Times New Roman" w:hint="default"/>
                <w:sz w:val="28"/>
                <w:szCs w:val="28"/>
              </w:rPr>
              <w:t>”</w:t>
            </w:r>
            <w:r>
              <w:rPr>
                <w:rFonts w:ascii="宋体" w:hAnsi="宋体" w:cs="宋体" w:eastAsia="宋体" w:hint="default"/>
                <w:sz w:val="28"/>
                <w:szCs w:val="28"/>
              </w:rPr>
              <w:t>注释（二）。</w:t>
            </w: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393" w:lineRule="auto"/>
              <w:ind w:left="2" w:right="-13"/>
              <w:jc w:val="both"/>
              <w:rPr>
                <w:rFonts w:ascii="宋体" w:hAnsi="宋体" w:cs="宋体" w:eastAsia="宋体" w:hint="default"/>
                <w:sz w:val="28"/>
                <w:szCs w:val="28"/>
              </w:rPr>
            </w:pPr>
            <w:r>
              <w:rPr>
                <w:rFonts w:ascii="宋体" w:hAnsi="宋体" w:cs="宋体" w:eastAsia="宋体" w:hint="default"/>
                <w:spacing w:val="-4"/>
                <w:sz w:val="28"/>
                <w:szCs w:val="28"/>
              </w:rPr>
              <w:t>于</w:t>
            </w:r>
            <w:r>
              <w:rPr>
                <w:rFonts w:ascii="Times New Roman" w:hAnsi="Times New Roman" w:cs="Times New Roman" w:eastAsia="Times New Roman" w:hint="default"/>
                <w:spacing w:val="-4"/>
                <w:sz w:val="28"/>
                <w:szCs w:val="28"/>
              </w:rPr>
              <w:t>2017</w:t>
            </w:r>
            <w:r>
              <w:rPr>
                <w:rFonts w:ascii="宋体" w:hAnsi="宋体" w:cs="宋体" w:eastAsia="宋体" w:hint="default"/>
                <w:spacing w:val="-4"/>
                <w:sz w:val="28"/>
                <w:szCs w:val="28"/>
              </w:rPr>
              <w:t>年</w:t>
            </w:r>
            <w:r>
              <w:rPr>
                <w:rFonts w:ascii="Times New Roman" w:hAnsi="Times New Roman" w:cs="Times New Roman" w:eastAsia="Times New Roman" w:hint="default"/>
                <w:spacing w:val="-4"/>
                <w:sz w:val="28"/>
                <w:szCs w:val="28"/>
              </w:rPr>
              <w:t>12</w:t>
            </w:r>
            <w:r>
              <w:rPr>
                <w:rFonts w:ascii="宋体" w:hAnsi="宋体" w:cs="宋体" w:eastAsia="宋体" w:hint="default"/>
                <w:spacing w:val="-4"/>
                <w:sz w:val="28"/>
                <w:szCs w:val="28"/>
              </w:rPr>
              <w:t>月</w:t>
            </w:r>
            <w:r>
              <w:rPr>
                <w:rFonts w:ascii="Times New Roman" w:hAnsi="Times New Roman" w:cs="Times New Roman" w:eastAsia="Times New Roman" w:hint="default"/>
                <w:spacing w:val="-4"/>
                <w:sz w:val="28"/>
                <w:szCs w:val="28"/>
              </w:rPr>
              <w:t>31</w:t>
            </w:r>
            <w:r>
              <w:rPr>
                <w:rFonts w:ascii="宋体" w:hAnsi="宋体" w:cs="宋体" w:eastAsia="宋体" w:hint="default"/>
                <w:spacing w:val="-4"/>
                <w:sz w:val="28"/>
                <w:szCs w:val="28"/>
              </w:rPr>
              <w:t>日，信息发展公司</w:t>
            </w:r>
            <w:r>
              <w:rPr>
                <w:rFonts w:ascii="宋体" w:hAnsi="宋体" w:cs="宋体" w:eastAsia="宋体" w:hint="default"/>
                <w:w w:val="99"/>
                <w:sz w:val="28"/>
                <w:szCs w:val="28"/>
              </w:rPr>
              <w:t> </w:t>
            </w:r>
            <w:r>
              <w:rPr>
                <w:rFonts w:ascii="宋体" w:hAnsi="宋体" w:cs="宋体" w:eastAsia="宋体" w:hint="default"/>
                <w:spacing w:val="16"/>
                <w:sz w:val="28"/>
                <w:szCs w:val="28"/>
              </w:rPr>
              <w:t>合并财务报表中应收账款的原值</w:t>
            </w:r>
            <w:r>
              <w:rPr>
                <w:rFonts w:ascii="宋体" w:hAnsi="宋体" w:cs="宋体" w:eastAsia="宋体" w:hint="default"/>
                <w:spacing w:val="16"/>
                <w:w w:val="99"/>
                <w:sz w:val="28"/>
                <w:szCs w:val="28"/>
              </w:rPr>
              <w:t> </w:t>
            </w:r>
            <w:r>
              <w:rPr>
                <w:rFonts w:ascii="宋体" w:hAnsi="宋体" w:cs="宋体" w:eastAsia="宋体" w:hint="default"/>
                <w:sz w:val="28"/>
                <w:szCs w:val="28"/>
              </w:rPr>
              <w:t>为</w:t>
            </w:r>
            <w:r>
              <w:rPr>
                <w:rFonts w:ascii="宋体" w:hAnsi="宋体" w:cs="宋体" w:eastAsia="宋体" w:hint="default"/>
                <w:spacing w:val="-86"/>
                <w:sz w:val="28"/>
                <w:szCs w:val="28"/>
              </w:rPr>
              <w:t> </w:t>
            </w:r>
            <w:r>
              <w:rPr>
                <w:rFonts w:ascii="Times New Roman" w:hAnsi="Times New Roman" w:cs="Times New Roman" w:eastAsia="Times New Roman" w:hint="default"/>
                <w:sz w:val="28"/>
                <w:szCs w:val="28"/>
              </w:rPr>
              <w:t>35,966.06</w:t>
            </w:r>
            <w:r>
              <w:rPr>
                <w:rFonts w:ascii="Times New Roman" w:hAnsi="Times New Roman" w:cs="Times New Roman" w:eastAsia="Times New Roman" w:hint="default"/>
                <w:spacing w:val="-14"/>
                <w:sz w:val="28"/>
                <w:szCs w:val="28"/>
              </w:rPr>
              <w:t> </w:t>
            </w:r>
            <w:r>
              <w:rPr>
                <w:rFonts w:ascii="宋体" w:hAnsi="宋体" w:cs="宋体" w:eastAsia="宋体" w:hint="default"/>
                <w:sz w:val="28"/>
                <w:szCs w:val="28"/>
              </w:rPr>
              <w:t>万</w:t>
            </w:r>
            <w:r>
              <w:rPr>
                <w:rFonts w:ascii="宋体" w:hAnsi="宋体" w:cs="宋体" w:eastAsia="宋体" w:hint="default"/>
                <w:spacing w:val="-87"/>
                <w:sz w:val="28"/>
                <w:szCs w:val="28"/>
              </w:rPr>
              <w:t> </w:t>
            </w:r>
            <w:r>
              <w:rPr>
                <w:rFonts w:ascii="宋体" w:hAnsi="宋体" w:cs="宋体" w:eastAsia="宋体" w:hint="default"/>
                <w:sz w:val="28"/>
                <w:szCs w:val="28"/>
              </w:rPr>
              <w:t>元</w:t>
            </w:r>
            <w:r>
              <w:rPr>
                <w:rFonts w:ascii="宋体" w:hAnsi="宋体" w:cs="宋体" w:eastAsia="宋体" w:hint="default"/>
                <w:spacing w:val="-88"/>
                <w:sz w:val="28"/>
                <w:szCs w:val="28"/>
              </w:rPr>
              <w:t> </w:t>
            </w:r>
            <w:r>
              <w:rPr>
                <w:rFonts w:ascii="宋体" w:hAnsi="宋体" w:cs="宋体" w:eastAsia="宋体" w:hint="default"/>
                <w:sz w:val="28"/>
                <w:szCs w:val="28"/>
              </w:rPr>
              <w:t>，</w:t>
            </w:r>
            <w:r>
              <w:rPr>
                <w:rFonts w:ascii="宋体" w:hAnsi="宋体" w:cs="宋体" w:eastAsia="宋体" w:hint="default"/>
                <w:spacing w:val="-87"/>
                <w:sz w:val="28"/>
                <w:szCs w:val="28"/>
              </w:rPr>
              <w:t> </w:t>
            </w:r>
            <w:r>
              <w:rPr>
                <w:rFonts w:ascii="宋体" w:hAnsi="宋体" w:cs="宋体" w:eastAsia="宋体" w:hint="default"/>
                <w:sz w:val="28"/>
                <w:szCs w:val="28"/>
              </w:rPr>
              <w:t>坏</w:t>
            </w:r>
            <w:r>
              <w:rPr>
                <w:rFonts w:ascii="宋体" w:hAnsi="宋体" w:cs="宋体" w:eastAsia="宋体" w:hint="default"/>
                <w:spacing w:val="-87"/>
                <w:sz w:val="28"/>
                <w:szCs w:val="28"/>
              </w:rPr>
              <w:t> </w:t>
            </w:r>
            <w:r>
              <w:rPr>
                <w:rFonts w:ascii="宋体" w:hAnsi="宋体" w:cs="宋体" w:eastAsia="宋体" w:hint="default"/>
                <w:sz w:val="28"/>
                <w:szCs w:val="28"/>
              </w:rPr>
              <w:t>账</w:t>
            </w:r>
            <w:r>
              <w:rPr>
                <w:rFonts w:ascii="宋体" w:hAnsi="宋体" w:cs="宋体" w:eastAsia="宋体" w:hint="default"/>
                <w:spacing w:val="-87"/>
                <w:sz w:val="28"/>
                <w:szCs w:val="28"/>
              </w:rPr>
              <w:t> </w:t>
            </w:r>
            <w:r>
              <w:rPr>
                <w:rFonts w:ascii="宋体" w:hAnsi="宋体" w:cs="宋体" w:eastAsia="宋体" w:hint="default"/>
                <w:sz w:val="28"/>
                <w:szCs w:val="28"/>
              </w:rPr>
              <w:t>准</w:t>
            </w:r>
            <w:r>
              <w:rPr>
                <w:rFonts w:ascii="宋体" w:hAnsi="宋体" w:cs="宋体" w:eastAsia="宋体" w:hint="default"/>
                <w:spacing w:val="-87"/>
                <w:sz w:val="28"/>
                <w:szCs w:val="28"/>
              </w:rPr>
              <w:t> </w:t>
            </w:r>
            <w:r>
              <w:rPr>
                <w:rFonts w:ascii="宋体" w:hAnsi="宋体" w:cs="宋体" w:eastAsia="宋体" w:hint="default"/>
                <w:sz w:val="28"/>
                <w:szCs w:val="28"/>
              </w:rPr>
              <w:t>备</w:t>
            </w:r>
            <w:r>
              <w:rPr>
                <w:rFonts w:ascii="宋体" w:hAnsi="宋体" w:cs="宋体" w:eastAsia="宋体" w:hint="default"/>
                <w:spacing w:val="-87"/>
                <w:sz w:val="28"/>
                <w:szCs w:val="28"/>
              </w:rPr>
              <w:t> </w:t>
            </w:r>
            <w:r>
              <w:rPr>
                <w:rFonts w:ascii="宋体" w:hAnsi="宋体" w:cs="宋体" w:eastAsia="宋体" w:hint="default"/>
                <w:sz w:val="28"/>
                <w:szCs w:val="28"/>
              </w:rPr>
              <w:t>为</w:t>
            </w:r>
            <w:r>
              <w:rPr>
                <w:rFonts w:ascii="宋体" w:hAnsi="宋体" w:cs="宋体" w:eastAsia="宋体" w:hint="default"/>
                <w:w w:val="99"/>
                <w:sz w:val="28"/>
                <w:szCs w:val="28"/>
              </w:rPr>
              <w:t> </w:t>
            </w:r>
            <w:r>
              <w:rPr>
                <w:rFonts w:ascii="Times New Roman" w:hAnsi="Times New Roman" w:cs="Times New Roman" w:eastAsia="Times New Roman" w:hint="default"/>
                <w:sz w:val="28"/>
                <w:szCs w:val="28"/>
              </w:rPr>
              <w:t>4,101.32</w:t>
            </w:r>
            <w:r>
              <w:rPr>
                <w:rFonts w:ascii="宋体" w:hAnsi="宋体" w:cs="宋体" w:eastAsia="宋体" w:hint="default"/>
                <w:sz w:val="28"/>
                <w:szCs w:val="28"/>
              </w:rPr>
              <w:t>万元。</w:t>
            </w:r>
          </w:p>
          <w:p>
            <w:pPr>
              <w:pStyle w:val="TableParagraph"/>
              <w:spacing w:line="240" w:lineRule="auto" w:before="38"/>
              <w:ind w:left="2" w:right="0"/>
              <w:jc w:val="both"/>
              <w:rPr>
                <w:rFonts w:ascii="宋体" w:hAnsi="宋体" w:cs="宋体" w:eastAsia="宋体" w:hint="default"/>
                <w:sz w:val="28"/>
                <w:szCs w:val="28"/>
              </w:rPr>
            </w:pPr>
            <w:r>
              <w:rPr>
                <w:rFonts w:ascii="宋体" w:hAnsi="宋体" w:cs="宋体" w:eastAsia="宋体" w:hint="default"/>
                <w:sz w:val="28"/>
                <w:szCs w:val="28"/>
              </w:rPr>
              <w:t>由于信息发展公司管理层在确定</w:t>
            </w:r>
          </w:p>
          <w:p>
            <w:pPr>
              <w:pStyle w:val="TableParagraph"/>
              <w:spacing w:line="620" w:lineRule="atLeast" w:before="4"/>
              <w:ind w:left="2" w:right="5"/>
              <w:jc w:val="both"/>
              <w:rPr>
                <w:rFonts w:ascii="宋体" w:hAnsi="宋体" w:cs="宋体" w:eastAsia="宋体" w:hint="default"/>
                <w:sz w:val="28"/>
                <w:szCs w:val="28"/>
              </w:rPr>
            </w:pPr>
            <w:r>
              <w:rPr>
                <w:rFonts w:ascii="宋体" w:hAnsi="宋体" w:cs="宋体" w:eastAsia="宋体" w:hint="default"/>
                <w:sz w:val="28"/>
                <w:szCs w:val="28"/>
              </w:rPr>
              <w:t>应收账款预计可收回金额时需要</w:t>
            </w:r>
            <w:r>
              <w:rPr>
                <w:rFonts w:ascii="宋体" w:hAnsi="宋体" w:cs="宋体" w:eastAsia="宋体" w:hint="default"/>
                <w:w w:val="99"/>
                <w:sz w:val="28"/>
                <w:szCs w:val="28"/>
              </w:rPr>
              <w:t> </w:t>
            </w:r>
            <w:r>
              <w:rPr>
                <w:rFonts w:ascii="宋体" w:hAnsi="宋体" w:cs="宋体" w:eastAsia="宋体" w:hint="default"/>
                <w:spacing w:val="-5"/>
                <w:sz w:val="28"/>
                <w:szCs w:val="28"/>
              </w:rPr>
              <w:t>运用重大会计估计和判断，且影响</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95"/>
              <w:ind w:left="2" w:right="8"/>
              <w:jc w:val="left"/>
              <w:rPr>
                <w:rFonts w:ascii="宋体" w:hAnsi="宋体" w:cs="宋体" w:eastAsia="宋体" w:hint="default"/>
                <w:sz w:val="28"/>
                <w:szCs w:val="28"/>
              </w:rPr>
            </w:pPr>
            <w:r>
              <w:rPr>
                <w:rFonts w:ascii="宋体" w:hAnsi="宋体" w:cs="宋体" w:eastAsia="宋体" w:hint="default"/>
                <w:spacing w:val="8"/>
                <w:sz w:val="28"/>
                <w:szCs w:val="28"/>
              </w:rPr>
              <w:t>我们就应收账款的可收回性实施</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的审计程序</w:t>
            </w:r>
          </w:p>
          <w:p>
            <w:pPr>
              <w:pStyle w:val="TableParagraph"/>
              <w:spacing w:line="400" w:lineRule="auto" w:before="61"/>
              <w:ind w:left="2" w:right="3"/>
              <w:jc w:val="left"/>
              <w:rPr>
                <w:rFonts w:ascii="宋体" w:hAnsi="宋体" w:cs="宋体" w:eastAsia="宋体" w:hint="default"/>
                <w:sz w:val="28"/>
                <w:szCs w:val="28"/>
              </w:rPr>
            </w:pPr>
            <w:r>
              <w:rPr>
                <w:rFonts w:ascii="宋体" w:hAnsi="宋体" w:cs="宋体" w:eastAsia="宋体" w:hint="default"/>
                <w:sz w:val="28"/>
                <w:szCs w:val="28"/>
              </w:rPr>
              <w:t>包括：</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1</w:t>
            </w:r>
            <w:r>
              <w:rPr>
                <w:rFonts w:ascii="宋体" w:hAnsi="宋体" w:cs="宋体" w:eastAsia="宋体" w:hint="default"/>
                <w:w w:val="95"/>
                <w:sz w:val="28"/>
                <w:szCs w:val="28"/>
              </w:rPr>
              <w:t>、了解、评估并测试管理层对应</w:t>
            </w:r>
            <w:r>
              <w:rPr>
                <w:rFonts w:ascii="宋体" w:hAnsi="宋体" w:cs="宋体" w:eastAsia="宋体" w:hint="default"/>
                <w:spacing w:val="52"/>
                <w:w w:val="95"/>
                <w:sz w:val="28"/>
                <w:szCs w:val="28"/>
              </w:rPr>
              <w:t> </w:t>
            </w:r>
            <w:r>
              <w:rPr>
                <w:rFonts w:ascii="宋体" w:hAnsi="宋体" w:cs="宋体" w:eastAsia="宋体" w:hint="default"/>
                <w:spacing w:val="52"/>
                <w:w w:val="95"/>
                <w:sz w:val="28"/>
                <w:szCs w:val="28"/>
              </w:rPr>
            </w:r>
            <w:r>
              <w:rPr>
                <w:rFonts w:ascii="宋体" w:hAnsi="宋体" w:cs="宋体" w:eastAsia="宋体" w:hint="default"/>
                <w:sz w:val="28"/>
                <w:szCs w:val="28"/>
              </w:rPr>
              <w:t>收账款账龄分析以及确定应收账</w:t>
            </w:r>
            <w:r>
              <w:rPr>
                <w:rFonts w:ascii="宋体" w:hAnsi="宋体" w:cs="宋体" w:eastAsia="宋体" w:hint="default"/>
                <w:w w:val="99"/>
                <w:sz w:val="28"/>
                <w:szCs w:val="28"/>
              </w:rPr>
              <w:t> </w:t>
            </w:r>
            <w:r>
              <w:rPr>
                <w:rFonts w:ascii="宋体" w:hAnsi="宋体" w:cs="宋体" w:eastAsia="宋体" w:hint="default"/>
                <w:sz w:val="28"/>
                <w:szCs w:val="28"/>
              </w:rPr>
              <w:t>款坏账准备相关的内部控制；</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2</w:t>
            </w:r>
            <w:r>
              <w:rPr>
                <w:rFonts w:ascii="宋体" w:hAnsi="宋体" w:cs="宋体" w:eastAsia="宋体" w:hint="default"/>
                <w:w w:val="95"/>
                <w:sz w:val="28"/>
                <w:szCs w:val="28"/>
              </w:rPr>
              <w:t>、复核管理层对应收账款进行减</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z w:val="28"/>
                <w:szCs w:val="28"/>
              </w:rPr>
              <w:t>值测试的相关考虑及客观证据，</w:t>
            </w:r>
            <w:r>
              <w:rPr>
                <w:rFonts w:ascii="宋体" w:hAnsi="宋体" w:cs="宋体" w:eastAsia="宋体" w:hint="default"/>
                <w:w w:val="99"/>
                <w:sz w:val="28"/>
                <w:szCs w:val="28"/>
              </w:rPr>
              <w:t> </w:t>
            </w:r>
            <w:r>
              <w:rPr>
                <w:rFonts w:ascii="宋体" w:hAnsi="宋体" w:cs="宋体" w:eastAsia="宋体" w:hint="default"/>
                <w:sz w:val="28"/>
                <w:szCs w:val="28"/>
              </w:rPr>
              <w:t>关注管理层是否充分识别已发生</w:t>
            </w:r>
            <w:r>
              <w:rPr>
                <w:rFonts w:ascii="宋体" w:hAnsi="宋体" w:cs="宋体" w:eastAsia="宋体" w:hint="default"/>
                <w:w w:val="99"/>
                <w:sz w:val="28"/>
                <w:szCs w:val="28"/>
              </w:rPr>
              <w:t> </w:t>
            </w:r>
            <w:r>
              <w:rPr>
                <w:rFonts w:ascii="宋体" w:hAnsi="宋体" w:cs="宋体" w:eastAsia="宋体" w:hint="default"/>
                <w:sz w:val="28"/>
                <w:szCs w:val="28"/>
              </w:rPr>
              <w:t>减值的项目；</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3</w:t>
            </w:r>
            <w:r>
              <w:rPr>
                <w:rFonts w:ascii="宋体" w:hAnsi="宋体" w:cs="宋体" w:eastAsia="宋体" w:hint="default"/>
                <w:w w:val="95"/>
                <w:sz w:val="28"/>
                <w:szCs w:val="28"/>
              </w:rPr>
              <w:t>、对于管理层按照信用风险特征</w:t>
            </w:r>
            <w:r>
              <w:rPr>
                <w:rFonts w:ascii="宋体" w:hAnsi="宋体" w:cs="宋体" w:eastAsia="宋体" w:hint="default"/>
                <w:spacing w:val="53"/>
                <w:w w:val="95"/>
                <w:sz w:val="28"/>
                <w:szCs w:val="28"/>
              </w:rPr>
              <w:t> </w:t>
            </w:r>
            <w:r>
              <w:rPr>
                <w:rFonts w:ascii="宋体" w:hAnsi="宋体" w:cs="宋体" w:eastAsia="宋体" w:hint="default"/>
                <w:spacing w:val="53"/>
                <w:w w:val="95"/>
                <w:sz w:val="28"/>
                <w:szCs w:val="28"/>
              </w:rPr>
            </w:r>
            <w:r>
              <w:rPr>
                <w:rFonts w:ascii="宋体" w:hAnsi="宋体" w:cs="宋体" w:eastAsia="宋体" w:hint="default"/>
                <w:sz w:val="28"/>
                <w:szCs w:val="28"/>
              </w:rPr>
              <w:t>组合计提坏账准备的应收账款，</w:t>
            </w:r>
          </w:p>
        </w:tc>
      </w:tr>
    </w:tbl>
    <w:p>
      <w:pPr>
        <w:spacing w:after="0" w:line="400"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154"/>
        <w:gridCol w:w="4070"/>
      </w:tblGrid>
      <w:tr>
        <w:trPr>
          <w:trHeight w:val="3780"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95"/>
              <w:ind w:left="2" w:right="5"/>
              <w:jc w:val="left"/>
              <w:rPr>
                <w:rFonts w:ascii="宋体" w:hAnsi="宋体" w:cs="宋体" w:eastAsia="宋体" w:hint="default"/>
                <w:sz w:val="28"/>
                <w:szCs w:val="28"/>
              </w:rPr>
            </w:pPr>
            <w:r>
              <w:rPr>
                <w:rFonts w:ascii="宋体" w:hAnsi="宋体" w:cs="宋体" w:eastAsia="宋体" w:hint="default"/>
                <w:spacing w:val="-5"/>
                <w:sz w:val="28"/>
                <w:szCs w:val="28"/>
              </w:rPr>
              <w:t>金额重大，为此我们确定应收账款</w:t>
            </w:r>
            <w:r>
              <w:rPr>
                <w:rFonts w:ascii="宋体" w:hAnsi="宋体" w:cs="宋体" w:eastAsia="宋体" w:hint="default"/>
                <w:w w:val="99"/>
                <w:sz w:val="28"/>
                <w:szCs w:val="28"/>
              </w:rPr>
              <w:t> </w:t>
            </w:r>
            <w:r>
              <w:rPr>
                <w:rFonts w:ascii="宋体" w:hAnsi="宋体" w:cs="宋体" w:eastAsia="宋体" w:hint="default"/>
                <w:sz w:val="28"/>
                <w:szCs w:val="28"/>
              </w:rPr>
              <w:t>的可收回性为关键审计事项。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400" w:lineRule="auto" w:before="95"/>
              <w:ind w:left="2" w:right="4"/>
              <w:jc w:val="left"/>
              <w:rPr>
                <w:rFonts w:ascii="宋体" w:hAnsi="宋体" w:cs="宋体" w:eastAsia="宋体" w:hint="default"/>
                <w:sz w:val="28"/>
                <w:szCs w:val="28"/>
              </w:rPr>
            </w:pPr>
            <w:r>
              <w:rPr>
                <w:rFonts w:ascii="宋体" w:hAnsi="宋体" w:cs="宋体" w:eastAsia="宋体" w:hint="default"/>
                <w:sz w:val="28"/>
                <w:szCs w:val="28"/>
              </w:rPr>
              <w:t>评价管理层确定的坏账准备计提</w:t>
            </w:r>
            <w:r>
              <w:rPr>
                <w:rFonts w:ascii="宋体" w:hAnsi="宋体" w:cs="宋体" w:eastAsia="宋体" w:hint="default"/>
                <w:w w:val="99"/>
                <w:sz w:val="28"/>
                <w:szCs w:val="28"/>
              </w:rPr>
              <w:t> </w:t>
            </w:r>
            <w:r>
              <w:rPr>
                <w:rFonts w:ascii="宋体" w:hAnsi="宋体" w:cs="宋体" w:eastAsia="宋体" w:hint="default"/>
                <w:sz w:val="28"/>
                <w:szCs w:val="28"/>
              </w:rPr>
              <w:t>比例是否合理；</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4</w:t>
            </w:r>
            <w:r>
              <w:rPr>
                <w:rFonts w:ascii="宋体" w:hAnsi="宋体" w:cs="宋体" w:eastAsia="宋体" w:hint="default"/>
                <w:w w:val="95"/>
                <w:sz w:val="28"/>
                <w:szCs w:val="28"/>
              </w:rPr>
              <w:t>、实施函证程序，并将函证结果</w:t>
            </w:r>
            <w:r>
              <w:rPr>
                <w:rFonts w:ascii="宋体" w:hAnsi="宋体" w:cs="宋体" w:eastAsia="宋体" w:hint="default"/>
                <w:spacing w:val="52"/>
                <w:w w:val="95"/>
                <w:sz w:val="28"/>
                <w:szCs w:val="28"/>
              </w:rPr>
              <w:t> </w:t>
            </w:r>
            <w:r>
              <w:rPr>
                <w:rFonts w:ascii="宋体" w:hAnsi="宋体" w:cs="宋体" w:eastAsia="宋体" w:hint="default"/>
                <w:spacing w:val="52"/>
                <w:w w:val="95"/>
                <w:sz w:val="28"/>
                <w:szCs w:val="28"/>
              </w:rPr>
            </w:r>
            <w:r>
              <w:rPr>
                <w:rFonts w:ascii="宋体" w:hAnsi="宋体" w:cs="宋体" w:eastAsia="宋体" w:hint="default"/>
                <w:sz w:val="28"/>
                <w:szCs w:val="28"/>
              </w:rPr>
              <w:t>与管理层记录的金额进行核对；</w:t>
            </w:r>
            <w:r>
              <w:rPr>
                <w:rFonts w:ascii="宋体" w:hAnsi="宋体" w:cs="宋体" w:eastAsia="宋体" w:hint="default"/>
                <w:w w:val="99"/>
                <w:sz w:val="28"/>
                <w:szCs w:val="28"/>
              </w:rPr>
              <w:t> </w:t>
            </w:r>
            <w:r>
              <w:rPr>
                <w:rFonts w:ascii="Times New Roman" w:hAnsi="Times New Roman" w:cs="Times New Roman" w:eastAsia="Times New Roman" w:hint="default"/>
                <w:w w:val="95"/>
                <w:sz w:val="28"/>
                <w:szCs w:val="28"/>
              </w:rPr>
              <w:t>5</w:t>
            </w:r>
            <w:r>
              <w:rPr>
                <w:rFonts w:ascii="宋体" w:hAnsi="宋体" w:cs="宋体" w:eastAsia="宋体" w:hint="default"/>
                <w:w w:val="95"/>
                <w:sz w:val="28"/>
                <w:szCs w:val="28"/>
              </w:rPr>
              <w:t>、结合期后回款情况检查，评价</w:t>
            </w:r>
            <w:r>
              <w:rPr>
                <w:rFonts w:ascii="宋体" w:hAnsi="宋体" w:cs="宋体" w:eastAsia="宋体" w:hint="default"/>
                <w:spacing w:val="52"/>
                <w:w w:val="95"/>
                <w:sz w:val="28"/>
                <w:szCs w:val="28"/>
              </w:rPr>
              <w:t> </w:t>
            </w:r>
            <w:r>
              <w:rPr>
                <w:rFonts w:ascii="宋体" w:hAnsi="宋体" w:cs="宋体" w:eastAsia="宋体" w:hint="default"/>
                <w:spacing w:val="52"/>
                <w:w w:val="95"/>
                <w:sz w:val="28"/>
                <w:szCs w:val="28"/>
              </w:rPr>
            </w:r>
            <w:r>
              <w:rPr>
                <w:rFonts w:ascii="宋体" w:hAnsi="宋体" w:cs="宋体" w:eastAsia="宋体" w:hint="default"/>
                <w:sz w:val="28"/>
                <w:szCs w:val="28"/>
              </w:rPr>
              <w:t>管理层坏账准备计提的合理性。</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Heading2"/>
        <w:spacing w:line="240" w:lineRule="auto" w:before="13"/>
        <w:ind w:left="1553" w:right="985"/>
        <w:jc w:val="left"/>
        <w:rPr>
          <w:b w:val="0"/>
          <w:bCs w:val="0"/>
        </w:rPr>
      </w:pPr>
      <w:r>
        <w:rPr>
          <w:rFonts w:ascii="宋体" w:hAnsi="宋体" w:cs="宋体" w:eastAsia="宋体" w:hint="default"/>
        </w:rPr>
        <w:t>1.</w:t>
      </w:r>
      <w:r>
        <w:rPr>
          <w:rFonts w:ascii="宋体" w:hAnsi="宋体" w:cs="宋体" w:eastAsia="宋体" w:hint="default"/>
          <w:spacing w:val="-67"/>
        </w:rPr>
        <w:t> </w:t>
      </w:r>
      <w:r>
        <w:rPr/>
        <w:t>其他信息</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98" w:lineRule="auto"/>
        <w:ind w:left="1493" w:right="1168"/>
        <w:jc w:val="both"/>
      </w:pPr>
      <w:r>
        <w:rPr>
          <w:w w:val="95"/>
        </w:rPr>
        <w:t>信息发展公司管理层（以下简称管理层）对其他信息负责。其他信息包</w:t>
      </w:r>
      <w:r>
        <w:rPr>
          <w:w w:val="99"/>
        </w:rPr>
        <w:t> </w:t>
      </w:r>
      <w:r>
        <w:rPr/>
        <w:t>括信息发展公司</w:t>
      </w:r>
      <w:r>
        <w:rPr>
          <w:rFonts w:ascii="Times New Roman" w:hAnsi="Times New Roman" w:cs="Times New Roman" w:eastAsia="Times New Roman" w:hint="default"/>
        </w:rPr>
        <w:t>2017</w:t>
      </w:r>
      <w:r>
        <w:rPr/>
        <w:t>年年度报告中涵盖的信息，但不包括财务报表和我们的</w:t>
      </w:r>
      <w:r>
        <w:rPr>
          <w:w w:val="99"/>
        </w:rPr>
        <w:t> </w:t>
      </w:r>
      <w:r>
        <w:rPr/>
        <w:t>审计报告。</w:t>
      </w:r>
    </w:p>
    <w:p>
      <w:pPr>
        <w:pStyle w:val="Heading3"/>
        <w:spacing w:line="408" w:lineRule="auto" w:before="72"/>
        <w:ind w:left="1494" w:right="985"/>
        <w:jc w:val="left"/>
      </w:pPr>
      <w:r>
        <w:rPr>
          <w:w w:val="95"/>
        </w:rPr>
        <w:t>我们对财务报表发表的审计意见不涵盖其他信息，我们也不对其他信息</w:t>
      </w:r>
      <w:r>
        <w:rPr>
          <w:w w:val="99"/>
        </w:rPr>
        <w:t> </w:t>
      </w:r>
      <w:r>
        <w:rPr/>
        <w:t>发表任何形式的鉴证结论。</w:t>
      </w:r>
    </w:p>
    <w:p>
      <w:pPr>
        <w:pStyle w:val="Heading3"/>
        <w:spacing w:line="408" w:lineRule="auto" w:before="61"/>
        <w:ind w:left="1494" w:right="992"/>
        <w:jc w:val="left"/>
      </w:pPr>
      <w:r>
        <w:rPr>
          <w:spacing w:val="-4"/>
        </w:rPr>
        <w:t>结合我们对财务报表的审计，我们的责任是阅读其他信息，在此过程中，</w:t>
      </w:r>
      <w:r>
        <w:rPr>
          <w:w w:val="99"/>
        </w:rPr>
        <w:t> </w:t>
      </w:r>
      <w:r>
        <w:rPr/>
        <w:t>考虑其他信息是否与财务报表或我们在审计过程中了解到的情况存在重大不</w:t>
      </w:r>
      <w:r>
        <w:rPr>
          <w:w w:val="99"/>
        </w:rPr>
        <w:t> </w:t>
      </w:r>
      <w:r>
        <w:rPr/>
        <w:t>一致或者似乎存在重大错报。</w:t>
      </w:r>
    </w:p>
    <w:p>
      <w:pPr>
        <w:pStyle w:val="Heading3"/>
        <w:spacing w:line="408" w:lineRule="auto" w:before="61"/>
        <w:ind w:left="1494" w:right="985"/>
        <w:jc w:val="left"/>
      </w:pPr>
      <w:r>
        <w:rPr>
          <w:w w:val="95"/>
        </w:rPr>
        <w:t>基于我们已执行的工作，如果我们确定其他信息存在重大错报，我们应</w:t>
      </w:r>
      <w:r>
        <w:rPr>
          <w:w w:val="99"/>
        </w:rPr>
        <w:t> </w:t>
      </w:r>
      <w:r>
        <w:rPr/>
        <w:t>当报告该事实。在这方面，我们无任何事项需要报告。</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4"/>
          <w:szCs w:val="24"/>
        </w:rPr>
      </w:pPr>
    </w:p>
    <w:p>
      <w:pPr>
        <w:pStyle w:val="Heading2"/>
        <w:spacing w:line="240" w:lineRule="auto"/>
        <w:ind w:left="1553" w:right="985"/>
        <w:jc w:val="left"/>
        <w:rPr>
          <w:b w:val="0"/>
          <w:bCs w:val="0"/>
        </w:rPr>
      </w:pPr>
      <w:r>
        <w:rPr>
          <w:rFonts w:ascii="宋体" w:hAnsi="宋体" w:cs="宋体" w:eastAsia="宋体" w:hint="default"/>
        </w:rPr>
        <w:t>1.</w:t>
      </w:r>
      <w:r>
        <w:rPr>
          <w:rFonts w:ascii="宋体" w:hAnsi="宋体" w:cs="宋体" w:eastAsia="宋体" w:hint="default"/>
          <w:spacing w:val="-82"/>
        </w:rPr>
        <w:t> </w:t>
      </w:r>
      <w:r>
        <w:rPr/>
        <w:t>管理层和治理层对财务报表的责任</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3"/>
        <w:spacing w:line="408" w:lineRule="auto" w:before="13"/>
        <w:ind w:left="1493" w:right="985"/>
        <w:jc w:val="left"/>
      </w:pPr>
      <w:r>
        <w:rPr>
          <w:spacing w:val="-4"/>
          <w:w w:val="99"/>
        </w:rPr>
        <w:t>管理层负责按照企业会计准则的规定编制财务报表，使其实现公允反映，</w:t>
      </w:r>
      <w:r>
        <w:rPr>
          <w:w w:val="99"/>
        </w:rPr>
        <w:t> </w:t>
      </w:r>
      <w:r>
        <w:rPr/>
        <w:t>并设计、执行和维护必要的内部控制，以使财务报表不存在由于舞弊或错误</w:t>
      </w:r>
      <w:r>
        <w:rPr>
          <w:w w:val="99"/>
        </w:rPr>
        <w:t> </w:t>
      </w:r>
      <w:r>
        <w:rPr/>
        <w:t>导致的重大错报。</w:t>
      </w:r>
    </w:p>
    <w:p>
      <w:pPr>
        <w:pStyle w:val="Heading3"/>
        <w:spacing w:line="408" w:lineRule="auto" w:before="61"/>
        <w:ind w:left="1493" w:right="1168"/>
        <w:jc w:val="both"/>
      </w:pPr>
      <w:r>
        <w:rPr>
          <w:w w:val="95"/>
        </w:rPr>
        <w:t>在编制财务报表时，管理层负责评估信息发展公司的持续经营能力，披</w:t>
      </w:r>
      <w:r>
        <w:rPr>
          <w:w w:val="99"/>
        </w:rPr>
        <w:t> </w:t>
      </w:r>
      <w:r>
        <w:rPr/>
        <w:t>露与持续经营相关的事项（如适用），并运用持续经营假设，除非计划进行</w:t>
      </w:r>
      <w:r>
        <w:rPr>
          <w:w w:val="99"/>
        </w:rPr>
        <w:t> </w:t>
      </w:r>
      <w:r>
        <w:rPr/>
        <w:t>清算、终止运营或别无其他现实的选择。</w:t>
      </w:r>
    </w:p>
    <w:p>
      <w:pPr>
        <w:pStyle w:val="Heading3"/>
        <w:spacing w:line="240" w:lineRule="auto" w:before="61"/>
        <w:ind w:left="2061" w:right="985" w:firstLine="0"/>
        <w:jc w:val="left"/>
      </w:pPr>
      <w:r>
        <w:rPr/>
        <w:t>治理层负责监督信息发展公司的财务报告过程。</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2"/>
          <w:szCs w:val="22"/>
        </w:rPr>
      </w:pPr>
    </w:p>
    <w:p>
      <w:pPr>
        <w:pStyle w:val="Heading2"/>
        <w:spacing w:line="240" w:lineRule="auto"/>
        <w:ind w:left="1193" w:right="985"/>
        <w:jc w:val="left"/>
        <w:rPr>
          <w:b w:val="0"/>
          <w:bCs w:val="0"/>
        </w:rPr>
      </w:pPr>
      <w:r>
        <w:rPr>
          <w:rFonts w:ascii="宋体" w:hAnsi="宋体" w:cs="宋体" w:eastAsia="宋体" w:hint="default"/>
        </w:rPr>
        <w:t>1.</w:t>
      </w:r>
      <w:r>
        <w:rPr>
          <w:rFonts w:ascii="宋体" w:hAnsi="宋体" w:cs="宋体" w:eastAsia="宋体" w:hint="default"/>
          <w:spacing w:val="-82"/>
        </w:rPr>
        <w:t> </w:t>
      </w:r>
      <w:r>
        <w:rPr/>
        <w:t>注册会计师对财务报表审计的责任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249"/>
        <w:jc w:val="both"/>
      </w:pPr>
      <w:r>
        <w:rPr>
          <w:w w:val="95"/>
        </w:rPr>
        <w:t>我们的目标是对财务报表整体是否不存在由于舞弊或错误导致的重大错报</w:t>
      </w:r>
      <w:r>
        <w:rPr>
          <w:w w:val="99"/>
        </w:rPr>
        <w:t> </w:t>
      </w:r>
      <w:r>
        <w:rPr/>
        <w:t>获取合理保证，并出具包含审计意见的审计报告。合理保证是高水平的保证，</w:t>
      </w:r>
      <w:r>
        <w:rPr>
          <w:w w:val="99"/>
        </w:rPr>
        <w:t> </w:t>
      </w:r>
      <w:r>
        <w:rPr/>
        <w:t>但并不能保证按照审计准则执行的审计在某一重大错报存在时总能发现。错报</w:t>
      </w:r>
      <w:r>
        <w:rPr>
          <w:w w:val="99"/>
        </w:rPr>
        <w:t> </w:t>
      </w:r>
      <w:r>
        <w:rPr/>
        <w:t>可能由于舞弊或错误导致，如果合理预期错报单独或汇总起来可能影响财务报</w:t>
      </w:r>
      <w:r>
        <w:rPr>
          <w:w w:val="99"/>
        </w:rPr>
        <w:t> </w:t>
      </w:r>
      <w:r>
        <w:rPr/>
        <w:t>表使用者依据财务报表作出的经济决策，则通常认为错报是重大的。</w:t>
      </w:r>
    </w:p>
    <w:p>
      <w:pPr>
        <w:pStyle w:val="Heading3"/>
        <w:spacing w:line="408" w:lineRule="auto" w:before="61"/>
        <w:ind w:right="985"/>
        <w:jc w:val="left"/>
      </w:pPr>
      <w:r>
        <w:rPr>
          <w:w w:val="95"/>
        </w:rPr>
        <w:t>在按照审计准则执行审计工作的过程中，我们运用职业判断，并保持职业</w:t>
      </w:r>
      <w:r>
        <w:rPr>
          <w:w w:val="99"/>
        </w:rPr>
        <w:t> </w:t>
      </w:r>
      <w:r>
        <w:rPr/>
        <w:t>怀疑。同时，我们也执行以下工作：</w:t>
      </w:r>
    </w:p>
    <w:p>
      <w:pPr>
        <w:pStyle w:val="Heading3"/>
        <w:spacing w:line="398" w:lineRule="auto" w:before="61"/>
        <w:ind w:right="1118"/>
        <w:jc w:val="left"/>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）识别和评估由于舞弊或错误导致的财务报表重大错报风险，设计和实</w:t>
      </w:r>
      <w:r>
        <w:rPr>
          <w:w w:val="99"/>
        </w:rPr>
        <w:t> </w:t>
      </w:r>
      <w:r>
        <w:rPr/>
        <w:t>施审计程序以应对这些风险，并获取充分、适当的审计证据，作为发表审计意</w:t>
      </w:r>
      <w:r>
        <w:rPr>
          <w:w w:val="99"/>
        </w:rPr>
        <w:t> </w:t>
      </w:r>
      <w:r>
        <w:rPr/>
        <w:t>见的基础。由于舞弊可能涉及串通、伪造、故意遗漏、虚假陈述或凌驾于内部</w:t>
      </w:r>
    </w:p>
    <w:p>
      <w:pPr>
        <w:spacing w:after="0" w:line="39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3"/>
        <w:ind w:right="985" w:firstLine="0"/>
        <w:jc w:val="left"/>
      </w:pPr>
      <w:r>
        <w:rPr>
          <w:w w:val="95"/>
        </w:rPr>
        <w:t>控制之上，未能发现由于舞弊导致的重大错报的风险高于未能发现由于错误导</w:t>
      </w:r>
      <w:r>
        <w:rPr>
          <w:spacing w:val="66"/>
          <w:w w:val="95"/>
        </w:rPr>
        <w:t> </w:t>
      </w:r>
      <w:r>
        <w:rPr>
          <w:spacing w:val="66"/>
          <w:w w:val="95"/>
        </w:rPr>
      </w:r>
      <w:r>
        <w:rPr/>
        <w:t>致的重大错报的风险。</w:t>
      </w:r>
    </w:p>
    <w:p>
      <w:pPr>
        <w:pStyle w:val="Heading3"/>
        <w:spacing w:line="386" w:lineRule="auto" w:before="62"/>
        <w:ind w:right="1118"/>
        <w:jc w:val="left"/>
      </w:pPr>
      <w:r>
        <w:rPr>
          <w:spacing w:val="-1"/>
        </w:rPr>
        <w:t>（</w:t>
      </w:r>
      <w:r>
        <w:rPr>
          <w:rFonts w:ascii="Times New Roman" w:hAnsi="Times New Roman" w:cs="Times New Roman" w:eastAsia="Times New Roman" w:hint="default"/>
          <w:spacing w:val="-1"/>
        </w:rPr>
        <w:t>2</w:t>
      </w:r>
      <w:r>
        <w:rPr>
          <w:spacing w:val="-1"/>
        </w:rPr>
        <w:t>）了解与审计相关的内部控制，以设计恰当的审计程序，但目的并非对</w:t>
      </w:r>
      <w:r>
        <w:rPr>
          <w:w w:val="99"/>
        </w:rPr>
        <w:t> </w:t>
      </w:r>
      <w:r>
        <w:rPr/>
        <w:t>内部控制的有效性发表意见。</w:t>
      </w:r>
    </w:p>
    <w:p>
      <w:pPr>
        <w:pStyle w:val="Heading3"/>
        <w:spacing w:line="240" w:lineRule="auto" w:before="86"/>
        <w:ind w:left="1702" w:right="985" w:firstLine="0"/>
        <w:jc w:val="left"/>
      </w:pPr>
      <w:r>
        <w:rPr/>
        <w:t>（</w:t>
      </w:r>
      <w:r>
        <w:rPr>
          <w:rFonts w:ascii="Times New Roman" w:hAnsi="Times New Roman" w:cs="Times New Roman" w:eastAsia="Times New Roman" w:hint="default"/>
        </w:rPr>
        <w:t>3</w:t>
      </w:r>
      <w:r>
        <w:rPr/>
        <w:t>）评价管理层选用会计政策的恰当性和作出会计估计及相关披露的合理</w:t>
      </w:r>
    </w:p>
    <w:p>
      <w:pPr>
        <w:pStyle w:val="Heading3"/>
        <w:spacing w:line="240" w:lineRule="auto" w:before="236"/>
        <w:ind w:right="985" w:firstLine="0"/>
        <w:jc w:val="left"/>
      </w:pPr>
      <w:r>
        <w:rPr/>
        <w:t>性。</w:t>
      </w:r>
    </w:p>
    <w:p>
      <w:pPr>
        <w:spacing w:line="240" w:lineRule="auto" w:before="9"/>
        <w:rPr>
          <w:rFonts w:ascii="宋体" w:hAnsi="宋体" w:cs="宋体" w:eastAsia="宋体" w:hint="default"/>
          <w:sz w:val="19"/>
          <w:szCs w:val="19"/>
        </w:rPr>
      </w:pPr>
    </w:p>
    <w:p>
      <w:pPr>
        <w:pStyle w:val="Heading3"/>
        <w:spacing w:line="405" w:lineRule="auto"/>
        <w:ind w:right="1118"/>
        <w:jc w:val="left"/>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w:t>
      </w:r>
      <w:r>
        <w:rPr>
          <w:w w:val="99"/>
        </w:rPr>
        <w:t> </w:t>
      </w:r>
      <w:r>
        <w:rPr/>
        <w:t>计证据，就可能导致对信息发展公司持续经营能力产生重大疑虑的事项或情况</w:t>
      </w:r>
      <w:r>
        <w:rPr>
          <w:w w:val="99"/>
        </w:rPr>
        <w:t> </w:t>
      </w:r>
      <w:r>
        <w:rPr/>
        <w:t>是否存在重大不确定性得出结论。如果我们得出结论认为存在重大不确定性，</w:t>
      </w:r>
      <w:r>
        <w:rPr>
          <w:w w:val="99"/>
        </w:rPr>
        <w:t> </w:t>
      </w:r>
      <w:r>
        <w:rPr/>
        <w:t>审计准则要求我们在审计报告中提请报表使用者注意财务报表中的相关披露；</w:t>
      </w:r>
      <w:r>
        <w:rPr>
          <w:w w:val="99"/>
        </w:rPr>
        <w:t> </w:t>
      </w:r>
      <w:r>
        <w:rPr/>
        <w:t>如果披露不充分，我们应当发表非无保留意见。我们的结论基于截至审计报告</w:t>
      </w:r>
      <w:r>
        <w:rPr>
          <w:w w:val="99"/>
        </w:rPr>
        <w:t> </w:t>
      </w:r>
      <w:r>
        <w:rPr/>
        <w:t>日可获得的信息。然而，未来的事项或情况可能导致信息发展公司不能持续经</w:t>
      </w:r>
      <w:r>
        <w:rPr>
          <w:w w:val="99"/>
        </w:rPr>
        <w:t> </w:t>
      </w:r>
      <w:r>
        <w:rPr/>
        <w:t>营。</w:t>
      </w:r>
    </w:p>
    <w:p>
      <w:pPr>
        <w:pStyle w:val="Heading3"/>
        <w:spacing w:line="386" w:lineRule="auto" w:before="64"/>
        <w:ind w:right="1118"/>
        <w:jc w:val="left"/>
      </w:pPr>
      <w:r>
        <w:rPr>
          <w:spacing w:val="-1"/>
        </w:rPr>
        <w:t>（</w:t>
      </w:r>
      <w:r>
        <w:rPr>
          <w:rFonts w:ascii="Times New Roman" w:hAnsi="Times New Roman" w:cs="Times New Roman" w:eastAsia="Times New Roman" w:hint="default"/>
          <w:spacing w:val="-1"/>
        </w:rPr>
        <w:t>5</w:t>
      </w:r>
      <w:r>
        <w:rPr>
          <w:spacing w:val="-1"/>
        </w:rPr>
        <w:t>）评价财务报表的总体列报、结构和内容（包括披露），并评价财务报</w:t>
      </w:r>
      <w:r>
        <w:rPr>
          <w:w w:val="99"/>
        </w:rPr>
        <w:t> </w:t>
      </w:r>
      <w:r>
        <w:rPr/>
        <w:t>表是否公允反映相关交易和事项。</w:t>
      </w:r>
    </w:p>
    <w:p>
      <w:pPr>
        <w:pStyle w:val="Heading3"/>
        <w:spacing w:line="398" w:lineRule="auto" w:before="86"/>
        <w:ind w:right="1118"/>
        <w:jc w:val="left"/>
      </w:pPr>
      <w:r>
        <w:rPr>
          <w:spacing w:val="-1"/>
        </w:rPr>
        <w:t>（</w:t>
      </w:r>
      <w:r>
        <w:rPr>
          <w:rFonts w:ascii="Times New Roman" w:hAnsi="Times New Roman" w:cs="Times New Roman" w:eastAsia="Times New Roman" w:hint="default"/>
          <w:spacing w:val="-1"/>
        </w:rPr>
        <w:t>6</w:t>
      </w:r>
      <w:r>
        <w:rPr>
          <w:spacing w:val="-1"/>
        </w:rPr>
        <w:t>）就信息发展公司中实体或业务活动的财务信息获取充分、适当的审计</w:t>
      </w:r>
      <w:r>
        <w:rPr>
          <w:w w:val="99"/>
        </w:rPr>
        <w:t> </w:t>
      </w:r>
      <w:r>
        <w:rPr/>
        <w:t>证据，以对财务报表发表审计意见。我们负责指导、监督和执行集团审计，并</w:t>
      </w:r>
      <w:r>
        <w:rPr>
          <w:w w:val="99"/>
        </w:rPr>
        <w:t> </w:t>
      </w:r>
      <w:r>
        <w:rPr/>
        <w:t>对审计意见承担全部责任。</w:t>
      </w:r>
    </w:p>
    <w:p>
      <w:pPr>
        <w:pStyle w:val="Heading3"/>
        <w:spacing w:line="408" w:lineRule="auto" w:before="72"/>
        <w:ind w:right="985"/>
        <w:jc w:val="left"/>
      </w:pPr>
      <w:r>
        <w:rPr>
          <w:w w:val="95"/>
        </w:rPr>
        <w:t>我们与治理层就计划的审计范围、时间安排和重大审计发现等事项进行沟</w:t>
      </w:r>
      <w:r>
        <w:rPr>
          <w:w w:val="99"/>
        </w:rPr>
        <w:t> </w:t>
      </w:r>
      <w:r>
        <w:rPr/>
        <w:t>通，包括沟通我们在审计中识别出的值得关注的内部控制缺陷。</w:t>
      </w:r>
    </w:p>
    <w:p>
      <w:pPr>
        <w:pStyle w:val="Heading3"/>
        <w:spacing w:line="408" w:lineRule="auto" w:before="62"/>
        <w:ind w:left="1134" w:right="1232"/>
        <w:jc w:val="left"/>
      </w:pPr>
      <w:r>
        <w:rPr>
          <w:w w:val="95"/>
        </w:rPr>
        <w:t>我们还就已遵守与独立性相关的职业道德要求向治理层提供声明，并与治</w:t>
      </w:r>
      <w:r>
        <w:rPr>
          <w:w w:val="99"/>
        </w:rPr>
        <w:t> </w:t>
      </w:r>
      <w:r>
        <w:rPr/>
        <w:t>理层沟通可能被合理认为影响我们独立性的所有关系和其他事项，以及相关的</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3"/>
        <w:ind w:left="1702" w:right="985" w:hanging="568"/>
        <w:jc w:val="left"/>
      </w:pPr>
      <w:r>
        <w:rPr/>
        <w:t>防范措施（如适用）。</w:t>
      </w:r>
      <w:r>
        <w:rPr>
          <w:w w:val="99"/>
        </w:rPr>
        <w:t> </w:t>
      </w:r>
      <w:r>
        <w:rPr>
          <w:w w:val="95"/>
        </w:rPr>
        <w:t>从与治理层沟通过的事项中，我们确定哪些事项对本期财务报表审计最为</w:t>
      </w:r>
      <w:r>
        <w:rPr/>
      </w:r>
    </w:p>
    <w:p>
      <w:pPr>
        <w:pStyle w:val="Heading3"/>
        <w:spacing w:line="408" w:lineRule="auto" w:before="62"/>
        <w:ind w:left="1134" w:right="1257" w:firstLine="0"/>
        <w:jc w:val="both"/>
      </w:pPr>
      <w:r>
        <w:rPr>
          <w:w w:val="95"/>
        </w:rPr>
        <w:t>重要，因而构成关键审计事项。我们在审计报告中描述这些事项，除非法律法</w:t>
      </w:r>
      <w:r>
        <w:rPr>
          <w:spacing w:val="63"/>
          <w:w w:val="95"/>
        </w:rPr>
        <w:t> </w:t>
      </w:r>
      <w:r>
        <w:rPr>
          <w:w w:val="95"/>
        </w:rPr>
        <w:t>规禁止公开披露这些事项，或在极少数情形下，如果合理预期在审计报告中沟</w:t>
      </w:r>
      <w:r>
        <w:rPr>
          <w:spacing w:val="63"/>
          <w:w w:val="95"/>
        </w:rPr>
        <w:t> </w:t>
      </w:r>
      <w:r>
        <w:rPr>
          <w:w w:val="95"/>
        </w:rPr>
        <w:t>通某事项造成的负面后果超过在公众利益方面产生的益处，我们确定不应在审</w:t>
      </w:r>
      <w:r>
        <w:rPr>
          <w:spacing w:val="63"/>
          <w:w w:val="95"/>
        </w:rPr>
        <w:t> </w:t>
      </w:r>
      <w:r>
        <w:rPr/>
        <w:t>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7"/>
          <w:szCs w:val="27"/>
        </w:rPr>
      </w:pPr>
    </w:p>
    <w:p>
      <w:pPr>
        <w:pStyle w:val="Heading2"/>
        <w:tabs>
          <w:tab w:pos="4311" w:val="left" w:leader="none"/>
        </w:tabs>
        <w:spacing w:line="240" w:lineRule="auto"/>
        <w:ind w:left="1408" w:right="985"/>
        <w:jc w:val="left"/>
        <w:rPr>
          <w:b w:val="0"/>
          <w:bCs w:val="0"/>
        </w:rPr>
      </w:pPr>
      <w:r>
        <w:rPr>
          <w:w w:val="95"/>
        </w:rPr>
        <w:t>立信会计师事务所</w:t>
        <w:tab/>
      </w:r>
      <w:r>
        <w:rPr/>
        <w:t>中国注册会计师：</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2468" w:right="3403"/>
        <w:jc w:val="center"/>
        <w:rPr>
          <w:b w:val="0"/>
          <w:bCs w:val="0"/>
        </w:rPr>
      </w:pPr>
      <w:r>
        <w:rPr/>
        <w:t>（项目合伙人）</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1408" w:right="985"/>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3891" w:right="985"/>
        <w:jc w:val="left"/>
        <w:rPr>
          <w:b w:val="0"/>
          <w:bCs w:val="0"/>
        </w:rPr>
      </w:pPr>
      <w:r>
        <w:rPr/>
        <w:t>中国注册会计师：</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pStyle w:val="Heading2"/>
        <w:tabs>
          <w:tab w:pos="4311" w:val="left" w:leader="none"/>
        </w:tabs>
        <w:spacing w:line="240" w:lineRule="auto" w:before="189"/>
        <w:ind w:left="1971" w:right="985"/>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w:t>
      </w:r>
      <w:r>
        <w:rPr>
          <w:rFonts w:ascii="Times New Roman" w:hAnsi="Times New Roman" w:cs="Times New Roman" w:eastAsia="Times New Roman" w:hint="default"/>
        </w:rPr>
        <w:t>O</w:t>
      </w:r>
      <w:r>
        <w:rPr/>
        <w:t>一八年四月十六日</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Heading4"/>
        <w:spacing w:line="240" w:lineRule="auto" w:before="26"/>
        <w:ind w:right="985"/>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t>编制单位：上海中信信息发展股份有限公司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224,288,247.15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188,240,074.98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318,647,442.63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274,564,174.72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2,791,446.93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6,950,609.03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52,464,942.46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52,336,287.34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290,543,202.46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164,561,159.40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121,718.02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888,735,281.63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686,774,023.49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20,469,389.83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20,437,321.95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230,643,116.75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84,543,637.80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32,053,492.32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32,294,732.24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10,737,367.68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10,737,367.68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83,308.23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194,385.87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17,054,878.55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11,131,675.58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328,541,553.36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172,839,121.12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1,217,276,834.99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859,613,144.61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42,200,377.60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11,699,074.83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212,692,323.87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122,966,092.74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79,325,527.27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58,630,951.37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17,790,001.66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3,661,398.71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60,213,828.92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61,706,893.59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686,201.38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156,620.14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66,984,045.28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5,345,561.98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637,392,305.98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393,166,593.36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144,863,500.02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6,607,000.02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782,255,806.00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399,773,593.38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224,432,035.86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219,281,435.86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60,268,032.00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21,044,926.05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17,970,844.10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168,863,947.16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146,243,154.15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422,372,877.07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451,795,434.11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12,648,151.92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8,044,117.12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435,021,028.99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459,839,551.23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1,217,276,834.99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859,613,144.61</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ind w:left="0" w:right="1229"/>
        <w:jc w:val="right"/>
      </w:pPr>
      <w:r>
        <w:rPr/>
        <w:t>法定代表人：张曙华</w:t>
        <w:tab/>
        <w:t>主管会计工作负责人：张颖</w:t>
        <w:tab/>
        <w:t>会计机构负责人：张颖</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150,945,299.09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178,315,081.82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311,308,172.28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269,739,583.06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8,409,663.31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6,471,731.38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96,863,281.37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48,524,095.13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267,536,737.11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131,947,809.67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835,063,153.16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634,998,301.06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13,083,001.60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17,316,072.10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39,729.73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406,037.03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482,191.17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9,549,984.01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7,226,955.57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130,178,752.37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132,125,218.84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965,241,905.53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767,123,519.90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42,200,377.60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31,699,074.83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175,533,676.83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93,948,495.34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70,007,557.16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58,027,174.29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13,728,234.38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2,407,701.15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53,586,831.43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56,445,852.99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497,520.82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156,620.14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66,105,882.58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4,432,163.89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579,160,080.80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356,117,082.63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591,885,080.80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361,877,082.63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224,421,696.49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219,271,096.49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60,268,032.00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21,044,926.05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17,970,844.10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119,858,234.19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99,704,496.68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373,356,824.73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405,246,437.27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965,241,905.53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767,123,519.90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985"/>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564,293,578.68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521,105,140.41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564,293,578.68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521,105,140.41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61.019989pt;width:157.7pt;height:19.650pt;mso-position-horizontal-relative:page;mso-position-vertical-relative:page;z-index:-1156696" coordorigin="4242,9220" coordsize="3154,393">
            <v:shape style="position:absolute;left:4242;top:9220;width:3154;height:393" coordorigin="4242,9220" coordsize="3154,393" path="m4242,9613l7396,9613,7396,9220,4242,9220,4242,9613xe" filled="true" fillcolor="#ffffff" stroked="false">
              <v:path arrowok="t"/>
              <v:fill type="solid"/>
            </v:shape>
            <w10:wrap type="none"/>
          </v:group>
        </w:pict>
      </w:r>
      <w:r>
        <w:rPr/>
        <w:pict>
          <v:group style="position:absolute;margin-left:212.119995pt;margin-top:597.219971pt;width:157.7pt;height:19.650pt;mso-position-horizontal-relative:page;mso-position-vertical-relative:page;z-index:-1156672" coordorigin="4242,11944" coordsize="3154,393">
            <v:shape style="position:absolute;left:4242;top:11944;width:3154;height:393" coordorigin="4242,11944" coordsize="3154,393" path="m4242,12337l7396,12337,7396,11944,4242,11944,4242,123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541,751,848.17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500,326,893.53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337,162,570.96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304,350,248.31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2,182,778.98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2,503,052.59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50,473,733.18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43,324,114.16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131,567,938.20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126,451,132.57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9,964,491.38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8,258,345.76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10,400,335.47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15,440,000.14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12,528,675.00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35,070,405.51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20,778,246.88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120,793.90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11,000,041.90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62,442.69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191,289.23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35,128,756.72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31,586,999.55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2,316,846.96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596,426.46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32,811,909.76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30,990,573.09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32,811,909.76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30,990,573.09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33,207,874.96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30,008,810.43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-395,965.20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981,762.66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32,811,909.76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30,990,573.09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33,207,874.96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30,008,810.43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-395,965.20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981,762.66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0.445</w:t>
            </w:r>
          </w:p>
        </w:tc>
      </w:tr>
    </w:tbl>
    <w:p>
      <w:pPr>
        <w:pStyle w:val="BodyText"/>
        <w:tabs>
          <w:tab w:pos="4734" w:val="left" w:leader="none"/>
          <w:tab w:pos="8875" w:val="left" w:leader="none"/>
        </w:tabs>
        <w:spacing w:line="624" w:lineRule="auto" w:before="51"/>
        <w:ind w:right="1229"/>
        <w:jc w:val="left"/>
      </w:pPr>
      <w:r>
        <w:rPr/>
        <w:t>本期发生同一控制下企业合并的，被合并方在合并前实现的净利润为：元，上期被合并方实现的净利润为：元。 法定代表人：张曙华</w:t>
        <w:tab/>
        <w:t>主管会计工作负责人：张颖</w:t>
        <w:tab/>
        <w:t>会计机构负责人：张颖</w:t>
      </w:r>
    </w:p>
    <w:p>
      <w:pPr>
        <w:pStyle w:val="Heading5"/>
        <w:spacing w:line="240" w:lineRule="auto" w:before="63"/>
        <w:ind w:right="985"/>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535,993,844.97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496,227,835.66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352,151,541.18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318,453,031.58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1,188,167.66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1,626,632.93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47,626,207.34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40,296,079.84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94,180,723.80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93,271,111.21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8,526,858.50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7,758,371.92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10,147,550.01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15,037,840.50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11,015,675.00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33,188,471.48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19,784,767.68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9,117,468.19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26,248.87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190,193.75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33,242,222.61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28,712,042.12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2,501,403.15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2,076,453.28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30,740,819.46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26,635,588.84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30,740,819.46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26,635,588.84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30,740,819.46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26,635,588.84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985"/>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591,908,177.93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470,038,814.09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835,929.39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30,235,651.21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21,011,703.88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622,143,829.14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491,886,447.36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252,058,398.59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214,319,667.54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269,617,910.44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247,641,350.47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26,486,818.28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17,821,116.48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65,770,501.75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75,870,206.25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613,933,629.06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555,652,340.74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8,210,200.08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-63,765,893.38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109,998,833.90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52,128,369.60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113,998,833.90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65,628,369.60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-112,998,833.90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-59,863,369.60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83,685,000.00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其中：子公司吸收少数股东投资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340,685,000.00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20,079,027.20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22,302,998.70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162,178.42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947,130.00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272,526,157.20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265,302,998.70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142,473,842.80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75,382,001.30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37,685,208.98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-48,247,261.68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183,309,178.08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231,556,439.76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220,994,387.06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183,309,178.08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985"/>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535,414,734.11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434,767,927.21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835,929.39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25,883,763.77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18,469,422.30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561,298,497.88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454,073,278.90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343,040,046.34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336,809,556.05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153,629,053.12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138,695,098.29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16,227,777.68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8,488,999.41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102,656,817.58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63,543,463.31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615,553,694.72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547,537,117.06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-54,255,196.84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-93,463,838.16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2,529,869.24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14,370,356.11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2,529,869.24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17,370,356.11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-2,529,869.24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-11,605,356.11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83,685,000.00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305,685,000.00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15,712,094.65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21,374,201.51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947,130.00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248,159,224.65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234,374,201.51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31,840,775.35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71,310,798.49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-24,944,290.73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-33,758,395.78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173,384,184.92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207,142,580.70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148,439,894.19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173,384,184.92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t>本期金额</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219,281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,435.86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844.10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146,243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,154.15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8,044,1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17.12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459,839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,551.23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219,281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,435.86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844.10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146,243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,154.15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8,044,1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17.12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459,839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,551.23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5,150,6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60,268,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3,074,0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81.95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22,620,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793.01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4,604,0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34.80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-24,818,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522.24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33,207,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874.96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-395,96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5.20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32,811,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909.76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5,150,6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60,268,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-50,117,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432.00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5,150,6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60,268,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-55,117,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432.00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3,074,0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-10,587,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081.95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-7,513,0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3,074,0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-3,074,0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81.95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-7,513,0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-7,513,0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224,432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,035.86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60,268,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926.05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168,863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,947.16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12,648,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151.92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435,021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,028.99</w:t>
            </w:r>
          </w:p>
        </w:tc>
      </w:tr>
    </w:tbl>
    <w:p>
      <w:pPr>
        <w:pStyle w:val="BodyText"/>
        <w:spacing w:line="240" w:lineRule="auto" w:before="51"/>
        <w:ind w:left="1134" w:right="985"/>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127,016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,035.86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15,307,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285.22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132,257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,902.60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7,062,3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54.46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348,443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,578.14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127,016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,035.86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15,307,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285.22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132,257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,902.60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7,062,3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348,443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,578.14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92,265,</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13,985,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251.55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981,762</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pacing w:val="-3"/>
                <w:sz w:val="18"/>
              </w:rPr>
              <w:t>111,395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,973.09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30,008,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810.43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981,762</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30,990,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573.09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92,265,</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93,765,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82,185,</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83,685,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10,080,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10,080,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-16,023,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558.88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-13,360,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58.88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-13,360,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219,281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,435.86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844.10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146,243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,154.15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8,044,1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17.12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459,839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,551.23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985"/>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85"/>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68,300,0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219,271,0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17,970,84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4.10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18"/>
                <w:szCs w:val="18"/>
              </w:rPr>
            </w:pPr>
            <w:r>
              <w:rPr>
                <w:rFonts w:ascii="Times New Roman"/>
                <w:sz w:val="18"/>
              </w:rPr>
              <w:t>99,704,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496.68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405,246,4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37.27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68,300,0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219,271,0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17,970,84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4.10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99,704,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496.68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405,246,4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37.27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5,150,600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60,268,03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3,074,081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737.51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-31,889,6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12.54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30,740,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819.46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30,740,81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9.46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5,150,600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60,268,03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-55,117,4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32.00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5,150,600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60,268,03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-55,117,4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32.00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3,074,081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-10,587,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081.95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-7,513,00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3,074,081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-3,074,0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81.95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-7,513,0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-7,513,00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68,300,0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224,421,6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60,268,03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21,044,92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119,858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,234.19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373,356,8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24.73</w:t>
            </w:r>
          </w:p>
        </w:tc>
      </w:tr>
    </w:tbl>
    <w:p>
      <w:pPr>
        <w:pStyle w:val="BodyText"/>
        <w:spacing w:line="240" w:lineRule="auto" w:before="51"/>
        <w:ind w:left="1134" w:right="985"/>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66,800,0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127,005,6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15,307,28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sz w:val="18"/>
              </w:rPr>
              <w:t>89,092,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466.72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298,205,4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48.43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66,800,0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127,005,6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15,307,28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89,092,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466.72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298,205,4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48.43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92,265,40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2,663,558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10,612,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107,040,9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029.96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88.84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588.84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26,635,58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8.84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92,265,40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93,765,40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82,185,00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83,685,00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10,080,40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10,080,40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2,663,558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-16,023,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558.88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-13,360,0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2,663,558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58.88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-13,360,0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68,300,0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219,271,0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17,970,84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99,704,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496.68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405,246,4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37.27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4"/>
        <w:spacing w:line="240" w:lineRule="auto" w:before="26"/>
        <w:ind w:right="985"/>
        <w:jc w:val="left"/>
        <w:rPr>
          <w:b w:val="0"/>
          <w:bCs w:val="0"/>
        </w:rPr>
      </w:pPr>
      <w:bookmarkStart w:name="三、公司基本情况" w:id="166"/>
      <w:bookmarkEnd w:id="16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6"/>
        <w:spacing w:line="261" w:lineRule="auto"/>
        <w:ind w:left="1848" w:right="985" w:firstLine="3"/>
        <w:jc w:val="left"/>
      </w:pPr>
      <w:r>
        <w:rPr>
          <w:spacing w:val="-7"/>
          <w:w w:val="100"/>
        </w:rPr>
        <w:t>上海中信信息发展股份有限公司（以下简称</w:t>
      </w:r>
      <w:r>
        <w:rPr>
          <w:rFonts w:ascii="Times New Roman" w:hAnsi="Times New Roman" w:cs="Times New Roman" w:eastAsia="Times New Roman" w:hint="default"/>
          <w:spacing w:val="-7"/>
          <w:w w:val="100"/>
        </w:rPr>
        <w:t>“</w:t>
      </w:r>
      <w:r>
        <w:rPr>
          <w:spacing w:val="-7"/>
          <w:w w:val="100"/>
        </w:rPr>
        <w:t>公司</w:t>
      </w:r>
      <w:r>
        <w:rPr>
          <w:rFonts w:ascii="Times New Roman" w:hAnsi="Times New Roman" w:cs="Times New Roman" w:eastAsia="Times New Roman" w:hint="default"/>
          <w:spacing w:val="-7"/>
          <w:w w:val="100"/>
        </w:rPr>
        <w:t>”</w:t>
      </w:r>
      <w:r>
        <w:rPr>
          <w:spacing w:val="-7"/>
          <w:w w:val="100"/>
        </w:rPr>
        <w:t>或</w:t>
      </w:r>
      <w:r>
        <w:rPr>
          <w:rFonts w:ascii="Times New Roman" w:hAnsi="Times New Roman" w:cs="Times New Roman" w:eastAsia="Times New Roman" w:hint="default"/>
          <w:spacing w:val="-7"/>
          <w:w w:val="100"/>
        </w:rPr>
        <w:t>“</w:t>
      </w:r>
      <w:r>
        <w:rPr>
          <w:spacing w:val="-7"/>
          <w:w w:val="100"/>
        </w:rPr>
        <w:t>本公司</w:t>
      </w:r>
      <w:r>
        <w:rPr>
          <w:rFonts w:ascii="Times New Roman" w:hAnsi="Times New Roman" w:cs="Times New Roman" w:eastAsia="Times New Roman" w:hint="default"/>
          <w:spacing w:val="-7"/>
          <w:w w:val="100"/>
        </w:rPr>
        <w:t>”</w:t>
      </w:r>
      <w:r>
        <w:rPr>
          <w:spacing w:val="-7"/>
          <w:w w:val="100"/>
        </w:rPr>
        <w:t>）是由上海中信信息发展有限公司（以</w:t>
      </w:r>
      <w:r>
        <w:rPr>
          <w:spacing w:val="-64"/>
          <w:w w:val="100"/>
        </w:rPr>
        <w:t> </w:t>
      </w:r>
      <w:r>
        <w:rPr>
          <w:spacing w:val="-64"/>
          <w:w w:val="100"/>
        </w:rPr>
      </w:r>
      <w:r>
        <w:rPr/>
        <w:t>下简称</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）整体变更设立的股份有限公司，于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日变更成立，股份总额</w:t>
      </w:r>
      <w:r>
        <w:rPr>
          <w:rFonts w:ascii="Times New Roman" w:hAnsi="Times New Roman" w:cs="Times New Roman" w:eastAsia="Times New Roman" w:hint="default"/>
        </w:rPr>
        <w:t>2,280</w:t>
      </w:r>
      <w:r>
        <w:rPr/>
        <w:t>万 股，每股面值</w:t>
      </w:r>
      <w:r>
        <w:rPr>
          <w:rFonts w:ascii="Times New Roman" w:hAnsi="Times New Roman" w:cs="Times New Roman" w:eastAsia="Times New Roman" w:hint="default"/>
        </w:rPr>
        <w:t>1</w:t>
      </w:r>
      <w:r>
        <w:rPr/>
        <w:t>元，注册资本、实收资本（股本）</w:t>
      </w:r>
      <w:r>
        <w:rPr>
          <w:rFonts w:ascii="Times New Roman" w:hAnsi="Times New Roman" w:cs="Times New Roman" w:eastAsia="Times New Roman" w:hint="default"/>
        </w:rPr>
        <w:t>2,280</w:t>
      </w:r>
      <w:r>
        <w:rPr/>
        <w:t>万元。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月，根据本公司股东大会决议，增加注册资本</w:t>
      </w:r>
      <w:r>
        <w:rPr>
          <w:rFonts w:ascii="Times New Roman" w:hAnsi="Times New Roman" w:cs="Times New Roman" w:eastAsia="Times New Roman" w:hint="default"/>
        </w:rPr>
        <w:t>720</w:t>
      </w:r>
      <w:r>
        <w:rPr/>
        <w:t>万元，由未分配利润转增股本。此次变 更后，公司注册资本、实收资本（股本）增至</w:t>
      </w:r>
      <w:r>
        <w:rPr>
          <w:rFonts w:ascii="Times New Roman" w:hAnsi="Times New Roman" w:cs="Times New Roman" w:eastAsia="Times New Roman" w:hint="default"/>
        </w:rPr>
        <w:t>3,000</w:t>
      </w:r>
      <w:r>
        <w:rPr/>
        <w:t>万元。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月，根据本公司股东大会决议，本公司按每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6.7</w:t>
      </w:r>
      <w:r>
        <w:rPr/>
        <w:t>股的比例，以资本公积、未分配利 润向全体股东转增股份总额</w:t>
      </w:r>
      <w:r>
        <w:rPr>
          <w:rFonts w:ascii="Times New Roman" w:hAnsi="Times New Roman" w:cs="Times New Roman" w:eastAsia="Times New Roman" w:hint="default"/>
        </w:rPr>
        <w:t>2,010</w:t>
      </w:r>
      <w:r>
        <w:rPr/>
        <w:t>万股，增加股本</w:t>
      </w:r>
      <w:r>
        <w:rPr>
          <w:rFonts w:ascii="Times New Roman" w:hAnsi="Times New Roman" w:cs="Times New Roman" w:eastAsia="Times New Roman" w:hint="default"/>
        </w:rPr>
        <w:t>2,010</w:t>
      </w:r>
      <w:r>
        <w:rPr/>
        <w:t>万元，其中：由资本公积转增</w:t>
      </w:r>
      <w:r>
        <w:rPr>
          <w:rFonts w:ascii="Times New Roman" w:hAnsi="Times New Roman" w:cs="Times New Roman" w:eastAsia="Times New Roman" w:hint="default"/>
        </w:rPr>
        <w:t>2,453,540.62 </w:t>
      </w:r>
      <w:r>
        <w:rPr>
          <w:spacing w:val="-6"/>
        </w:rPr>
        <w:t>元，由未分配利润转增</w:t>
      </w:r>
      <w:r>
        <w:rPr>
          <w:rFonts w:ascii="Times New Roman" w:hAnsi="Times New Roman" w:cs="Times New Roman" w:eastAsia="Times New Roman" w:hint="default"/>
          <w:spacing w:val="-6"/>
        </w:rPr>
        <w:t>17,646,459.38</w:t>
      </w:r>
      <w:r>
        <w:rPr>
          <w:spacing w:val="-6"/>
        </w:rPr>
        <w:t>元。转增股本后，公司注册资本、实收资本（股本）变更为</w:t>
      </w:r>
      <w:r>
        <w:rPr>
          <w:rFonts w:ascii="Times New Roman" w:hAnsi="Times New Roman" w:cs="Times New Roman" w:eastAsia="Times New Roman" w:hint="default"/>
          <w:spacing w:val="-6"/>
        </w:rPr>
        <w:t>5,010</w:t>
      </w:r>
      <w:r>
        <w:rPr>
          <w:rFonts w:ascii="Times New Roman" w:hAnsi="Times New Roman" w:cs="Times New Roman" w:eastAsia="Times New Roman" w:hint="default"/>
          <w:spacing w:val="-49"/>
        </w:rPr>
        <w:t> </w:t>
      </w:r>
      <w:r>
        <w:rPr/>
        <w:t>万元。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[2015]958</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月公开发行人民币普 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日在深圳证券交易所创业板上市交易，股票简称：信息 发展，股票代码：</w:t>
      </w:r>
      <w:r>
        <w:rPr>
          <w:rFonts w:ascii="Times New Roman" w:hAnsi="Times New Roman" w:cs="Times New Roman" w:eastAsia="Times New Roman" w:hint="default"/>
        </w:rPr>
        <w:t>300469</w:t>
      </w:r>
      <w:r>
        <w:rPr/>
        <w:t>。发行后本公司注册资本、实收资本（股本）变更为</w:t>
      </w:r>
      <w:r>
        <w:rPr>
          <w:rFonts w:ascii="Times New Roman" w:hAnsi="Times New Roman" w:cs="Times New Roman" w:eastAsia="Times New Roman" w:hint="default"/>
        </w:rPr>
        <w:t>6,680</w:t>
      </w:r>
      <w:r>
        <w:rPr/>
        <w:t>万元。 </w:t>
      </w:r>
      <w:r>
        <w:rPr>
          <w:spacing w:val="-4"/>
        </w:rPr>
        <w:t>本公司于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7</w:t>
      </w:r>
      <w:r>
        <w:rPr>
          <w:spacing w:val="-4"/>
        </w:rPr>
        <w:t>月以每股</w:t>
      </w:r>
      <w:r>
        <w:rPr>
          <w:rFonts w:ascii="Times New Roman" w:hAnsi="Times New Roman" w:cs="Times New Roman" w:eastAsia="Times New Roman" w:hint="default"/>
          <w:spacing w:val="-4"/>
        </w:rPr>
        <w:t>55.79</w:t>
      </w:r>
      <w:r>
        <w:rPr>
          <w:spacing w:val="-4"/>
        </w:rPr>
        <w:t>元的价格向激励对象（公司核心管理人员、核心业务（技术）人员）</w:t>
      </w:r>
      <w:r>
        <w:rPr>
          <w:spacing w:val="-76"/>
        </w:rPr>
        <w:t> </w:t>
      </w:r>
      <w:r>
        <w:rPr>
          <w:spacing w:val="-76"/>
        </w:rPr>
      </w:r>
      <w:r>
        <w:rPr/>
        <w:t>授予</w:t>
      </w:r>
      <w:r>
        <w:rPr>
          <w:rFonts w:ascii="Times New Roman" w:hAnsi="Times New Roman" w:cs="Times New Roman" w:eastAsia="Times New Roman" w:hint="default"/>
        </w:rPr>
        <w:t>150</w:t>
      </w:r>
      <w:r>
        <w:rPr/>
        <w:t>万股限制性股票。授予后本公司注册资本、实收资本（股本）变更为</w:t>
      </w:r>
      <w:r>
        <w:rPr>
          <w:rFonts w:ascii="Times New Roman" w:hAnsi="Times New Roman" w:cs="Times New Roman" w:eastAsia="Times New Roman" w:hint="default"/>
        </w:rPr>
        <w:t>6,830</w:t>
      </w:r>
      <w:r>
        <w:rPr/>
        <w:t>万元。 本公司注册地址：上海市静安区昌平路</w:t>
      </w:r>
      <w:r>
        <w:rPr>
          <w:rFonts w:ascii="Times New Roman" w:hAnsi="Times New Roman" w:cs="Times New Roman" w:eastAsia="Times New Roman" w:hint="default"/>
        </w:rPr>
        <w:t>710</w:t>
      </w:r>
      <w:r>
        <w:rPr/>
        <w:t>号</w:t>
      </w:r>
      <w:r>
        <w:rPr>
          <w:rFonts w:ascii="Times New Roman" w:hAnsi="Times New Roman" w:cs="Times New Roman" w:eastAsia="Times New Roman" w:hint="default"/>
        </w:rPr>
        <w:t>302</w:t>
      </w:r>
      <w:r>
        <w:rPr/>
        <w:t>室，法定代表人：张曙华。 本公司属软件行业，经营范围主要包括：计算机软硬件、系统集成、网络工程、电子信息领域内 </w:t>
      </w:r>
      <w:r>
        <w:rPr>
          <w:spacing w:val="-3"/>
        </w:rPr>
        <w:t>的</w:t>
      </w:r>
      <w:r>
        <w:rPr>
          <w:rFonts w:ascii="Times New Roman" w:hAnsi="Times New Roman" w:cs="Times New Roman" w:eastAsia="Times New Roman" w:hint="default"/>
          <w:spacing w:val="-3"/>
        </w:rPr>
        <w:t>“</w:t>
      </w:r>
      <w:r>
        <w:rPr>
          <w:spacing w:val="-3"/>
        </w:rPr>
        <w:t>四技</w:t>
      </w:r>
      <w:r>
        <w:rPr>
          <w:rFonts w:ascii="Times New Roman" w:hAnsi="Times New Roman" w:cs="Times New Roman" w:eastAsia="Times New Roman" w:hint="default"/>
          <w:spacing w:val="-3"/>
        </w:rPr>
        <w:t>”</w:t>
      </w:r>
      <w:r>
        <w:rPr>
          <w:spacing w:val="-3"/>
        </w:rPr>
        <w:t>服务，计算机软硬件、网络工程设备、公共安全防范工程设计及施工，建筑智能化工程设</w:t>
      </w:r>
      <w:r>
        <w:rPr>
          <w:spacing w:val="-62"/>
        </w:rPr>
        <w:t> </w:t>
      </w:r>
      <w:r>
        <w:rPr>
          <w:spacing w:val="-62"/>
        </w:rPr>
      </w:r>
      <w:r>
        <w:rPr/>
        <w:t>计与施工，计算机数据处理（依法须经批准的项目，经相关部门批准后方可开展经营活动）。 本公司的母公司为上海中信电子发展有限公司，实际控制人为张曙华。 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Heading6"/>
        <w:spacing w:line="240" w:lineRule="auto"/>
        <w:ind w:left="1848" w:right="985"/>
        <w:jc w:val="left"/>
      </w:pPr>
      <w:r>
        <w:rPr/>
        <w:t>本公司本期合并财务报表范围无变化，合同范围内子公司如下：</w:t>
      </w:r>
    </w:p>
    <w:p>
      <w:pPr>
        <w:spacing w:line="240" w:lineRule="auto" w:before="11"/>
        <w:rPr>
          <w:rFonts w:ascii="宋体" w:hAnsi="宋体" w:cs="宋体" w:eastAsia="宋体" w:hint="default"/>
          <w:sz w:val="27"/>
          <w:szCs w:val="27"/>
        </w:rPr>
      </w:pPr>
    </w:p>
    <w:tbl>
      <w:tblPr>
        <w:tblW w:w="0" w:type="auto"/>
        <w:jc w:val="left"/>
        <w:tblInd w:w="1740" w:type="dxa"/>
        <w:tblLayout w:type="fixed"/>
        <w:tblCellMar>
          <w:top w:w="0" w:type="dxa"/>
          <w:left w:w="0" w:type="dxa"/>
          <w:bottom w:w="0" w:type="dxa"/>
          <w:right w:w="0" w:type="dxa"/>
        </w:tblCellMar>
        <w:tblLook w:val="01E0"/>
      </w:tblPr>
      <w:tblGrid>
        <w:gridCol w:w="7814"/>
      </w:tblGrid>
      <w:tr>
        <w:trPr>
          <w:trHeight w:val="355" w:hRule="exact"/>
        </w:trPr>
        <w:tc>
          <w:tcPr>
            <w:tcW w:w="7814" w:type="dxa"/>
            <w:tcBorders>
              <w:top w:val="single" w:sz="6" w:space="0" w:color="000000"/>
              <w:left w:val="nil" w:sz="6" w:space="0" w:color="auto"/>
              <w:bottom w:val="single" w:sz="12" w:space="0" w:color="000000"/>
              <w:right w:val="nil" w:sz="6" w:space="0" w:color="auto"/>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上海金档信息技术有限公司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光典信息发展有限公司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上海追索信息科技有限公司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追溯云信息发展股份有限公司</w:t>
            </w:r>
          </w:p>
        </w:tc>
      </w:tr>
    </w:tbl>
    <w:p>
      <w:pPr>
        <w:pStyle w:val="Heading6"/>
        <w:spacing w:line="276" w:lineRule="exact"/>
        <w:ind w:left="1848" w:right="985"/>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42"/>
        </w:rPr>
        <w:t> </w:t>
      </w:r>
      <w:r>
        <w:rPr>
          <w:rFonts w:ascii="Times New Roman" w:hAnsi="Times New Roman" w:cs="Times New Roman" w:eastAsia="Times New Roman" w:hint="default"/>
        </w:rPr>
        <w:t>“</w:t>
      </w:r>
      <w:r>
        <w:rPr/>
        <w:t>九、在其他主体中的</w:t>
      </w:r>
    </w:p>
    <w:p>
      <w:pPr>
        <w:pStyle w:val="Heading6"/>
        <w:spacing w:line="240" w:lineRule="auto" w:before="21"/>
        <w:ind w:left="1848" w:right="985"/>
        <w:jc w:val="left"/>
      </w:pPr>
      <w:r>
        <w:rPr/>
        <w:t>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4"/>
        <w:spacing w:line="240" w:lineRule="auto"/>
        <w:ind w:right="985"/>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1133" w:right="1093"/>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和各项具体会计准则、企业会计准则应用指南、企业会计准则解释及其他相关规定（以下合称</w:t>
      </w:r>
      <w:r>
        <w:rPr>
          <w:rFonts w:ascii="Times New Roman" w:hAnsi="Times New Roman" w:cs="Times New Roman" w:eastAsia="Times New Roman" w:hint="default"/>
        </w:rPr>
        <w:t>“</w:t>
      </w:r>
      <w:r>
        <w:rPr/>
        <w:t>企业会计</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left="1133" w:right="1128"/>
        <w:jc w:val="left"/>
      </w:pP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财务报告的 一般规定》的披露规定编制财务报表。</w:t>
      </w:r>
    </w:p>
    <w:p>
      <w:pPr>
        <w:spacing w:line="240" w:lineRule="auto" w:before="10"/>
        <w:rPr>
          <w:rFonts w:ascii="宋体" w:hAnsi="宋体" w:cs="宋体" w:eastAsia="宋体" w:hint="default"/>
          <w:sz w:val="24"/>
          <w:szCs w:val="24"/>
        </w:rPr>
      </w:pPr>
    </w:p>
    <w:p>
      <w:pPr>
        <w:pStyle w:val="Heading5"/>
        <w:spacing w:line="240" w:lineRule="auto"/>
        <w:ind w:right="985"/>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Heading6"/>
        <w:spacing w:line="256" w:lineRule="auto"/>
        <w:ind w:left="1134" w:right="1221"/>
        <w:jc w:val="left"/>
      </w:pPr>
      <w:r>
        <w:rPr/>
        <w:t>本公司对自报告期末起</w:t>
      </w:r>
      <w:r>
        <w:rPr>
          <w:spacing w:val="-24"/>
        </w:rPr>
        <w:t> </w:t>
      </w:r>
      <w:r>
        <w:rPr>
          <w:rFonts w:ascii="Times New Roman" w:hAnsi="Times New Roman" w:cs="Times New Roman" w:eastAsia="Times New Roman" w:hint="default"/>
        </w:rPr>
        <w:t>12</w:t>
      </w:r>
      <w:r>
        <w:rPr/>
        <w:t>个月的持续经营能力进行评价，评价结果表明本公司自报告期末起</w:t>
      </w:r>
      <w:r>
        <w:rPr>
          <w:rFonts w:ascii="Times New Roman" w:hAnsi="Times New Roman" w:cs="Times New Roman" w:eastAsia="Times New Roman" w:hint="default"/>
        </w:rPr>
        <w:t>12</w:t>
      </w:r>
      <w:r>
        <w:rPr/>
        <w:t>个月的持 续经营能力不存在重大不确定性。</w:t>
      </w:r>
    </w:p>
    <w:p>
      <w:pPr>
        <w:spacing w:line="240" w:lineRule="auto" w:before="13"/>
        <w:rPr>
          <w:rFonts w:ascii="宋体" w:hAnsi="宋体" w:cs="宋体" w:eastAsia="宋体" w:hint="default"/>
          <w:sz w:val="22"/>
          <w:szCs w:val="22"/>
        </w:rPr>
      </w:pPr>
    </w:p>
    <w:p>
      <w:pPr>
        <w:pStyle w:val="Heading4"/>
        <w:spacing w:line="240" w:lineRule="auto"/>
        <w:ind w:left="1134" w:right="985"/>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1134" w:right="7692"/>
        <w:jc w:val="left"/>
      </w:pPr>
      <w:r>
        <w:rPr/>
        <w:t>公司是否需要遵守特殊行业的披露要求 否</w:t>
      </w:r>
    </w:p>
    <w:p>
      <w:pPr>
        <w:pStyle w:val="BodyText"/>
        <w:spacing w:line="240" w:lineRule="auto" w:before="29"/>
        <w:ind w:left="1134" w:right="985"/>
        <w:jc w:val="left"/>
      </w:pPr>
      <w:r>
        <w:rPr/>
        <w:t>具体会计政策和会计估计提示：</w:t>
      </w:r>
    </w:p>
    <w:p>
      <w:pPr>
        <w:pStyle w:val="Heading6"/>
        <w:spacing w:line="273" w:lineRule="auto" w:before="89"/>
        <w:ind w:left="1134" w:right="985"/>
        <w:jc w:val="left"/>
      </w:pPr>
      <w:r>
        <w:rPr>
          <w:spacing w:val="-1"/>
        </w:rPr>
        <w:t>本公司根据实际生产经营特点针对应收款项坏账准备计提、固定资产折旧、无形资产摊销、收入确认等交</w:t>
      </w:r>
      <w:r>
        <w:rPr>
          <w:spacing w:val="-83"/>
        </w:rPr>
        <w:t> </w:t>
      </w:r>
      <w:r>
        <w:rPr>
          <w:spacing w:val="-83"/>
        </w:rPr>
      </w:r>
      <w:r>
        <w:rPr/>
        <w:t>易或事项制定了具体会计政策和会计估计。</w:t>
      </w:r>
    </w:p>
    <w:p>
      <w:pPr>
        <w:spacing w:line="240" w:lineRule="auto" w:before="8"/>
        <w:rPr>
          <w:rFonts w:ascii="宋体" w:hAnsi="宋体" w:cs="宋体" w:eastAsia="宋体" w:hint="default"/>
          <w:sz w:val="23"/>
          <w:szCs w:val="23"/>
        </w:rPr>
      </w:pPr>
    </w:p>
    <w:p>
      <w:pPr>
        <w:pStyle w:val="Heading5"/>
        <w:spacing w:line="240" w:lineRule="auto"/>
        <w:ind w:left="1134" w:right="985"/>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4" w:right="1023"/>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06" w:lineRule="auto" w:before="0"/>
        <w:ind w:left="1134" w:right="6552" w:firstLine="0"/>
        <w:jc w:val="left"/>
        <w:rPr>
          <w:rFonts w:ascii="宋体" w:hAnsi="宋体" w:cs="宋体" w:eastAsia="宋体" w:hint="default"/>
          <w:sz w:val="21"/>
          <w:szCs w:val="21"/>
        </w:rPr>
      </w:pPr>
      <w:bookmarkStart w:name="2、会计期间"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28"/>
          <w:szCs w:val="28"/>
        </w:rPr>
      </w:pPr>
    </w:p>
    <w:p>
      <w:pPr>
        <w:spacing w:line="506" w:lineRule="auto" w:before="0"/>
        <w:ind w:left="1134" w:right="8232" w:firstLine="0"/>
        <w:jc w:val="left"/>
        <w:rPr>
          <w:rFonts w:ascii="宋体" w:hAnsi="宋体" w:cs="宋体" w:eastAsia="宋体" w:hint="default"/>
          <w:sz w:val="21"/>
          <w:szCs w:val="21"/>
        </w:rPr>
      </w:pPr>
      <w:bookmarkStart w:name="3、营业周期" w:id="173"/>
      <w:bookmarkEnd w:id="1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240" w:lineRule="auto" w:before="10"/>
        <w:rPr>
          <w:rFonts w:ascii="宋体" w:hAnsi="宋体" w:cs="宋体" w:eastAsia="宋体" w:hint="default"/>
          <w:sz w:val="28"/>
          <w:szCs w:val="28"/>
        </w:rPr>
      </w:pPr>
    </w:p>
    <w:p>
      <w:pPr>
        <w:spacing w:line="506" w:lineRule="auto" w:before="0"/>
        <w:ind w:left="1134" w:right="7602" w:firstLine="0"/>
        <w:jc w:val="left"/>
        <w:rPr>
          <w:rFonts w:ascii="宋体" w:hAnsi="宋体" w:cs="宋体" w:eastAsia="宋体" w:hint="default"/>
          <w:sz w:val="21"/>
          <w:szCs w:val="21"/>
        </w:rPr>
      </w:pPr>
      <w:bookmarkStart w:name="4、记账本位币" w:id="174"/>
      <w:bookmarkEnd w:id="1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5"/>
        <w:spacing w:line="240" w:lineRule="auto" w:before="105"/>
        <w:ind w:right="985"/>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73" w:lineRule="auto"/>
        <w:ind w:left="1133" w:right="1131" w:firstLine="336"/>
        <w:jc w:val="both"/>
      </w:pPr>
      <w:r>
        <w:rPr/>
        <w:t>同一控制下企业合并：本公司在企业合并中取得的资产和负债，按照合并日被合并方资产、负债（包 </w:t>
      </w: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Heading6"/>
        <w:spacing w:line="273" w:lineRule="auto" w:before="7"/>
        <w:ind w:left="1133" w:right="1131" w:firstLine="336"/>
        <w:jc w:val="both"/>
      </w:pPr>
      <w:r>
        <w:rPr/>
        <w:t>非同一控制下企业合并：本公司在购买日对作为企业合并对价付出的资产、发生或承担的负债按照公 </w:t>
      </w:r>
      <w:r>
        <w:rPr>
          <w:spacing w:val="-1"/>
        </w:rPr>
        <w:t>允价值计量，公允价值与其账面价值的差额，计入当期损益。本公司对合并成本大于合并中取得的被购买</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1133" w:right="985"/>
        <w:jc w:val="left"/>
      </w:pP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Heading6"/>
        <w:spacing w:line="273" w:lineRule="auto" w:before="7"/>
        <w:ind w:left="1133" w:right="1177" w:firstLine="336"/>
        <w:jc w:val="left"/>
      </w:pPr>
      <w:r>
        <w:rPr/>
        <w:t>为企业合并发生的审计、法律服务、评估咨询等中介费用以及其他直接相关费用，于发生时计入当期 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985"/>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111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w:t>
      </w:r>
      <w:r>
        <w:rPr/>
        <w:t> 资方可分割的部分）均纳入合并财务报表。</w:t>
      </w:r>
    </w:p>
    <w:p>
      <w:pPr>
        <w:spacing w:line="240" w:lineRule="auto" w:before="6"/>
        <w:rPr>
          <w:rFonts w:ascii="宋体" w:hAnsi="宋体" w:cs="宋体" w:eastAsia="宋体" w:hint="default"/>
          <w:sz w:val="24"/>
          <w:szCs w:val="24"/>
        </w:rPr>
      </w:pPr>
    </w:p>
    <w:p>
      <w:pPr>
        <w:pStyle w:val="Heading6"/>
        <w:spacing w:line="273" w:lineRule="auto"/>
        <w:ind w:left="2409" w:right="1077"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合并程序</w:t>
      </w:r>
      <w:r>
        <w:rPr>
          <w:rFonts w:ascii="宋体" w:hAnsi="宋体" w:cs="宋体" w:eastAsia="宋体" w:hint="default"/>
          <w:b/>
          <w:bCs/>
          <w:spacing w:val="1"/>
          <w:w w:val="99"/>
        </w:rPr>
        <w:t> </w:t>
      </w:r>
      <w:r>
        <w:rPr>
          <w:spacing w:val="-2"/>
        </w:rPr>
        <w:t>本公司以自身和各子公司的财务报表为基础，根据其他有关资料，编制合并财务报表。本公</w:t>
      </w:r>
      <w:r>
        <w:rPr/>
        <w:t> 司编制合并财务报表，将整个企业集团视为一个会计主体，依据相关企业会计准则的确认、 </w:t>
      </w:r>
      <w:r>
        <w:rPr>
          <w:spacing w:val="-2"/>
        </w:rPr>
        <w:t>计量和列报要求，按照统一的会计政策，反映本企业集团整体财务状况、经营成果和现金流</w:t>
      </w:r>
      <w:r>
        <w:rPr/>
        <w:t> 量。 </w:t>
      </w:r>
      <w:r>
        <w:rPr>
          <w:spacing w:val="-1"/>
        </w:rPr>
        <w:t>所有纳入合并财务报表合并范围的子公司所采用的会计政策、会计期间与本公司一致，如子</w:t>
      </w:r>
      <w:r>
        <w:rPr/>
        <w:t> </w:t>
      </w:r>
      <w:r>
        <w:rPr>
          <w:spacing w:val="-2"/>
        </w:rPr>
        <w:t>公司采用的会计政策、会计期间与本公司不一致的，在编制合并财务报表时，按本公司的会</w:t>
      </w:r>
      <w:r>
        <w:rPr/>
        <w:t> </w:t>
      </w:r>
      <w:r>
        <w:rPr>
          <w:spacing w:val="-1"/>
        </w:rPr>
        <w:t>计政策、会计期间进行必要的调整。对于非同一控制下企业合并取得的子公司，以购买日可</w:t>
      </w:r>
      <w:r>
        <w:rPr>
          <w:spacing w:val="1"/>
        </w:rPr>
        <w:t> </w:t>
      </w:r>
      <w:r>
        <w:rPr/>
        <w:t>辨认净资产公允价值为基础对其财务报表进行调整。对于同一控制下企业合并取得的子公</w:t>
      </w:r>
      <w:r>
        <w:rPr/>
        <w:t> </w:t>
      </w:r>
      <w:r>
        <w:rPr>
          <w:spacing w:val="-1"/>
        </w:rPr>
        <w:t>司，以其资产、负债（包括最终控制方收购该子公司而形成的商誉）在最终控制方财务报表</w:t>
      </w:r>
      <w:r>
        <w:rPr/>
        <w:t> 中的账面价值为基础对其财务报表进行调整。 </w:t>
      </w:r>
      <w:r>
        <w:rPr>
          <w:spacing w:val="-1"/>
        </w:rPr>
        <w:t>子公司所有者权益、当期净损益和当期综合收益中属于少数股东的份额分别在合并资产负债</w:t>
      </w:r>
      <w:r>
        <w:rPr/>
        <w:t> </w:t>
      </w:r>
      <w:r>
        <w:rPr>
          <w:spacing w:val="-1"/>
        </w:rPr>
        <w:t>表中所有者权益项目下、合并利润表中净利润项目下和综合收益总额项目下单独列示。子公</w:t>
      </w:r>
      <w:r>
        <w:rPr/>
        <w:t> 司少数股东分担的当期亏损超过了少数股东在该子公司期初所有者权益中所享有份额而形 成的余额，冲减少数股东权益。</w:t>
      </w:r>
    </w:p>
    <w:p>
      <w:pPr>
        <w:pStyle w:val="Heading6"/>
        <w:spacing w:line="271" w:lineRule="auto" w:before="7"/>
        <w:ind w:right="1116"/>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w:t>
      </w:r>
      <w:r>
        <w:rPr/>
        <w:t> </w:t>
      </w:r>
      <w:r>
        <w:rPr>
          <w:spacing w:val="-1"/>
        </w:rPr>
        <w:t>数；将子公司或业务合并当期期初至报告期末的收入、费用、利润纳入合并利润表；将子公</w:t>
      </w:r>
      <w:r>
        <w:rPr/>
        <w:t> </w:t>
      </w:r>
      <w:r>
        <w:rPr>
          <w:spacing w:val="-1"/>
        </w:rPr>
        <w:t>司或业务合并当期期初至报告期末的现金流量纳入合并现金流量表，同时对比较报表的相关</w:t>
      </w:r>
      <w:r>
        <w:rPr/>
        <w:t> 项目进行调整，视同合并后的报告主体自最终控制方开始控制时点起一直存在。 </w:t>
      </w:r>
      <w:r>
        <w:rPr>
          <w:spacing w:val="-1"/>
        </w:rPr>
        <w:t>因追加投资等原因能够对同一控制下的被投资方实施控制的，视同参与合并的各方在最终控</w:t>
      </w:r>
      <w:r>
        <w:rPr/>
        <w:t> 制方开始控制时即以目前的状态存在进行调整。在取得被合并方控制权之前持有的股权投 </w:t>
      </w:r>
      <w:r>
        <w:rPr>
          <w:spacing w:val="-1"/>
        </w:rPr>
        <w:t>资，在取得原股权之日与合并方和被合并方同处于同一控制之日孰晚日起至合并日之间已确</w:t>
      </w:r>
      <w:r>
        <w:rPr/>
        <w:t> </w:t>
      </w:r>
      <w:r>
        <w:rPr>
          <w:spacing w:val="-1"/>
        </w:rPr>
        <w:t>认有关损益、其他综合收益以及其他净资产变动，分别冲减比较报表期间的期初留存收益或</w:t>
      </w:r>
      <w:r>
        <w:rPr/>
        <w:t> 当期损益。 </w:t>
      </w:r>
      <w:r>
        <w:rPr>
          <w:spacing w:val="-1"/>
        </w:rPr>
        <w:t>在报告期内，若因非同一控制下企业合并增加子公司或业务的，则不调整合并资产负债表期</w:t>
      </w:r>
      <w:r>
        <w:rPr/>
        <w:t> </w:t>
      </w:r>
      <w:r>
        <w:rPr>
          <w:spacing w:val="-1"/>
        </w:rPr>
        <w:t>初数；将该子公司或业务自购买日至报告期末的收入、费用、利润纳入合并利润表；该子公</w:t>
      </w:r>
      <w:r>
        <w:rPr/>
        <w:t> 司或业务自购买日至报告期末的现金流量纳入合并现金流量表。 </w:t>
      </w:r>
      <w:r>
        <w:rPr>
          <w:spacing w:val="-1"/>
        </w:rPr>
        <w:t>因追加投资等原因能够对非同一控制下的被投资方实施控制的，对于购买日之前持有的被购</w:t>
      </w:r>
      <w:r>
        <w:rPr/>
        <w:t> </w:t>
      </w:r>
      <w:r>
        <w:rPr>
          <w:spacing w:val="-1"/>
        </w:rPr>
        <w:t>买方的股权，本公司按照该股权在购买日的公允价值进行重新计量，公允价值与其账面价值</w:t>
      </w:r>
      <w:r>
        <w:rPr/>
        <w:t> </w:t>
      </w:r>
      <w:r>
        <w:rPr>
          <w:spacing w:val="-1"/>
        </w:rPr>
        <w:t>的差额计入当期投资收益。购买日之前持有的被购买方的股权涉及权益法核算下的其他综合</w:t>
      </w:r>
      <w:r>
        <w:rPr/>
        <w:t> </w:t>
      </w:r>
      <w:r>
        <w:rPr>
          <w:spacing w:val="-1"/>
        </w:rPr>
        <w:t>收益以及除净损益、其他综合收益和利润分配之外的其他所有者权益变动的，与其相关的其</w:t>
      </w:r>
    </w:p>
    <w:p>
      <w:pPr>
        <w:spacing w:after="0" w:line="27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2409" w:right="1117"/>
        <w:jc w:val="left"/>
      </w:pPr>
      <w:r>
        <w:rPr>
          <w:spacing w:val="-1"/>
        </w:rPr>
        <w:t>他综合收益、其他所有者权益变动转为购买日所属当期投资收益，由于被投资方重新计量设</w:t>
      </w:r>
      <w:r>
        <w:rPr/>
        <w:t> 定受益计划净负债或净资产变动而产生的其他综合收益除外。</w:t>
      </w:r>
    </w:p>
    <w:p>
      <w:pPr>
        <w:pStyle w:val="Heading6"/>
        <w:spacing w:line="240" w:lineRule="auto" w:before="7"/>
        <w:ind w:left="2409" w:right="985"/>
        <w:jc w:val="left"/>
      </w:pPr>
      <w:r>
        <w:rPr/>
        <w:t>（</w:t>
      </w:r>
      <w:r>
        <w:rPr>
          <w:rFonts w:ascii="Times New Roman" w:hAnsi="Times New Roman" w:cs="Times New Roman" w:eastAsia="Times New Roman" w:hint="default"/>
        </w:rPr>
        <w:t>2</w:t>
      </w:r>
      <w:r>
        <w:rPr/>
        <w:t>）处置子公司或业务</w:t>
      </w:r>
    </w:p>
    <w:p>
      <w:pPr>
        <w:pStyle w:val="Heading6"/>
        <w:spacing w:line="273" w:lineRule="auto" w:before="21"/>
        <w:ind w:left="2409" w:right="1077"/>
        <w:jc w:val="left"/>
      </w:pPr>
      <w:r>
        <w:rPr/>
        <w:t>①一般处理方法 </w:t>
      </w:r>
      <w:r>
        <w:rPr>
          <w:spacing w:val="-1"/>
        </w:rPr>
        <w:t>在报告期内，本公司处置子公司或业务，则该子公司或业务期初至处置日的收入、费用、利</w:t>
      </w:r>
      <w:r>
        <w:rPr/>
        <w:t> 润纳入合并利润表；该子公司或业务期初至处置日的现金流量纳入合并现金流量表。 因处置部分股权投资或其他原因丧失了对被投资方控制权时，对于处置后的剩余股权投资， </w:t>
      </w:r>
      <w:r>
        <w:rPr>
          <w:spacing w:val="-1"/>
        </w:rPr>
        <w:t>本公司按照其在丧失控制权日的公允价值进行重新计量。处置股权取得的对价与剩余股权公</w:t>
      </w:r>
      <w:r>
        <w:rPr/>
        <w:t> </w:t>
      </w:r>
      <w:r>
        <w:rPr>
          <w:spacing w:val="-1"/>
        </w:rPr>
        <w:t>允价值之和，减去按原持股比例计算应享有原有子公司自购买日或合并日开始持续计算的净</w:t>
      </w:r>
      <w:r>
        <w:rPr/>
        <w:t> </w:t>
      </w:r>
      <w:r>
        <w:rPr>
          <w:spacing w:val="-1"/>
        </w:rPr>
        <w:t>资产的份额与商誉之和的差额，计入丧失控制权当期的投资收益。与原有子公司股权投资相</w:t>
      </w:r>
      <w:r>
        <w:rPr/>
        <w:t> </w:t>
      </w:r>
      <w:r>
        <w:rPr>
          <w:spacing w:val="-1"/>
        </w:rPr>
        <w:t>关的其他综合收益或除净损益、其他综合收益及利润分配之外的其他所有者权益变动，在丧</w:t>
      </w:r>
      <w:r>
        <w:rPr/>
        <w:t> </w:t>
      </w:r>
      <w:r>
        <w:rPr>
          <w:spacing w:val="-1"/>
        </w:rPr>
        <w:t>失控制权时转为当期投资收益，由于被投资方重新计量设定受益计划净负债或净资产变动而</w:t>
      </w:r>
      <w:r>
        <w:rPr/>
        <w:t> 产生的其他综合收益除外。 </w:t>
      </w:r>
      <w:r>
        <w:rPr>
          <w:spacing w:val="-1"/>
        </w:rPr>
        <w:t>因其他投资方对子公司增资而导致本公司持股比例下降从而丧失控制权的，按照上述原则进</w:t>
      </w:r>
      <w:r>
        <w:rPr/>
        <w:t> 行会计处理。</w:t>
      </w:r>
    </w:p>
    <w:p>
      <w:pPr>
        <w:pStyle w:val="Heading6"/>
        <w:spacing w:line="273" w:lineRule="auto" w:before="7"/>
        <w:ind w:right="1116"/>
        <w:jc w:val="left"/>
      </w:pPr>
      <w:r>
        <w:rPr/>
        <w:t>②分步处置子公司 </w:t>
      </w:r>
      <w:r>
        <w:rPr>
          <w:spacing w:val="-1"/>
        </w:rPr>
        <w:t>通过多次交易分步处置对子公司股权投资直至丧失控制权的，处置对子公司股权投资的各项</w:t>
      </w:r>
      <w:r>
        <w:rPr/>
        <w:t> </w:t>
      </w:r>
      <w:r>
        <w:rPr>
          <w:spacing w:val="-1"/>
        </w:rPr>
        <w:t>交易的条款、条件以及经济影响符合以下一种或多种情况，通常表明应将多次交易事项作为</w:t>
      </w:r>
      <w:r>
        <w:rPr/>
        <w:t> 一揽子交易进行会计处理：</w:t>
      </w:r>
    </w:p>
    <w:p>
      <w:pPr>
        <w:pStyle w:val="Heading6"/>
        <w:spacing w:line="273" w:lineRule="auto" w:before="7"/>
        <w:ind w:left="2409" w:right="1117"/>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w:t>
      </w:r>
      <w:r>
        <w:rPr/>
        <w:t> </w:t>
      </w:r>
      <w:r>
        <w:rPr>
          <w:spacing w:val="-1"/>
        </w:rPr>
        <w:t>为一项处置子公司并丧失控制权的交易进行会计处理；但是，在丧失控制权之前每一次处置</w:t>
      </w:r>
      <w:r>
        <w:rPr/>
        <w:t> </w:t>
      </w:r>
      <w:r>
        <w:rPr>
          <w:spacing w:val="-1"/>
        </w:rPr>
        <w:t>价款与处置投资对应的享有该子公司净资产份额的差额，在合并财务报表中确认为其他综合</w:t>
      </w:r>
      <w:r>
        <w:rPr/>
        <w:t> 收益，在丧失控制权时一并转入丧失控制权当期的损益。 处置对子公司股权投资直至丧失控制权的各项交易不属于一揽子交易的，在丧失控制权之 </w:t>
      </w:r>
      <w:r>
        <w:rPr>
          <w:spacing w:val="-1"/>
        </w:rPr>
        <w:t>前，按不丧失控制权的情况下部分处置对子公司的股权投资的相关政策进行会计处理；在丧</w:t>
      </w:r>
      <w:r>
        <w:rPr/>
        <w:t> 失控制权时，按处置子公司一般处理方法进行会计处理。</w:t>
      </w:r>
    </w:p>
    <w:p>
      <w:pPr>
        <w:pStyle w:val="Heading6"/>
        <w:spacing w:line="266" w:lineRule="auto" w:before="7"/>
        <w:ind w:right="985"/>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 </w:t>
      </w:r>
      <w:r>
        <w:rPr>
          <w:spacing w:val="-2"/>
        </w:rPr>
        <w:t>买日（或合并日）开始持续计算的净资产份额之间的差额，调整合并资产负债表中的资本公</w:t>
      </w:r>
      <w:r>
        <w:rPr>
          <w:spacing w:val="-66"/>
        </w:rPr>
        <w:t> </w:t>
      </w:r>
      <w:r>
        <w:rPr>
          <w:spacing w:val="-66"/>
        </w:rPr>
      </w:r>
      <w:r>
        <w:rPr/>
        <w:t>积中的股本溢价，资本公积中的股本溢价不足冲减的，调整留存收益。</w:t>
      </w:r>
    </w:p>
    <w:p>
      <w:pPr>
        <w:pStyle w:val="Heading6"/>
        <w:spacing w:line="268" w:lineRule="auto" w:before="14"/>
        <w:ind w:right="1116"/>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 </w:t>
      </w:r>
      <w:r>
        <w:rPr>
          <w:spacing w:val="-1"/>
        </w:rPr>
        <w:t>期股权投资相对应享有子公司自购买日或合并日开始持续计算的净资产份额之间的差额，调</w:t>
      </w:r>
      <w:r>
        <w:rPr/>
        <w:t> </w:t>
      </w:r>
      <w:r>
        <w:rPr>
          <w:spacing w:val="-1"/>
        </w:rPr>
        <w:t>整合并资产负债表中的资本公积中的股本溢价，资本公积中的股本溢价不足冲减的，调整留</w:t>
      </w:r>
      <w:r>
        <w:rPr/>
        <w:t> 存收益。</w:t>
      </w:r>
    </w:p>
    <w:p>
      <w:pPr>
        <w:spacing w:after="0" w:line="26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Heading6"/>
        <w:spacing w:line="273" w:lineRule="auto"/>
        <w:ind w:left="1133"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spacing w:line="273" w:lineRule="auto" w:before="0"/>
        <w:ind w:left="2050" w:right="5628" w:hanging="202"/>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Heading6"/>
        <w:spacing w:line="273" w:lineRule="auto" w:before="7"/>
        <w:ind w:right="1133"/>
        <w:jc w:val="both"/>
      </w:pPr>
      <w:r>
        <w:rPr>
          <w:spacing w:val="-1"/>
        </w:rPr>
        <w:t>金融资产和金融负债于初始确认时分类为：以公允价值计量且其变动计入当期损益的金融资</w:t>
      </w:r>
      <w:r>
        <w:rPr/>
        <w:t> </w:t>
      </w:r>
      <w:r>
        <w:rPr>
          <w:spacing w:val="-1"/>
        </w:rPr>
        <w:t>产或金融负债，包括交易性金融资产或金融负债和直接指定为以公允价值计量且其变动计入</w:t>
      </w:r>
      <w:r>
        <w:rPr/>
        <w:t> </w:t>
      </w:r>
      <w:r>
        <w:rPr>
          <w:spacing w:val="-1"/>
        </w:rPr>
        <w:t>当期损益的金融资产或金融负债；持有至到期投资；应收款项；可供出售金融资产；其他金</w:t>
      </w:r>
      <w:r>
        <w:rPr/>
        <w:t> 融负债等。</w:t>
      </w:r>
    </w:p>
    <w:p>
      <w:pPr>
        <w:spacing w:line="240" w:lineRule="auto" w:before="6"/>
        <w:rPr>
          <w:rFonts w:ascii="宋体" w:hAnsi="宋体" w:cs="宋体" w:eastAsia="宋体" w:hint="default"/>
          <w:sz w:val="24"/>
          <w:szCs w:val="24"/>
        </w:rPr>
      </w:pPr>
    </w:p>
    <w:p>
      <w:pPr>
        <w:pStyle w:val="Heading5"/>
        <w:spacing w:line="240" w:lineRule="auto"/>
        <w:ind w:left="2050" w:right="985"/>
        <w:jc w:val="left"/>
        <w:rPr>
          <w:b w:val="0"/>
          <w:bCs w:val="0"/>
        </w:rPr>
      </w:pPr>
      <w:r>
        <w:rPr>
          <w:rFonts w:ascii="宋体" w:hAnsi="宋体" w:cs="宋体" w:eastAsia="宋体" w:hint="default"/>
        </w:rPr>
        <w:t>1.</w:t>
      </w:r>
      <w:r>
        <w:rPr>
          <w:rFonts w:ascii="宋体" w:hAnsi="宋体" w:cs="宋体" w:eastAsia="宋体" w:hint="default"/>
          <w:spacing w:val="38"/>
        </w:rPr>
        <w:t> </w:t>
      </w:r>
      <w:r>
        <w:rPr/>
        <w:t>金融工具的确认依据和计量方法</w:t>
      </w:r>
      <w:r>
        <w:rPr>
          <w:b w:val="0"/>
          <w:bCs w:val="0"/>
        </w:rPr>
      </w:r>
    </w:p>
    <w:p>
      <w:pPr>
        <w:pStyle w:val="Heading6"/>
        <w:spacing w:line="268" w:lineRule="auto" w:before="37"/>
        <w:ind w:left="2409" w:right="1117"/>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 息）作为初始确认金额，相关的交易费用计入当期损益。 持有期间将取得的利息或现金股利确认为投资收益，期末将公允价值变动计入当期损益。 </w:t>
      </w:r>
      <w:r>
        <w:rPr>
          <w:spacing w:val="-1"/>
        </w:rPr>
        <w:t>处置时，其公允价值与初始入账金额之间的差额确认为投资收益，同时调整公允价值变动损</w:t>
      </w:r>
      <w:r>
        <w:rPr/>
        <w:t> 益。</w:t>
      </w:r>
    </w:p>
    <w:p>
      <w:pPr>
        <w:pStyle w:val="Heading6"/>
        <w:spacing w:line="268" w:lineRule="auto" w:before="12"/>
        <w:ind w:left="2409" w:right="1117"/>
        <w:jc w:val="left"/>
      </w:pPr>
      <w:r>
        <w:rPr/>
        <w:t>（</w:t>
      </w:r>
      <w:r>
        <w:rPr>
          <w:rFonts w:ascii="Times New Roman" w:hAnsi="Times New Roman" w:cs="Times New Roman" w:eastAsia="Times New Roman" w:hint="default"/>
        </w:rPr>
        <w:t>2</w:t>
      </w:r>
      <w:r>
        <w:rPr/>
        <w:t>）持有至到期投资 </w:t>
      </w:r>
      <w:r>
        <w:rPr>
          <w:spacing w:val="-1"/>
        </w:rPr>
        <w:t>取得时按公允价值（扣除已到付息期但尚未领取的债券利息）和相关交易费用之和作为初始</w:t>
      </w:r>
      <w:r>
        <w:rPr/>
        <w:t> 确认金额。 </w:t>
      </w:r>
      <w:r>
        <w:rPr>
          <w:spacing w:val="-1"/>
        </w:rPr>
        <w:t>持有期间按照摊余成本和实际利率计算确认利息收入，计入投资收益。实际利率在取得时确</w:t>
      </w:r>
      <w:r>
        <w:rPr/>
        <w:t> 定，在该预期存续期间或适用的更短期间内保持不变。 处置时，将所取得价款与该投资账面价值之间的差额计入投资收益。</w:t>
      </w:r>
    </w:p>
    <w:p>
      <w:pPr>
        <w:pStyle w:val="Heading6"/>
        <w:spacing w:line="268" w:lineRule="auto" w:before="12"/>
        <w:ind w:right="1116"/>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w:t>
      </w:r>
      <w:r>
        <w:rPr/>
        <w:t> </w:t>
      </w:r>
      <w:r>
        <w:rPr>
          <w:spacing w:val="-2"/>
        </w:rPr>
        <w:t>场上有报价的债务工具的债权，包括应收账款、其他应收款等，以向购货方应收的合同或协</w:t>
      </w:r>
      <w:r>
        <w:rPr>
          <w:spacing w:val="-66"/>
        </w:rPr>
        <w:t> </w:t>
      </w:r>
      <w:r>
        <w:rPr>
          <w:spacing w:val="-66"/>
        </w:rPr>
      </w:r>
      <w:r>
        <w:rPr/>
        <w:t>议价款作为初始确认金额；具有融资性质的，按其现值进行初始确认。 收回或处置时，将取得的价款与该应收款项账面价值之间的差额计入当期损益。</w:t>
      </w:r>
    </w:p>
    <w:p>
      <w:pPr>
        <w:pStyle w:val="Heading6"/>
        <w:spacing w:line="268" w:lineRule="auto" w:before="12"/>
        <w:ind w:left="2409" w:right="1077"/>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 息）和相关交易费用之和作为初始确认金额。 </w:t>
      </w:r>
      <w:r>
        <w:rPr>
          <w:spacing w:val="-1"/>
        </w:rPr>
        <w:t>持有期间将取得的利息或现金股利确认为投资收益。期末以公允价值计量且将公允价值变动</w:t>
      </w:r>
      <w:r>
        <w:rPr/>
        <w:t> </w:t>
      </w:r>
      <w:r>
        <w:rPr>
          <w:spacing w:val="-1"/>
        </w:rPr>
        <w:t>计入其他综合收益。但是，在活跃市场中没有报价且其公允价值不能可靠计量的权益工具投</w:t>
      </w:r>
      <w:r>
        <w:rPr/>
        <w:t> 资，以及与该权益工具挂钩并须通过交付该权益工具结算的衍生金融资产，按照成本计量。</w:t>
      </w:r>
    </w:p>
    <w:p>
      <w:pPr>
        <w:spacing w:after="0" w:line="26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2409" w:right="1117"/>
        <w:jc w:val="left"/>
      </w:pPr>
      <w:r>
        <w:rPr>
          <w:spacing w:val="-1"/>
        </w:rPr>
        <w:t>处置时，将取得的价款与该金融资产账面价值之间的差额，计入投资损益；同时，将原直接</w:t>
      </w:r>
      <w:r>
        <w:rPr/>
        <w:t> 计入其他综合收益的公允价值变动累计额对应处置部分的金额转出，计入当期损益。</w:t>
      </w:r>
    </w:p>
    <w:p>
      <w:pPr>
        <w:pStyle w:val="Heading6"/>
        <w:spacing w:line="256" w:lineRule="auto" w:before="7"/>
        <w:ind w:right="1706"/>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8"/>
        <w:rPr>
          <w:rFonts w:ascii="宋体" w:hAnsi="宋体" w:cs="宋体" w:eastAsia="宋体" w:hint="default"/>
          <w:sz w:val="25"/>
          <w:szCs w:val="25"/>
        </w:rPr>
      </w:pPr>
    </w:p>
    <w:p>
      <w:pPr>
        <w:pStyle w:val="Heading6"/>
        <w:spacing w:line="273" w:lineRule="auto"/>
        <w:ind w:right="107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 </w:t>
      </w:r>
      <w:r>
        <w:rPr>
          <w:spacing w:val="-1"/>
        </w:rPr>
        <w:t>则终止确认该金融资产；如保留了金融资产所有权上几乎所有的风险和报酬的，则不终止确</w:t>
      </w:r>
      <w:r>
        <w:rPr/>
        <w:t> 认该金融资产。 </w:t>
      </w:r>
      <w:r>
        <w:rPr>
          <w:spacing w:val="-1"/>
        </w:rPr>
        <w:t>在判断金融资产转移是否满足上述金融资产终止确认条件时，采用实质重于形式的原则。公</w:t>
      </w:r>
      <w:r>
        <w:rPr/>
        <w:t> </w:t>
      </w:r>
      <w:r>
        <w:rPr>
          <w:spacing w:val="-1"/>
        </w:rPr>
        <w:t>司将金融资产转移区分为金融资产整体转移和部分转移。金融资产整体转移满足终止确认条</w:t>
      </w:r>
      <w:r>
        <w:rPr/>
        <w:t> 件的，将下列两项金额的差额计入当期损益：</w:t>
      </w:r>
    </w:p>
    <w:p>
      <w:pPr>
        <w:pStyle w:val="Heading6"/>
        <w:spacing w:line="240" w:lineRule="auto" w:before="7"/>
        <w:ind w:left="2409" w:right="985"/>
        <w:jc w:val="left"/>
      </w:pPr>
      <w:r>
        <w:rPr/>
        <w:t>（</w:t>
      </w:r>
      <w:r>
        <w:rPr>
          <w:rFonts w:ascii="Times New Roman" w:hAnsi="Times New Roman" w:cs="Times New Roman" w:eastAsia="Times New Roman" w:hint="default"/>
        </w:rPr>
        <w:t>1</w:t>
      </w:r>
      <w:r>
        <w:rPr/>
        <w:t>）所转移金融资产的账面价值；</w:t>
      </w:r>
    </w:p>
    <w:p>
      <w:pPr>
        <w:pStyle w:val="Heading6"/>
        <w:spacing w:line="256" w:lineRule="auto" w:before="21"/>
        <w:ind w:left="2409" w:right="985"/>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 金融资产为可供出售金融资产的情形）之和。</w:t>
      </w:r>
    </w:p>
    <w:p>
      <w:pPr>
        <w:spacing w:line="240" w:lineRule="auto" w:before="7"/>
        <w:rPr>
          <w:rFonts w:ascii="宋体" w:hAnsi="宋体" w:cs="宋体" w:eastAsia="宋体" w:hint="default"/>
          <w:sz w:val="25"/>
          <w:szCs w:val="25"/>
        </w:rPr>
      </w:pPr>
    </w:p>
    <w:p>
      <w:pPr>
        <w:pStyle w:val="Heading6"/>
        <w:spacing w:line="273" w:lineRule="auto"/>
        <w:ind w:left="2409" w:right="1132"/>
        <w:jc w:val="both"/>
      </w:pPr>
      <w:r>
        <w:rPr>
          <w:spacing w:val="-1"/>
        </w:rPr>
        <w:t>金融资产部分转移满足终止确认条件的，将所转移金融资产整体的账面价值，在终止确认部</w:t>
      </w:r>
      <w:r>
        <w:rPr/>
        <w:t> </w:t>
      </w:r>
      <w:r>
        <w:rPr>
          <w:spacing w:val="-1"/>
        </w:rPr>
        <w:t>分和未终止确认部分之间，按照各自的相对公允价值进行分摊，并将下列两项金额的差额计</w:t>
      </w:r>
      <w:r>
        <w:rPr/>
        <w:t> 入当期损益：</w:t>
      </w:r>
    </w:p>
    <w:p>
      <w:pPr>
        <w:pStyle w:val="Heading6"/>
        <w:spacing w:line="240" w:lineRule="auto" w:before="7"/>
        <w:ind w:right="985"/>
        <w:jc w:val="left"/>
      </w:pPr>
      <w:r>
        <w:rPr/>
        <w:t>（</w:t>
      </w:r>
      <w:r>
        <w:rPr>
          <w:rFonts w:ascii="Times New Roman" w:hAnsi="Times New Roman" w:cs="Times New Roman" w:eastAsia="Times New Roman" w:hint="default"/>
        </w:rPr>
        <w:t>1</w:t>
      </w:r>
      <w:r>
        <w:rPr/>
        <w:t>）终止确认部分的账面价值；</w:t>
      </w:r>
    </w:p>
    <w:p>
      <w:pPr>
        <w:pStyle w:val="Heading6"/>
        <w:spacing w:line="268" w:lineRule="auto" w:before="21"/>
        <w:ind w:right="1116"/>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 认部分的金额（涉及转移的金融资产为可供出售金融资产的情形）之和。 </w:t>
      </w:r>
      <w:r>
        <w:rPr>
          <w:spacing w:val="-1"/>
        </w:rPr>
        <w:t>金融资产转移不满足终止确认条件的，继续确认该金融资产，所收到的对价确认为一项金融</w:t>
      </w:r>
      <w:r>
        <w:rPr/>
        <w:t> 负债。</w:t>
      </w:r>
    </w:p>
    <w:p>
      <w:pPr>
        <w:spacing w:line="240" w:lineRule="auto" w:before="10"/>
        <w:rPr>
          <w:rFonts w:ascii="宋体" w:hAnsi="宋体" w:cs="宋体" w:eastAsia="宋体" w:hint="default"/>
          <w:sz w:val="24"/>
          <w:szCs w:val="24"/>
        </w:rPr>
      </w:pPr>
    </w:p>
    <w:p>
      <w:pPr>
        <w:pStyle w:val="Heading6"/>
        <w:spacing w:line="273" w:lineRule="auto"/>
        <w:ind w:right="111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w:t>
      </w:r>
      <w:r>
        <w:rPr/>
        <w:t> </w:t>
      </w:r>
      <w:r>
        <w:rPr>
          <w:spacing w:val="-1"/>
        </w:rPr>
        <w:t>与债权人签定协议，以承担新金融负债方式替换现存金融负债，且新金融负债与现存金融负</w:t>
      </w:r>
      <w:r>
        <w:rPr/>
        <w:t> 债的合同条款实质上不同的，则终止确认现存金融负债，并同时确认新金融负债。 </w:t>
      </w:r>
      <w:r>
        <w:rPr>
          <w:spacing w:val="-1"/>
        </w:rPr>
        <w:t>对现存金融负债全部或部分合同条款作出实质性修改的，则终止确认现存金融负债或其一部</w:t>
      </w:r>
      <w:r>
        <w:rPr/>
        <w:t> 分，同时将修改条款后的金融负债确认为一项新金融负债。 </w:t>
      </w:r>
      <w:r>
        <w:rPr>
          <w:spacing w:val="-1"/>
        </w:rPr>
        <w:t>金融负债全部或部分终止确认时，终止确认的金融负债账面价值与支付对价（包括转出的非</w:t>
      </w:r>
      <w:r>
        <w:rPr/>
        <w:t> 现金资产或承担的新金融负债）之间的差额，计入当期损益。 本公司若回购部分金融负债的，在回购日按照继续确认部分与终止确认部分的相对公允价 </w:t>
      </w:r>
      <w:r>
        <w:rPr>
          <w:spacing w:val="-1"/>
        </w:rPr>
        <w:t>值，将该金融负债整体的账面价值进行分配。分配给终止确认部分的账面价值与支付的对价</w:t>
      </w:r>
    </w:p>
    <w:p>
      <w:pPr>
        <w:pStyle w:val="Heading6"/>
        <w:spacing w:line="240" w:lineRule="auto" w:before="7"/>
        <w:ind w:right="985"/>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Heading6"/>
        <w:spacing w:line="273" w:lineRule="auto"/>
        <w:ind w:right="111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1"/>
        </w:rPr>
        <w:t>存在活跃市场的金融工具，以活跃市场中的报价确定其公允价值。不存在活跃市场的金融工</w:t>
      </w:r>
      <w:r>
        <w:rPr/>
        <w:t> </w:t>
      </w:r>
      <w:r>
        <w:rPr>
          <w:spacing w:val="-2"/>
        </w:rPr>
        <w:t>具，采用估值技术确定其公允价值。在估值时，本公司采用在当前情况下适用并且有足够可</w:t>
      </w:r>
      <w:r>
        <w:rPr/>
        <w:t> </w:t>
      </w:r>
      <w:r>
        <w:rPr>
          <w:spacing w:val="-1"/>
        </w:rPr>
        <w:t>利用数据和其他信息支持的估值技术，选择与市场参与者在相关资产或负债的交易中所考虑</w:t>
      </w:r>
      <w:r>
        <w:rPr/>
        <w:t> </w:t>
      </w:r>
      <w:r>
        <w:rPr>
          <w:spacing w:val="-1"/>
        </w:rPr>
        <w:t>的资产或负债特征相一致的输入值，并优先使用相关可观察输入值。只有在相关可观察输入</w:t>
      </w:r>
      <w:r>
        <w:rPr/>
        <w:t> 值无法取得或取得不切实可行的情况下，才使用不可观察输入值。</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273" w:lineRule="auto" w:before="35"/>
        <w:ind w:left="2410" w:right="1116" w:hanging="36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w:t>
      </w:r>
      <w:r>
        <w:rPr>
          <w:rFonts w:ascii="宋体" w:hAnsi="宋体" w:cs="宋体" w:eastAsia="宋体" w:hint="default"/>
          <w:sz w:val="21"/>
          <w:szCs w:val="21"/>
        </w:rPr>
        <w:t> 的账面价值进行检查，如果有客观证据表明某项金融资产发生减值的，计提减值准备。</w:t>
      </w:r>
    </w:p>
    <w:p>
      <w:pPr>
        <w:spacing w:line="240" w:lineRule="auto" w:before="6"/>
        <w:rPr>
          <w:rFonts w:ascii="宋体" w:hAnsi="宋体" w:cs="宋体" w:eastAsia="宋体" w:hint="default"/>
          <w:sz w:val="24"/>
          <w:szCs w:val="24"/>
        </w:rPr>
      </w:pPr>
    </w:p>
    <w:p>
      <w:pPr>
        <w:pStyle w:val="Heading6"/>
        <w:spacing w:line="271" w:lineRule="auto"/>
        <w:ind w:left="2409" w:right="1117"/>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w:t>
      </w:r>
      <w:r>
        <w:rPr/>
        <w:t> </w:t>
      </w:r>
      <w:r>
        <w:rPr>
          <w:spacing w:val="-1"/>
        </w:rPr>
        <w:t>这种下降趋势属于非暂时性的，就认定其已发生减值，将原直接计入所有者权益的公允价值</w:t>
      </w:r>
      <w:r>
        <w:rPr/>
        <w:t> 下降形成的累计损失一并转出，确认减值损失。 </w:t>
      </w:r>
      <w:r>
        <w:rPr>
          <w:spacing w:val="-1"/>
        </w:rPr>
        <w:t>对于已确认减值损失的可供出售债务工具，在随后的会计期间公允价值已上升且客观上与确</w:t>
      </w:r>
      <w:r>
        <w:rPr/>
        <w:t> 认原减值损失确认后发生的事项有关的，原确认的减值损失予以转回，计入当期损益。 可供出售权益工具投资发生的减值损失，不通过损益转回。</w:t>
      </w:r>
    </w:p>
    <w:p>
      <w:pPr>
        <w:pStyle w:val="Heading6"/>
        <w:spacing w:line="256" w:lineRule="auto" w:before="10"/>
        <w:ind w:left="2143" w:right="3233" w:firstLine="266"/>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4" w:right="985"/>
        <w:jc w:val="left"/>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本公司将单项金额大于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万元的应收账款或单项金额大于</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万元的其他应收款，确定为单项金额重大的应收款项。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985"/>
        <w:jc w:val="left"/>
      </w:pPr>
      <w:r>
        <w:rPr/>
        <w:t>组合中，采用账龄分析法计提坏账准备的：</w:t>
      </w:r>
    </w:p>
    <w:p>
      <w:pPr>
        <w:pStyle w:val="BodyText"/>
        <w:spacing w:line="240" w:lineRule="auto" w:before="117"/>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985"/>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p>
      <w:pPr>
        <w:pStyle w:val="Heading6"/>
        <w:spacing w:line="273" w:lineRule="auto" w:before="2"/>
        <w:ind w:left="2394" w:right="985" w:hanging="345"/>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存货的分类</w:t>
      </w:r>
      <w:r>
        <w:rPr>
          <w:rFonts w:ascii="宋体" w:hAnsi="宋体" w:cs="宋体" w:eastAsia="宋体" w:hint="default"/>
          <w:b/>
          <w:bCs/>
          <w:w w:val="99"/>
        </w:rPr>
        <w:t> </w:t>
      </w:r>
      <w:r>
        <w:rPr>
          <w:spacing w:val="-1"/>
        </w:rPr>
        <w:t>存货是指本公司在日常经营活动中持有以备出售的商品、处在项目实施过程中的未完工项目</w:t>
      </w:r>
      <w:r>
        <w:rPr/>
        <w:t> </w:t>
      </w:r>
      <w:r>
        <w:rPr>
          <w:spacing w:val="-1"/>
        </w:rPr>
        <w:t>成本、项目实施或提供劳务过程中耗用的材料和物料等。主要包括原材料、库存商品、未完</w:t>
      </w:r>
      <w:r>
        <w:rPr/>
        <w:t> 工项目成本等。</w:t>
      </w:r>
    </w:p>
    <w:p>
      <w:pPr>
        <w:spacing w:line="240" w:lineRule="auto" w:before="6"/>
        <w:rPr>
          <w:rFonts w:ascii="宋体" w:hAnsi="宋体" w:cs="宋体" w:eastAsia="宋体" w:hint="default"/>
          <w:sz w:val="24"/>
          <w:szCs w:val="24"/>
        </w:rPr>
      </w:pPr>
    </w:p>
    <w:p>
      <w:pPr>
        <w:spacing w:line="273" w:lineRule="auto" w:before="0"/>
        <w:ind w:left="2410" w:right="6536" w:hanging="36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存货发出时按个别认定法计价。</w:t>
      </w:r>
    </w:p>
    <w:p>
      <w:pPr>
        <w:spacing w:line="240" w:lineRule="auto" w:before="6"/>
        <w:rPr>
          <w:rFonts w:ascii="宋体" w:hAnsi="宋体" w:cs="宋体" w:eastAsia="宋体" w:hint="default"/>
          <w:sz w:val="24"/>
          <w:szCs w:val="24"/>
        </w:rPr>
      </w:pPr>
    </w:p>
    <w:p>
      <w:pPr>
        <w:pStyle w:val="Heading6"/>
        <w:spacing w:line="273" w:lineRule="auto"/>
        <w:ind w:left="2394" w:right="1092" w:hanging="345"/>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不同类别存货可变现净值的确定依据</w:t>
      </w:r>
      <w:r>
        <w:rPr>
          <w:rFonts w:ascii="宋体" w:hAnsi="宋体" w:cs="宋体" w:eastAsia="宋体" w:hint="default"/>
          <w:b/>
          <w:bCs/>
          <w:w w:val="99"/>
        </w:rPr>
        <w:t> </w:t>
      </w:r>
      <w:r>
        <w:rPr/>
        <w:t>期末对存货进行全面清查后，按存货的成本与可变现净值孰低提取或调整存货跌价准备。 产成品、库存商品和用于出售的材料等直接用于出售的商品存货，在正常生产经营过程中， </w:t>
      </w:r>
      <w:r>
        <w:rPr>
          <w:spacing w:val="-1"/>
        </w:rPr>
        <w:t>以该存货的估计售价减去估计的销售费用和相关税费后的金额，确定其可变现净值；需要经</w:t>
      </w:r>
      <w:r>
        <w:rPr/>
        <w:t> </w:t>
      </w:r>
      <w:r>
        <w:rPr>
          <w:spacing w:val="-1"/>
        </w:rPr>
        <w:t>过加工的材料存货，在正常生产经营过程中，以所生产的产成品的估计售价减去至完工时估</w:t>
      </w:r>
      <w:r>
        <w:rPr/>
        <w:t> </w:t>
      </w:r>
      <w:r>
        <w:rPr>
          <w:spacing w:val="-1"/>
        </w:rPr>
        <w:t>计将要发生的成本、估计的销售费用和相关税费后的金额，确定其可变现净值；为执行销售</w:t>
      </w:r>
      <w:r>
        <w:rPr/>
        <w:t> </w:t>
      </w:r>
      <w:r>
        <w:rPr>
          <w:spacing w:val="-1"/>
        </w:rPr>
        <w:t>合同或者劳务合同而持有的存货，其可变现净值以合同价格为基础计算，若持有存货的数量</w:t>
      </w:r>
      <w:r>
        <w:rPr/>
        <w:t> 多于销售合同订购数量的，超出部分的存货的可变现净值以一般销售价格为基础计算。 </w:t>
      </w:r>
      <w:r>
        <w:rPr>
          <w:spacing w:val="-1"/>
        </w:rPr>
        <w:t>期末按照单个存货项目计提存货跌价准备；但对于数量繁多、单价较低的存货，按照存货类</w:t>
      </w:r>
      <w:r>
        <w:rPr/>
        <w:t> </w:t>
      </w:r>
      <w:r>
        <w:rPr>
          <w:spacing w:val="-1"/>
        </w:rPr>
        <w:t>别计提存货跌价准备；与在同一地区生产和销售的产品系列相关、具有相同或类似最终用途</w:t>
      </w:r>
      <w:r>
        <w:rPr/>
        <w:t> 或目的，且难以与其他项目分开计量的存货，则合并计提存货跌价准备。 </w:t>
      </w:r>
      <w:r>
        <w:rPr>
          <w:spacing w:val="-1"/>
        </w:rPr>
        <w:t>以前减记存货价值的影响因素已经消失的，减记的金额予以恢复，并在原已计提的存货跌价</w:t>
      </w:r>
      <w:r>
        <w:rPr/>
        <w:t> 准备金额内转回，转回的金额计入当期损益。 </w:t>
      </w:r>
      <w:r>
        <w:rPr>
          <w:spacing w:val="-1"/>
        </w:rPr>
        <w:t>除有明确证据表明资产负债表日市场价格异常外，存货项目的可变现净值以资产负债表日市</w:t>
      </w:r>
      <w:r>
        <w:rPr/>
        <w:t> 场价格为基础确定。</w:t>
      </w:r>
    </w:p>
    <w:p>
      <w:pPr>
        <w:spacing w:line="544" w:lineRule="auto" w:before="7"/>
        <w:ind w:left="2050" w:right="2966" w:firstLine="360"/>
        <w:jc w:val="left"/>
        <w:rPr>
          <w:rFonts w:ascii="宋体" w:hAnsi="宋体" w:cs="宋体" w:eastAsia="宋体" w:hint="default"/>
          <w:sz w:val="21"/>
          <w:szCs w:val="21"/>
        </w:rPr>
      </w:pPr>
      <w:r>
        <w:rPr>
          <w:rFonts w:ascii="宋体" w:hAnsi="宋体" w:cs="宋体" w:eastAsia="宋体" w:hint="default"/>
          <w:sz w:val="21"/>
          <w:szCs w:val="21"/>
        </w:rPr>
        <w:t>本期期末存货项目的可变现净值以资产负债表日市场价格为基础确定。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after="0" w:line="544"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b/>
          <w:bCs/>
          <w:sz w:val="24"/>
          <w:szCs w:val="24"/>
        </w:rPr>
      </w:pPr>
    </w:p>
    <w:p>
      <w:pPr>
        <w:pStyle w:val="Heading6"/>
        <w:spacing w:line="240" w:lineRule="auto" w:before="35"/>
        <w:ind w:left="2409" w:right="985"/>
        <w:jc w:val="left"/>
      </w:pPr>
      <w:r>
        <w:rPr/>
        <w:t>采用永续盘存制。</w:t>
      </w:r>
    </w:p>
    <w:p>
      <w:pPr>
        <w:spacing w:line="240" w:lineRule="auto" w:before="11"/>
        <w:rPr>
          <w:rFonts w:ascii="宋体" w:hAnsi="宋体" w:cs="宋体" w:eastAsia="宋体" w:hint="default"/>
          <w:sz w:val="26"/>
          <w:szCs w:val="26"/>
        </w:rPr>
      </w:pPr>
    </w:p>
    <w:p>
      <w:pPr>
        <w:spacing w:line="590" w:lineRule="atLeast" w:before="0"/>
        <w:ind w:left="1134" w:right="4032" w:firstLine="0"/>
        <w:jc w:val="left"/>
        <w:rPr>
          <w:rFonts w:ascii="宋体" w:hAnsi="宋体" w:cs="宋体" w:eastAsia="宋体" w:hint="default"/>
          <w:sz w:val="21"/>
          <w:szCs w:val="21"/>
        </w:rPr>
      </w:pPr>
      <w:bookmarkStart w:name="13、持有待售资产" w:id="186"/>
      <w:bookmarkEnd w:id="186"/>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本公司将同时满足下列条件的非流动资产或处置组划分为持有待售类别：</w:t>
      </w:r>
    </w:p>
    <w:p>
      <w:pPr>
        <w:pStyle w:val="Heading6"/>
        <w:spacing w:line="240" w:lineRule="auto" w:before="37"/>
        <w:ind w:left="1133" w:right="985"/>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Heading6"/>
        <w:spacing w:line="256" w:lineRule="auto" w:before="21"/>
        <w:ind w:left="1133" w:right="1198"/>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 年内完成。有关规定要求本公司相关权力机构或者监管部门批准后方可出售的，已经获得批准。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985"/>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111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w:t>
      </w:r>
      <w:r>
        <w:rPr/>
        <w:t> </w:t>
      </w:r>
      <w:r>
        <w:rPr>
          <w:spacing w:val="-1"/>
        </w:rPr>
        <w:t>享控制权的参与方一致同意后才能决策。本公司与其他合营方一同对被投资单位实施共同控</w:t>
      </w:r>
      <w:r>
        <w:rPr/>
        <w:t> 制且对被投资单位净资产享有权利的，被投资单位为本公司的合营企业。 </w:t>
      </w:r>
      <w:r>
        <w:rPr>
          <w:spacing w:val="-1"/>
        </w:rPr>
        <w:t>重大影响，是指对一个企业的财务和经营决策有参与决策的权力，但并不能够控制或者与其</w:t>
      </w:r>
      <w:r>
        <w:rPr/>
        <w:t> </w:t>
      </w:r>
      <w:r>
        <w:rPr>
          <w:spacing w:val="-1"/>
        </w:rPr>
        <w:t>他方一起共同控制这些政策的制定。本公司能够对被投资单位施加重大影响的，被投资单位</w:t>
      </w:r>
      <w:r>
        <w:rPr/>
        <w:t> 为本公司联营企业。</w:t>
      </w:r>
    </w:p>
    <w:p>
      <w:pPr>
        <w:spacing w:line="240" w:lineRule="auto" w:before="6"/>
        <w:rPr>
          <w:rFonts w:ascii="宋体" w:hAnsi="宋体" w:cs="宋体" w:eastAsia="宋体" w:hint="default"/>
          <w:sz w:val="24"/>
          <w:szCs w:val="24"/>
        </w:rPr>
      </w:pPr>
    </w:p>
    <w:p>
      <w:pPr>
        <w:pStyle w:val="Heading5"/>
        <w:spacing w:line="240" w:lineRule="auto"/>
        <w:ind w:left="2050" w:right="985"/>
        <w:jc w:val="left"/>
        <w:rPr>
          <w:b w:val="0"/>
          <w:bCs w:val="0"/>
        </w:rPr>
      </w:pPr>
      <w:r>
        <w:rPr>
          <w:rFonts w:ascii="宋体" w:hAnsi="宋体" w:cs="宋体" w:eastAsia="宋体" w:hint="default"/>
        </w:rPr>
        <w:t>1.</w:t>
      </w:r>
      <w:r>
        <w:rPr>
          <w:rFonts w:ascii="宋体" w:hAnsi="宋体" w:cs="宋体" w:eastAsia="宋体" w:hint="default"/>
          <w:spacing w:val="39"/>
        </w:rPr>
        <w:t> </w:t>
      </w:r>
      <w:r>
        <w:rPr/>
        <w:t>初始投资成本的确定</w:t>
      </w:r>
      <w:r>
        <w:rPr>
          <w:b w:val="0"/>
          <w:bCs w:val="0"/>
        </w:rPr>
      </w:r>
    </w:p>
    <w:p>
      <w:pPr>
        <w:pStyle w:val="Heading6"/>
        <w:spacing w:line="271" w:lineRule="auto" w:before="37"/>
        <w:ind w:right="1116"/>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w:t>
      </w:r>
      <w:r>
        <w:rPr/>
        <w:t> </w:t>
      </w:r>
      <w:r>
        <w:rPr>
          <w:spacing w:val="-1"/>
        </w:rPr>
        <w:t>性证券作为合并对价的，在合并日按照取得被合并方所有者权益在最终控制方合并财务报表</w:t>
      </w:r>
      <w:r>
        <w:rPr/>
        <w:t> </w:t>
      </w:r>
      <w:r>
        <w:rPr>
          <w:spacing w:val="-1"/>
        </w:rPr>
        <w:t>中的账面价值的份额作为长期股权投资的初始投资成本。因追加投资等原因能够对同一控制</w:t>
      </w:r>
      <w:r>
        <w:rPr/>
        <w:t> </w:t>
      </w:r>
      <w:r>
        <w:rPr>
          <w:spacing w:val="-1"/>
        </w:rPr>
        <w:t>下的被投资单位实施控制的，在合并日根据合并后应享有被合并方净资产在最终控制方合并</w:t>
      </w:r>
      <w:r>
        <w:rPr/>
        <w:t> </w:t>
      </w:r>
      <w:r>
        <w:rPr>
          <w:spacing w:val="-1"/>
        </w:rPr>
        <w:t>财务报表中的账面价值的份额，确定长期股权投资的初始投资成本。合并日长期股权投资的</w:t>
      </w:r>
      <w:r>
        <w:rPr/>
        <w:t> </w:t>
      </w:r>
      <w:r>
        <w:rPr>
          <w:spacing w:val="-1"/>
        </w:rPr>
        <w:t>初始投资成本，与达到合并前的长期股权投资账面价值加上合并日进一步取得股份新支付对</w:t>
      </w:r>
      <w:r>
        <w:rPr/>
        <w:t> 价的账面价值之和的差额，调整股本溢价，股本溢价不足冲减的，冲减留存收益。 </w:t>
      </w:r>
      <w:r>
        <w:rPr>
          <w:spacing w:val="-1"/>
        </w:rPr>
        <w:t>非同一控制下的企业合并：公司按照购买日确定的合并成本作为长期股权投资的初始投资成</w:t>
      </w:r>
      <w:r>
        <w:rPr/>
        <w:t> </w:t>
      </w:r>
      <w:r>
        <w:rPr>
          <w:spacing w:val="-1"/>
        </w:rPr>
        <w:t>本。因追加投资等原因能够对非同一控制下的被投资单位实施控制的，按照原持有的股权投</w:t>
      </w:r>
      <w:r>
        <w:rPr/>
        <w:t> 资账面价值加上新增投资成本之和，作为改按成本法核算的初始投资成本。</w:t>
      </w:r>
    </w:p>
    <w:p>
      <w:pPr>
        <w:pStyle w:val="Heading6"/>
        <w:spacing w:line="271" w:lineRule="auto" w:before="10"/>
        <w:ind w:right="1116"/>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 本。 </w:t>
      </w:r>
      <w:r>
        <w:rPr>
          <w:spacing w:val="3"/>
        </w:rPr>
        <w:t>在非货币性资产交换具备商业实质和换入资产或换出资产的公允价值能够可靠计量的前提</w:t>
      </w:r>
      <w:r>
        <w:rPr>
          <w:spacing w:val="-78"/>
        </w:rPr>
        <w:t> </w:t>
      </w:r>
      <w:r>
        <w:rPr>
          <w:spacing w:val="-78"/>
        </w:rPr>
      </w:r>
      <w:r>
        <w:rPr>
          <w:spacing w:val="-1"/>
        </w:rPr>
        <w:t>下，非货币性资产交换换入的长期股权投资以换出资产的公允价值和应支付的相关税费确定</w:t>
      </w:r>
      <w:r>
        <w:rPr/>
        <w:t> </w:t>
      </w:r>
      <w:r>
        <w:rPr>
          <w:spacing w:val="-1"/>
        </w:rPr>
        <w:t>其初始投资成本，除非有确凿证据表明换入资产的公允价值更加可靠；不满足上述前提的非</w:t>
      </w:r>
      <w:r>
        <w:rPr/>
        <w:t> </w:t>
      </w:r>
      <w:r>
        <w:rPr>
          <w:spacing w:val="-1"/>
        </w:rPr>
        <w:t>货币性资产交换，以换出资产的账面价值和应支付的相关税费作为换入长期股权投资的初始</w:t>
      </w:r>
      <w:r>
        <w:rPr/>
        <w:t> 投资成本。 通过债务重组取得的长期股权投资，其初始投资成本按照公允价值为基础确定。</w:t>
      </w:r>
    </w:p>
    <w:p>
      <w:pPr>
        <w:spacing w:after="0" w:line="27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2049" w:right="985"/>
        <w:jc w:val="left"/>
        <w:rPr>
          <w:b w:val="0"/>
          <w:bCs w:val="0"/>
        </w:rPr>
      </w:pPr>
      <w:r>
        <w:rPr>
          <w:rFonts w:ascii="宋体" w:hAnsi="宋体" w:cs="宋体" w:eastAsia="宋体" w:hint="default"/>
        </w:rPr>
        <w:t>1.</w:t>
      </w:r>
      <w:r>
        <w:rPr>
          <w:rFonts w:ascii="宋体" w:hAnsi="宋体" w:cs="宋体" w:eastAsia="宋体" w:hint="default"/>
          <w:spacing w:val="38"/>
        </w:rPr>
        <w:t> </w:t>
      </w:r>
      <w:r>
        <w:rPr/>
        <w:t>后续计量及损益确认方法</w:t>
      </w:r>
      <w:r>
        <w:rPr>
          <w:b w:val="0"/>
          <w:bCs w:val="0"/>
        </w:rPr>
      </w:r>
    </w:p>
    <w:p>
      <w:pPr>
        <w:pStyle w:val="Heading6"/>
        <w:spacing w:line="268" w:lineRule="auto" w:before="37"/>
        <w:ind w:right="1116"/>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w:t>
      </w:r>
      <w:r>
        <w:rPr/>
        <w:t> </w:t>
      </w:r>
      <w:r>
        <w:rPr>
          <w:spacing w:val="-1"/>
        </w:rPr>
        <w:t>含的已宣告但尚未发放的现金股利或利润外，公司按照享有被投资单位宣告发放的现金股利</w:t>
      </w:r>
      <w:r>
        <w:rPr/>
        <w:t> 或利润确认当期投资收益。</w:t>
      </w:r>
    </w:p>
    <w:p>
      <w:pPr>
        <w:pStyle w:val="Heading6"/>
        <w:spacing w:line="271" w:lineRule="auto" w:before="12"/>
        <w:ind w:right="985"/>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益、其他综合收益和利润分配以外所有者权益的其他变动，调整长期股权投资的账面价值并 计入所有者权益。 在确认应享有被投资单位净损益的份额时，以取得投资时被投资单位可辨认净资产的公允价 值为基础，并按照公司的会计政策及会计期间，对被投资单位的净利润进行调整后确认。在 持有投资期间，被投资单位编制合并财务报表的，以合并财务报表中的净利润、其他综合收 益和其他所有者权益变动中归属于被投资单位的金额为基础进行核算。 公司与联营企业、合营企业之间发生的未实现内部交易损益按照应享有的比例计算归属于公 </w:t>
      </w:r>
      <w:r>
        <w:rPr>
          <w:spacing w:val="-4"/>
        </w:rPr>
        <w:t>司的部分，予以抵销，在此基础上确认投资收益。与被投资单位发生的未实现内部交易损失，</w:t>
      </w:r>
      <w:r>
        <w:rPr>
          <w:spacing w:val="-87"/>
        </w:rPr>
        <w:t> </w:t>
      </w:r>
      <w:r>
        <w:rPr>
          <w:spacing w:val="-87"/>
        </w:rPr>
      </w:r>
      <w:r>
        <w:rPr/>
        <w:t>属于资产减值损失的，全额确认。公司与联营企业、合营企业之间发生投出或出售资产的交</w:t>
      </w:r>
      <w:r>
        <w:rPr/>
        <w:t> 易，该资产构成业务的，按照本附注五、</w:t>
      </w:r>
      <w:r>
        <w:rPr>
          <w:rFonts w:ascii="Times New Roman" w:hAnsi="Times New Roman" w:cs="Times New Roman" w:eastAsia="Times New Roman" w:hint="default"/>
        </w:rPr>
        <w:t>5</w:t>
      </w:r>
      <w:r>
        <w:rPr/>
        <w:t>和</w:t>
      </w:r>
      <w:r>
        <w:rPr>
          <w:rFonts w:ascii="Times New Roman" w:hAnsi="Times New Roman" w:cs="Times New Roman" w:eastAsia="Times New Roman" w:hint="default"/>
        </w:rPr>
        <w:t>6</w:t>
      </w:r>
      <w:r>
        <w:rPr/>
        <w:t>中披露的相关政策进行会计处理。 在公司确认应分担被投资单位发生的亏损时，按照以下顺序进行处理：首先，冲减长期股权 投资的账面价值。其次，长期股权投资的账面价值不足以冲减的，以其他实质上构成对被投 资单位净投资的长期权益账面价值为限继续确认投资损失，冲减长期应收项目等的账面价 值。最后，经过上述处理，按照投资合同或协议约定企业仍承担额外义务的，按预计承担的 义务确认预计负债，计入当期投资损失。</w:t>
      </w:r>
    </w:p>
    <w:p>
      <w:pPr>
        <w:pStyle w:val="Heading6"/>
        <w:spacing w:line="271" w:lineRule="auto" w:before="10"/>
        <w:ind w:left="2409" w:right="985"/>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 采用权益法核算的长期股权投资，在处置该项投资时，采用与被投资单位直接处置相关资产 或负债相同的基础，按相应比例对原计入其他综合收益的部分进行会计处理。因被投资单位 除净损益、其他综合收益和利润分配以外的其他所有者权益变动而确认的所有者权益，按比 例结转入当期损益，由于被投资方重新计量设定受益计划净负债或净资产变动而产生的其他 综合收益除外。 因处置部分股权投资等原因丧失了对被投资单位的共同控制或重大影响的，处置后的剩余股 权改按金融工具确认和计量准则核算，其在丧失共同控制或重大影响之日的公允价值与账面 价值之间的差额计入当期损益。原股权投资因采用权益法核算而确认的其他综合收益，在终 止采用权益法核算时采用与被投资单位直接处置相关资产或负债相同的基础进行会计处理。 因被投资方除净损益、其他综合收益和利润分配以外的其他所有者权益变动而确认的所有者 权益，在终止采用权益法核算时全部转入当期损益。 因处置部分股权投资、因其他投资方对子公司增资而导致本公司持股比例下降等原因丧失了 对被投资单位控制权的，在编制个别财务报表时，剩余股权能够对被投资单位实施共同控制 </w:t>
      </w:r>
      <w:r>
        <w:rPr>
          <w:spacing w:val="-4"/>
        </w:rPr>
        <w:t>或重大影响的，改按权益法核算，并对该剩余股权视同自取得时即采用权益法核算进行调整；</w:t>
      </w:r>
      <w:r>
        <w:rPr>
          <w:spacing w:val="-86"/>
        </w:rPr>
        <w:t> </w:t>
      </w:r>
      <w:r>
        <w:rPr>
          <w:spacing w:val="-86"/>
        </w:rPr>
      </w:r>
      <w:r>
        <w:rPr/>
        <w:t>剩余股权不能对被投资单位实施共同控制或施加重大影响的，改按金融工具确认和计量准则</w:t>
      </w:r>
    </w:p>
    <w:p>
      <w:pPr>
        <w:spacing w:after="0" w:line="27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2409" w:right="1117"/>
        <w:jc w:val="left"/>
      </w:pPr>
      <w:r>
        <w:rPr/>
        <w:t>的有关规定进行会计处理，其在丧失控制之日的公允价值与账面价值间的差额计入当期损 益。 </w:t>
      </w:r>
      <w:r>
        <w:rPr>
          <w:spacing w:val="-1"/>
        </w:rPr>
        <w:t>处置的股权是因追加投资等原因通过企业合并取得的，在编制个别财务报表时，处置后的剩</w:t>
      </w:r>
      <w:r>
        <w:rPr/>
        <w:t> </w:t>
      </w:r>
      <w:r>
        <w:rPr>
          <w:spacing w:val="-1"/>
        </w:rPr>
        <w:t>余股权采用成本法或权益法核算的，购买日之前持有的股权投资因采用权益法核算而确认的</w:t>
      </w:r>
      <w:r>
        <w:rPr/>
        <w:t> </w:t>
      </w:r>
      <w:r>
        <w:rPr>
          <w:spacing w:val="-1"/>
        </w:rPr>
        <w:t>其他综合收益和其他所有者权益按比例结转；处置后的剩余股权改按金融工具确认和计量准</w:t>
      </w:r>
      <w:r>
        <w:rPr/>
        <w:t> 则进行会计处理的，其他综合收益和其他所有者权益全部结转。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134" w:right="985"/>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5"/>
        <w:spacing w:line="240" w:lineRule="auto"/>
        <w:ind w:left="1134" w:right="985"/>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134" w:right="985"/>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5"/>
        <w:spacing w:line="240" w:lineRule="auto"/>
        <w:ind w:right="985"/>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11.875%</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985"/>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0"/>
        <w:rPr>
          <w:rFonts w:ascii="宋体" w:hAnsi="宋体" w:cs="宋体" w:eastAsia="宋体" w:hint="default"/>
          <w:sz w:val="23"/>
          <w:szCs w:val="23"/>
        </w:rPr>
      </w:pPr>
    </w:p>
    <w:p>
      <w:pPr>
        <w:pStyle w:val="Heading5"/>
        <w:spacing w:line="240" w:lineRule="auto"/>
        <w:ind w:left="1134" w:right="985"/>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4" w:right="7692"/>
        <w:jc w:val="left"/>
      </w:pPr>
      <w:r>
        <w:rPr/>
        <w:t>公司是否需要遵守特殊行业的披露要求 否</w:t>
      </w:r>
    </w:p>
    <w:p>
      <w:pPr>
        <w:pStyle w:val="Heading6"/>
        <w:spacing w:line="273" w:lineRule="auto" w:before="2"/>
        <w:ind w:left="1134" w:right="1110"/>
        <w:jc w:val="both"/>
      </w:pPr>
      <w:r>
        <w:rPr>
          <w:spacing w:val="-1"/>
        </w:rPr>
        <w:t>在建工程项目按建造该项资产达到预定可使用状态前所发生的必要支出，作为固定资产的入账价值。所建</w:t>
      </w:r>
      <w:r>
        <w:rPr>
          <w:spacing w:val="-81"/>
        </w:rPr>
        <w:t> </w:t>
      </w:r>
      <w:r>
        <w:rPr>
          <w:spacing w:val="-81"/>
        </w:rPr>
      </w:r>
      <w:r>
        <w:rPr>
          <w:spacing w:val="-1"/>
        </w:rPr>
        <w:t>造的固定资产在工程已达到预定可使用状态，但尚未办理竣工决算的，自达到预定可使用状态之日起，根</w:t>
      </w:r>
      <w:r>
        <w:rPr>
          <w:spacing w:val="-83"/>
        </w:rPr>
        <w:t> </w:t>
      </w:r>
      <w:r>
        <w:rPr>
          <w:spacing w:val="-83"/>
        </w:rPr>
      </w:r>
      <w:r>
        <w:rPr>
          <w:spacing w:val="-1"/>
        </w:rPr>
        <w:t>据工程预算、造价或者工程实际成本等，按估计的价值转入固定资产，并按本公司固定资产折旧政策计提</w:t>
      </w:r>
      <w:r>
        <w:rPr>
          <w:spacing w:val="-83"/>
        </w:rPr>
        <w:t> </w:t>
      </w:r>
      <w:r>
        <w:rPr>
          <w:spacing w:val="-83"/>
        </w:rPr>
      </w:r>
      <w:r>
        <w:rPr/>
        <w:t>固定资产的折旧，待办理竣工决算后，再按实际成本调整原来的暂估价值，但不调整原已计提的折旧额。</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2409" w:right="985"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 额等。 </w:t>
      </w:r>
      <w:r>
        <w:rPr>
          <w:spacing w:val="-4"/>
        </w:rPr>
        <w:t>公司发生的借款费用，可直接归属于符合资本化条件的资产的购建或者生产的，予以资本化，</w:t>
      </w:r>
      <w:r>
        <w:rPr/>
        <w:t> 计入相关资产成本；其他借款费用，在发生时根据其发生额确认为费用，计入当期损益。 符合资本化条件的资产，是指需要经过相当长时间的购建或者生产活动才能达到预定可使用 或者可销售状态的固定资产、投资性房地产和存货等资产。 借款费用同时满足下列条件时开始资本化：</w:t>
      </w:r>
    </w:p>
    <w:p>
      <w:pPr>
        <w:pStyle w:val="Heading6"/>
        <w:spacing w:line="256" w:lineRule="auto" w:before="7"/>
        <w:ind w:right="1181"/>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 金、转移非现金资产或者承担带息债务形式发生的支出；</w:t>
      </w:r>
    </w:p>
    <w:p>
      <w:pPr>
        <w:pStyle w:val="Heading6"/>
        <w:spacing w:line="240" w:lineRule="auto" w:before="22"/>
        <w:ind w:right="985"/>
        <w:jc w:val="left"/>
      </w:pPr>
      <w:r>
        <w:rPr/>
        <w:t>（</w:t>
      </w:r>
      <w:r>
        <w:rPr>
          <w:rFonts w:ascii="Times New Roman" w:hAnsi="Times New Roman" w:cs="Times New Roman" w:eastAsia="Times New Roman" w:hint="default"/>
        </w:rPr>
        <w:t>2</w:t>
      </w:r>
      <w:r>
        <w:rPr/>
        <w:t>）借款费用已经发生；</w:t>
      </w:r>
    </w:p>
    <w:p>
      <w:pPr>
        <w:pStyle w:val="Heading6"/>
        <w:spacing w:line="240" w:lineRule="auto" w:before="21"/>
        <w:ind w:right="985"/>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6"/>
        <w:spacing w:line="273" w:lineRule="auto"/>
        <w:ind w:right="107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w:t>
      </w:r>
      <w:r>
        <w:rPr/>
        <w:t> 的期间不包括在内。 </w:t>
      </w:r>
      <w:r>
        <w:rPr>
          <w:spacing w:val="-1"/>
        </w:rPr>
        <w:t>当购建或者生产符合资本化条件的资产达到预定可使用或者可销售状态时，借款费用停止资</w:t>
      </w:r>
      <w:r>
        <w:rPr/>
        <w:t> 本化。 </w:t>
      </w:r>
      <w:r>
        <w:rPr>
          <w:spacing w:val="-1"/>
        </w:rPr>
        <w:t>当购建或者生产符合资本化条件的资产中部分项目分别完工且可单独使用时，该部分资产借</w:t>
      </w:r>
      <w:r>
        <w:rPr/>
        <w:t> 款费用停止资本化。 购建或者生产的资产的各部分分别完工，但必须等到整体完工后才可使用或可对外销售的， 在该资产整体完工时停止借款费用资本化。</w:t>
      </w:r>
    </w:p>
    <w:p>
      <w:pPr>
        <w:spacing w:line="240" w:lineRule="auto" w:before="6"/>
        <w:rPr>
          <w:rFonts w:ascii="宋体" w:hAnsi="宋体" w:cs="宋体" w:eastAsia="宋体" w:hint="default"/>
          <w:sz w:val="24"/>
          <w:szCs w:val="24"/>
        </w:rPr>
      </w:pPr>
    </w:p>
    <w:p>
      <w:pPr>
        <w:pStyle w:val="Heading6"/>
        <w:spacing w:line="268" w:lineRule="auto"/>
        <w:ind w:right="111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 </w:t>
      </w:r>
      <w:r>
        <w:rPr>
          <w:spacing w:val="-1"/>
        </w:rPr>
        <w:t>的，则借款费用暂停资本化；该项中断如是所购建或生产的符合资本化条件的资产达到预定</w:t>
      </w:r>
      <w:r>
        <w:rPr/>
        <w:t> </w:t>
      </w:r>
      <w:r>
        <w:rPr>
          <w:spacing w:val="-1"/>
        </w:rPr>
        <w:t>可使用状态或者可销售状态必要的程序，则借款费用继续资本化。在中断期间发生的借款费</w:t>
      </w:r>
      <w:r>
        <w:rPr/>
        <w:t> 用确认为当期损益，直至资产的购建或者生产活动重新开始后借款费用继续资本化。</w:t>
      </w:r>
    </w:p>
    <w:p>
      <w:pPr>
        <w:spacing w:line="240" w:lineRule="auto" w:before="10"/>
        <w:rPr>
          <w:rFonts w:ascii="宋体" w:hAnsi="宋体" w:cs="宋体" w:eastAsia="宋体" w:hint="default"/>
          <w:sz w:val="24"/>
          <w:szCs w:val="24"/>
        </w:rPr>
      </w:pPr>
    </w:p>
    <w:p>
      <w:pPr>
        <w:pStyle w:val="Heading6"/>
        <w:spacing w:line="273" w:lineRule="auto"/>
        <w:ind w:left="2409" w:right="1117"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w:t>
      </w:r>
      <w:r>
        <w:rPr/>
        <w:t> </w:t>
      </w:r>
      <w:r>
        <w:rPr>
          <w:spacing w:val="-1"/>
        </w:rPr>
        <w:t>借款费用，减去尚未动用的借款资金存入银行取得的利息收入或进行暂时性投资取得的投资</w:t>
      </w:r>
      <w:r>
        <w:rPr/>
        <w:t> 收益后的金额，来确定借款费用的资本化金额。 </w:t>
      </w:r>
      <w:r>
        <w:rPr>
          <w:spacing w:val="-1"/>
        </w:rPr>
        <w:t>对于为购建或者生产符合资本化条件的资产而占用的一般借款，根据累计资产支出超过专门</w:t>
      </w:r>
      <w:r>
        <w:rPr/>
        <w:t> </w:t>
      </w:r>
      <w:r>
        <w:rPr>
          <w:spacing w:val="-1"/>
        </w:rPr>
        <w:t>借款部分的资产支出加权平均数乘以所占用一般借款的资本化率，计算确定一般借款应予资</w:t>
      </w:r>
      <w:r>
        <w:rPr/>
        <w:t> 本化的借款费用金额。资本化率根据一般借款加权平均利率计算确定。</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85"/>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7692"/>
        <w:jc w:val="left"/>
      </w:pPr>
      <w:r>
        <w:rPr/>
        <w:t>公司是否需要遵守特殊行业的披露要求 否</w:t>
      </w:r>
    </w:p>
    <w:p>
      <w:pPr>
        <w:pStyle w:val="Heading5"/>
        <w:spacing w:line="274" w:lineRule="exact"/>
        <w:ind w:left="2050" w:right="985"/>
        <w:jc w:val="left"/>
        <w:rPr>
          <w:b w:val="0"/>
          <w:bCs w:val="0"/>
        </w:rPr>
      </w:pPr>
      <w:r>
        <w:rPr>
          <w:rFonts w:ascii="宋体" w:hAnsi="宋体" w:cs="宋体" w:eastAsia="宋体" w:hint="default"/>
        </w:rPr>
        <w:t>1.</w:t>
      </w:r>
      <w:r>
        <w:rPr>
          <w:rFonts w:ascii="宋体" w:hAnsi="宋体" w:cs="宋体" w:eastAsia="宋体" w:hint="default"/>
          <w:spacing w:val="39"/>
        </w:rPr>
        <w:t> </w:t>
      </w:r>
      <w:r>
        <w:rPr/>
        <w:t>无形资产的计价方法</w:t>
      </w:r>
      <w:r>
        <w:rPr>
          <w:b w:val="0"/>
          <w:bCs w:val="0"/>
        </w:rPr>
      </w:r>
    </w:p>
    <w:p>
      <w:pPr>
        <w:pStyle w:val="Heading6"/>
        <w:spacing w:line="271" w:lineRule="auto" w:before="37"/>
        <w:ind w:left="2394" w:right="985" w:firstLine="15"/>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 </w:t>
      </w:r>
      <w:r>
        <w:rPr>
          <w:spacing w:val="-4"/>
        </w:rPr>
        <w:t>发生的其他支出。购买无形资产的价款超过正常信用条件延期支付，实质上具有融资性质的，</w:t>
      </w:r>
      <w:r>
        <w:rPr>
          <w:spacing w:val="-86"/>
        </w:rPr>
        <w:t> </w:t>
      </w:r>
      <w:r>
        <w:rPr>
          <w:spacing w:val="-86"/>
        </w:rPr>
      </w:r>
      <w:r>
        <w:rPr/>
        <w:t>无形资产的成本以购买价款的现值为基础确定。 债务重组取得债务人用以抵债的无形资产，以该无形资产的公允价值为基础确定其入账价 </w:t>
      </w:r>
      <w:r>
        <w:rPr>
          <w:spacing w:val="-4"/>
        </w:rPr>
        <w:t>值，并将重组债务的账面价值与该用以抵债的无形资产公允价值之间的差额，计入当期损益。</w:t>
      </w:r>
      <w:r>
        <w:rPr>
          <w:spacing w:val="-86"/>
        </w:rPr>
        <w:t> </w:t>
      </w:r>
      <w:r>
        <w:rPr>
          <w:spacing w:val="-86"/>
        </w:rPr>
      </w:r>
      <w:r>
        <w:rPr/>
        <w:t>在非货币性资产交换具备商业实质且换入资产或换出资产的公允价值能够可靠计量的前提 下，非货币性资产交换换入的无形资产以换出资产的公允价值为基础确定其入账价值，除非</w:t>
      </w:r>
      <w:r>
        <w:rPr/>
        <w:t> 有确凿证据表明换入资产的公允价值更加可靠；不满足上述前提的非货币性资产交换，以换 出资产的账面价值和应支付的相关税费作为换入无形资产的成本，不确认损益。 以同一控制下的企业吸收合并方式取得的无形资产按被合并方的账面价值确定其入账价值； 以非同一控制下的企业吸收合并方式取得的无形资产按公允价值确定其入账价值。 </w:t>
      </w:r>
      <w:r>
        <w:rPr>
          <w:spacing w:val="-4"/>
        </w:rPr>
        <w:t>内部自行开发的无形资产，其成本包括：开发该无形资产时耗用的材料、劳务成本、注册费、</w:t>
      </w:r>
      <w:r>
        <w:rPr>
          <w:spacing w:val="-73"/>
        </w:rPr>
        <w:t> </w:t>
      </w:r>
      <w:r>
        <w:rPr>
          <w:spacing w:val="-73"/>
        </w:rPr>
      </w:r>
      <w:r>
        <w:rPr/>
        <w:t>在开发过程中使用的其他专利权和特许权的摊销以及满足资本化条件的利息费用，以及为使</w:t>
      </w:r>
      <w:r>
        <w:rPr/>
        <w:t> 该无形资产达到预定用途前所发生的其他直接费用。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56" w:lineRule="auto" w:before="160"/>
        <w:ind w:right="5696"/>
        <w:jc w:val="left"/>
      </w:pPr>
      <w:r>
        <w:rPr/>
        <w:t>（</w:t>
      </w:r>
      <w:r>
        <w:rPr>
          <w:rFonts w:ascii="Times New Roman" w:hAnsi="Times New Roman" w:cs="Times New Roman" w:eastAsia="Times New Roman" w:hint="default"/>
        </w:rPr>
        <w:t>2</w:t>
      </w:r>
      <w:r>
        <w:rPr/>
        <w:t>）后续计量</w:t>
      </w:r>
      <w:r>
        <w:rPr>
          <w:spacing w:val="-2"/>
        </w:rPr>
        <w:t> </w:t>
      </w:r>
      <w:r>
        <w:rPr/>
        <w:t>在取得无形资产时分析判断其使用寿命。</w:t>
      </w:r>
    </w:p>
    <w:p>
      <w:pPr>
        <w:pStyle w:val="Heading6"/>
        <w:spacing w:line="273" w:lineRule="auto" w:before="22"/>
        <w:ind w:left="2409" w:right="1117"/>
        <w:jc w:val="left"/>
      </w:pPr>
      <w:r>
        <w:rPr>
          <w:spacing w:val="-1"/>
        </w:rPr>
        <w:t>对于使用寿命有限的无形资产，在为企业带来经济利益的期限内按直线法摊销；无法预见无</w:t>
      </w:r>
      <w:r>
        <w:rPr/>
        <w:t> 形资产为企业带来经济利益期限的，视为使用寿命不确定的无形资产，不予摊销。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5"/>
        <w:spacing w:line="240" w:lineRule="auto"/>
        <w:ind w:left="2049" w:right="985"/>
        <w:jc w:val="left"/>
        <w:rPr>
          <w:b w:val="0"/>
          <w:bCs w:val="0"/>
        </w:rPr>
      </w:pPr>
      <w:r>
        <w:rPr>
          <w:rFonts w:ascii="宋体" w:hAnsi="宋体" w:cs="宋体" w:eastAsia="宋体" w:hint="default"/>
        </w:rPr>
        <w:t>1.</w:t>
      </w:r>
      <w:r>
        <w:rPr>
          <w:rFonts w:ascii="宋体" w:hAnsi="宋体" w:cs="宋体" w:eastAsia="宋体" w:hint="default"/>
          <w:spacing w:val="36"/>
        </w:rPr>
        <w:t> </w:t>
      </w:r>
      <w:r>
        <w:rPr/>
        <w:t>使用寿命有限的无形资产的使用寿命估计情况：</w:t>
      </w:r>
      <w:r>
        <w:rPr>
          <w:b w:val="0"/>
          <w:bCs w:val="0"/>
        </w:rPr>
      </w:r>
    </w:p>
    <w:p>
      <w:pPr>
        <w:spacing w:line="240" w:lineRule="auto" w:before="11"/>
        <w:rPr>
          <w:rFonts w:ascii="宋体" w:hAnsi="宋体" w:cs="宋体" w:eastAsia="宋体" w:hint="default"/>
          <w:b/>
          <w:bCs/>
          <w:sz w:val="27"/>
          <w:szCs w:val="27"/>
        </w:rPr>
      </w:pPr>
    </w:p>
    <w:tbl>
      <w:tblPr>
        <w:tblW w:w="0" w:type="auto"/>
        <w:jc w:val="left"/>
        <w:tblInd w:w="2402" w:type="dxa"/>
        <w:tblLayout w:type="fixed"/>
        <w:tblCellMar>
          <w:top w:w="0" w:type="dxa"/>
          <w:left w:w="0" w:type="dxa"/>
          <w:bottom w:w="0" w:type="dxa"/>
          <w:right w:w="0" w:type="dxa"/>
        </w:tblCellMar>
        <w:tblLook w:val="01E0"/>
      </w:tblPr>
      <w:tblGrid>
        <w:gridCol w:w="2372"/>
        <w:gridCol w:w="2736"/>
        <w:gridCol w:w="1989"/>
      </w:tblGrid>
      <w:tr>
        <w:trPr>
          <w:trHeight w:val="355" w:hRule="exact"/>
        </w:trPr>
        <w:tc>
          <w:tcPr>
            <w:tcW w:w="2372" w:type="dxa"/>
            <w:tcBorders>
              <w:top w:val="single" w:sz="6" w:space="0" w:color="000000"/>
              <w:left w:val="single" w:sz="6" w:space="0" w:color="000000"/>
              <w:bottom w:val="single" w:sz="12" w:space="0" w:color="000000"/>
              <w:right w:val="single" w:sz="6" w:space="0" w:color="000000"/>
            </w:tcBorders>
          </w:tcPr>
          <w:p>
            <w:pPr>
              <w:pStyle w:val="TableParagraph"/>
              <w:tabs>
                <w:tab w:pos="41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3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989"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3"/>
                <w:sz w:val="21"/>
                <w:szCs w:val="21"/>
              </w:rPr>
              <w:t> </w:t>
            </w:r>
            <w:r>
              <w:rPr>
                <w:rFonts w:ascii="宋体" w:hAnsi="宋体" w:cs="宋体" w:eastAsia="宋体" w:hint="default"/>
                <w:sz w:val="21"/>
                <w:szCs w:val="21"/>
              </w:rPr>
              <w:t>据</w:t>
            </w:r>
          </w:p>
        </w:tc>
      </w:tr>
      <w:tr>
        <w:trPr>
          <w:trHeight w:val="352"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198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土地出让期限</w:t>
            </w:r>
          </w:p>
        </w:tc>
      </w:tr>
      <w:tr>
        <w:trPr>
          <w:trHeight w:val="353"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w:t>
            </w:r>
          </w:p>
        </w:tc>
        <w:tc>
          <w:tcPr>
            <w:tcW w:w="198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受益期</w:t>
            </w:r>
          </w:p>
        </w:tc>
      </w:tr>
    </w:tbl>
    <w:p>
      <w:pPr>
        <w:pStyle w:val="Heading6"/>
        <w:spacing w:line="260" w:lineRule="exact"/>
        <w:ind w:right="985"/>
        <w:jc w:val="left"/>
      </w:pPr>
      <w:r>
        <w:rPr/>
        <w:t>每年度终了，对使用寿命有限的无形资产的使用寿命及摊销方法进行复核。</w:t>
      </w:r>
    </w:p>
    <w:p>
      <w:pPr>
        <w:pStyle w:val="Heading6"/>
        <w:spacing w:line="240" w:lineRule="auto" w:before="37"/>
        <w:ind w:right="985"/>
        <w:jc w:val="left"/>
      </w:pPr>
      <w:r>
        <w:rPr/>
        <w:t>经复核，本年期末无形资产的使用寿命及摊销方法与以前估计未有不同。</w:t>
      </w:r>
    </w:p>
    <w:p>
      <w:pPr>
        <w:spacing w:line="240" w:lineRule="auto" w:before="9"/>
        <w:rPr>
          <w:rFonts w:ascii="宋体" w:hAnsi="宋体" w:cs="宋体" w:eastAsia="宋体" w:hint="default"/>
          <w:sz w:val="26"/>
          <w:szCs w:val="26"/>
        </w:rPr>
      </w:pPr>
    </w:p>
    <w:p>
      <w:pPr>
        <w:spacing w:line="256" w:lineRule="auto" w:before="0"/>
        <w:ind w:left="2394" w:right="985" w:hanging="364"/>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使用寿命不确定的无形资产的判断依据以及对其使用寿命进行复核的程序</w:t>
      </w:r>
      <w:r>
        <w:rPr>
          <w:rFonts w:ascii="宋体" w:hAnsi="宋体" w:cs="宋体" w:eastAsia="宋体" w:hint="default"/>
          <w:b/>
          <w:bCs/>
          <w:spacing w:val="35"/>
          <w:w w:val="95"/>
          <w:sz w:val="21"/>
          <w:szCs w:val="21"/>
        </w:rPr>
        <w:t> </w:t>
      </w:r>
      <w:r>
        <w:rPr>
          <w:rFonts w:ascii="宋体" w:hAnsi="宋体" w:cs="宋体" w:eastAsia="宋体" w:hint="default"/>
          <w:b/>
          <w:bCs/>
          <w:spacing w:val="35"/>
          <w:w w:val="95"/>
          <w:sz w:val="21"/>
          <w:szCs w:val="21"/>
        </w:rPr>
      </w:r>
      <w:r>
        <w:rPr>
          <w:rFonts w:ascii="宋体" w:hAnsi="宋体" w:cs="宋体" w:eastAsia="宋体" w:hint="default"/>
          <w:sz w:val="21"/>
          <w:szCs w:val="21"/>
        </w:rPr>
        <w:t>截至资产负债表日，本公司没有使用寿命不确定的无形资产。</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985"/>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Heading6"/>
        <w:spacing w:line="273" w:lineRule="auto"/>
        <w:ind w:right="1116" w:hanging="3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w:t>
      </w:r>
      <w:r>
        <w:rPr>
          <w:spacing w:val="-1"/>
        </w:rPr>
        <w:t>研究阶段：为获取并理解新的科学或技术知识等而进行的独创性的有计划调查、研究活动的</w:t>
      </w:r>
      <w:r>
        <w:rPr/>
        <w:t> 阶段。 </w:t>
      </w:r>
      <w:r>
        <w:rPr>
          <w:spacing w:val="-1"/>
        </w:rPr>
        <w:t>开发阶段：在进行商业性生产或使用前，将研究成果或其他知识应用于某项计划或设计，以</w:t>
      </w:r>
      <w:r>
        <w:rPr/>
        <w:t> 生产出新的或具有实质性改进的材料、装置、产品等活动的阶段。</w:t>
      </w:r>
    </w:p>
    <w:p>
      <w:pPr>
        <w:spacing w:line="240" w:lineRule="auto" w:before="6"/>
        <w:rPr>
          <w:rFonts w:ascii="宋体" w:hAnsi="宋体" w:cs="宋体" w:eastAsia="宋体" w:hint="default"/>
          <w:sz w:val="24"/>
          <w:szCs w:val="24"/>
        </w:rPr>
      </w:pPr>
    </w:p>
    <w:p>
      <w:pPr>
        <w:spacing w:line="273" w:lineRule="auto" w:before="0"/>
        <w:ind w:left="2394" w:right="2562" w:hanging="345"/>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spacing w:val="1"/>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Heading6"/>
        <w:spacing w:line="240" w:lineRule="auto" w:before="7"/>
        <w:ind w:left="2394" w:right="98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6"/>
        <w:spacing w:line="240" w:lineRule="auto" w:before="21"/>
        <w:ind w:left="2394" w:right="985"/>
        <w:jc w:val="left"/>
      </w:pPr>
      <w:r>
        <w:rPr/>
        <w:t>（</w:t>
      </w:r>
      <w:r>
        <w:rPr>
          <w:rFonts w:ascii="Times New Roman" w:hAnsi="Times New Roman" w:cs="Times New Roman" w:eastAsia="Times New Roman" w:hint="default"/>
        </w:rPr>
        <w:t>2</w:t>
      </w:r>
      <w:r>
        <w:rPr/>
        <w:t>）具有完成该无形资产并使用或出售的意图；</w:t>
      </w:r>
    </w:p>
    <w:p>
      <w:pPr>
        <w:pStyle w:val="Heading6"/>
        <w:spacing w:line="256" w:lineRule="auto" w:before="21"/>
        <w:ind w:left="2394" w:right="1197"/>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 无形资产自身存在市场，无形资产将在内部使用的，能够证明其有用性；</w:t>
      </w:r>
    </w:p>
    <w:p>
      <w:pPr>
        <w:pStyle w:val="Heading6"/>
        <w:spacing w:line="256" w:lineRule="auto" w:before="22"/>
        <w:ind w:left="2394" w:right="1197"/>
        <w:jc w:val="left"/>
      </w:pPr>
      <w:r>
        <w:rPr/>
        <w:t>（</w:t>
      </w:r>
      <w:r>
        <w:rPr>
          <w:rFonts w:ascii="Times New Roman" w:hAnsi="Times New Roman" w:cs="Times New Roman" w:eastAsia="Times New Roman" w:hint="default"/>
        </w:rPr>
        <w:t>4</w:t>
      </w:r>
      <w:r>
        <w:rPr/>
        <w:t>）有足够的技术、财务资源和其他资源支持，以完成该无形资产的开发，并有能力使用 或出售该无形资产；</w:t>
      </w:r>
    </w:p>
    <w:p>
      <w:pPr>
        <w:pStyle w:val="Heading6"/>
        <w:spacing w:line="264" w:lineRule="auto" w:before="22"/>
        <w:ind w:left="1848" w:right="1218" w:firstLine="546"/>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 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right="985"/>
        <w:jc w:val="left"/>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848" w:right="1008"/>
        <w:jc w:val="left"/>
      </w:pPr>
      <w:r>
        <w:rPr/>
        <w:t>长期股权投资、采用成本模式计量的投资性房地产、固定资产、在建工程、使用寿命有限的无形 资产等长期资产，于资产负债表日存在减值迹象的，进行减值测试。减值测试结果表明资产的可 收回金额低于其账面价值的，按其差额计提减值准备并计入减值损失。可收回金额为资产的公允 价值减去处置费用后的净额与资产预计未来现金流量的现值两者之间的较高者。资产减值准备按 单项资产为基础计算并确认，如果难以对单项资产的可收回金额进行估计的，以该资产所属的资 产组确定资产组的可收回金额。资产组是能够独立产生现金流入的最小资产组合。 商誉和使用寿命不确定的无形资产至少在每年年度终了进行减值测试。 本公司进行商誉减值测试，对于因企业合并形成的商誉的账面价值，自购买日起按照合理的方法 分摊至相关的资产组；难以分摊至相关的资产组的，将其分摊至相关的资产组组合。在将商誉的 账面价值分摊至相关的资产组或者资产组组合时，按照各资产组或者资产组组合的公允价值占相 关资产组或者资产组组合公允价值总额的比例进行分摊。公允价值难以可靠计量的，按照各资产 组或者资产组组合的账面价值占相关资产组或者资产组组合账面价值总额的比例进行分摊。 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并与相关账面价值相比较，确认相应的减值损失。再对包含商誉的资产组或者资产组组合进行减 值测试，比较这些相关资产组或者资产组组合的账面价值（包括所分摊的商誉的账面价值部分） 与其可收回金额，如相关资产组或者资产组组合的可收回金额低于其账面价值的，确认商誉的减 值损失。</w:t>
      </w:r>
      <w:r>
        <w:rPr>
          <w:spacing w:val="-21"/>
        </w:rPr>
        <w:t> </w:t>
      </w:r>
      <w:r>
        <w:rPr/>
        <w:t>上述资产减值损失一经确认，在以后会计期间不予转回。</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pStyle w:val="Heading6"/>
        <w:spacing w:line="624" w:lineRule="exact" w:before="67"/>
        <w:ind w:left="2050" w:right="1848" w:hanging="202"/>
        <w:jc w:val="left"/>
        <w:rPr>
          <w:rFonts w:ascii="宋体" w:hAnsi="宋体" w:cs="宋体" w:eastAsia="宋体" w:hint="default"/>
        </w:rPr>
      </w:pPr>
      <w:r>
        <w:rPr/>
        <w:t>长期待摊费用为已经发生但应由本期和以后各期负担的分摊期限在一年以上的各项费用。 </w:t>
      </w: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摊销方法</w:t>
      </w:r>
      <w:r>
        <w:rPr>
          <w:rFonts w:ascii="宋体" w:hAnsi="宋体" w:cs="宋体" w:eastAsia="宋体" w:hint="default"/>
        </w:rPr>
      </w:r>
    </w:p>
    <w:p>
      <w:pPr>
        <w:pStyle w:val="Heading6"/>
        <w:spacing w:line="217" w:lineRule="exact"/>
        <w:ind w:right="985"/>
        <w:jc w:val="left"/>
      </w:pPr>
      <w:r>
        <w:rPr/>
        <w:t>长期待摊费用在受益期内平均摊销</w:t>
      </w:r>
    </w:p>
    <w:p>
      <w:pPr>
        <w:spacing w:line="240" w:lineRule="auto" w:before="9"/>
        <w:rPr>
          <w:rFonts w:ascii="宋体" w:hAnsi="宋体" w:cs="宋体" w:eastAsia="宋体" w:hint="default"/>
          <w:sz w:val="26"/>
          <w:szCs w:val="26"/>
        </w:rPr>
      </w:pPr>
    </w:p>
    <w:p>
      <w:pPr>
        <w:pStyle w:val="Heading5"/>
        <w:spacing w:line="240" w:lineRule="auto"/>
        <w:ind w:left="2049" w:right="985"/>
        <w:jc w:val="left"/>
        <w:rPr>
          <w:b w:val="0"/>
          <w:bCs w:val="0"/>
        </w:rPr>
      </w:pPr>
      <w:r>
        <w:rPr>
          <w:rFonts w:ascii="宋体" w:hAnsi="宋体" w:cs="宋体" w:eastAsia="宋体" w:hint="default"/>
        </w:rPr>
        <w:t>1.</w:t>
      </w:r>
      <w:r>
        <w:rPr>
          <w:rFonts w:ascii="宋体" w:hAnsi="宋体" w:cs="宋体" w:eastAsia="宋体" w:hint="default"/>
          <w:spacing w:val="42"/>
        </w:rPr>
        <w:t> </w:t>
      </w:r>
      <w:r>
        <w:rPr/>
        <w:t>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733" w:type="dxa"/>
        <w:tblLayout w:type="fixed"/>
        <w:tblCellMar>
          <w:top w:w="0" w:type="dxa"/>
          <w:left w:w="0" w:type="dxa"/>
          <w:bottom w:w="0" w:type="dxa"/>
          <w:right w:w="0" w:type="dxa"/>
        </w:tblCellMar>
        <w:tblLook w:val="01E0"/>
      </w:tblPr>
      <w:tblGrid>
        <w:gridCol w:w="2766"/>
        <w:gridCol w:w="1742"/>
        <w:gridCol w:w="3306"/>
      </w:tblGrid>
      <w:tr>
        <w:trPr>
          <w:trHeight w:val="355" w:hRule="exact"/>
        </w:trPr>
        <w:tc>
          <w:tcPr>
            <w:tcW w:w="2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53" w:hRule="exact"/>
        </w:trPr>
        <w:tc>
          <w:tcPr>
            <w:tcW w:w="2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经营租入固定资产改良支出</w:t>
            </w:r>
          </w:p>
        </w:tc>
        <w:tc>
          <w:tcPr>
            <w:tcW w:w="17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left="1134" w:right="985"/>
        <w:jc w:val="left"/>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985"/>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4"/>
          <w:szCs w:val="24"/>
        </w:rPr>
      </w:pPr>
    </w:p>
    <w:p>
      <w:pPr>
        <w:spacing w:line="590" w:lineRule="atLeast" w:before="0"/>
        <w:ind w:left="1133" w:right="7696" w:firstLine="0"/>
        <w:jc w:val="left"/>
        <w:rPr>
          <w:rFonts w:ascii="宋体" w:hAnsi="宋体" w:cs="宋体" w:eastAsia="宋体" w:hint="default"/>
          <w:sz w:val="21"/>
          <w:szCs w:val="21"/>
        </w:rPr>
      </w:pPr>
      <w:bookmarkStart w:name="（2）离职后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pStyle w:val="Heading6"/>
        <w:spacing w:line="273" w:lineRule="auto" w:before="37"/>
        <w:ind w:left="1133" w:right="1303"/>
        <w:jc w:val="left"/>
      </w:pPr>
      <w:r>
        <w:rPr/>
        <w:t>本公司按当地政府的相关规定为职工缴纳基本养老保险和失业保险，在职工为本公司提供服务的会计期 间，按以当地规定的缴纳基数和比例计算应缴纳金额，确认为负债，并计入当期损益或相关资产成本。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985"/>
        <w:jc w:val="left"/>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985"/>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985"/>
        <w:jc w:val="left"/>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985"/>
        <w:jc w:val="left"/>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6"/>
        <w:spacing w:line="256" w:lineRule="auto"/>
        <w:ind w:left="1134" w:right="1162"/>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 负债的交易。本公司的股份支付分为以权益结算的股份支付和以现金结算的股份支付。</w:t>
      </w:r>
    </w:p>
    <w:p>
      <w:pPr>
        <w:spacing w:line="240" w:lineRule="auto" w:before="7"/>
        <w:rPr>
          <w:rFonts w:ascii="宋体" w:hAnsi="宋体" w:cs="宋体" w:eastAsia="宋体" w:hint="default"/>
          <w:sz w:val="25"/>
          <w:szCs w:val="25"/>
        </w:rPr>
      </w:pPr>
    </w:p>
    <w:p>
      <w:pPr>
        <w:pStyle w:val="Heading6"/>
        <w:spacing w:line="273" w:lineRule="auto"/>
        <w:ind w:left="1134" w:right="1092"/>
        <w:jc w:val="left"/>
      </w:pPr>
      <w:r>
        <w:rPr>
          <w:rFonts w:ascii="宋体" w:hAnsi="宋体" w:cs="宋体" w:eastAsia="宋体" w:hint="default"/>
          <w:b/>
          <w:bCs/>
        </w:rPr>
        <w:t>以权益结算的股份支付及权益工具</w:t>
      </w:r>
      <w:r>
        <w:rPr>
          <w:rFonts w:ascii="宋体" w:hAnsi="宋体" w:cs="宋体" w:eastAsia="宋体" w:hint="default"/>
          <w:b/>
          <w:bCs/>
          <w:w w:val="99"/>
        </w:rPr>
        <w:t> </w:t>
      </w:r>
      <w:r>
        <w:rPr>
          <w:spacing w:val="-1"/>
        </w:rPr>
        <w:t>以权益结算的股份支付换取职工提供服务的，以授予职工权益工具的公允价值计量。本公司以限制性股票</w:t>
      </w:r>
      <w:r>
        <w:rPr>
          <w:spacing w:val="-81"/>
        </w:rPr>
        <w:t> </w:t>
      </w:r>
      <w:r>
        <w:rPr>
          <w:spacing w:val="-81"/>
        </w:rPr>
      </w:r>
      <w:r>
        <w:rPr>
          <w:spacing w:val="-1"/>
        </w:rPr>
        <w:t>进行股份支付的，职工出资认购股票，股票在达到解锁条件并解锁前不得上市流通或转让；如果最终股权</w:t>
      </w:r>
      <w:r>
        <w:rPr>
          <w:spacing w:val="-83"/>
        </w:rPr>
        <w:t> </w:t>
      </w:r>
      <w:r>
        <w:rPr>
          <w:spacing w:val="-83"/>
        </w:rPr>
      </w:r>
      <w:r>
        <w:rPr>
          <w:spacing w:val="-1"/>
        </w:rPr>
        <w:t>激励计划规定的解锁条件未能达到，则本公司按照事先约定的价格回购股票。本公司取得职工认购限制性</w:t>
      </w:r>
      <w:r>
        <w:rPr>
          <w:spacing w:val="-81"/>
        </w:rPr>
        <w:t> </w:t>
      </w:r>
      <w:r>
        <w:rPr>
          <w:spacing w:val="-81"/>
        </w:rPr>
      </w:r>
      <w:r>
        <w:rPr>
          <w:spacing w:val="-1"/>
        </w:rPr>
        <w:t>股票支付的款项时，按照取得的认股款确认股本和资本公积（股本溢价），同时就回购义务全额确认一项</w:t>
      </w:r>
      <w:r>
        <w:rPr>
          <w:spacing w:val="-86"/>
        </w:rPr>
        <w:t> </w:t>
      </w:r>
      <w:r>
        <w:rPr>
          <w:spacing w:val="-86"/>
        </w:rPr>
      </w:r>
      <w:r>
        <w:rPr>
          <w:spacing w:val="-1"/>
        </w:rPr>
        <w:t>负债并确认库存股。在等待期内每个资产负债表日，本公司根据最新取得的可行权职工人数变动、是否达</w:t>
      </w:r>
      <w:r>
        <w:rPr>
          <w:spacing w:val="-83"/>
        </w:rPr>
        <w:t> </w:t>
      </w:r>
      <w:r>
        <w:rPr>
          <w:spacing w:val="-83"/>
        </w:rPr>
      </w:r>
      <w:r>
        <w:rPr/>
        <w:t>到规定业绩条件等后续信息对可行权权益工具数量作出最佳估计，以此为基础，按照授予日的公允价值， </w:t>
      </w:r>
      <w:r>
        <w:rPr>
          <w:spacing w:val="-1"/>
        </w:rPr>
        <w:t>将当期取得的服务计入相关成本或费用，相应增加资本公积。在可行权日之后不再对已确认的相关成本或</w:t>
      </w:r>
      <w:r>
        <w:rPr>
          <w:spacing w:val="-81"/>
        </w:rPr>
        <w:t> </w:t>
      </w:r>
      <w:r>
        <w:rPr>
          <w:spacing w:val="-81"/>
        </w:rPr>
      </w:r>
      <w:r>
        <w:rPr/>
        <w:t>费用和所有者权益总额进行调整。但授予后立即可行权的，在授予日按照公允价值计入相关成本或费用， 相应增加资本公积。 </w:t>
      </w:r>
      <w:r>
        <w:rPr>
          <w:spacing w:val="-1"/>
        </w:rPr>
        <w:t>对于最终未能行权的股份支付，不确认成本或费用，除非行权条件是市场条件或非可行权条件，此时无论</w:t>
      </w:r>
      <w:r>
        <w:rPr>
          <w:spacing w:val="-83"/>
        </w:rPr>
        <w:t> </w:t>
      </w:r>
      <w:r>
        <w:rPr>
          <w:spacing w:val="-83"/>
        </w:rPr>
      </w:r>
      <w:r>
        <w:rPr/>
        <w:t>是否满足市场条件或非可行权条件，只要满足所有可行权条件中的非市场条件，即视为可行权。 </w:t>
      </w:r>
      <w:r>
        <w:rPr>
          <w:spacing w:val="-1"/>
        </w:rPr>
        <w:t>如果修改了以权益结算的股份支付的条款，至少按照未修改条款的情况确认取得的服务。此外，任何增加</w:t>
      </w:r>
      <w:r>
        <w:rPr>
          <w:spacing w:val="-83"/>
        </w:rPr>
        <w:t> </w:t>
      </w:r>
      <w:r>
        <w:rPr>
          <w:spacing w:val="-83"/>
        </w:rPr>
      </w:r>
      <w:r>
        <w:rPr/>
        <w:t>所授予权益工具公允价值的修改，或在修改日对职工有利的变更，均确认取得服务的增加。 </w:t>
      </w:r>
      <w:r>
        <w:rPr>
          <w:spacing w:val="-1"/>
        </w:rPr>
        <w:t>如果取消了以权益结算的股份支付，则于取消日作为加速行权处理，立即确认尚未确认的金额。职工或其</w:t>
      </w:r>
      <w:r>
        <w:rPr>
          <w:spacing w:val="-82"/>
        </w:rPr>
        <w:t> </w:t>
      </w:r>
      <w:r>
        <w:rPr>
          <w:spacing w:val="-82"/>
        </w:rPr>
      </w:r>
      <w:r>
        <w:rPr>
          <w:spacing w:val="-1"/>
        </w:rPr>
        <w:t>他方能够选择满足非可行权条件但在等待期内未满足的，作为取消以权益结算的股份支付处理。但是，如</w:t>
      </w:r>
      <w:r>
        <w:rPr>
          <w:spacing w:val="-83"/>
        </w:rPr>
        <w:t> </w:t>
      </w:r>
      <w:r>
        <w:rPr>
          <w:spacing w:val="-83"/>
        </w:rPr>
      </w:r>
      <w:r>
        <w:rPr/>
        <w:t>果授予新的权益工具，并在新权益工具授予日认定所授予的新权益工具是用于替代被取消的权益工具的， 则以与处理原权益工具条款和条件修改相同的方式，对所授予的替代权益工具进行处理。</w:t>
      </w:r>
    </w:p>
    <w:p>
      <w:pPr>
        <w:spacing w:line="240" w:lineRule="auto" w:before="8"/>
        <w:rPr>
          <w:rFonts w:ascii="宋体" w:hAnsi="宋体" w:cs="宋体" w:eastAsia="宋体" w:hint="default"/>
          <w:sz w:val="23"/>
          <w:szCs w:val="23"/>
        </w:rPr>
      </w:pPr>
    </w:p>
    <w:p>
      <w:pPr>
        <w:pStyle w:val="Heading5"/>
        <w:spacing w:line="240" w:lineRule="auto"/>
        <w:ind w:left="1134" w:right="985"/>
        <w:jc w:val="left"/>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7692"/>
        <w:jc w:val="left"/>
      </w:pPr>
      <w:r>
        <w:rPr/>
        <w:t>公司是否需要遵守特殊行业的披露要求 否</w:t>
      </w:r>
    </w:p>
    <w:p>
      <w:pPr>
        <w:pStyle w:val="Heading6"/>
        <w:spacing w:line="268" w:lineRule="auto"/>
        <w:ind w:left="2394" w:right="985" w:firstLine="35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7"/>
        </w:rPr>
        <w:t> </w:t>
      </w:r>
      <w:r>
        <w:rPr>
          <w:rFonts w:ascii="宋体" w:hAnsi="宋体" w:cs="宋体" w:eastAsia="宋体" w:hint="default"/>
          <w:b/>
          <w:bCs/>
        </w:rPr>
        <w:t>销售商品收入的确认标准</w:t>
      </w:r>
      <w:r>
        <w:rPr>
          <w:rFonts w:ascii="宋体" w:hAnsi="宋体" w:cs="宋体" w:eastAsia="宋体" w:hint="default"/>
          <w:b/>
          <w:bCs/>
          <w:w w:val="99"/>
        </w:rPr>
        <w:t> </w:t>
      </w:r>
      <w:r>
        <w:rPr>
          <w:spacing w:val="-1"/>
        </w:rPr>
        <w:t>公司已将商品所有权上的主要风险和报酬转移给购买方；公司既没有保留与所有权相联系的</w:t>
      </w:r>
      <w:r>
        <w:rPr>
          <w:spacing w:val="-87"/>
        </w:rPr>
        <w:t> </w:t>
      </w:r>
      <w:r>
        <w:rPr>
          <w:spacing w:val="-87"/>
        </w:rPr>
      </w:r>
      <w:r>
        <w:rPr>
          <w:spacing w:val="-1"/>
        </w:rPr>
        <w:t>继续管理权，也没有对已售出的商品实施有效控制；收入的金额能够可靠地计量；相关的经</w:t>
      </w:r>
      <w:r>
        <w:rPr>
          <w:spacing w:val="-89"/>
        </w:rPr>
        <w:t> </w:t>
      </w:r>
      <w:r>
        <w:rPr>
          <w:spacing w:val="-89"/>
        </w:rPr>
      </w:r>
      <w:r>
        <w:rPr>
          <w:spacing w:val="-1"/>
        </w:rPr>
        <w:t>济利益很可能流入公司；相关的已发生或将发生的成本能够可靠地计量时，确认商品销售收</w:t>
      </w:r>
      <w:r>
        <w:rPr>
          <w:spacing w:val="-87"/>
        </w:rPr>
        <w:t> </w:t>
      </w:r>
      <w:r>
        <w:rPr>
          <w:spacing w:val="-87"/>
        </w:rPr>
      </w:r>
      <w:r>
        <w:rPr/>
        <w:t>入实现。</w:t>
      </w:r>
    </w:p>
    <w:p>
      <w:pPr>
        <w:spacing w:line="240" w:lineRule="auto" w:before="10"/>
        <w:rPr>
          <w:rFonts w:ascii="宋体" w:hAnsi="宋体" w:cs="宋体" w:eastAsia="宋体" w:hint="default"/>
          <w:sz w:val="24"/>
          <w:szCs w:val="24"/>
        </w:rPr>
      </w:pPr>
    </w:p>
    <w:p>
      <w:pPr>
        <w:spacing w:line="266" w:lineRule="auto" w:before="0"/>
        <w:ind w:left="2394" w:right="985"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与交易相关的经济利益很可能流入公司，收入的金额能够可靠地计量时。分别下列情况确定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让渡资产使用权收入金额：</w:t>
      </w:r>
    </w:p>
    <w:p>
      <w:pPr>
        <w:pStyle w:val="Heading6"/>
        <w:spacing w:line="240" w:lineRule="auto" w:before="14"/>
        <w:ind w:left="2394" w:right="985"/>
        <w:jc w:val="left"/>
      </w:pPr>
      <w:r>
        <w:rPr/>
        <w:t>（</w:t>
      </w:r>
      <w:r>
        <w:rPr>
          <w:rFonts w:ascii="Times New Roman" w:hAnsi="Times New Roman" w:cs="Times New Roman" w:eastAsia="Times New Roman" w:hint="default"/>
        </w:rPr>
        <w:t>1</w:t>
      </w:r>
      <w:r>
        <w:rPr/>
        <w:t>）利息收入金额，按照他人使用本公司货币资金的时间和实际利率计算确定。</w:t>
      </w:r>
    </w:p>
    <w:p>
      <w:pPr>
        <w:pStyle w:val="Heading6"/>
        <w:spacing w:line="240" w:lineRule="auto" w:before="21"/>
        <w:ind w:left="2394" w:right="985"/>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1" w:lineRule="auto" w:before="35"/>
        <w:ind w:left="2394" w:right="985"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按完工百分比法确认提供劳务的收入时，确定合同完工进度的依据和方法</w:t>
      </w:r>
      <w:r>
        <w:rPr>
          <w:rFonts w:ascii="宋体" w:hAnsi="宋体" w:cs="宋体" w:eastAsia="宋体" w:hint="default"/>
          <w:b/>
          <w:bCs/>
          <w:w w:val="99"/>
        </w:rPr>
        <w:t> </w:t>
      </w:r>
      <w:r>
        <w:rPr/>
        <w:t>在资产负债表日提供劳务交易的结果能够可靠估计的，采用完工百分比法确认提供劳务收 </w:t>
      </w:r>
      <w:r>
        <w:rPr>
          <w:spacing w:val="-1"/>
        </w:rPr>
        <w:t>入。提供劳务交易的完工进度，依据已完工作的测量（或已经提供的劳务占应提供劳务总量</w:t>
      </w:r>
      <w:r>
        <w:rPr>
          <w:spacing w:val="-93"/>
        </w:rPr>
        <w:t> </w:t>
      </w:r>
      <w:r>
        <w:rPr>
          <w:spacing w:val="-93"/>
        </w:rPr>
      </w:r>
      <w:r>
        <w:rPr/>
        <w:t>的比例或已经发生的成本占估计总成本的比例）确定。 </w:t>
      </w:r>
      <w:r>
        <w:rPr>
          <w:spacing w:val="-1"/>
        </w:rPr>
        <w:t>按照已收或应收的合同或协议价款确定提供劳务收入总额，但已收或应收的合同或协议价款</w:t>
      </w:r>
      <w:r>
        <w:rPr>
          <w:spacing w:val="-91"/>
        </w:rPr>
        <w:t> </w:t>
      </w:r>
      <w:r>
        <w:rPr>
          <w:spacing w:val="-91"/>
        </w:rPr>
      </w:r>
      <w:r>
        <w:rPr>
          <w:spacing w:val="-1"/>
        </w:rPr>
        <w:t>不公允的除外。资产负债表日按照提供劳务收入总额乘以完工进度扣除以前会计期间累计已</w:t>
      </w:r>
      <w:r>
        <w:rPr>
          <w:spacing w:val="-91"/>
        </w:rPr>
        <w:t> </w:t>
      </w:r>
      <w:r>
        <w:rPr>
          <w:spacing w:val="-91"/>
        </w:rPr>
      </w:r>
      <w:r>
        <w:rPr>
          <w:spacing w:val="-1"/>
        </w:rPr>
        <w:t>确认提供劳务收入后的金额，确认当期提供劳务收入；同时，按照提供劳务估计总成本乘以</w:t>
      </w:r>
      <w:r>
        <w:rPr>
          <w:spacing w:val="-93"/>
        </w:rPr>
        <w:t> </w:t>
      </w:r>
      <w:r>
        <w:rPr>
          <w:spacing w:val="-93"/>
        </w:rPr>
      </w:r>
      <w:r>
        <w:rPr/>
        <w:t>完工进度扣除以前会计期间累计已确认劳务成本后的金额，结转当期劳务成本。 在资产负债表日提供劳务交易结果不能够可靠估计的，分别下列情况处理：</w:t>
      </w:r>
    </w:p>
    <w:p>
      <w:pPr>
        <w:pStyle w:val="Heading6"/>
        <w:spacing w:line="256" w:lineRule="auto" w:before="10"/>
        <w:ind w:left="2394" w:right="1197"/>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 务收入，并按相同金额结转劳务成本。</w:t>
      </w:r>
    </w:p>
    <w:p>
      <w:pPr>
        <w:pStyle w:val="Heading6"/>
        <w:spacing w:line="256" w:lineRule="auto" w:before="22"/>
        <w:ind w:left="2394" w:right="1197"/>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 不确认提供劳务收入。</w:t>
      </w:r>
    </w:p>
    <w:p>
      <w:pPr>
        <w:spacing w:line="240" w:lineRule="auto" w:before="7"/>
        <w:rPr>
          <w:rFonts w:ascii="宋体" w:hAnsi="宋体" w:cs="宋体" w:eastAsia="宋体" w:hint="default"/>
          <w:sz w:val="25"/>
          <w:szCs w:val="25"/>
        </w:rPr>
      </w:pPr>
    </w:p>
    <w:p>
      <w:pPr>
        <w:spacing w:line="256" w:lineRule="auto" w:before="0"/>
        <w:ind w:left="2394" w:right="193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公司收入的具体确认标准</w:t>
      </w:r>
      <w:r>
        <w:rPr>
          <w:rFonts w:ascii="宋体" w:hAnsi="宋体" w:cs="宋体" w:eastAsia="宋体" w:hint="default"/>
          <w:b/>
          <w:bCs/>
          <w:w w:val="99"/>
          <w:sz w:val="21"/>
          <w:szCs w:val="21"/>
        </w:rPr>
        <w:t> </w:t>
      </w:r>
      <w:r>
        <w:rPr>
          <w:rFonts w:ascii="宋体" w:hAnsi="宋体" w:cs="宋体" w:eastAsia="宋体" w:hint="default"/>
          <w:sz w:val="21"/>
          <w:szCs w:val="21"/>
        </w:rPr>
        <w:t>本公司的业务主要分为应用软件开发与销售、系统集成、技术支持与服务三部分。</w:t>
      </w:r>
    </w:p>
    <w:p>
      <w:pPr>
        <w:pStyle w:val="Heading6"/>
        <w:spacing w:line="264" w:lineRule="auto" w:before="22"/>
        <w:ind w:left="2394" w:right="985"/>
        <w:jc w:val="left"/>
      </w:pPr>
      <w:r>
        <w:rPr/>
        <w:t>（</w:t>
      </w:r>
      <w:r>
        <w:rPr>
          <w:rFonts w:ascii="Times New Roman" w:hAnsi="Times New Roman" w:cs="Times New Roman" w:eastAsia="Times New Roman" w:hint="default"/>
        </w:rPr>
        <w:t>1</w:t>
      </w:r>
      <w:r>
        <w:rPr/>
        <w:t>）应用软件开发与销售，是指根据客户的需求，利用开发工具为客户提供一整套实现某 </w:t>
      </w:r>
      <w:r>
        <w:rPr>
          <w:spacing w:val="-1"/>
        </w:rPr>
        <w:t>种功能的软件产品或者利用已有产品进行的二次开发以满足客户的某种特定需求。该类收入</w:t>
      </w:r>
      <w:r>
        <w:rPr>
          <w:spacing w:val="-87"/>
        </w:rPr>
        <w:t> </w:t>
      </w:r>
      <w:r>
        <w:rPr>
          <w:spacing w:val="-87"/>
        </w:rPr>
      </w:r>
      <w:r>
        <w:rPr/>
        <w:t>按照合同约定、在项目实施完成并经对方验收合格后确认收入的实现。</w:t>
      </w:r>
    </w:p>
    <w:p>
      <w:pPr>
        <w:pStyle w:val="Heading6"/>
        <w:spacing w:line="268" w:lineRule="auto" w:before="16"/>
        <w:ind w:left="2394" w:right="1092"/>
        <w:jc w:val="left"/>
      </w:pPr>
      <w:r>
        <w:rPr/>
        <w:t>（</w:t>
      </w:r>
      <w:r>
        <w:rPr>
          <w:rFonts w:ascii="Times New Roman" w:hAnsi="Times New Roman" w:cs="Times New Roman" w:eastAsia="Times New Roman" w:hint="default"/>
        </w:rPr>
        <w:t>2</w:t>
      </w:r>
      <w:r>
        <w:rPr/>
        <w:t>）技术支持与服务，是指利用软硬件专业知识向客户提供的有偿软硬件后续服务，包括 系统维护、软硬件应用与支持、软件产品维护与升级。该类收入中对服务内容、服务期限、 </w:t>
      </w:r>
      <w:r>
        <w:rPr>
          <w:spacing w:val="-1"/>
        </w:rPr>
        <w:t>收入总额、收款条件均有明确约定的服务合同，根据合同规定在服务期间内分期确认收入的</w:t>
      </w:r>
      <w:r>
        <w:rPr>
          <w:spacing w:val="-87"/>
        </w:rPr>
        <w:t> </w:t>
      </w:r>
      <w:r>
        <w:rPr>
          <w:spacing w:val="-87"/>
        </w:rPr>
      </w:r>
      <w:r>
        <w:rPr/>
        <w:t>实现；其他服务合同在提供服务的结果能够可靠估计的情况下，在合同约定的服务期限内， 经用户确认后确认收入的实现。</w:t>
      </w:r>
    </w:p>
    <w:p>
      <w:pPr>
        <w:pStyle w:val="Heading6"/>
        <w:spacing w:line="268" w:lineRule="auto" w:before="12"/>
        <w:ind w:left="2394" w:right="985"/>
        <w:jc w:val="left"/>
      </w:pPr>
      <w:r>
        <w:rPr/>
        <w:t>（</w:t>
      </w:r>
      <w:r>
        <w:rPr>
          <w:rFonts w:ascii="Times New Roman" w:hAnsi="Times New Roman" w:cs="Times New Roman" w:eastAsia="Times New Roman" w:hint="default"/>
        </w:rPr>
        <w:t>3</w:t>
      </w:r>
      <w:r>
        <w:rPr/>
        <w:t>）系统集成项目业务，是指按照客户需求提供档案、食品流通追索、政法等领域信息化 </w:t>
      </w:r>
      <w:r>
        <w:rPr>
          <w:spacing w:val="-1"/>
        </w:rPr>
        <w:t>整体解决方案，通过本公司自制软件产品和外购硬件（原材料、设备等），以工程项目的形</w:t>
      </w:r>
      <w:r>
        <w:rPr>
          <w:spacing w:val="-89"/>
        </w:rPr>
        <w:t> </w:t>
      </w:r>
      <w:r>
        <w:rPr>
          <w:spacing w:val="-89"/>
        </w:rPr>
      </w:r>
      <w:r>
        <w:rPr>
          <w:spacing w:val="-1"/>
        </w:rPr>
        <w:t>式对整体方案予以实现。其收入确认的具体方法为：对于系统集成项目，公司根据合同的约</w:t>
      </w:r>
      <w:r>
        <w:rPr>
          <w:spacing w:val="-89"/>
        </w:rPr>
        <w:t> </w:t>
      </w:r>
      <w:r>
        <w:rPr>
          <w:spacing w:val="-89"/>
        </w:rPr>
      </w:r>
      <w:r>
        <w:rPr>
          <w:spacing w:val="-1"/>
        </w:rPr>
        <w:t>定，在系统集成项目中的软件产品和外购硬件（原材料、设备等）已交付给客户，系统已按</w:t>
      </w:r>
      <w:r>
        <w:rPr>
          <w:spacing w:val="-89"/>
        </w:rPr>
        <w:t> </w:t>
      </w:r>
      <w:r>
        <w:rPr>
          <w:spacing w:val="-89"/>
        </w:rPr>
      </w:r>
      <w:r>
        <w:rPr/>
        <w:t>合同约定的条件完成安装调试，通过客户验收完成后确认收入的实现。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right="985"/>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1093"/>
        <w:jc w:val="left"/>
      </w:pPr>
      <w:r>
        <w:rPr>
          <w:spacing w:val="-1"/>
        </w:rPr>
        <w:t>与资产相关的政府补助，是指公司取得的、用于购建或以其他方式形成长期资产的政府补助，包括购买固</w:t>
      </w:r>
      <w:r>
        <w:rPr>
          <w:spacing w:val="-83"/>
        </w:rPr>
        <w:t> </w:t>
      </w:r>
      <w:r>
        <w:rPr>
          <w:spacing w:val="-83"/>
        </w:rPr>
      </w:r>
      <w:r>
        <w:rPr/>
        <w:t>定资产或无形资产的财政拨款、固定资产专门借款的财政贴息等。 </w:t>
      </w:r>
      <w:r>
        <w:rPr>
          <w:spacing w:val="-1"/>
        </w:rPr>
        <w:t>本公司将政府补助划分为与资产相关的具体标准为：本公司取得的，用于购建或以其他方式形成长期资产</w:t>
      </w:r>
      <w:r>
        <w:rPr>
          <w:spacing w:val="-81"/>
        </w:rPr>
        <w:t> </w:t>
      </w:r>
      <w:r>
        <w:rPr>
          <w:spacing w:val="-81"/>
        </w:rPr>
      </w:r>
      <w:r>
        <w:rPr/>
        <w:t>的政府补助。 会计处理方法：与资产相关的政府补助，冲减相关资产账面价值或确认为递延收益。确认为递延收益的， </w:t>
      </w:r>
      <w:r>
        <w:rPr>
          <w:spacing w:val="-1"/>
        </w:rPr>
        <w:t>在相关资产使用寿命内按照合理、系统的方法分期计入当期损益（与本公司日常活动相关的，计入其他收</w:t>
      </w:r>
      <w:r>
        <w:rPr>
          <w:spacing w:val="-83"/>
        </w:rPr>
        <w:t> </w:t>
      </w:r>
      <w:r>
        <w:rPr>
          <w:spacing w:val="-83"/>
        </w:rPr>
      </w:r>
      <w:r>
        <w:rPr/>
        <w:t>益；与本公司日常活动无关的，计入营业外收入）。</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1093"/>
        <w:jc w:val="left"/>
      </w:pPr>
      <w:r>
        <w:rPr/>
        <w:t>与收益相关的政府补助，是指除与资产相关的政府补助之外的政府补助。 </w:t>
      </w:r>
      <w:r>
        <w:rPr>
          <w:spacing w:val="-1"/>
        </w:rPr>
        <w:t>本公司将政府补助划分为与收益相关的具体标准为：除与资产相关的政府补助之外的政府补助；对于政府</w:t>
      </w:r>
      <w:r>
        <w:rPr>
          <w:spacing w:val="-81"/>
        </w:rPr>
        <w:t> </w:t>
      </w:r>
      <w:r>
        <w:rPr>
          <w:spacing w:val="-81"/>
        </w:rPr>
      </w:r>
      <w:r>
        <w:rPr>
          <w:spacing w:val="-1"/>
        </w:rPr>
        <w:t>文件未明确规定补助对象的，本公司将该政府补助划分为与资产相关或与收益相关的判断依据为：是否用</w:t>
      </w:r>
      <w:r>
        <w:rPr>
          <w:spacing w:val="-81"/>
        </w:rPr>
        <w:t> </w:t>
      </w:r>
      <w:r>
        <w:rPr>
          <w:spacing w:val="-81"/>
        </w:rPr>
      </w:r>
      <w:r>
        <w:rPr/>
        <w:t>于购建或以其他方式形成长期资产。 </w:t>
      </w:r>
      <w:r>
        <w:rPr>
          <w:spacing w:val="-1"/>
        </w:rPr>
        <w:t>会计处理方法：与收益相关的政府补助，用于补偿本公司以后期间的相关成本费用或损失的，确认为递延</w:t>
      </w:r>
      <w:r>
        <w:rPr>
          <w:spacing w:val="-83"/>
        </w:rPr>
        <w:t> </w:t>
      </w:r>
      <w:r>
        <w:rPr>
          <w:spacing w:val="-83"/>
        </w:rPr>
      </w:r>
      <w:r>
        <w:rPr/>
        <w:t>收益，并在确认相关成本费用或损失的期间，计入当期损益（与本公司日常活动相关的，计入其他收益； </w:t>
      </w:r>
      <w:r>
        <w:rPr>
          <w:spacing w:val="-1"/>
        </w:rPr>
        <w:t>与本公司日常活动无关的，计入营业外收入）或冲减相关成本费用或损失；用于补偿本公司已发生的相关</w:t>
      </w:r>
      <w:r>
        <w:rPr>
          <w:spacing w:val="-83"/>
        </w:rPr>
        <w:t> </w:t>
      </w:r>
      <w:r>
        <w:rPr>
          <w:spacing w:val="-83"/>
        </w:rPr>
      </w:r>
      <w:r>
        <w:rPr>
          <w:spacing w:val="-1"/>
        </w:rPr>
        <w:t>成本费用或损失的，直接计入当期损益（与本公司日常活动相关的，计入其他收益；与本公司日常活动无</w:t>
      </w:r>
      <w:r>
        <w:rPr>
          <w:spacing w:val="-86"/>
        </w:rPr>
        <w:t> </w:t>
      </w:r>
      <w:r>
        <w:rPr>
          <w:spacing w:val="-86"/>
        </w:rPr>
      </w:r>
      <w:r>
        <w:rPr/>
        <w:t>关的，计入营业外收入）或冲减相关成本费用或损失。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5"/>
        <w:spacing w:line="240" w:lineRule="auto"/>
        <w:ind w:left="1134" w:right="985"/>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985"/>
        <w:jc w:val="left"/>
      </w:pPr>
      <w:r>
        <w:rPr>
          <w:spacing w:val="-1"/>
        </w:rPr>
        <w:t>对于可抵扣暂时性差异确认递延所得税资产，以未来期间很可能取得的用来抵扣可抵扣暂时性差异的应纳</w:t>
      </w:r>
      <w:r>
        <w:rPr>
          <w:spacing w:val="-81"/>
        </w:rPr>
        <w:t> </w:t>
      </w:r>
      <w:r>
        <w:rPr>
          <w:spacing w:val="-81"/>
        </w:rPr>
      </w:r>
      <w:r>
        <w:rPr>
          <w:spacing w:val="-1"/>
        </w:rPr>
        <w:t>税所得额为限。对于能够结转以后年度的可抵扣亏损和税款抵减，以很可能获得用来抵扣可抵扣亏损和税</w:t>
      </w:r>
      <w:r>
        <w:rPr>
          <w:spacing w:val="-81"/>
        </w:rPr>
        <w:t> </w:t>
      </w:r>
      <w:r>
        <w:rPr>
          <w:spacing w:val="-81"/>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0"/>
        </w:rPr>
        <w:t> </w:t>
      </w:r>
      <w:r>
        <w:rPr>
          <w:spacing w:val="-80"/>
        </w:rPr>
      </w:r>
      <w:r>
        <w:rPr/>
        <w:t>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985"/>
        <w:jc w:val="left"/>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66" w:lineRule="auto"/>
        <w:ind w:left="1133" w:right="985"/>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 用。公司支付的与租赁交易相关的初始直接费用，计入当期费用。 </w:t>
      </w:r>
      <w:r>
        <w:rPr>
          <w:spacing w:val="-1"/>
        </w:rPr>
        <w:t>资产出租方承担了应由公司承担的与租赁相关的费用时，公司将该部分费用从租金总额中扣除，按扣除后</w:t>
      </w:r>
      <w:r>
        <w:rPr>
          <w:spacing w:val="-81"/>
        </w:rPr>
        <w:t> </w:t>
      </w:r>
      <w:r>
        <w:rPr>
          <w:spacing w:val="-81"/>
        </w:rPr>
      </w:r>
      <w:r>
        <w:rPr/>
        <w:t>的租金费用在租赁期内分摊，计入当期费用。</w:t>
      </w:r>
    </w:p>
    <w:p>
      <w:pPr>
        <w:pStyle w:val="Heading6"/>
        <w:spacing w:line="268" w:lineRule="auto" w:before="14"/>
        <w:ind w:left="1133" w:right="1093"/>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 相关收入。公司支付的与租赁交易相关的初始直接费用，计入当期费用；如金额较大的，则予以资本化， 在整个租赁期间内按照与租赁相关收入确认相同的基础分期计入当期收益。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after="0" w:line="26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138"/>
        <w:jc w:val="right"/>
      </w:pPr>
      <w:r>
        <w:rPr/>
        <w:pict>
          <v:shape style="position:absolute;margin-left:56.459999pt;margin-top:-44.348282pt;width:479.25pt;height:221.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4"/>
                            <w:sz w:val="18"/>
                            <w:szCs w:val="18"/>
                          </w:rPr>
                          <w:t>目，将部分原列示为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营业外收入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的资产</w:t>
                        </w:r>
                        <w:r>
                          <w:rPr>
                            <w:rFonts w:ascii="宋体" w:hAnsi="宋体" w:cs="宋体" w:eastAsia="宋体" w:hint="default"/>
                            <w:sz w:val="18"/>
                            <w:szCs w:val="18"/>
                          </w:rPr>
                          <w:t> 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31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7"/>
                            <w:sz w:val="18"/>
                            <w:szCs w:val="18"/>
                          </w:rPr>
                          <w:t>年度：无影响；</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年度：无影响</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3"/>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）利润表中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净利润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下分别列示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持续</w:t>
                        </w:r>
                        <w:r>
                          <w:rPr>
                            <w:rFonts w:ascii="宋体" w:hAnsi="宋体" w:cs="宋体" w:eastAsia="宋体" w:hint="default"/>
                            <w:sz w:val="18"/>
                            <w:szCs w:val="18"/>
                          </w:rPr>
                          <w:t> 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 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年度：列示持续经营净利润本年金</w:t>
                        </w:r>
                      </w:p>
                      <w:p>
                        <w:pPr>
                          <w:pStyle w:val="TableParagraph"/>
                          <w:spacing w:line="300" w:lineRule="auto" w:before="61"/>
                          <w:ind w:left="22" w:right="49"/>
                          <w:jc w:val="both"/>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32,811,909.76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元，列示终止经营净利 润本年金额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年度：列示持续 经营净利润本年金额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30,990,573.09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列示终止经营净利润本年金额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）与本公司日常活动相关的政府补 助，计入其他收益，不再计入营业外收 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年度：本年营业外收入减少</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12,528,675.00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元，重分类至其他收益；</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年度：无影响。</w:t>
                        </w:r>
                      </w:p>
                    </w:tc>
                  </w:tr>
                </w:tbl>
                <w:p>
                  <w:pPr/>
                </w:p>
              </w:txbxContent>
            </v:textbox>
            <w10:wrap type="none"/>
          </v:shape>
        </w:pict>
      </w:r>
      <w:r>
        <w:rPr/>
        <w:t>。</w:t>
      </w:r>
    </w:p>
    <w:p>
      <w:pPr>
        <w:spacing w:line="240" w:lineRule="auto" w:before="1"/>
        <w:rPr>
          <w:rFonts w:ascii="宋体" w:hAnsi="宋体" w:cs="宋体" w:eastAsia="宋体" w:hint="default"/>
          <w:sz w:val="8"/>
          <w:szCs w:val="8"/>
        </w:rPr>
      </w:pPr>
    </w:p>
    <w:p>
      <w:pPr>
        <w:spacing w:line="468" w:lineRule="exact"/>
        <w:ind w:left="433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59pt;height:23.4pt;mso-position-horizontal-relative:char;mso-position-vertical-relative:line" coordorigin="0,0" coordsize="3180,468">
            <v:group style="position:absolute;left:0;top:0;width:3180;height:468" coordorigin="0,0" coordsize="3180,468">
              <v:shape style="position:absolute;left:0;top:0;width:3180;height:468" coordorigin="0,0" coordsize="3180,468" path="m0,468l3179,468,3179,0,0,0,0,468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5"/>
        <w:spacing w:line="240" w:lineRule="auto" w:before="35"/>
        <w:ind w:left="1134" w:right="985"/>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22"/>
      <w:bookmarkEnd w:id="22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3"/>
      <w:bookmarkEnd w:id="22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985"/>
        <w:jc w:val="left"/>
      </w:pPr>
      <w:r>
        <w:rPr/>
        <w:t>存在不同企业所得税税率纳税主体的，披露情况说明</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上海中信信息发展股份有限公司（即本公司）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光典信息发展有限公司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上海追索信息科技有限公司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14" w:right="985"/>
        <w:jc w:val="left"/>
        <w:rPr>
          <w:b w:val="0"/>
          <w:bCs w:val="0"/>
        </w:rPr>
      </w:pPr>
      <w:r>
        <w:rPr>
          <w:rFonts w:ascii="Times New Roman" w:hAnsi="Times New Roman" w:cs="Times New Roman" w:eastAsia="Times New Roman" w:hint="default"/>
        </w:rPr>
        <w:t>1</w:t>
      </w:r>
      <w:r>
        <w:rPr/>
        <w:t>、增值税</w:t>
      </w:r>
      <w:r>
        <w:rPr>
          <w:b w:val="0"/>
          <w:bCs w:val="0"/>
        </w:rPr>
      </w:r>
    </w:p>
    <w:p>
      <w:pPr>
        <w:pStyle w:val="Heading6"/>
        <w:spacing w:line="264" w:lineRule="auto" w:before="21"/>
        <w:ind w:left="1133" w:right="1130" w:firstLine="757"/>
        <w:jc w:val="both"/>
      </w:pPr>
      <w:r>
        <w:rPr/>
        <w:t>根据国务院发布的《关于印发进一步鼓励软件产业和集成电路产业发展若干政策的通知》（国发 </w:t>
      </w:r>
      <w:r>
        <w:rPr>
          <w:rFonts w:ascii="Times New Roman" w:hAnsi="Times New Roman" w:cs="Times New Roman" w:eastAsia="Times New Roman" w:hint="default"/>
          <w:spacing w:val="-1"/>
        </w:rPr>
        <w:t>[2011]4</w:t>
      </w:r>
      <w:r>
        <w:rPr>
          <w:spacing w:val="-1"/>
        </w:rPr>
        <w:t>号）的规定，对增值税一般纳税人销售其自行开发生产的软件产品，按</w:t>
      </w:r>
      <w:r>
        <w:rPr>
          <w:rFonts w:ascii="Times New Roman" w:hAnsi="Times New Roman" w:cs="Times New Roman" w:eastAsia="Times New Roman" w:hint="default"/>
          <w:spacing w:val="-1"/>
        </w:rPr>
        <w:t>17%</w:t>
      </w:r>
      <w:r>
        <w:rPr>
          <w:spacing w:val="-1"/>
        </w:rPr>
        <w:t>的法定税率征收增值税</w:t>
      </w:r>
      <w:r>
        <w:rPr>
          <w:spacing w:val="-80"/>
        </w:rPr>
        <w:t> </w:t>
      </w:r>
      <w:r>
        <w:rPr/>
        <w:t>后，对增值税实际税负超过</w:t>
      </w:r>
      <w:r>
        <w:rPr>
          <w:rFonts w:ascii="Times New Roman" w:hAnsi="Times New Roman" w:cs="Times New Roman" w:eastAsia="Times New Roman" w:hint="default"/>
        </w:rPr>
        <w:t>3%</w:t>
      </w:r>
      <w:r>
        <w:rPr/>
        <w:t>的部分实行即征即退政策。本公司销售的软件产品符合该项优惠政策。</w:t>
      </w:r>
    </w:p>
    <w:p>
      <w:pPr>
        <w:pStyle w:val="Heading6"/>
        <w:spacing w:line="264" w:lineRule="auto"/>
        <w:ind w:left="1133" w:right="1131" w:firstLine="672"/>
        <w:jc w:val="both"/>
      </w:pPr>
      <w:r>
        <w:rPr>
          <w:spacing w:val="-2"/>
        </w:rPr>
        <w:t>根据财政部、国家税务总局《关于在上海开展交通运输业和部分现代服务业营业税改征增值税试点</w:t>
      </w:r>
      <w:r>
        <w:rPr/>
        <w:t> 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号）、《营业税改征增值税免税优惠政策过渡操作意见》，本公司及各子公</w:t>
      </w:r>
      <w:r>
        <w:rPr>
          <w:spacing w:val="-35"/>
        </w:rPr>
        <w:t> </w:t>
      </w:r>
      <w:r>
        <w:rPr>
          <w:spacing w:val="-35"/>
        </w:rPr>
      </w:r>
      <w:r>
        <w:rPr/>
        <w:t>司经主管税务机关审核并按规定程序审批后的技术开发业务免征增值税。</w:t>
      </w:r>
    </w:p>
    <w:p>
      <w:pPr>
        <w:pStyle w:val="Heading5"/>
        <w:spacing w:line="240" w:lineRule="auto" w:before="16"/>
        <w:ind w:left="1403" w:right="985"/>
        <w:jc w:val="left"/>
        <w:rPr>
          <w:b w:val="0"/>
          <w:bCs w:val="0"/>
        </w:rPr>
      </w:pPr>
      <w:r>
        <w:rPr>
          <w:rFonts w:ascii="Times New Roman" w:hAnsi="Times New Roman" w:cs="Times New Roman" w:eastAsia="Times New Roman" w:hint="default"/>
        </w:rPr>
        <w:t>2</w:t>
      </w:r>
      <w:r>
        <w:rPr/>
        <w:t>、企业所得税</w:t>
      </w:r>
      <w:r>
        <w:rPr>
          <w:b w:val="0"/>
          <w:bCs w:val="0"/>
        </w:rPr>
      </w:r>
    </w:p>
    <w:p>
      <w:pPr>
        <w:pStyle w:val="Heading6"/>
        <w:spacing w:line="256" w:lineRule="auto" w:before="21"/>
        <w:ind w:left="1133" w:right="1213"/>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日，本公司取得上海市科学技术委员会、上海市财政局、上海市国家税务局和上海市 地方税务局颁发的《高新技术企业证书》，本公司通过复审，继续被认定高新技术企业，有效期为</w:t>
      </w:r>
      <w:r>
        <w:rPr>
          <w:rFonts w:ascii="Times New Roman" w:hAnsi="Times New Roman" w:cs="Times New Roman" w:eastAsia="Times New Roman" w:hint="default"/>
        </w:rPr>
        <w:t>3</w:t>
      </w:r>
      <w:r>
        <w:rPr/>
        <w:t>年。 因此，本公司</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w:t>
      </w:r>
    </w:p>
    <w:p>
      <w:pPr>
        <w:pStyle w:val="Heading6"/>
        <w:spacing w:line="264" w:lineRule="auto" w:before="5"/>
        <w:ind w:left="1134" w:right="98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日，子公司上海金档信息技术有限公司取得上海市科学技术委员会、上海市财政局、 </w:t>
      </w:r>
      <w:r>
        <w:rPr>
          <w:spacing w:val="-1"/>
        </w:rPr>
        <w:t>上海市国家税务局、上海市地方税务局颁发的《高新技术企业证书》，被认定为高新科技企业，有效期为</w:t>
      </w:r>
      <w:r>
        <w:rPr>
          <w:spacing w:val="-83"/>
        </w:rPr>
        <w:t> </w:t>
      </w:r>
      <w:r>
        <w:rPr>
          <w:spacing w:val="-83"/>
        </w:rPr>
      </w:r>
      <w:r>
        <w:rPr>
          <w:rFonts w:ascii="Times New Roman" w:hAnsi="Times New Roman" w:cs="Times New Roman" w:eastAsia="Times New Roman" w:hint="default"/>
        </w:rPr>
        <w:t>3</w:t>
      </w:r>
      <w:r>
        <w:rPr/>
        <w:t>年。因此，该子公司</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的税率征收企业所得税。</w:t>
      </w:r>
    </w:p>
    <w:p>
      <w:pPr>
        <w:pStyle w:val="Heading6"/>
        <w:spacing w:line="256" w:lineRule="auto"/>
        <w:ind w:left="1133" w:right="985"/>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日，子公司光典信息发展有限公司取得上海市科学技术委员会、上海市财政局、上海 </w:t>
      </w:r>
      <w:r>
        <w:rPr>
          <w:spacing w:val="-1"/>
        </w:rPr>
        <w:t>市国家税务局、上海市地方税务局颁发的《高新技术企业证书》，被认定为高新科技企业，有效期为</w:t>
      </w:r>
      <w:r>
        <w:rPr>
          <w:rFonts w:ascii="Times New Roman" w:hAnsi="Times New Roman" w:cs="Times New Roman" w:eastAsia="Times New Roman" w:hint="default"/>
          <w:spacing w:val="-1"/>
        </w:rPr>
        <w:t>3</w:t>
      </w:r>
      <w:r>
        <w:rPr>
          <w:spacing w:val="-1"/>
        </w:rPr>
        <w:t>年。</w:t>
      </w:r>
      <w:r>
        <w:rPr>
          <w:spacing w:val="-81"/>
        </w:rPr>
        <w:t> </w:t>
      </w:r>
      <w:r>
        <w:rPr/>
        <w:t>因此，该子公司</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的税率征收企业所得税。</w:t>
      </w:r>
    </w:p>
    <w:p>
      <w:pPr>
        <w:pStyle w:val="Heading6"/>
        <w:spacing w:line="264" w:lineRule="auto" w:before="5"/>
        <w:ind w:left="1134" w:right="985"/>
        <w:jc w:val="left"/>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19</w:t>
      </w:r>
      <w:r>
        <w:rPr>
          <w:spacing w:val="-3"/>
        </w:rPr>
        <w:t>日，控股子公司上海追索信息科技有限公司取得上海市科学技术委员会、上海市财政局、</w:t>
      </w:r>
      <w:r>
        <w:rPr>
          <w:spacing w:val="-81"/>
        </w:rPr>
        <w:t> </w:t>
      </w:r>
      <w:r>
        <w:rPr>
          <w:spacing w:val="-81"/>
        </w:rPr>
      </w:r>
      <w:r>
        <w:rPr/>
        <w:t>上海市国家税务局、上海市地方税务局颁发的《高新技术企业证书》，被认定为高新科技企业，有效期为</w:t>
      </w:r>
      <w:r>
        <w:rPr/>
        <w:t> </w:t>
      </w:r>
      <w:r>
        <w:rPr>
          <w:rFonts w:ascii="Times New Roman" w:hAnsi="Times New Roman" w:cs="Times New Roman" w:eastAsia="Times New Roman" w:hint="default"/>
        </w:rPr>
        <w:t>3</w:t>
      </w:r>
      <w:r>
        <w:rPr/>
        <w:t>年。因此，该子公司</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7"/>
      <w:bookmarkEnd w:id="22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250,296.32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182,537.01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220,744,090.74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183,126,641.07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3,293,860.09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4,930,896.90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224,288,247.15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188,240,074.98</w:t>
            </w:r>
          </w:p>
        </w:tc>
      </w:tr>
    </w:tbl>
    <w:p>
      <w:pPr>
        <w:pStyle w:val="BodyText"/>
        <w:spacing w:line="240" w:lineRule="auto" w:before="51"/>
        <w:ind w:left="1134" w:right="985"/>
        <w:jc w:val="left"/>
      </w:pPr>
      <w:r>
        <w:rPr/>
        <w:t>其他说明</w:t>
      </w:r>
    </w:p>
    <w:p>
      <w:pPr>
        <w:pStyle w:val="Heading6"/>
        <w:spacing w:line="240" w:lineRule="auto" w:before="91"/>
        <w:ind w:left="1848" w:right="985"/>
        <w:jc w:val="left"/>
      </w:pPr>
      <w:r>
        <w:rPr/>
        <w:t>其中因抵押、质押或冻结等对使用有限制的货币资金明细如下：</w:t>
      </w:r>
    </w:p>
    <w:p>
      <w:pPr>
        <w:spacing w:line="240" w:lineRule="auto" w:before="11"/>
        <w:rPr>
          <w:rFonts w:ascii="宋体" w:hAnsi="宋体" w:cs="宋体" w:eastAsia="宋体" w:hint="default"/>
          <w:sz w:val="27"/>
          <w:szCs w:val="27"/>
        </w:rPr>
      </w:pPr>
    </w:p>
    <w:tbl>
      <w:tblPr>
        <w:tblW w:w="0" w:type="auto"/>
        <w:jc w:val="left"/>
        <w:tblInd w:w="1733" w:type="dxa"/>
        <w:tblLayout w:type="fixed"/>
        <w:tblCellMar>
          <w:top w:w="0" w:type="dxa"/>
          <w:left w:w="0" w:type="dxa"/>
          <w:bottom w:w="0" w:type="dxa"/>
          <w:right w:w="0" w:type="dxa"/>
        </w:tblCellMar>
        <w:tblLook w:val="01E0"/>
      </w:tblPr>
      <w:tblGrid>
        <w:gridCol w:w="3338"/>
        <w:gridCol w:w="2238"/>
        <w:gridCol w:w="2238"/>
      </w:tblGrid>
      <w:tr>
        <w:trPr>
          <w:trHeight w:val="355" w:hRule="exact"/>
        </w:trPr>
        <w:tc>
          <w:tcPr>
            <w:tcW w:w="333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23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3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69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2,346,730.09</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4,930,896.90</w:t>
            </w:r>
          </w:p>
        </w:tc>
      </w:tr>
      <w:tr>
        <w:trPr>
          <w:trHeight w:val="353"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票据保证金</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947,130.00</w:t>
            </w:r>
          </w:p>
        </w:tc>
        <w:tc>
          <w:tcPr>
            <w:tcW w:w="223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3,293,860.09</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4,930,896.90</w:t>
            </w:r>
          </w:p>
        </w:tc>
      </w:tr>
    </w:tbl>
    <w:p>
      <w:pPr>
        <w:pStyle w:val="Heading6"/>
        <w:spacing w:line="276" w:lineRule="exact"/>
        <w:ind w:left="1848" w:right="985"/>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日，其他货币资金中保函保证金</w:t>
      </w:r>
      <w:r>
        <w:rPr>
          <w:rFonts w:ascii="Times New Roman" w:hAnsi="Times New Roman" w:cs="Times New Roman" w:eastAsia="Times New Roman" w:hint="default"/>
        </w:rPr>
        <w:t>2,346,730.09</w:t>
      </w:r>
      <w:r>
        <w:rPr>
          <w:rFonts w:ascii="Times New Roman" w:hAnsi="Times New Roman" w:cs="Times New Roman" w:eastAsia="Times New Roman" w:hint="default"/>
          <w:spacing w:val="-7"/>
        </w:rPr>
        <w:t> </w:t>
      </w:r>
      <w:r>
        <w:rPr/>
        <w:t>元，为本公司向银行申请开具无条</w:t>
      </w:r>
    </w:p>
    <w:p>
      <w:pPr>
        <w:pStyle w:val="Heading6"/>
        <w:spacing w:line="273" w:lineRule="auto" w:before="21"/>
        <w:ind w:left="1848" w:right="2292"/>
        <w:jc w:val="left"/>
      </w:pPr>
      <w:r>
        <w:rPr/>
        <w:t>件、不可撤销的担保函所存入的保证金存款。 上述受限制的货币资金在编制现金流量表时已经从</w:t>
      </w:r>
      <w:r>
        <w:rPr>
          <w:rFonts w:ascii="Times New Roman" w:hAnsi="Times New Roman" w:cs="Times New Roman" w:eastAsia="Times New Roman" w:hint="default"/>
        </w:rPr>
        <w:t>“</w:t>
      </w:r>
      <w:r>
        <w:rPr/>
        <w:t>现金及现金等价物余额</w:t>
      </w:r>
      <w:r>
        <w:rPr>
          <w:rFonts w:ascii="Times New Roman" w:hAnsi="Times New Roman" w:cs="Times New Roman" w:eastAsia="Times New Roman" w:hint="default"/>
        </w:rPr>
        <w:t>”</w:t>
      </w:r>
      <w:r>
        <w:rPr/>
        <w:t>中剔除。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pStyle w:val="Heading5"/>
        <w:spacing w:line="240" w:lineRule="auto"/>
        <w:ind w:left="1134" w:right="985"/>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4、应收票据" w:id="231"/>
      <w:bookmarkEnd w:id="23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应收票据分类列示" w:id="232"/>
      <w:bookmarkEnd w:id="23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期末公司已质押的应收票据" w:id="233"/>
      <w:bookmarkEnd w:id="23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期末公司已背书或贴现且在资产负债表日尚未到期的应收票据" w:id="234"/>
      <w:bookmarkEnd w:id="23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4）期末公司因出票人未履约而将其转应收账款的票据" w:id="235"/>
      <w:bookmarkEnd w:id="23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5、应收账款" w:id="236"/>
      <w:bookmarkEnd w:id="23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应收账款分类披露" w:id="237"/>
      <w:bookmarkEnd w:id="2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359,660,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618.62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41,013,1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318,647,4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42.63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306,992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,418.91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32,428,24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274,564,17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4.72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359,660,</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618.62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41,013,1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75.99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11.40%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318,647,4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42.63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306,992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,418.91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32,428,24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274,564,17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4.72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219,036,089.69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10,951,804.49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93,901,476.63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9,390,147.66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25,763,376.65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7,729,013.00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14,808,833.68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7,404,416.84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2,043,493.23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1,430,445.26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4,107,348.74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4,107,348.74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359,660,618.62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41,013,175.99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985"/>
        <w:jc w:val="left"/>
      </w:pPr>
      <w:r>
        <w:rPr/>
        <w:t>确定该组合依据的说明：</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5"/>
        <w:spacing w:line="240" w:lineRule="auto"/>
        <w:ind w:right="985"/>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left="1134" w:right="-17"/>
        <w:jc w:val="left"/>
      </w:pPr>
      <w:r>
        <w:rPr/>
        <w:t>本期计提坏账准备金额</w:t>
      </w:r>
      <w:r>
        <w:rPr>
          <w:spacing w:val="-47"/>
        </w:rPr>
        <w:t> </w:t>
      </w:r>
      <w:r>
        <w:rPr>
          <w:rFonts w:ascii="Times New Roman" w:hAnsi="Times New Roman" w:cs="Times New Roman" w:eastAsia="Times New Roman" w:hint="default"/>
        </w:rPr>
        <w:t>8,584,931.80</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029" w:space="1800"/>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本期实际核销的应收账款情况" w:id="239"/>
      <w:bookmarkEnd w:id="2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985"/>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985"/>
        <w:jc w:val="left"/>
      </w:pPr>
      <w:r>
        <w:rPr/>
        <w:t>应收账款核销说明：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4）按欠款方归集的期末余额前五名的应收账款情况" w:id="240"/>
      <w:bookmarkEnd w:id="2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tbl>
      <w:tblPr>
        <w:tblW w:w="0" w:type="auto"/>
        <w:jc w:val="left"/>
        <w:tblInd w:w="1733" w:type="dxa"/>
        <w:tblLayout w:type="fixed"/>
        <w:tblCellMar>
          <w:top w:w="0" w:type="dxa"/>
          <w:left w:w="0" w:type="dxa"/>
          <w:bottom w:w="0" w:type="dxa"/>
          <w:right w:w="0" w:type="dxa"/>
        </w:tblCellMar>
        <w:tblLook w:val="01E0"/>
      </w:tblPr>
      <w:tblGrid>
        <w:gridCol w:w="3338"/>
        <w:gridCol w:w="1586"/>
        <w:gridCol w:w="1420"/>
        <w:gridCol w:w="1418"/>
      </w:tblGrid>
      <w:tr>
        <w:trPr>
          <w:trHeight w:val="355" w:hRule="exact"/>
        </w:trPr>
        <w:tc>
          <w:tcPr>
            <w:tcW w:w="3338"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424"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5" w:hRule="exact"/>
        </w:trPr>
        <w:tc>
          <w:tcPr>
            <w:tcW w:w="3338" w:type="dxa"/>
            <w:vMerge/>
            <w:tcBorders>
              <w:left w:val="single" w:sz="6" w:space="0" w:color="000000"/>
              <w:bottom w:val="single" w:sz="12" w:space="0" w:color="000000"/>
              <w:right w:val="single" w:sz="6" w:space="0" w:color="000000"/>
            </w:tcBorders>
          </w:tcPr>
          <w:p>
            <w:pP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6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0" w:right="0" w:firstLine="52"/>
              <w:jc w:val="left"/>
              <w:rPr>
                <w:rFonts w:ascii="宋体" w:hAnsi="宋体" w:cs="宋体" w:eastAsia="宋体" w:hint="default"/>
                <w:sz w:val="21"/>
                <w:szCs w:val="21"/>
              </w:rPr>
            </w:pPr>
            <w:r>
              <w:rPr>
                <w:rFonts w:ascii="宋体" w:hAnsi="宋体" w:cs="宋体" w:eastAsia="宋体" w:hint="default"/>
                <w:sz w:val="21"/>
                <w:szCs w:val="21"/>
              </w:rPr>
              <w:t>占应收账款合</w:t>
            </w:r>
          </w:p>
          <w:p>
            <w:pPr>
              <w:pStyle w:val="TableParagraph"/>
              <w:spacing w:line="240" w:lineRule="auto" w:before="37"/>
              <w:ind w:left="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16,483,000.00</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4.58</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1,648,300.00</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12,653,018.87</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3.52</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632,650.94</w:t>
            </w:r>
          </w:p>
        </w:tc>
      </w:tr>
      <w:tr>
        <w:trPr>
          <w:trHeight w:val="353"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10,742,764.96</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2.99</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537,138.25</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9,995,117.29</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2.78</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499,755.86</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8,619,195.26</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2.40</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718,287.45</w:t>
            </w:r>
          </w:p>
        </w:tc>
      </w:tr>
      <w:tr>
        <w:trPr>
          <w:trHeight w:val="353"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58,493,096.38</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16.27</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4,036,132.50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5"/>
        <w:spacing w:line="240" w:lineRule="auto" w:before="35"/>
        <w:ind w:left="1134" w:right="985"/>
        <w:jc w:val="left"/>
        <w:rPr>
          <w:b w:val="0"/>
          <w:bCs w:val="0"/>
        </w:rPr>
      </w:pPr>
      <w:bookmarkStart w:name="（5）因金融资产转移而终止确认的应收账款" w:id="241"/>
      <w:bookmarkEnd w:id="24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85"/>
        <w:jc w:val="left"/>
        <w:rPr>
          <w:b w:val="0"/>
          <w:bCs w:val="0"/>
        </w:rPr>
      </w:pPr>
      <w:bookmarkStart w:name="（6）转移应收账款且继续涉入形成的资产、负债金额" w:id="242"/>
      <w:bookmarkEnd w:id="24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t>其他说明：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6、预付款项" w:id="243"/>
      <w:bookmarkEnd w:id="24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预付款项按账龄列示" w:id="244"/>
      <w:bookmarkEnd w:id="24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2,223,658.63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5,983,689.20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265,927.47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749,244.75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76,930.00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217,675.08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140,745.08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2,791,446.93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6,950,609.03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5"/>
        <w:spacing w:line="240" w:lineRule="auto"/>
        <w:ind w:left="1134" w:right="985"/>
        <w:jc w:val="left"/>
        <w:rPr>
          <w:b w:val="0"/>
          <w:bCs w:val="0"/>
        </w:rPr>
      </w:pPr>
      <w:bookmarkStart w:name="（2）按预付对象归集的期末余额前五名的预付款情况" w:id="245"/>
      <w:bookmarkEnd w:id="24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733" w:type="dxa"/>
        <w:tblLayout w:type="fixed"/>
        <w:tblCellMar>
          <w:top w:w="0" w:type="dxa"/>
          <w:left w:w="0" w:type="dxa"/>
          <w:bottom w:w="0" w:type="dxa"/>
          <w:right w:w="0" w:type="dxa"/>
        </w:tblCellMar>
        <w:tblLook w:val="01E0"/>
      </w:tblPr>
      <w:tblGrid>
        <w:gridCol w:w="3506"/>
        <w:gridCol w:w="2126"/>
        <w:gridCol w:w="2127"/>
      </w:tblGrid>
      <w:tr>
        <w:trPr>
          <w:trHeight w:val="667" w:hRule="exact"/>
        </w:trPr>
        <w:tc>
          <w:tcPr>
            <w:tcW w:w="350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3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530" w:right="11" w:hanging="525"/>
              <w:jc w:val="left"/>
              <w:rPr>
                <w:rFonts w:ascii="宋体" w:hAnsi="宋体" w:cs="宋体" w:eastAsia="宋体" w:hint="default"/>
                <w:sz w:val="21"/>
                <w:szCs w:val="21"/>
              </w:rPr>
            </w:pPr>
            <w:r>
              <w:rPr>
                <w:rFonts w:ascii="宋体" w:hAnsi="宋体" w:cs="宋体" w:eastAsia="宋体" w:hint="default"/>
                <w:sz w:val="21"/>
                <w:szCs w:val="21"/>
              </w:rPr>
              <w:t>占预付款项期末余额合 计数的比例</w:t>
            </w:r>
          </w:p>
        </w:tc>
      </w:tr>
      <w:tr>
        <w:trPr>
          <w:trHeight w:val="353"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318,750.00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11.42</w:t>
            </w:r>
          </w:p>
        </w:tc>
      </w:tr>
      <w:tr>
        <w:trPr>
          <w:trHeight w:val="35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360,000.00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12.90</w:t>
            </w:r>
          </w:p>
        </w:tc>
      </w:tr>
      <w:tr>
        <w:trPr>
          <w:trHeight w:val="35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182,400.00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6.53</w:t>
            </w:r>
          </w:p>
        </w:tc>
      </w:tr>
      <w:tr>
        <w:trPr>
          <w:trHeight w:val="353"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143,618.00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5.14</w:t>
            </w:r>
          </w:p>
        </w:tc>
      </w:tr>
      <w:tr>
        <w:trPr>
          <w:trHeight w:val="35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135,000.00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4.84</w:t>
            </w:r>
          </w:p>
        </w:tc>
      </w:tr>
      <w:tr>
        <w:trPr>
          <w:trHeight w:val="352" w:hRule="exact"/>
        </w:trPr>
        <w:tc>
          <w:tcPr>
            <w:tcW w:w="350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1,139,768.00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40.83</w:t>
            </w:r>
          </w:p>
        </w:tc>
      </w:tr>
    </w:tbl>
    <w:p>
      <w:pPr>
        <w:spacing w:line="240" w:lineRule="auto" w:before="5"/>
        <w:rPr>
          <w:rFonts w:ascii="宋体" w:hAnsi="宋体" w:cs="宋体" w:eastAsia="宋体" w:hint="default"/>
          <w:b/>
          <w:bCs/>
          <w:sz w:val="24"/>
          <w:szCs w:val="24"/>
        </w:rPr>
      </w:pPr>
    </w:p>
    <w:p>
      <w:pPr>
        <w:pStyle w:val="BodyText"/>
        <w:spacing w:line="240" w:lineRule="auto"/>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7、应收利息" w:id="246"/>
      <w:bookmarkEnd w:id="24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应收利息分类" w:id="247"/>
      <w:bookmarkEnd w:id="24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重要逾期利息" w:id="248"/>
      <w:bookmarkEnd w:id="24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8、应收股利" w:id="249"/>
      <w:bookmarkEnd w:id="24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应收股利" w:id="250"/>
      <w:bookmarkEnd w:id="25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重要的账龄超过1年的应收股利" w:id="251"/>
      <w:bookmarkEnd w:id="25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9、其他应收款" w:id="252"/>
      <w:bookmarkEnd w:id="25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其他应收款分类披露" w:id="253"/>
      <w:bookmarkEnd w:id="25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62,501,1</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31.42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10,036,1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52,464,94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60,557,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072.63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8,220,785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52,336,287.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62,501,1</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31.42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10,036,1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16.06%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52,464,94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60,557,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072.63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8,220,785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52,336,287.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29,059,341.20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1,452,967.05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16,988,634.27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1,698,863.43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10,173,161.60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3,051,948.49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3,282,436.05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1,641,218.03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2,687,887.80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1,881,521.46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309,670.50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309,670.50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62,501,131.42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10,036,188.96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left="1134" w:right="-17"/>
        <w:jc w:val="left"/>
      </w:pPr>
      <w:r>
        <w:rPr/>
        <w:t>本期计提坏账准备金额</w:t>
      </w:r>
      <w:r>
        <w:rPr>
          <w:spacing w:val="-47"/>
        </w:rPr>
        <w:t> </w:t>
      </w:r>
      <w:r>
        <w:rPr>
          <w:rFonts w:ascii="Times New Roman" w:hAnsi="Times New Roman" w:cs="Times New Roman" w:eastAsia="Times New Roman" w:hint="default"/>
        </w:rPr>
        <w:t>1,815,403.67</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029" w:space="1800"/>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本期实际核销的其他应收款情况" w:id="255"/>
      <w:bookmarkEnd w:id="25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985"/>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985"/>
        <w:jc w:val="left"/>
      </w:pPr>
      <w:r>
        <w:rPr/>
        <w:t>其他应收款核销说明：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4）其他应收款按款项性质分类情况" w:id="256"/>
      <w:bookmarkEnd w:id="25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55,750,018.97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54,645,369.19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4,822,167.17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5,426,148.45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1,928,945.28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485,554.99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62,501,131.42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60,557,072.63</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5）按欠款方归集的期末余额前五名的其他应收款情况" w:id="257"/>
      <w:bookmarkEnd w:id="25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217,400.00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2,001,997.00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100,099.85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1,854,556.90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185,455.69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90,395.00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13,338,453.90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2,243,350.54</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6）涉及政府补助的应收款项" w:id="258"/>
      <w:bookmarkEnd w:id="25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7）因金融资产转移而终止确认的其他应收款" w:id="259"/>
      <w:bookmarkEnd w:id="25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8）转移其他应收款且继续涉入形成的资产、负债金额" w:id="260"/>
      <w:bookmarkEnd w:id="26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10、存货" w:id="261"/>
      <w:bookmarkEnd w:id="26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5"/>
        <w:spacing w:line="240" w:lineRule="auto"/>
        <w:ind w:left="1134" w:right="985"/>
        <w:jc w:val="left"/>
        <w:rPr>
          <w:b w:val="0"/>
          <w:bCs w:val="0"/>
        </w:rPr>
      </w:pPr>
      <w:bookmarkStart w:name="（1）存货分类" w:id="262"/>
      <w:bookmarkEnd w:id="26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252,805.91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252,805.91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1,516,794.65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1,516,794.65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未完工项目成本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290,290,396.55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290,290,396.55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163,044,364.75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163,044,364.75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290,543,202.46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290,543,202.46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164,561,159.40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164,561,159.40</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1"/>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2）存货跌价准备" w:id="263"/>
      <w:bookmarkEnd w:id="26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存货期末余额含有借款费用资本化金额的说明" w:id="264"/>
      <w:bookmarkEnd w:id="26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4）期末建造合同形成的已完工未结算资产情况" w:id="265"/>
      <w:bookmarkEnd w:id="26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1、持有待售的资产" w:id="266"/>
      <w:bookmarkEnd w:id="26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2、一年内到期的非流动资产" w:id="267"/>
      <w:bookmarkEnd w:id="26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3、其他流动资产" w:id="268"/>
      <w:bookmarkEnd w:id="26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121,718.02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121,718.02</w:t>
            </w:r>
          </w:p>
        </w:tc>
      </w:tr>
    </w:tbl>
    <w:p>
      <w:pPr>
        <w:pStyle w:val="BodyText"/>
        <w:spacing w:line="240" w:lineRule="auto" w:before="51"/>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4、可供出售金融资产" w:id="269"/>
      <w:bookmarkEnd w:id="26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可供出售金融资产情况" w:id="270"/>
      <w:bookmarkEnd w:id="27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3587"/>
        <w:gridCol w:w="3971"/>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17,500,000.00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17,500,000.00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13,500,000.00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17,500,000.00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17,500,000.00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13,500,000.00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17,500,000.00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17,500,000.00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13,500,000.00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期末按公允价值计量的可供出售金融资产" w:id="271"/>
      <w:bookmarkEnd w:id="27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期末按成本计量的可供出售金融资产" w:id="272"/>
      <w:bookmarkEnd w:id="27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淘菜猫信 息发展股 份有限公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8"/>
              <w:jc w:val="both"/>
              <w:rPr>
                <w:rFonts w:ascii="宋体" w:hAnsi="宋体" w:cs="宋体" w:eastAsia="宋体" w:hint="default"/>
                <w:sz w:val="18"/>
                <w:szCs w:val="18"/>
              </w:rPr>
            </w:pPr>
            <w:r>
              <w:rPr>
                <w:rFonts w:ascii="宋体" w:hAnsi="宋体" w:cs="宋体" w:eastAsia="宋体" w:hint="default"/>
                <w:sz w:val="18"/>
                <w:szCs w:val="18"/>
              </w:rPr>
              <w:t>杭州华亭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易批生鲜 信息发展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4）报告期内可供出售金融资产减值的变动情况" w:id="273"/>
      <w:bookmarkEnd w:id="27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5）可供出售权益工具期末公允价值严重下跌或非暂时性下跌但未计提减值准备的相关说" w:id="274"/>
      <w:bookmarkEnd w:id="27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5、持有至到期投资" w:id="275"/>
      <w:bookmarkEnd w:id="27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持有至到期投资情况" w:id="276"/>
      <w:bookmarkEnd w:id="27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期末重要的持有至到期投资" w:id="277"/>
      <w:bookmarkEnd w:id="27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本期重分类的持有至到期投资" w:id="278"/>
      <w:bookmarkEnd w:id="27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16、长期应收款" w:id="279"/>
      <w:bookmarkEnd w:id="27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长期应收款情况" w:id="280"/>
      <w:bookmarkEnd w:id="28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因金融资产转移而终止确认的长期应收款" w:id="281"/>
      <w:bookmarkEnd w:id="28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3）转移长期应收款且继续涉入形成的资产、负债金额" w:id="282"/>
      <w:bookmarkEnd w:id="28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7、长期股权投资" w:id="283"/>
      <w:bookmarkEnd w:id="28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18、投资性房地产" w:id="284"/>
      <w:bookmarkEnd w:id="28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采用成本计量模式的投资性房地产" w:id="285"/>
      <w:bookmarkEnd w:id="28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采用公允价值计量模式的投资性房地产" w:id="286"/>
      <w:bookmarkEnd w:id="28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3）未办妥产权证书的投资性房地产情况" w:id="287"/>
      <w:bookmarkEnd w:id="28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19、固定资产" w:id="288"/>
      <w:bookmarkEnd w:id="28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固定资产情况" w:id="289"/>
      <w:bookmarkEnd w:id="28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4,260,304.89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32,820,589.05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37,080,893.94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1,222,297.24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8,214,014.49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9,436,311.73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1,222,297.24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1,731,954.59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2,954,251.83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6,482,059.90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6,482,059.90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5,482,602.13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41,034,603.54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46,517,205.67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2,902,256.76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13,741,315.23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16,643,571.99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502,051.69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8,902,192.16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9,404,243.85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502,051.69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8,902,192.16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9,404,243.85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3,404,308.45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22,643,507.39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26,047,815.84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2,078,293.68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18,391,096.15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20,469,389.83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1,358,048.13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19,079,273.82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20,437,321.95</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暂时闲置的固定资产情况" w:id="290"/>
      <w:bookmarkEnd w:id="29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通过融资租赁租入的固定资产情况" w:id="291"/>
      <w:bookmarkEnd w:id="29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4）通过经营租赁租出的固定资产" w:id="292"/>
      <w:bookmarkEnd w:id="29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5）未办妥产权证书的固定资产情况" w:id="293"/>
      <w:bookmarkEnd w:id="29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20、在建工程" w:id="294"/>
      <w:bookmarkEnd w:id="29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在建工程情况" w:id="295"/>
      <w:bookmarkEnd w:id="29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光典食品追溯信 息服务云平台项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7,606,236.51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7,606,236.51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230,603,387.02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230,603,387.02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76,937,401.29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76,937,401.29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消控中心装修费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39,729.73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39,729.73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230,643,116.75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230,643,116.75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84,543,637.80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84,543,637.80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重要在建工程项目本期变动情况" w:id="296"/>
      <w:bookmarkEnd w:id="29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光典食 品追溯 信息服 务云平 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7,606,23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6,482,05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1,124,17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6.61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76,937,4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01.29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153,665,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985.73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230,603,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387.02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3,174,65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3,174,65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4.75%</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363,000,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84,543,6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37.80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153,665,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985.73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6,482,05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1,124,17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230,603,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387.02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3,174,65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3,174,65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本期计提在建工程减值准备情况" w:id="297"/>
      <w:bookmarkEnd w:id="29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985"/>
        <w:jc w:val="left"/>
      </w:pPr>
      <w:r>
        <w:rPr/>
        <w:t>其他说明</w:t>
      </w:r>
    </w:p>
    <w:p>
      <w:pPr>
        <w:pStyle w:val="Heading6"/>
        <w:spacing w:line="240" w:lineRule="auto" w:before="91"/>
        <w:ind w:left="1133" w:right="985"/>
        <w:jc w:val="left"/>
      </w:pPr>
      <w:r>
        <w:rPr/>
        <w:t>期末用于抵押或担保的在建工程账面价值为</w:t>
      </w:r>
      <w:r>
        <w:rPr>
          <w:rFonts w:ascii="Times New Roman" w:hAnsi="Times New Roman" w:cs="Times New Roman" w:eastAsia="Times New Roman" w:hint="default"/>
        </w:rPr>
        <w:t>230,603,387.02</w:t>
      </w:r>
      <w:r>
        <w:rPr/>
        <w:t>元，详见附注十四（一）</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p>
    <w:p>
      <w:pPr>
        <w:spacing w:line="240" w:lineRule="auto" w:before="8"/>
        <w:rPr>
          <w:rFonts w:ascii="宋体" w:hAnsi="宋体" w:cs="宋体" w:eastAsia="宋体" w:hint="default"/>
          <w:sz w:val="24"/>
          <w:szCs w:val="24"/>
        </w:rPr>
      </w:pPr>
    </w:p>
    <w:p>
      <w:pPr>
        <w:pStyle w:val="Heading5"/>
        <w:spacing w:line="240" w:lineRule="auto"/>
        <w:ind w:right="985"/>
        <w:jc w:val="left"/>
        <w:rPr>
          <w:b w:val="0"/>
          <w:bCs w:val="0"/>
        </w:rPr>
      </w:pPr>
      <w:bookmarkStart w:name="21、工程物资" w:id="298"/>
      <w:bookmarkEnd w:id="29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2、固定资产清理" w:id="299"/>
      <w:bookmarkEnd w:id="29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3、生产性生物资产" w:id="300"/>
      <w:bookmarkEnd w:id="30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采用成本计量模式的生产性生物资产" w:id="301"/>
      <w:bookmarkEnd w:id="30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采用公允价值计量模式的生产性生物资产" w:id="302"/>
      <w:bookmarkEnd w:id="30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4、油气资产" w:id="303"/>
      <w:bookmarkEnd w:id="30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5、无形资产" w:id="304"/>
      <w:bookmarkEnd w:id="30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无形资产情况" w:id="305"/>
      <w:bookmarkEnd w:id="30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32,388,620.00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2,873,958.97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35,262,578.97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1,193,989.51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1,193,989.51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69,812.90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1,124,176.61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1,124,176.61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32,388,620.00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4,067,948.48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36,456,568.48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1,835,355.09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1,132,491.64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2,967,846.73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755,734.54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679,494.89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1,435,229.43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755,734.54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679,494.89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1,435,229.43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2,591,089.63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1,811,986.53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4,403,076.16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29,797,530.37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2,255,961.95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32,053,492.32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30,553,264.91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1,741,467.33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32,294,732.24</w:t>
            </w:r>
          </w:p>
        </w:tc>
      </w:tr>
    </w:tbl>
    <w:p>
      <w:pPr>
        <w:pStyle w:val="BodyText"/>
        <w:spacing w:line="240" w:lineRule="auto" w:before="51"/>
        <w:ind w:left="1134" w:right="985"/>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未办妥产权证书的土地使用权情况" w:id="306"/>
      <w:bookmarkEnd w:id="30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985"/>
        <w:jc w:val="left"/>
      </w:pPr>
      <w:r>
        <w:rPr/>
        <w:t>其他说明：</w:t>
      </w:r>
    </w:p>
    <w:p>
      <w:pPr>
        <w:pStyle w:val="Heading6"/>
        <w:spacing w:line="256" w:lineRule="auto" w:before="90"/>
        <w:ind w:left="1134" w:right="1197"/>
        <w:jc w:val="left"/>
      </w:pPr>
      <w:r>
        <w:rPr/>
        <w:t>期末用于抵押或担保的无形资产的原值人民币</w:t>
      </w:r>
      <w:r>
        <w:rPr>
          <w:rFonts w:ascii="Times New Roman" w:hAnsi="Times New Roman" w:cs="Times New Roman" w:eastAsia="Times New Roman" w:hint="default"/>
        </w:rPr>
        <w:t>32,388,620.00</w:t>
      </w:r>
      <w:r>
        <w:rPr/>
        <w:t>元、净值人民币</w:t>
      </w:r>
      <w:r>
        <w:rPr>
          <w:rFonts w:ascii="Times New Roman" w:hAnsi="Times New Roman" w:cs="Times New Roman" w:eastAsia="Times New Roman" w:hint="default"/>
        </w:rPr>
        <w:t>29,797,530.37</w:t>
      </w:r>
      <w:r>
        <w:rPr/>
        <w:t>元，详见附注十 四（一）</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5"/>
        <w:spacing w:line="240" w:lineRule="auto"/>
        <w:ind w:left="1134" w:right="985"/>
        <w:jc w:val="left"/>
        <w:rPr>
          <w:b w:val="0"/>
          <w:bCs w:val="0"/>
        </w:rPr>
      </w:pPr>
      <w:bookmarkStart w:name="26、开发支出" w:id="307"/>
      <w:bookmarkEnd w:id="30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27、商誉" w:id="308"/>
      <w:bookmarkEnd w:id="308"/>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商誉账面原值" w:id="309"/>
      <w:bookmarkEnd w:id="30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上海追索信息科 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10,737,367.68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10,737,367.68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10,737,367.68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10,737,367.68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商誉减值准备" w:id="310"/>
      <w:bookmarkEnd w:id="31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985"/>
        <w:jc w:val="left"/>
      </w:pPr>
      <w:r>
        <w:rPr/>
        <w:t>说明商誉减值测试过程、参数及商誉减值损失的确认方法：</w:t>
      </w:r>
    </w:p>
    <w:p>
      <w:pPr>
        <w:pStyle w:val="Heading6"/>
        <w:spacing w:line="268" w:lineRule="auto" w:before="89"/>
        <w:ind w:left="1134" w:right="985"/>
        <w:jc w:val="left"/>
      </w:pPr>
      <w:r>
        <w:rPr/>
        <w:t>上海追索信息科技有限公司在合并后作为独立的经济实体运行，故减值测试时将该子公司视为一个资产 组。 资产组的可回收金额按照资产组的预计未来现金流量的现值确定，未来现金流量按照其最近几年的历史经 </w:t>
      </w:r>
      <w:r>
        <w:rPr>
          <w:spacing w:val="-2"/>
        </w:rPr>
        <w:t>营状况的变化趋势和业务类型估算预期收益</w:t>
      </w:r>
      <w:r>
        <w:rPr>
          <w:rFonts w:ascii="Times New Roman" w:hAnsi="Times New Roman" w:cs="Times New Roman" w:eastAsia="Times New Roman" w:hint="default"/>
          <w:spacing w:val="-2"/>
        </w:rPr>
        <w:t>(</w:t>
      </w:r>
      <w:r>
        <w:rPr>
          <w:spacing w:val="-2"/>
        </w:rPr>
        <w:t>净现金流量</w:t>
      </w:r>
      <w:r>
        <w:rPr>
          <w:rFonts w:ascii="Times New Roman" w:hAnsi="Times New Roman" w:cs="Times New Roman" w:eastAsia="Times New Roman" w:hint="default"/>
          <w:spacing w:val="-2"/>
        </w:rPr>
        <w:t>)</w:t>
      </w:r>
      <w:r>
        <w:rPr>
          <w:spacing w:val="-2"/>
        </w:rPr>
        <w:t>，折现率选取加权平均资本成本。资产负债表日，</w:t>
      </w:r>
      <w:r>
        <w:rPr>
          <w:spacing w:val="-68"/>
        </w:rPr>
        <w:t> </w:t>
      </w:r>
      <w:r>
        <w:rPr>
          <w:spacing w:val="-68"/>
        </w:rPr>
      </w:r>
      <w:r>
        <w:rPr/>
        <w:t>公司对商誉进行减值测试，按上述现金流折现方法确定的股东权益价值与商誉进行比较。经测试，管理层</w:t>
      </w:r>
      <w:r>
        <w:rPr/>
        <w:t> 判断对该商誉无需计提减值准备。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1134"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28、长期待摊费用" w:id="311"/>
      <w:bookmarkEnd w:id="31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194,385.87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111,077.64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83,308.23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194,385.87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111,077.64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83,308.23</w:t>
            </w:r>
          </w:p>
        </w:tc>
      </w:tr>
    </w:tbl>
    <w:p>
      <w:pPr>
        <w:pStyle w:val="BodyText"/>
        <w:spacing w:line="240" w:lineRule="auto" w:before="51"/>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29、递延所得税资产/递延所得税负债" w:id="312"/>
      <w:bookmarkEnd w:id="31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未经抵销的递延所得税资产" w:id="313"/>
      <w:bookmarkEnd w:id="31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51,049,364.95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7,662,890.22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40,649,029.48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6,097,354.42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45,567,032.45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6,835,054.86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24,444,178.76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3,666,626.81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原资本化开发支出摊销 年限差异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1,037,268.59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155,590.29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2,662,962.31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399,444.35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968,250.00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无形资产摊销调整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1,268,954.54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190,343.18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113,662,620.53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17,054,878.55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74,211,170.55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11,131,675.58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未经抵销的递延所得税负债" w:id="314"/>
      <w:bookmarkEnd w:id="31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合并中可辨认资产与计 税基础的差异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823,333.53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123,500.02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1,013,333.49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152,000.02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823,333.53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123,500.02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1,013,333.49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152,000.02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以抵销后净额列示的递延所得税资产或负债" w:id="315"/>
      <w:bookmarkEnd w:id="31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17,054,878.55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11,131,675.58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123,500.02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152,000.02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4）未确认递延所得税资产明细" w:id="316"/>
      <w:bookmarkEnd w:id="31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5）未确认递延所得税资产的可抵扣亏损将于以下年度到期" w:id="317"/>
      <w:bookmarkEnd w:id="31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30、其他非流动资产" w:id="318"/>
      <w:bookmarkEnd w:id="31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31、短期借款" w:id="319"/>
      <w:bookmarkEnd w:id="31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85"/>
        <w:jc w:val="left"/>
        <w:rPr>
          <w:b w:val="0"/>
          <w:bCs w:val="0"/>
        </w:rPr>
      </w:pPr>
      <w:bookmarkStart w:name="（1）短期借款分类" w:id="320"/>
      <w:bookmarkEnd w:id="32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129,000,000.00</w:t>
            </w:r>
          </w:p>
        </w:tc>
      </w:tr>
    </w:tbl>
    <w:p>
      <w:pPr>
        <w:pStyle w:val="BodyText"/>
        <w:spacing w:line="240" w:lineRule="auto" w:before="51"/>
        <w:ind w:left="1134" w:right="985"/>
        <w:jc w:val="left"/>
      </w:pPr>
      <w:r>
        <w:rPr/>
        <w:t>短期借款分类的说明：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2）已逾期未偿还的短期借款情况" w:id="321"/>
      <w:bookmarkEnd w:id="32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85"/>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32、以公允价值计量且其变动计入当期损益的金融负债" w:id="322"/>
      <w:bookmarkEnd w:id="32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33、衍生金融负债" w:id="323"/>
      <w:bookmarkEnd w:id="32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34、应付票据" w:id="324"/>
      <w:bookmarkEnd w:id="32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42,200,377.60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11,699,074.83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42,200,377.60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11,699,074.83</w:t>
            </w:r>
          </w:p>
        </w:tc>
      </w:tr>
    </w:tbl>
    <w:p>
      <w:pPr>
        <w:pStyle w:val="BodyText"/>
        <w:spacing w:line="240" w:lineRule="auto" w:before="51"/>
        <w:ind w:left="1134" w:right="985"/>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35、应付账款" w:id="325"/>
      <w:bookmarkEnd w:id="32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应付账款列示" w:id="326"/>
      <w:bookmarkEnd w:id="32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127,534,794.97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83,940,252.80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85,157,528.90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39,025,839.94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212,692,323.87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122,966,092.74</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账龄超过1年的重要应付账款" w:id="327"/>
      <w:bookmarkEnd w:id="32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36、预收款项" w:id="328"/>
      <w:bookmarkEnd w:id="32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预收款项列示" w:id="329"/>
      <w:bookmarkEnd w:id="32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预收项目进度款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79,325,527.27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58,630,951.37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79,325,527.27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58,630,951.37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2）账龄超过1年的重要预收款项" w:id="330"/>
      <w:bookmarkEnd w:id="33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期末建造合同形成的已结算未完工项目情况" w:id="331"/>
      <w:bookmarkEnd w:id="33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37、应付职工薪酬" w:id="332"/>
      <w:bookmarkEnd w:id="33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应付职工薪酬列示" w:id="333"/>
      <w:bookmarkEnd w:id="33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1,926,090.04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251,814,432.53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238,899,542.88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14,840,979.69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1,735,308.67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32,496,282.75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31,282,569.45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2,949,021.97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3,661,398.71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284,310,715.28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270,182,112.33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17,790,001.66</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短期薪酬列示" w:id="334"/>
      <w:bookmarkEnd w:id="33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226,975,180.95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214,654,926.99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12,320,253.96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1,191,910.03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1,191,910.03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976,513.63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10,877,436.99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11,007,822.30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846,128.32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872,209.51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9,687,889.43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9,806,323.20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753,775.74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229,353.11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221,898.03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31,466.91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80,292.29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960,194.45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979,601.07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60,885.67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525,253.00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12,768,015.56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12,042,994.56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1,250,274.00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424,323.41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424,323.41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1,926,090.04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251,814,432.53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238,899,542.88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14,840,979.69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3）设定提存计划列示" w:id="335"/>
      <w:bookmarkEnd w:id="33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1,647,193.05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31,817,359.07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30,559,931.70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2,904,620.42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88,115.62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678,923.68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722,637.75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44,401.55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1,735,308.67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32,496,282.75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31,282,569.45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2,949,021.97</w:t>
            </w:r>
          </w:p>
        </w:tc>
      </w:tr>
    </w:tbl>
    <w:p>
      <w:pPr>
        <w:pStyle w:val="BodyText"/>
        <w:spacing w:line="240" w:lineRule="auto" w:before="51"/>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38、应交税费" w:id="336"/>
      <w:bookmarkEnd w:id="33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47,005,819.02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50,706,051.56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8,389,699.38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6,178,801.30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1,678,671.52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1,325,289.84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1,811,264.17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1,801,836.08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779,809.31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1,356,637.67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548,565.52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338,277.14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60,213,828.92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61,706,893.59</w:t>
            </w:r>
          </w:p>
        </w:tc>
      </w:tr>
    </w:tbl>
    <w:p>
      <w:pPr>
        <w:pStyle w:val="BodyText"/>
        <w:spacing w:line="240" w:lineRule="auto" w:before="51"/>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39、应付利息" w:id="337"/>
      <w:bookmarkEnd w:id="33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188,680.56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497,520.82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156,620.14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686,201.38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156,620.14</w:t>
            </w:r>
          </w:p>
        </w:tc>
      </w:tr>
    </w:tbl>
    <w:p>
      <w:pPr>
        <w:pStyle w:val="BodyText"/>
        <w:spacing w:line="240" w:lineRule="auto" w:before="51"/>
        <w:ind w:left="1134" w:right="985"/>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40、应付股利" w:id="338"/>
      <w:bookmarkEnd w:id="33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41、其他应付款" w:id="339"/>
      <w:bookmarkEnd w:id="33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按款项性质列示其他应付款" w:id="340"/>
      <w:bookmarkEnd w:id="34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2,459,155.16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3,428,748.26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4,256,858.12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1,916,813.72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60,268,032.00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66,984,045.28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5,345,561.98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账龄超过1年的重要其他应付款" w:id="341"/>
      <w:bookmarkEnd w:id="34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985"/>
        <w:jc w:val="left"/>
      </w:pPr>
      <w:r>
        <w:rPr/>
        <w:t>其他说明</w:t>
      </w:r>
    </w:p>
    <w:p>
      <w:pPr>
        <w:pStyle w:val="Heading6"/>
        <w:spacing w:line="256" w:lineRule="auto" w:before="89"/>
        <w:ind w:left="1134" w:right="1116"/>
        <w:jc w:val="left"/>
      </w:pPr>
      <w:r>
        <w:rPr/>
        <w:t>注：详见附注</w:t>
      </w:r>
      <w:r>
        <w:rPr>
          <w:rFonts w:ascii="Times New Roman" w:hAnsi="Times New Roman" w:cs="Times New Roman" w:eastAsia="Times New Roman" w:hint="default"/>
        </w:rPr>
        <w:t>“</w:t>
      </w:r>
      <w:r>
        <w:rPr/>
        <w:t>十六、其他重要事项</w:t>
      </w:r>
      <w:r>
        <w:rPr>
          <w:rFonts w:ascii="Times New Roman" w:hAnsi="Times New Roman" w:cs="Times New Roman" w:eastAsia="Times New Roman" w:hint="default"/>
        </w:rPr>
        <w:t>”</w:t>
      </w:r>
      <w:r>
        <w:rPr/>
        <w:t>（一）所述，员工取得的限制性股票，本公司就回购义务确认一项负 债并确认库存股。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4" w:right="985"/>
        <w:jc w:val="left"/>
        <w:rPr>
          <w:b w:val="0"/>
          <w:bCs w:val="0"/>
        </w:rPr>
      </w:pPr>
      <w:bookmarkStart w:name="42、持有待售的负债" w:id="342"/>
      <w:bookmarkEnd w:id="342"/>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43、一年内到期的非流动负债" w:id="343"/>
      <w:bookmarkEnd w:id="34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44、其他流动负债" w:id="344"/>
      <w:bookmarkEnd w:id="34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85"/>
        <w:jc w:val="left"/>
      </w:pPr>
      <w:r>
        <w:rPr/>
        <w:t>短期应付债券的增减变动：</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45、长期借款" w:id="345"/>
      <w:bookmarkEnd w:id="34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长期借款分类" w:id="346"/>
      <w:bookmarkEnd w:id="34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5"/>
        <w:spacing w:line="240" w:lineRule="auto"/>
        <w:ind w:left="1134" w:right="985"/>
        <w:jc w:val="left"/>
        <w:rPr>
          <w:b w:val="0"/>
          <w:bCs w:val="0"/>
        </w:rPr>
      </w:pPr>
      <w:bookmarkStart w:name="46、应付债券" w:id="347"/>
      <w:bookmarkEnd w:id="34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应付债券" w:id="348"/>
      <w:bookmarkEnd w:id="34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应付债券的增减变动（不包括划分为金融负债的优先股、永续债等其他金融工具）" w:id="349"/>
      <w:bookmarkEnd w:id="34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24"/>
          <w:szCs w:val="24"/>
        </w:rPr>
      </w:pPr>
    </w:p>
    <w:p>
      <w:pPr>
        <w:pStyle w:val="Heading5"/>
        <w:spacing w:line="240" w:lineRule="auto" w:before="35"/>
        <w:ind w:right="985"/>
        <w:jc w:val="left"/>
        <w:rPr>
          <w:b w:val="0"/>
          <w:bCs w:val="0"/>
        </w:rPr>
      </w:pPr>
      <w:bookmarkStart w:name="（3）可转换公司债券的转股条件、转股时间说明" w:id="350"/>
      <w:bookmarkEnd w:id="35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4）划分为金融负债的其他金融工具说明" w:id="351"/>
      <w:bookmarkEnd w:id="35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134" w:right="7512"/>
        <w:jc w:val="left"/>
      </w:pPr>
      <w:r>
        <w:rPr/>
        <w:t>其他金融工具划分为金融负债的依据说明 其他说明</w:t>
      </w:r>
    </w:p>
    <w:p>
      <w:pPr>
        <w:spacing w:after="0" w:line="357"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47、长期应付款" w:id="352"/>
      <w:bookmarkEnd w:id="35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按款项性质列示长期应付款" w:id="353"/>
      <w:bookmarkEnd w:id="35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48、长期应付职工薪酬" w:id="354"/>
      <w:bookmarkEnd w:id="35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长期应付职工薪酬表" w:id="355"/>
      <w:bookmarkEnd w:id="35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设定受益计划变动情况" w:id="356"/>
      <w:bookmarkEnd w:id="35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85"/>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985"/>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985"/>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49、专项应付款" w:id="357"/>
      <w:bookmarkEnd w:id="35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50、预计负债" w:id="358"/>
      <w:bookmarkEnd w:id="35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51、递延收益" w:id="359"/>
      <w:bookmarkEnd w:id="35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基于物联网 技术的智能 冷链物流云 平台专项资 金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特惠淘</w:t>
            </w:r>
            <w:r>
              <w:rPr>
                <w:rFonts w:ascii="Times New Roman" w:hAnsi="Times New Roman" w:cs="Times New Roman" w:eastAsia="Times New Roman" w:hint="default"/>
                <w:sz w:val="18"/>
                <w:szCs w:val="18"/>
              </w:rPr>
              <w:t>”</w:t>
            </w:r>
            <w:r>
              <w:rPr>
                <w:rFonts w:ascii="宋体" w:hAnsi="宋体" w:cs="宋体" w:eastAsia="宋体" w:hint="default"/>
                <w:sz w:val="18"/>
                <w:szCs w:val="18"/>
              </w:rPr>
              <w:t>在 线比价及尾 货抢购平台 项目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上海市软件 和集成电路 发展专项资 金项目</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社区智慧菜 场服务平台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都市农业文 化休闲旅游 资源集成云 平台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光典厂房补 贴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葡萄自适应 生产管理系 统研究补助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960,000.00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基于互联网 模式的追索 品牌推广项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910,000.00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910,000.00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普陀区认定 企业技术中 心项目建设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普陀区科技 小巨人企业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 技兴农项目 </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在 农业领域的 应用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 市企事业专 利工作试点 示范单位项 目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综合档案管 理软件科研 计划项目资 助课题经费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基于大数据 分析的食品 安全追溯平 台专项资金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基于物联网 技术的追索 蔬菜流通安 全信息追溯 系统创新基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其他说明：</w:t>
      </w:r>
    </w:p>
    <w:p>
      <w:pPr>
        <w:pStyle w:val="BodyText"/>
        <w:spacing w:line="300" w:lineRule="auto" w:before="116"/>
        <w:ind w:right="985"/>
        <w:jc w:val="left"/>
      </w:pPr>
      <w:r>
        <w:rPr/>
        <w:t>注</w:t>
      </w:r>
      <w:r>
        <w:rPr>
          <w:rFonts w:ascii="Times New Roman" w:hAnsi="Times New Roman" w:cs="Times New Roman" w:eastAsia="Times New Roman" w:hint="default"/>
        </w:rPr>
        <w:t>1</w:t>
      </w:r>
      <w:r>
        <w:rPr/>
        <w:t>：根据《上海张江国家自主创新示范区专项发展资金使用和管理实施细则》</w:t>
      </w:r>
      <w:r>
        <w:rPr>
          <w:rFonts w:ascii="Times New Roman" w:hAnsi="Times New Roman" w:cs="Times New Roman" w:eastAsia="Times New Roman" w:hint="default"/>
        </w:rPr>
        <w:t>(</w:t>
      </w:r>
      <w:r>
        <w:rPr/>
        <w:t>沪张江高新管委（</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85</w:t>
      </w:r>
      <w:r>
        <w:rPr/>
        <w:t>号</w:t>
      </w:r>
      <w:r>
        <w:rPr>
          <w:rFonts w:ascii="Times New Roman" w:hAnsi="Times New Roman" w:cs="Times New Roman" w:eastAsia="Times New Roman" w:hint="default"/>
        </w:rPr>
        <w:t>)</w:t>
      </w:r>
      <w:r>
        <w:rPr/>
        <w:t>的规定，公 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月和</w:t>
      </w:r>
      <w:r>
        <w:rPr>
          <w:rFonts w:ascii="Times New Roman" w:hAnsi="Times New Roman" w:cs="Times New Roman" w:eastAsia="Times New Roman" w:hint="default"/>
        </w:rPr>
        <w:t>10</w:t>
      </w:r>
      <w:r>
        <w:rPr/>
        <w:t>月收到上海市张江高科技园区管理委员会补助共</w:t>
      </w:r>
      <w:r>
        <w:rPr>
          <w:rFonts w:ascii="Times New Roman" w:hAnsi="Times New Roman" w:cs="Times New Roman" w:eastAsia="Times New Roman" w:hint="default"/>
        </w:rPr>
        <w:t>4000000</w:t>
      </w:r>
      <w:r>
        <w:rPr/>
        <w:t>元</w:t>
      </w:r>
      <w:r>
        <w:rPr>
          <w:rFonts w:ascii="Times New Roman" w:hAnsi="Times New Roman" w:cs="Times New Roman" w:eastAsia="Times New Roman" w:hint="default"/>
        </w:rPr>
        <w:t>,</w:t>
      </w:r>
      <w:r>
        <w:rPr/>
        <w:t>计入递延收益。 注</w:t>
      </w:r>
      <w:r>
        <w:rPr>
          <w:rFonts w:ascii="Times New Roman" w:hAnsi="Times New Roman" w:cs="Times New Roman" w:eastAsia="Times New Roman" w:hint="default"/>
        </w:rPr>
        <w:t>2</w:t>
      </w:r>
      <w:r>
        <w:rPr/>
        <w:t>：根据《上海市人民政府关于印发修订后的上海市服务业发展引导资金使用和管理办法的通知》</w:t>
      </w:r>
      <w:r>
        <w:rPr>
          <w:rFonts w:ascii="Times New Roman" w:hAnsi="Times New Roman" w:cs="Times New Roman" w:eastAsia="Times New Roman" w:hint="default"/>
        </w:rPr>
        <w:t>(</w:t>
      </w:r>
      <w:r>
        <w:rPr/>
        <w:t>沪府发</w:t>
      </w:r>
      <w:r>
        <w:rPr>
          <w:rFonts w:ascii="Times New Roman" w:hAnsi="Times New Roman" w:cs="Times New Roman" w:eastAsia="Times New Roman" w:hint="default"/>
        </w:rPr>
        <w:t>[2013]3</w:t>
      </w:r>
      <w:r>
        <w:rPr/>
        <w:t>号</w:t>
      </w:r>
      <w:r>
        <w:rPr>
          <w:rFonts w:ascii="Times New Roman" w:hAnsi="Times New Roman" w:cs="Times New Roman" w:eastAsia="Times New Roman" w:hint="default"/>
        </w:rPr>
        <w:t>)</w:t>
      </w:r>
      <w:r>
        <w:rPr/>
        <w:t>的规 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月收到上海市发展和改革委员会</w:t>
      </w:r>
      <w:r>
        <w:rPr>
          <w:spacing w:val="-18"/>
        </w:rPr>
        <w:t> </w:t>
      </w:r>
      <w:r>
        <w:rPr/>
        <w:t>补助</w:t>
      </w:r>
      <w:r>
        <w:rPr>
          <w:rFonts w:ascii="Times New Roman" w:hAnsi="Times New Roman" w:cs="Times New Roman" w:eastAsia="Times New Roman" w:hint="default"/>
        </w:rPr>
        <w:t>2800000</w:t>
      </w:r>
      <w:r>
        <w:rPr/>
        <w:t>元</w:t>
      </w:r>
      <w:r>
        <w:rPr>
          <w:rFonts w:ascii="Times New Roman" w:hAnsi="Times New Roman" w:cs="Times New Roman" w:eastAsia="Times New Roman" w:hint="default"/>
        </w:rPr>
        <w:t>,</w:t>
      </w:r>
      <w:r>
        <w:rPr/>
        <w:t>计入递延收益。 </w:t>
      </w:r>
      <w:r>
        <w:rPr>
          <w:spacing w:val="-1"/>
        </w:rPr>
        <w:t>注</w:t>
      </w:r>
      <w:r>
        <w:rPr>
          <w:rFonts w:ascii="Times New Roman" w:hAnsi="Times New Roman" w:cs="Times New Roman" w:eastAsia="Times New Roman" w:hint="default"/>
          <w:spacing w:val="-1"/>
        </w:rPr>
        <w:t>3</w:t>
      </w:r>
      <w:r>
        <w:rPr>
          <w:spacing w:val="-1"/>
        </w:rPr>
        <w:t>：根据《上海市信息化发展专项资金管理办法》</w:t>
      </w:r>
      <w:r>
        <w:rPr>
          <w:rFonts w:ascii="Times New Roman" w:hAnsi="Times New Roman" w:cs="Times New Roman" w:eastAsia="Times New Roman" w:hint="default"/>
          <w:spacing w:val="-1"/>
        </w:rPr>
        <w:t>(</w:t>
      </w:r>
      <w:r>
        <w:rPr>
          <w:spacing w:val="-1"/>
        </w:rPr>
        <w:t>沪经信规﹝</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841</w:t>
      </w:r>
      <w:r>
        <w:rPr>
          <w:spacing w:val="-1"/>
        </w:rPr>
        <w:t>号</w:t>
      </w:r>
      <w:r>
        <w:rPr>
          <w:rFonts w:ascii="Times New Roman" w:hAnsi="Times New Roman" w:cs="Times New Roman" w:eastAsia="Times New Roman" w:hint="default"/>
          <w:spacing w:val="-1"/>
        </w:rPr>
        <w:t>)</w:t>
      </w:r>
      <w:r>
        <w:rPr>
          <w:spacing w:val="-1"/>
        </w:rPr>
        <w:t>的规定，公司于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月收到上海市经济和</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985"/>
        <w:jc w:val="left"/>
      </w:pPr>
      <w:r>
        <w:rPr/>
        <w:t>信息化委员会补助</w:t>
      </w:r>
      <w:r>
        <w:rPr>
          <w:rFonts w:ascii="Times New Roman" w:hAnsi="Times New Roman" w:cs="Times New Roman" w:eastAsia="Times New Roman" w:hint="default"/>
        </w:rPr>
        <w:t>2075000</w:t>
      </w:r>
      <w:r>
        <w:rPr/>
        <w:t>元</w:t>
      </w:r>
      <w:r>
        <w:rPr>
          <w:rFonts w:ascii="Times New Roman" w:hAnsi="Times New Roman" w:cs="Times New Roman" w:eastAsia="Times New Roman" w:hint="default"/>
        </w:rPr>
        <w:t>,</w:t>
      </w:r>
      <w:r>
        <w:rPr/>
        <w:t>计入递延收益。 </w:t>
      </w:r>
      <w:r>
        <w:rPr>
          <w:spacing w:val="-6"/>
        </w:rPr>
        <w:t>注</w:t>
      </w:r>
      <w:r>
        <w:rPr>
          <w:rFonts w:ascii="Times New Roman" w:hAnsi="Times New Roman" w:cs="Times New Roman" w:eastAsia="Times New Roman" w:hint="default"/>
          <w:spacing w:val="-6"/>
        </w:rPr>
        <w:t>4</w:t>
      </w:r>
      <w:r>
        <w:rPr>
          <w:spacing w:val="-6"/>
        </w:rPr>
        <w:t>：根据《上海市促进创意设计产业发展财政专项资金实施办法》</w:t>
      </w:r>
      <w:r>
        <w:rPr>
          <w:rFonts w:ascii="Times New Roman" w:hAnsi="Times New Roman" w:cs="Times New Roman" w:eastAsia="Times New Roman" w:hint="default"/>
          <w:spacing w:val="-6"/>
        </w:rPr>
        <w:t>(</w:t>
      </w:r>
      <w:r>
        <w:rPr>
          <w:spacing w:val="-6"/>
        </w:rPr>
        <w:t>《上海市促进创意设计产业发展财政专项资金实施办法》</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5"/>
        </w:rPr>
        <w:t> </w:t>
      </w:r>
      <w:r>
        <w:rPr/>
        <w:t>的规定，公司于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月收到上海市文化创意产业推进领导小组办公室补助</w:t>
      </w:r>
      <w:r>
        <w:rPr>
          <w:rFonts w:ascii="Times New Roman" w:hAnsi="Times New Roman" w:cs="Times New Roman" w:eastAsia="Times New Roman" w:hint="default"/>
        </w:rPr>
        <w:t>1400000</w:t>
      </w:r>
      <w:r>
        <w:rPr/>
        <w:t>元</w:t>
      </w:r>
      <w:r>
        <w:rPr>
          <w:rFonts w:ascii="Times New Roman" w:hAnsi="Times New Roman" w:cs="Times New Roman" w:eastAsia="Times New Roman" w:hint="default"/>
        </w:rPr>
        <w:t>,</w:t>
      </w:r>
      <w:r>
        <w:rPr/>
        <w:t>计入递延收益。 注</w:t>
      </w:r>
      <w:r>
        <w:rPr>
          <w:rFonts w:ascii="Times New Roman" w:hAnsi="Times New Roman" w:cs="Times New Roman" w:eastAsia="Times New Roman" w:hint="default"/>
        </w:rPr>
        <w:t>5</w:t>
      </w:r>
      <w:r>
        <w:rPr/>
        <w:t>：根据《关于组织申报</w:t>
      </w:r>
      <w:r>
        <w:rPr>
          <w:rFonts w:ascii="Times New Roman" w:hAnsi="Times New Roman" w:cs="Times New Roman" w:eastAsia="Times New Roman" w:hint="default"/>
        </w:rPr>
        <w:t>2017</w:t>
      </w:r>
      <w:r>
        <w:rPr/>
        <w:t>年度青浦区软件信息服务业扶持项目的通知》</w:t>
      </w:r>
      <w:r>
        <w:rPr>
          <w:rFonts w:ascii="Times New Roman" w:hAnsi="Times New Roman" w:cs="Times New Roman" w:eastAsia="Times New Roman" w:hint="default"/>
        </w:rPr>
        <w:t>(</w:t>
      </w:r>
      <w:r>
        <w:rPr/>
        <w:t>青科委（</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25</w:t>
      </w:r>
      <w:r>
        <w:rPr/>
        <w:t>号</w:t>
      </w:r>
      <w:r>
        <w:rPr>
          <w:rFonts w:ascii="Times New Roman" w:hAnsi="Times New Roman" w:cs="Times New Roman" w:eastAsia="Times New Roman" w:hint="default"/>
        </w:rPr>
        <w:t>)</w:t>
      </w:r>
      <w:r>
        <w:rPr/>
        <w:t>的规定，子公司光典信 息发展有限公司于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月收到青浦区科学技术委员会补助</w:t>
      </w:r>
      <w:r>
        <w:rPr>
          <w:rFonts w:ascii="Times New Roman" w:hAnsi="Times New Roman" w:cs="Times New Roman" w:eastAsia="Times New Roman" w:hint="default"/>
        </w:rPr>
        <w:t>1000000</w:t>
      </w:r>
      <w:r>
        <w:rPr/>
        <w:t>元</w:t>
      </w:r>
      <w:r>
        <w:rPr>
          <w:rFonts w:ascii="Times New Roman" w:hAnsi="Times New Roman" w:cs="Times New Roman" w:eastAsia="Times New Roman" w:hint="default"/>
        </w:rPr>
        <w:t>,</w:t>
      </w:r>
      <w:r>
        <w:rPr/>
        <w:t>计入递延收益。 注</w:t>
      </w:r>
      <w:r>
        <w:rPr>
          <w:rFonts w:ascii="Times New Roman" w:hAnsi="Times New Roman" w:cs="Times New Roman" w:eastAsia="Times New Roman" w:hint="default"/>
        </w:rPr>
        <w:t>6</w:t>
      </w:r>
      <w:r>
        <w:rPr/>
        <w:t>：根据《静安区关于加强品牌建设的实施意见》</w:t>
      </w:r>
      <w:r>
        <w:rPr>
          <w:rFonts w:ascii="Times New Roman" w:hAnsi="Times New Roman" w:cs="Times New Roman" w:eastAsia="Times New Roman" w:hint="default"/>
        </w:rPr>
        <w:t>(</w:t>
      </w:r>
      <w:r>
        <w:rPr/>
        <w:t>静府办发〔</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的规定，公司于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月收到上海市静安区 市场监督管理局补助</w:t>
      </w:r>
      <w:r>
        <w:rPr>
          <w:rFonts w:ascii="Times New Roman" w:hAnsi="Times New Roman" w:cs="Times New Roman" w:eastAsia="Times New Roman" w:hint="default"/>
        </w:rPr>
        <w:t>910000</w:t>
      </w:r>
      <w:r>
        <w:rPr/>
        <w:t>元</w:t>
      </w:r>
      <w:r>
        <w:rPr>
          <w:rFonts w:ascii="Times New Roman" w:hAnsi="Times New Roman" w:cs="Times New Roman" w:eastAsia="Times New Roman" w:hint="default"/>
        </w:rPr>
        <w:t>,</w:t>
      </w:r>
      <w:r>
        <w:rPr/>
        <w:t>计入递延收益。 </w:t>
      </w:r>
      <w:r>
        <w:rPr>
          <w:spacing w:val="-1"/>
        </w:rPr>
        <w:t>注</w:t>
      </w:r>
      <w:r>
        <w:rPr>
          <w:rFonts w:ascii="Times New Roman" w:hAnsi="Times New Roman" w:cs="Times New Roman" w:eastAsia="Times New Roman" w:hint="default"/>
          <w:spacing w:val="-1"/>
        </w:rPr>
        <w:t>7</w:t>
      </w:r>
      <w:r>
        <w:rPr>
          <w:spacing w:val="-1"/>
        </w:rPr>
        <w:t>：根据《普陀区企业技术中心管理办法》</w:t>
      </w:r>
      <w:r>
        <w:rPr>
          <w:rFonts w:ascii="Times New Roman" w:hAnsi="Times New Roman" w:cs="Times New Roman" w:eastAsia="Times New Roman" w:hint="default"/>
          <w:spacing w:val="-1"/>
        </w:rPr>
        <w:t>(</w:t>
      </w:r>
      <w:r>
        <w:rPr>
          <w:spacing w:val="-1"/>
        </w:rPr>
        <w:t>普商务【</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23</w:t>
      </w:r>
      <w:r>
        <w:rPr>
          <w:spacing w:val="-1"/>
        </w:rPr>
        <w:t>号</w:t>
      </w:r>
      <w:r>
        <w:rPr>
          <w:rFonts w:ascii="Times New Roman" w:hAnsi="Times New Roman" w:cs="Times New Roman" w:eastAsia="Times New Roman" w:hint="default"/>
          <w:spacing w:val="-1"/>
        </w:rPr>
        <w:t>)</w:t>
      </w:r>
      <w:r>
        <w:rPr>
          <w:spacing w:val="-1"/>
        </w:rPr>
        <w:t>的规定，子公司上海金档信息技术有限公司于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spacing w:val="-53"/>
        </w:rPr>
        <w:t> </w:t>
      </w:r>
      <w:r>
        <w:rPr/>
        <w:t>收到普陀区商务委员会补助</w:t>
      </w:r>
      <w:r>
        <w:rPr>
          <w:rFonts w:ascii="Times New Roman" w:hAnsi="Times New Roman" w:cs="Times New Roman" w:eastAsia="Times New Roman" w:hint="default"/>
        </w:rPr>
        <w:t>500000</w:t>
      </w:r>
      <w:r>
        <w:rPr/>
        <w:t>元</w:t>
      </w:r>
      <w:r>
        <w:rPr>
          <w:rFonts w:ascii="Times New Roman" w:hAnsi="Times New Roman" w:cs="Times New Roman" w:eastAsia="Times New Roman" w:hint="default"/>
        </w:rPr>
        <w:t>,</w:t>
      </w:r>
      <w:r>
        <w:rPr/>
        <w:t>计入递延收益。 注</w:t>
      </w:r>
      <w:r>
        <w:rPr>
          <w:rFonts w:ascii="Times New Roman" w:hAnsi="Times New Roman" w:cs="Times New Roman" w:eastAsia="Times New Roman" w:hint="default"/>
        </w:rPr>
        <w:t>8</w:t>
      </w:r>
      <w:r>
        <w:rPr/>
        <w:t>：根据《关于印发上海市科技兴农项目及资金管理办法的通知》</w:t>
      </w:r>
      <w:r>
        <w:rPr>
          <w:rFonts w:ascii="Times New Roman" w:hAnsi="Times New Roman" w:cs="Times New Roman" w:eastAsia="Times New Roman" w:hint="default"/>
        </w:rPr>
        <w:t>(</w:t>
      </w:r>
      <w:r>
        <w:rPr/>
        <w:t>沪农委〔</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473</w:t>
      </w:r>
      <w:r>
        <w:rPr/>
        <w:t>号</w:t>
      </w:r>
      <w:r>
        <w:rPr>
          <w:rFonts w:ascii="Times New Roman" w:hAnsi="Times New Roman" w:cs="Times New Roman" w:eastAsia="Times New Roman" w:hint="default"/>
        </w:rPr>
        <w:t>)</w:t>
      </w:r>
      <w:r>
        <w:rPr/>
        <w:t>的规定，公司于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月收到 上海市农业委员会补助</w:t>
      </w:r>
      <w:r>
        <w:rPr>
          <w:rFonts w:ascii="Times New Roman" w:hAnsi="Times New Roman" w:cs="Times New Roman" w:eastAsia="Times New Roman" w:hint="default"/>
        </w:rPr>
        <w:t>300000</w:t>
      </w:r>
      <w:r>
        <w:rPr/>
        <w:t>元</w:t>
      </w:r>
      <w:r>
        <w:rPr>
          <w:rFonts w:ascii="Times New Roman" w:hAnsi="Times New Roman" w:cs="Times New Roman" w:eastAsia="Times New Roman" w:hint="default"/>
        </w:rPr>
        <w:t>,</w:t>
      </w:r>
      <w:r>
        <w:rPr/>
        <w:t>计入递延收益。 </w:t>
      </w:r>
      <w:r>
        <w:rPr>
          <w:spacing w:val="-1"/>
        </w:rPr>
        <w:t>注</w:t>
      </w:r>
      <w:r>
        <w:rPr>
          <w:rFonts w:ascii="Times New Roman" w:hAnsi="Times New Roman" w:cs="Times New Roman" w:eastAsia="Times New Roman" w:hint="default"/>
          <w:spacing w:val="-1"/>
        </w:rPr>
        <w:t>9</w:t>
      </w:r>
      <w:r>
        <w:rPr>
          <w:spacing w:val="-1"/>
        </w:rPr>
        <w:t>：根据《上海市企事业专利工作试点示范单位认定和管理办法》</w:t>
      </w:r>
      <w:r>
        <w:rPr>
          <w:rFonts w:ascii="Times New Roman" w:hAnsi="Times New Roman" w:cs="Times New Roman" w:eastAsia="Times New Roman" w:hint="default"/>
          <w:spacing w:val="-1"/>
        </w:rPr>
        <w:t>(</w:t>
      </w:r>
      <w:r>
        <w:rPr>
          <w:spacing w:val="-1"/>
        </w:rPr>
        <w:t>沪知局﹝</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62</w:t>
      </w:r>
      <w:r>
        <w:rPr>
          <w:spacing w:val="-1"/>
        </w:rPr>
        <w:t>号</w:t>
      </w:r>
      <w:r>
        <w:rPr>
          <w:rFonts w:ascii="Times New Roman" w:hAnsi="Times New Roman" w:cs="Times New Roman" w:eastAsia="Times New Roman" w:hint="default"/>
          <w:spacing w:val="-1"/>
        </w:rPr>
        <w:t>)</w:t>
      </w:r>
      <w:r>
        <w:rPr>
          <w:spacing w:val="-1"/>
        </w:rPr>
        <w:t>的规定，公司于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月收到上</w:t>
      </w:r>
      <w:r>
        <w:rPr>
          <w:spacing w:val="-53"/>
        </w:rPr>
        <w:t> </w:t>
      </w:r>
      <w:r>
        <w:rPr/>
        <w:t>海市知识产权局补助</w:t>
      </w:r>
      <w:r>
        <w:rPr>
          <w:rFonts w:ascii="Times New Roman" w:hAnsi="Times New Roman" w:cs="Times New Roman" w:eastAsia="Times New Roman" w:hint="default"/>
        </w:rPr>
        <w:t>280000</w:t>
      </w:r>
      <w:r>
        <w:rPr/>
        <w:t>元</w:t>
      </w:r>
      <w:r>
        <w:rPr>
          <w:rFonts w:ascii="Times New Roman" w:hAnsi="Times New Roman" w:cs="Times New Roman" w:eastAsia="Times New Roman" w:hint="default"/>
        </w:rPr>
        <w:t>,</w:t>
      </w:r>
      <w:r>
        <w:rPr/>
        <w:t>计入递延收益。 </w:t>
      </w:r>
      <w:r>
        <w:rPr>
          <w:spacing w:val="-1"/>
        </w:rPr>
        <w:t>注</w:t>
      </w:r>
      <w:r>
        <w:rPr>
          <w:rFonts w:ascii="Times New Roman" w:hAnsi="Times New Roman" w:cs="Times New Roman" w:eastAsia="Times New Roman" w:hint="default"/>
          <w:spacing w:val="-1"/>
        </w:rPr>
        <w:t>10</w:t>
      </w:r>
      <w:r>
        <w:rPr>
          <w:spacing w:val="-1"/>
        </w:rPr>
        <w:t>：根据《上海张江国家自主创新示范区专项发展资金使用和管理实施细则》</w:t>
      </w:r>
      <w:r>
        <w:rPr>
          <w:rFonts w:ascii="Times New Roman" w:hAnsi="Times New Roman" w:cs="Times New Roman" w:eastAsia="Times New Roman" w:hint="default"/>
          <w:spacing w:val="-1"/>
        </w:rPr>
        <w:t>(</w:t>
      </w:r>
      <w:r>
        <w:rPr>
          <w:spacing w:val="-1"/>
        </w:rPr>
        <w:t>沪张江高新管委（</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85</w:t>
      </w:r>
      <w:r>
        <w:rPr>
          <w:spacing w:val="-1"/>
        </w:rPr>
        <w:t>号</w:t>
      </w:r>
      <w:r>
        <w:rPr>
          <w:rFonts w:ascii="Times New Roman" w:hAnsi="Times New Roman" w:cs="Times New Roman" w:eastAsia="Times New Roman" w:hint="default"/>
          <w:spacing w:val="-1"/>
        </w:rPr>
        <w:t>)</w:t>
      </w:r>
      <w:r>
        <w:rPr>
          <w:spacing w:val="-1"/>
        </w:rPr>
        <w:t>的规定，公</w:t>
      </w:r>
      <w:r>
        <w:rPr>
          <w:spacing w:val="-54"/>
        </w:rPr>
        <w:t> </w:t>
      </w:r>
      <w:r>
        <w:rPr>
          <w:spacing w:val="-54"/>
        </w:rPr>
      </w:r>
      <w:r>
        <w:rPr>
          <w:spacing w:val="-1"/>
        </w:rPr>
        <w:t>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月收到上海市张江高科技园区管理委员会补助</w:t>
      </w:r>
      <w:r>
        <w:rPr>
          <w:rFonts w:ascii="Times New Roman" w:hAnsi="Times New Roman" w:cs="Times New Roman" w:eastAsia="Times New Roman" w:hint="default"/>
          <w:spacing w:val="-1"/>
        </w:rPr>
        <w:t>1200000</w:t>
      </w:r>
      <w:r>
        <w:rPr>
          <w:spacing w:val="-1"/>
        </w:rPr>
        <w:t>元</w:t>
      </w:r>
      <w:r>
        <w:rPr>
          <w:rFonts w:ascii="Times New Roman" w:hAnsi="Times New Roman" w:cs="Times New Roman" w:eastAsia="Times New Roman" w:hint="default"/>
          <w:spacing w:val="-1"/>
        </w:rPr>
        <w:t>,</w:t>
      </w:r>
      <w:r>
        <w:rPr>
          <w:spacing w:val="-1"/>
        </w:rPr>
        <w:t>计入递延收益。补助项目于当期验收，后转入其他收</w:t>
      </w:r>
      <w:r>
        <w:rPr>
          <w:spacing w:val="-66"/>
        </w:rPr>
        <w:t> </w:t>
      </w:r>
      <w:r>
        <w:rPr>
          <w:spacing w:val="-66"/>
        </w:rPr>
      </w:r>
      <w:r>
        <w:rPr/>
        <w:t>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8"/>
        <w:ind w:left="1134" w:right="985"/>
        <w:jc w:val="left"/>
        <w:rPr>
          <w:b w:val="0"/>
          <w:bCs w:val="0"/>
        </w:rPr>
      </w:pPr>
      <w:bookmarkStart w:name="52、其他非流动负债" w:id="360"/>
      <w:bookmarkEnd w:id="36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53、股本" w:id="361"/>
      <w:bookmarkEnd w:id="361"/>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68,300,000.00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68,300,000.00</w:t>
            </w:r>
          </w:p>
        </w:tc>
      </w:tr>
    </w:tbl>
    <w:p>
      <w:pPr>
        <w:pStyle w:val="BodyText"/>
        <w:spacing w:line="240" w:lineRule="auto" w:before="51"/>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54、其他权益工具" w:id="362"/>
      <w:bookmarkEnd w:id="36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期末发行在外的优先股、永续债等其他金融工具基本情况" w:id="363"/>
      <w:bookmarkEnd w:id="36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2）期末发行在外的优先股、永续债等金融工具变动情况表" w:id="364"/>
      <w:bookmarkEnd w:id="36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left="1134" w:right="985"/>
        <w:jc w:val="left"/>
      </w:pPr>
      <w:r>
        <w:rPr/>
        <w:t>其他权益工具本期增减变动情况、变动原因说明，以及相关会计处理的依据：</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55、资本公积" w:id="365"/>
      <w:bookmarkEnd w:id="36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219,281,435.86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5,150,600.00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224,432,035.86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219,281,435.86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5,150,600.00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224,432,035.86</w:t>
            </w:r>
          </w:p>
        </w:tc>
      </w:tr>
    </w:tbl>
    <w:p>
      <w:pPr>
        <w:pStyle w:val="BodyText"/>
        <w:spacing w:line="240" w:lineRule="auto" w:before="51"/>
        <w:ind w:left="1134" w:right="0"/>
        <w:jc w:val="both"/>
      </w:pPr>
      <w:r>
        <w:rPr/>
        <w:t>其他说明，包括本期增减变动情况、变动原因说明：</w:t>
      </w:r>
    </w:p>
    <w:p>
      <w:pPr>
        <w:pStyle w:val="Heading6"/>
        <w:spacing w:line="256" w:lineRule="auto" w:before="89"/>
        <w:ind w:left="1134" w:right="1131"/>
        <w:jc w:val="both"/>
      </w:pPr>
      <w:r>
        <w:rPr>
          <w:spacing w:val="2"/>
        </w:rPr>
        <w:t>本期增加情况：本公司于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月以每股</w:t>
      </w:r>
      <w:r>
        <w:rPr>
          <w:rFonts w:ascii="Times New Roman" w:hAnsi="Times New Roman" w:cs="Times New Roman" w:eastAsia="Times New Roman" w:hint="default"/>
          <w:spacing w:val="2"/>
        </w:rPr>
        <w:t>55.79</w:t>
      </w:r>
      <w:r>
        <w:rPr>
          <w:spacing w:val="2"/>
        </w:rPr>
        <w:t>元的价格向激励对象授予</w:t>
      </w:r>
      <w:r>
        <w:rPr>
          <w:rFonts w:ascii="Times New Roman" w:hAnsi="Times New Roman" w:cs="Times New Roman" w:eastAsia="Times New Roman" w:hint="default"/>
          <w:spacing w:val="2"/>
        </w:rPr>
        <w:t>150</w:t>
      </w:r>
      <w:r>
        <w:rPr>
          <w:spacing w:val="2"/>
        </w:rPr>
        <w:t>万股限制性股票，溢价部分</w:t>
      </w:r>
      <w:r>
        <w:rPr>
          <w:spacing w:val="-89"/>
        </w:rPr>
        <w:t> </w:t>
      </w:r>
      <w:r>
        <w:rPr>
          <w:spacing w:val="-89"/>
        </w:rPr>
      </w:r>
      <w:r>
        <w:rPr>
          <w:rFonts w:ascii="Times New Roman" w:hAnsi="Times New Roman" w:cs="Times New Roman" w:eastAsia="Times New Roman" w:hint="default"/>
        </w:rPr>
        <w:t>82,185,000.00</w:t>
      </w:r>
      <w:r>
        <w:rPr/>
        <w:t>元计入资本公积（股本溢价），根据增资价格与公允价值的差额，</w:t>
      </w:r>
      <w:r>
        <w:rPr>
          <w:rFonts w:ascii="Times New Roman" w:hAnsi="Times New Roman" w:cs="Times New Roman" w:eastAsia="Times New Roman" w:hint="default"/>
        </w:rPr>
        <w:t>2016</w:t>
      </w:r>
      <w:r>
        <w:rPr/>
        <w:t>年度确认股份支付金</w:t>
      </w:r>
      <w:r>
        <w:rPr>
          <w:spacing w:val="-77"/>
        </w:rPr>
        <w:t> </w:t>
      </w:r>
      <w:r>
        <w:rPr>
          <w:spacing w:val="-77"/>
        </w:rPr>
      </w:r>
      <w:r>
        <w:rPr/>
        <w:t>额</w:t>
      </w:r>
      <w:r>
        <w:rPr>
          <w:rFonts w:ascii="Times New Roman" w:hAnsi="Times New Roman" w:cs="Times New Roman" w:eastAsia="Times New Roman" w:hint="default"/>
        </w:rPr>
        <w:t>10,080,400.00</w:t>
      </w:r>
      <w:r>
        <w:rPr/>
        <w:t>元，</w:t>
      </w:r>
      <w:r>
        <w:rPr>
          <w:rFonts w:ascii="Times New Roman" w:hAnsi="Times New Roman" w:cs="Times New Roman" w:eastAsia="Times New Roman" w:hint="default"/>
        </w:rPr>
        <w:t>2017</w:t>
      </w:r>
      <w:r>
        <w:rPr/>
        <w:t>年度确认股份支付</w:t>
      </w:r>
      <w:r>
        <w:rPr>
          <w:rFonts w:ascii="Times New Roman" w:hAnsi="Times New Roman" w:cs="Times New Roman" w:eastAsia="Times New Roman" w:hint="default"/>
          <w:sz w:val="18"/>
          <w:szCs w:val="18"/>
        </w:rPr>
        <w:t>5,150,600.00</w:t>
      </w:r>
      <w:r>
        <w:rPr>
          <w:sz w:val="18"/>
          <w:szCs w:val="18"/>
        </w:rPr>
        <w:t>元</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bookmarkStart w:name="56、库存股" w:id="366"/>
      <w:bookmarkEnd w:id="36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回购股东股份（注）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60,268,032.00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60,268,032.00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60,268,032.00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60,268,032.00</w:t>
            </w:r>
          </w:p>
        </w:tc>
      </w:tr>
    </w:tbl>
    <w:p>
      <w:pPr>
        <w:pStyle w:val="BodyText"/>
        <w:spacing w:line="240" w:lineRule="auto" w:before="51"/>
        <w:ind w:left="1134" w:right="985"/>
        <w:jc w:val="left"/>
      </w:pPr>
      <w:r>
        <w:rPr/>
        <w:t>其他说明，包括本期增减变动情况、变动原因说明：</w:t>
      </w:r>
    </w:p>
    <w:p>
      <w:pPr>
        <w:pStyle w:val="Heading6"/>
        <w:spacing w:line="256" w:lineRule="auto" w:before="90"/>
        <w:ind w:left="1134" w:right="1116"/>
        <w:jc w:val="left"/>
      </w:pPr>
      <w:r>
        <w:rPr/>
        <w:t>注：详见附注</w:t>
      </w:r>
      <w:r>
        <w:rPr>
          <w:rFonts w:ascii="Times New Roman" w:hAnsi="Times New Roman" w:cs="Times New Roman" w:eastAsia="Times New Roman" w:hint="default"/>
        </w:rPr>
        <w:t>“</w:t>
      </w:r>
      <w:r>
        <w:rPr/>
        <w:t>十六、其他重要事项</w:t>
      </w:r>
      <w:r>
        <w:rPr>
          <w:rFonts w:ascii="Times New Roman" w:hAnsi="Times New Roman" w:cs="Times New Roman" w:eastAsia="Times New Roman" w:hint="default"/>
        </w:rPr>
        <w:t>”</w:t>
      </w:r>
      <w:r>
        <w:rPr/>
        <w:t>（一）所述，员工取得的限制性股票，本公司就回购义务确认一项负 债并确认库存股。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4" w:right="985"/>
        <w:jc w:val="left"/>
        <w:rPr>
          <w:b w:val="0"/>
          <w:bCs w:val="0"/>
        </w:rPr>
      </w:pPr>
      <w:bookmarkStart w:name="57、其他综合收益" w:id="367"/>
      <w:bookmarkEnd w:id="36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985"/>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58、专项储备" w:id="368"/>
      <w:bookmarkEnd w:id="36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985"/>
        <w:jc w:val="left"/>
      </w:pPr>
      <w:r>
        <w:rPr/>
        <w:t>其他说明，包括本期增减变动情况、变动原因说明：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59、盈余公积" w:id="369"/>
      <w:bookmarkEnd w:id="36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17,970,844.10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3,074,081.95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21,044,926.05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17,970,844.10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3,074,081.95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21,044,926.05</w:t>
            </w:r>
          </w:p>
        </w:tc>
      </w:tr>
    </w:tbl>
    <w:p>
      <w:pPr>
        <w:pStyle w:val="BodyText"/>
        <w:spacing w:line="240" w:lineRule="auto" w:before="51"/>
        <w:ind w:left="1134" w:right="985"/>
        <w:jc w:val="left"/>
      </w:pPr>
      <w:r>
        <w:rPr/>
        <w:t>盈余公积说明，包括本期增减变动情况、变动原因说明：</w:t>
      </w:r>
    </w:p>
    <w:p>
      <w:pPr>
        <w:pStyle w:val="Heading6"/>
        <w:spacing w:line="240" w:lineRule="auto" w:before="89"/>
        <w:ind w:left="1134" w:right="985"/>
        <w:jc w:val="left"/>
      </w:pPr>
      <w:r>
        <w:rPr/>
        <w:t>本期增加：按照本期母公司净利润</w:t>
      </w:r>
      <w:r>
        <w:rPr>
          <w:rFonts w:ascii="Times New Roman" w:hAnsi="Times New Roman" w:cs="Times New Roman" w:eastAsia="Times New Roman" w:hint="default"/>
        </w:rPr>
        <w:t>10%</w:t>
      </w:r>
      <w:r>
        <w:rPr/>
        <w:t>计提的法定盈余公积。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985"/>
        <w:jc w:val="left"/>
        <w:rPr>
          <w:b w:val="0"/>
          <w:bCs w:val="0"/>
        </w:rPr>
      </w:pPr>
      <w:bookmarkStart w:name="60、未分配利润" w:id="370"/>
      <w:bookmarkEnd w:id="37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146,243,154.15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132,257,902.60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146,243,154.15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132,257,902.60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33,207,874.96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30,008,810.43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3,074,081.95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2,663,558.88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168,863,947.16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146,243,154.15</w:t>
            </w:r>
          </w:p>
        </w:tc>
      </w:tr>
    </w:tbl>
    <w:p>
      <w:pPr>
        <w:pStyle w:val="BodyText"/>
        <w:spacing w:line="240" w:lineRule="auto" w:before="51"/>
        <w:ind w:left="1134" w:right="985"/>
        <w:jc w:val="left"/>
      </w:pPr>
      <w:r>
        <w:rPr/>
        <w:t>调整期初未分配利润明细：</w:t>
      </w:r>
    </w:p>
    <w:p>
      <w:pPr>
        <w:pStyle w:val="BodyText"/>
        <w:spacing w:line="240" w:lineRule="auto" w:before="117"/>
        <w:ind w:left="1134" w:right="985"/>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985"/>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985"/>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134" w:right="985"/>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985"/>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61、营业收入和营业成本" w:id="371"/>
      <w:bookmarkEnd w:id="37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564,293,578.68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337,162,570.96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521,105,140.41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304,350,248.31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564,293,578.68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337,162,570.96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521,105,140.41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304,350,248.31</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62、税金及附加" w:id="372"/>
      <w:bookmarkEnd w:id="37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798,329.89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727,452.89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641,932.96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581,042.01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862,929.13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33,645.23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113,228.70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708,870.90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218,399.86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2,182,778.98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2,503,052.59</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63、销售费用" w:id="373"/>
      <w:bookmarkEnd w:id="37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22,693,747.85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23,486,582.14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1,248,340.36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503,976.18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市外差旅费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5,836,540.30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5,014,248.00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6,759,052.12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3,783,151.78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201,839.88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237,605.13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2,798,083.41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210,363.90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868,407.92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3,966,354.45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2,321,123.82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328,316.20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723,257.75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7,014,174.43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3,587,678.03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50,473,733.18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43,324,114.16</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64、管理费用" w:id="374"/>
      <w:bookmarkEnd w:id="37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28,336,927.82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20,165,264.15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784,104.23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337,058.34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市外差旅费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1,230,130.56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1,151,548.60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1,626,928.39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1,236,632.13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239,270.99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200,477.63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3,864,963.92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3,893,780.24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1,809,495.72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2,184,161.66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9,124,491.35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8,619,232.59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9,404,243.85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5,380,456.33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60,496,925.34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64,833,658.77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2,233,993.41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2,371,176.06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952,703.13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300,732.50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5,674,959.14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4,705,748.69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131,567,938.20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126,451,132.57</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65、财务费用" w:id="375"/>
      <w:bookmarkEnd w:id="37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10,256,935.98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8,808,753.62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514,207.77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763,132.82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221,763.17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212,724.96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9,964,491.38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8,258,345.76</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66、资产减值损失" w:id="376"/>
      <w:bookmarkEnd w:id="37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10,400,335.47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15,440,000.14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10,400,335.47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15,440,000.14</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67、公允价值变动收益" w:id="377"/>
      <w:bookmarkEnd w:id="37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68、投资收益" w:id="378"/>
      <w:bookmarkEnd w:id="37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69、资产处置收益" w:id="379"/>
      <w:bookmarkEnd w:id="37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70、其他收益" w:id="380"/>
      <w:bookmarkEnd w:id="38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基于大数据分析的食品安全追溯平台专 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国家技术创新示范企业奖励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质量奖奖励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财政扶持补贴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981,600.00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普陀区产业发展专项资金扶持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优秀人才奖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基于物联网技术的追索蔬菜流通安全信 息追溯系统创新基金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高新技术研发补贴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产学研补贴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软件和信息服务业企业资质奖励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安全管理体系奖励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中小企业发展专项资金补助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静安区标准化奖励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上海软件四名项目奖励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上海市科技进步奖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高科技成果转化奖励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高科技成果</w:t>
            </w:r>
            <w:r>
              <w:rPr>
                <w:rFonts w:ascii="Times New Roman" w:hAnsi="Times New Roman" w:cs="Times New Roman" w:eastAsia="Times New Roman" w:hint="default"/>
                <w:sz w:val="18"/>
                <w:szCs w:val="18"/>
              </w:rPr>
              <w:t>"</w:t>
            </w:r>
            <w:r>
              <w:rPr>
                <w:rFonts w:ascii="宋体" w:hAnsi="宋体" w:cs="宋体" w:eastAsia="宋体" w:hint="default"/>
                <w:sz w:val="18"/>
                <w:szCs w:val="18"/>
              </w:rPr>
              <w:t>百佳</w:t>
            </w:r>
            <w:r>
              <w:rPr>
                <w:rFonts w:ascii="Times New Roman" w:hAnsi="Times New Roman" w:cs="Times New Roman" w:eastAsia="Times New Roman" w:hint="default"/>
                <w:sz w:val="18"/>
                <w:szCs w:val="18"/>
              </w:rPr>
              <w:t>"</w:t>
            </w:r>
            <w:r>
              <w:rPr>
                <w:rFonts w:ascii="宋体" w:hAnsi="宋体" w:cs="宋体" w:eastAsia="宋体" w:hint="default"/>
                <w:sz w:val="18"/>
                <w:szCs w:val="18"/>
              </w:rPr>
              <w:t>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档案管理软件补助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163.339996pt;margin-top:508.779968pt;width:52.7pt;height:31.2pt;mso-position-horizontal-relative:page;mso-position-vertical-relative:page;z-index:-1156504" coordorigin="3267,10176" coordsize="1054,624">
            <v:shape style="position:absolute;left:3267;top:10176;width:1054;height:624" coordorigin="3267,10176" coordsize="1054,624" path="m3267,10800l4320,10800,4320,10176,3267,10176,3267,10800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上海市创新企业奖励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专精特新奖励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12,528,675.00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71、营业外收入" w:id="381"/>
      <w:bookmarkEnd w:id="38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10,132,227.00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软件增值税超税负返还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835,929.39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120,793.90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120,793.90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120,793.90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11,000,041.90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120,793.90</w:t>
            </w:r>
          </w:p>
        </w:tc>
      </w:tr>
    </w:tbl>
    <w:p>
      <w:pPr>
        <w:pStyle w:val="BodyText"/>
        <w:spacing w:line="240" w:lineRule="auto" w:before="51"/>
        <w:ind w:left="1134" w:right="985"/>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基于国产终 端的数字档 案信息系统 应用研发与 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上海市经济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上海市政府 质量奖补贴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上海市质量 技术监督局 上海市闸北 区市场监督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光典食品追 溯系统服务 云平台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品牌建设专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上海市静安 区商务委员 </w:t>
            </w:r>
            <w:r>
              <w:rPr>
                <w:rFonts w:ascii="宋体" w:hAnsi="宋体" w:cs="宋体" w:eastAsia="宋体" w:hint="default"/>
                <w:spacing w:val="-13"/>
                <w:sz w:val="18"/>
                <w:szCs w:val="18"/>
              </w:rPr>
              <w:t>会、上海市静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安区科学技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上海市静安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奖励上市而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23.959961pt;width:52.7pt;height:7.8pt;mso-position-horizontal-relative:page;mso-position-vertical-relative:page;z-index:-1156288" coordorigin="5394,14479" coordsize="1054,156">
            <v:shape style="position:absolute;left:5394;top:14479;width:1054;height:156" coordorigin="5394,14479" coordsize="1054,156" path="m5394,14635l6447,14635,6447,14479,5394,14479,5394,146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给予的政府 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软件信息服 务业扶持项 目专项资金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上海市青浦 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上海市软件 和集成电路 设计人员专 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肉类蔬菜流 通安全追溯 系统应用示 范与推广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上海市闸北 区市场监督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上海市名牌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上海天地软 件创业园有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扶持奖励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青浦区产学 研合作发展 项目和扶持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上海市静安 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上海市著名 商标补贴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上海市闸北 区市场监督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科技进步奖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上海市静安 区科学技术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财政局专项 资金补贴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上海市浦东 新区财政局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科研创新基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上海市标准 化推进专项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上海市静安 区市场监督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普陀区区级 科技创新项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上海市普陀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软件登记补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上海市版权 代理公司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知识产权局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上海市知识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5,427.00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10,132,227.0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72、营业外支出" w:id="382"/>
      <w:bookmarkEnd w:id="38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50,442.69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50,442.69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11,289.23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62,442.69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191,289.23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62,442.69</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73、所得税费用" w:id="383"/>
      <w:bookmarkEnd w:id="38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所得税费用表" w:id="384"/>
      <w:bookmarkEnd w:id="3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8,240,049.93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6,068,439.81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-5,923,202.97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-5,472,013.35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2,316,846.96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596,426.46</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会计利润与所得税费用调整过程" w:id="385"/>
      <w:bookmarkEnd w:id="3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35,128,756.72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5,269,313.50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827,027.09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-316,471.97</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574,978.49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-4,038,000.15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2,316,846.96</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74、其他综合收益" w:id="386"/>
      <w:bookmarkEnd w:id="386"/>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t>详见附注。</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75、现金流量表项目" w:id="387"/>
      <w:bookmarkEnd w:id="387"/>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收到的其他与经营活动有关的现金" w:id="388"/>
      <w:bookmarkEnd w:id="38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、收到的各项政府补助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19,813,675.00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10,482,227.00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、收回的项目质保金、保函保证金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6,546,787.96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9,734,458.55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、收到的存款利息收入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514,207.77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763,132.82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、收到的其他零星现金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3,360,980.48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30,235,651.21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21,011,703.88</w:t>
            </w:r>
          </w:p>
        </w:tc>
      </w:tr>
    </w:tbl>
    <w:p>
      <w:pPr>
        <w:pStyle w:val="BodyText"/>
        <w:spacing w:line="240" w:lineRule="auto" w:before="51"/>
        <w:ind w:left="1134" w:right="985"/>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2）支付的其他与经营活动有关的现金" w:id="389"/>
      <w:bookmarkEnd w:id="38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57,709,880.67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53,534,875.42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221,763.17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212,724.96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3,119,430.67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4,382,914.59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、支付项目质保金等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2,971,760.18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13,868,958.25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、支付的员工备用金及其他零星现金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1,747,667.06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3,870,733.03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65,770,501.75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75,870,206.25</w:t>
            </w:r>
          </w:p>
        </w:tc>
      </w:tr>
    </w:tbl>
    <w:p>
      <w:pPr>
        <w:pStyle w:val="BodyText"/>
        <w:spacing w:line="240" w:lineRule="auto" w:before="51"/>
        <w:ind w:left="1134" w:right="985"/>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3）收到的其他与投资活动有关的现金" w:id="390"/>
      <w:bookmarkEnd w:id="39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5,760,000.00</w:t>
            </w:r>
          </w:p>
        </w:tc>
      </w:tr>
    </w:tbl>
    <w:p>
      <w:pPr>
        <w:pStyle w:val="BodyText"/>
        <w:spacing w:line="240" w:lineRule="auto" w:before="51"/>
        <w:ind w:left="1134" w:right="985"/>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4）支付的其他与投资活动有关的现金" w:id="391"/>
      <w:bookmarkEnd w:id="39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985"/>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5）收到的其他与筹资活动有关的现金" w:id="392"/>
      <w:bookmarkEnd w:id="39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985"/>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6）支付的其他与筹资活动有关的现金" w:id="393"/>
      <w:bookmarkEnd w:id="39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947,130.00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947,130.00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985"/>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76、现金流量表补充资料" w:id="394"/>
      <w:bookmarkEnd w:id="39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现金流量表补充资料" w:id="395"/>
      <w:bookmarkEnd w:id="39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68.429993pt;width:151.25pt;height:40.9pt;mso-position-horizontal-relative:page;mso-position-vertical-relative:page;z-index:-1156168" coordorigin="4467,5369" coordsize="3025,818">
            <v:group style="position:absolute;left:4478;top:5380;width:2;height:393" coordorigin="4478,5380" coordsize="2,393">
              <v:shape style="position:absolute;left:4478;top:5380;width:2;height:393" coordorigin="4478,5380" coordsize="0,393" path="m4478,5380l4478,5772e" filled="false" stroked="true" strokeweight="1.140pt" strokecolor="#ffffff">
                <v:path arrowok="t"/>
              </v:shape>
            </v:group>
            <v:group style="position:absolute;left:4490;top:5380;width:3002;height:393" coordorigin="4490,5380" coordsize="3002,393">
              <v:shape style="position:absolute;left:4490;top:5380;width:3002;height:393" coordorigin="4490,5380" coordsize="3002,393" path="m4490,5772l7491,5772,7491,5380,4490,5380,4490,5772xe" filled="true" fillcolor="#ffffff" stroked="false">
                <v:path arrowok="t"/>
                <v:fill type="solid"/>
              </v:shape>
            </v:group>
            <v:group style="position:absolute;left:4478;top:5782;width:2;height:393" coordorigin="4478,5782" coordsize="2,393">
              <v:shape style="position:absolute;left:4478;top:5782;width:2;height:393" coordorigin="4478,5782" coordsize="0,393" path="m4478,5782l4478,6174e" filled="false" stroked="true" strokeweight="1.140pt" strokecolor="#ffffff">
                <v:path arrowok="t"/>
              </v:shape>
            </v:group>
            <v:group style="position:absolute;left:4490;top:5782;width:3002;height:393" coordorigin="4490,5782" coordsize="3002,393">
              <v:shape style="position:absolute;left:4490;top:5782;width:3002;height:393" coordorigin="4490,5782" coordsize="3002,393" path="m4490,6174l7491,6174,7491,5782,4490,5782,4490,6174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32,811,909.76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30,990,573.09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10,400,335.47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15,440,000.14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9,404,243.85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5,380,456.33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1,435,229.43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951,509.13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111,077.64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27,769.41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11,289.23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10,256,935.98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8,808,753.62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-5,923,202.97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-5,443,513.35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-28,500.00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-28,500.00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-125,982,043.06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-24,775,379.55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66,520,477.29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-110,301,539.37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1,468,969.88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1,089,449.41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7,734,766.81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14,083,238.53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8,210,200.08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-63,765,893.38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220,994,387.06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183,309,178.08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183,309,178.08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231,556,439.76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37,685,208.98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-48,247,261.68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本期支付的取得子公司的现金净额" w:id="396"/>
      <w:bookmarkEnd w:id="39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3）本期收到的处置子公司的现金净额" w:id="397"/>
      <w:bookmarkEnd w:id="39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4）现金和现金等价物的构成" w:id="398"/>
      <w:bookmarkEnd w:id="39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220,994,387.06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183,309,178.08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250,296.32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182,537.01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220,744,090.74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183,126,641.07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220,994,387.06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183,309,178.08</w:t>
            </w:r>
          </w:p>
        </w:tc>
      </w:tr>
    </w:tbl>
    <w:p>
      <w:pPr>
        <w:pStyle w:val="BodyText"/>
        <w:spacing w:line="240" w:lineRule="auto" w:before="51"/>
        <w:ind w:left="1134" w:right="985"/>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7、所有者权益变动表项目注释" w:id="399"/>
      <w:bookmarkEnd w:id="399"/>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0"/>
      <w:bookmarkEnd w:id="400"/>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2,346,730.09</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本公司向银行申请开具无条件、不可撤 销的担保函所存入的保证金</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29,797,530.37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230,603,387.02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947,130.00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263,694,777.48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79、外币货币性项目" w:id="401"/>
      <w:bookmarkEnd w:id="40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外币货币性项目" w:id="402"/>
      <w:bookmarkEnd w:id="4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59" w:lineRule="auto"/>
        <w:ind w:right="985"/>
        <w:jc w:val="left"/>
        <w:rPr>
          <w:b w:val="0"/>
          <w:bCs w:val="0"/>
        </w:rPr>
      </w:pPr>
      <w:bookmarkStart w:name="（2）境外经营实体说明，包括对于重要的境外经营实体，应披露其境外主要经营地、记账" w:id="403"/>
      <w:bookmarkEnd w:id="40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80、套期" w:id="404"/>
      <w:bookmarkEnd w:id="404"/>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85"/>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81、其他" w:id="405"/>
      <w:bookmarkEnd w:id="405"/>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6"/>
      <w:bookmarkEnd w:id="40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7"/>
      <w:bookmarkEnd w:id="4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985"/>
        <w:jc w:val="left"/>
        <w:rPr>
          <w:b w:val="0"/>
          <w:bCs w:val="0"/>
        </w:rPr>
      </w:pPr>
      <w:bookmarkStart w:name="（1）本期发生的非同一控制下企业合并" w:id="408"/>
      <w:bookmarkEnd w:id="40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合并成本及商誉" w:id="409"/>
      <w:bookmarkEnd w:id="40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6072"/>
        <w:jc w:val="left"/>
      </w:pPr>
      <w:r>
        <w:rPr/>
        <w:t>合并成本公允价值的确定方法、或有对价及其变动的说明： 大额商誉形成的主要原因：</w:t>
      </w:r>
    </w:p>
    <w:p>
      <w:pPr>
        <w:pStyle w:val="BodyText"/>
        <w:spacing w:line="240" w:lineRule="auto" w:before="26"/>
        <w:ind w:left="1134"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3）被购买方于购买日可辨认资产、负债" w:id="410"/>
      <w:bookmarkEnd w:id="41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4）购买日之前持有的股权按照公允价值重新计量产生的利得或损失" w:id="411"/>
      <w:bookmarkEnd w:id="41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是否存在通过多次交易分步实现企业合并且在报告期内取得控制权的交易</w:t>
      </w:r>
    </w:p>
    <w:p>
      <w:pPr>
        <w:pStyle w:val="BodyText"/>
        <w:spacing w:line="240" w:lineRule="auto" w:before="116"/>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5"/>
        <w:spacing w:line="240" w:lineRule="auto"/>
        <w:ind w:right="985"/>
        <w:jc w:val="left"/>
        <w:rPr>
          <w:b w:val="0"/>
          <w:bCs w:val="0"/>
        </w:rPr>
      </w:pPr>
      <w:bookmarkStart w:name="（5）购买日或合并当期期末无法合理确定合并对价或被购买方可辨认资产、负债公允价值" w:id="412"/>
      <w:bookmarkEnd w:id="41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6）其他说明" w:id="413"/>
      <w:bookmarkEnd w:id="41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2、同一控制下企业合并" w:id="414"/>
      <w:bookmarkEnd w:id="41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本期发生的同一控制下企业合并" w:id="415"/>
      <w:bookmarkEnd w:id="41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合并成本" w:id="416"/>
      <w:bookmarkEnd w:id="41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5"/>
        <w:spacing w:line="240" w:lineRule="auto"/>
        <w:ind w:right="985"/>
        <w:jc w:val="left"/>
        <w:rPr>
          <w:b w:val="0"/>
          <w:bCs w:val="0"/>
        </w:rPr>
      </w:pPr>
      <w:bookmarkStart w:name="（3）合并日被合并方资产、负债的账面价值" w:id="417"/>
      <w:bookmarkEnd w:id="41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5"/>
        <w:spacing w:line="240" w:lineRule="auto"/>
        <w:ind w:left="1134" w:right="985"/>
        <w:jc w:val="left"/>
        <w:rPr>
          <w:b w:val="0"/>
          <w:bCs w:val="0"/>
        </w:rPr>
      </w:pPr>
      <w:bookmarkStart w:name="3、反向购买" w:id="418"/>
      <w:bookmarkEnd w:id="41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134" w:right="985"/>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4、处置子公司" w:id="419"/>
      <w:bookmarkEnd w:id="41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9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5、其他原因的合并范围变动" w:id="420"/>
      <w:bookmarkEnd w:id="42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6、其他" w:id="421"/>
      <w:bookmarkEnd w:id="42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2"/>
      <w:bookmarkEnd w:id="4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3"/>
      <w:bookmarkEnd w:id="42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985"/>
        <w:jc w:val="left"/>
        <w:rPr>
          <w:b w:val="0"/>
          <w:bCs w:val="0"/>
        </w:rPr>
      </w:pPr>
      <w:bookmarkStart w:name="（1）企业集团的构成" w:id="424"/>
      <w:bookmarkEnd w:id="4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上海金档信息技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光典信息发展有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上海追索信息科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追溯云信息发展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134"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5"/>
        <w:spacing w:line="240" w:lineRule="auto"/>
        <w:ind w:left="1134" w:right="985"/>
        <w:jc w:val="left"/>
        <w:rPr>
          <w:b w:val="0"/>
          <w:bCs w:val="0"/>
        </w:rPr>
      </w:pPr>
      <w:bookmarkStart w:name="（2）重要的非全资子公司" w:id="425"/>
      <w:bookmarkEnd w:id="4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9"/>
              <w:jc w:val="center"/>
              <w:rPr>
                <w:rFonts w:ascii="宋体" w:hAnsi="宋体" w:cs="宋体" w:eastAsia="宋体" w:hint="default"/>
                <w:sz w:val="18"/>
                <w:szCs w:val="18"/>
              </w:rPr>
            </w:pPr>
            <w:r>
              <w:rPr>
                <w:rFonts w:ascii="宋体" w:hAnsi="宋体" w:cs="宋体" w:eastAsia="宋体" w:hint="default"/>
                <w:sz w:val="18"/>
                <w:szCs w:val="18"/>
              </w:rPr>
              <w:t>上海追索信息科技有限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6" w:right="0"/>
              <w:jc w:val="left"/>
              <w:rPr>
                <w:rFonts w:ascii="Times New Roman" w:hAnsi="Times New Roman" w:cs="Times New Roman" w:eastAsia="Times New Roman" w:hint="default"/>
                <w:sz w:val="18"/>
                <w:szCs w:val="18"/>
              </w:rPr>
            </w:pPr>
            <w:r>
              <w:rPr>
                <w:rFonts w:ascii="Times New Roman"/>
                <w:sz w:val="18"/>
              </w:rPr>
              <w:t>-2,284,968.42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5,759,148.70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追溯云信息发展股份有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1,889,003.22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6,889,003.22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-395,965.20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12,648,151.92</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5"/>
        <w:spacing w:line="240" w:lineRule="auto"/>
        <w:ind w:left="1134" w:right="985"/>
        <w:jc w:val="left"/>
        <w:rPr>
          <w:b w:val="0"/>
          <w:bCs w:val="0"/>
        </w:rPr>
      </w:pPr>
      <w:bookmarkStart w:name="（3）重要非全资子公司的主要财务信息" w:id="426"/>
      <w:bookmarkEnd w:id="4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上海追 索信息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28,143,3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21.76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1,006,03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29,149,3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4,727,65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4,851,15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21,384,9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53.78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1,296,07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22,681,0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28.33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2,862,24</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9.74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3,194,24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9.76</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追溯云 信息发 展股份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15,220,8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39.80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23,388.3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15,244,2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28.10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3,947,55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0.70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3,947,55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上海追索信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20,339,969.8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4,811,428.60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4,811,428.60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3,885,020.72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14,478,879.0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5,073,810.28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5,073,810.28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32,728.44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追溯云信息 发展股份有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13,868,050.8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6,296,677.40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6,296,677.40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-1,133,577.18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4）使用企业集团资产和清偿企业集团债务的重大限制" w:id="427"/>
      <w:bookmarkEnd w:id="42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5）向纳入合并财务报表范围的结构化主体提供的财务支持或其他支持" w:id="428"/>
      <w:bookmarkEnd w:id="42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2、在子公司的所有者权益份额发生变化且仍控制子公司的交易" w:id="429"/>
      <w:bookmarkEnd w:id="42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在子公司所有者权益份额发生变化的情况说明" w:id="430"/>
      <w:bookmarkEnd w:id="43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2）交易对于少数股东权益及归属于母公司所有者权益的影响" w:id="431"/>
      <w:bookmarkEnd w:id="43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3、在合营安排或联营企业中的权益" w:id="432"/>
      <w:bookmarkEnd w:id="43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重要的合营企业或联营企业" w:id="433"/>
      <w:bookmarkEnd w:id="4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985"/>
        <w:jc w:val="left"/>
      </w:pPr>
      <w:r>
        <w:rPr/>
        <w:t>在合营企业或联营企业的持股比例不同于表决权比例的说明：</w:t>
      </w:r>
    </w:p>
    <w:p>
      <w:pPr>
        <w:pStyle w:val="BodyText"/>
        <w:spacing w:line="240" w:lineRule="auto" w:before="116"/>
        <w:ind w:left="1134" w:right="985"/>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5"/>
        <w:spacing w:line="240" w:lineRule="auto"/>
        <w:ind w:left="1134" w:right="985"/>
        <w:jc w:val="left"/>
        <w:rPr>
          <w:b w:val="0"/>
          <w:bCs w:val="0"/>
        </w:rPr>
      </w:pPr>
      <w:bookmarkStart w:name="（2）重要合营企业的主要财务信息" w:id="434"/>
      <w:bookmarkEnd w:id="4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3）重要联营企业的主要财务信息" w:id="435"/>
      <w:bookmarkEnd w:id="4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4）不重要的合营企业和联营企业的汇总财务信息" w:id="436"/>
      <w:bookmarkEnd w:id="4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5）合营企业或联营企业向本公司转移资金的能力存在重大限制的说明" w:id="437"/>
      <w:bookmarkEnd w:id="43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6）合营企业或联营企业发生的超额亏损" w:id="438"/>
      <w:bookmarkEnd w:id="43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7）与合营企业投资相关的未确认承诺" w:id="439"/>
      <w:bookmarkEnd w:id="43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8）与合营企业或联营企业投资相关的或有负债" w:id="440"/>
      <w:bookmarkEnd w:id="44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4、重要的共同经营" w:id="441"/>
      <w:bookmarkEnd w:id="44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5、在未纳入合并财务报表范围的结构化主体中的权益" w:id="442"/>
      <w:bookmarkEnd w:id="44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6、其他" w:id="443"/>
      <w:bookmarkEnd w:id="44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4"/>
        <w:spacing w:line="240" w:lineRule="auto"/>
        <w:ind w:left="1134" w:right="985"/>
        <w:jc w:val="left"/>
        <w:rPr>
          <w:b w:val="0"/>
          <w:bCs w:val="0"/>
        </w:rPr>
      </w:pPr>
      <w:bookmarkStart w:name="十、与金融工具相关的风险" w:id="444"/>
      <w:bookmarkEnd w:id="444"/>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852" w:right="985"/>
        <w:jc w:val="left"/>
      </w:pPr>
      <w:r>
        <w:rPr/>
        <w:t>本公司董事会全面负责风险管理目标和政策的确定，并对风险管理目标和政策承担最终责任，管</w:t>
      </w:r>
      <w:r>
        <w:rPr>
          <w:spacing w:val="-23"/>
        </w:rPr>
        <w:t> </w:t>
      </w:r>
      <w:r>
        <w:rPr>
          <w:spacing w:val="-23"/>
        </w:rPr>
      </w:r>
      <w:r>
        <w:rPr/>
        <w:t>理层对这些风险敞口进行管理和监控以确保将上述风险控制在限定的范围之内。本公司的主要金</w:t>
      </w:r>
      <w:r>
        <w:rPr>
          <w:spacing w:val="-23"/>
        </w:rPr>
        <w:t> </w:t>
      </w:r>
      <w:r>
        <w:rPr>
          <w:spacing w:val="-23"/>
        </w:rPr>
      </w:r>
      <w:r>
        <w:rPr/>
        <w:t>融工具包括应收账款、应付账款、短期借款等，各项金融工具的详细情况说明见本附注五相关项</w:t>
      </w:r>
      <w:r>
        <w:rPr>
          <w:spacing w:val="-23"/>
        </w:rPr>
        <w:t> </w:t>
      </w:r>
      <w:r>
        <w:rPr>
          <w:spacing w:val="-23"/>
        </w:rPr>
      </w:r>
      <w:r>
        <w:rPr/>
        <w:t>目。与这些金融工具有关的风险，以及本公司为降低这些风险所采取的风险管理政策如下所述： 本公司采用敏感性分析技术分析风险变量的合理性、可能变化对当期损益或股东权益可能产生的</w:t>
      </w:r>
      <w:r>
        <w:rPr>
          <w:spacing w:val="-23"/>
        </w:rPr>
        <w:t> </w:t>
      </w:r>
      <w:r>
        <w:rPr>
          <w:spacing w:val="-23"/>
        </w:rPr>
      </w:r>
      <w:r>
        <w:rPr/>
        <w:t>影响。由于任何风险变量很少孤立地发生变化，而变量之间存在的相关性对某一风险变量的变化</w:t>
      </w:r>
      <w:r>
        <w:rPr>
          <w:spacing w:val="-23"/>
        </w:rPr>
        <w:t> </w:t>
      </w:r>
      <w:r>
        <w:rPr>
          <w:spacing w:val="-23"/>
        </w:rPr>
      </w:r>
      <w:r>
        <w:rPr/>
        <w:t>的最终影响金额将产生重大作用，因此下述内容是在假设每一变量的变化是在独立的情况下进行</w:t>
      </w:r>
      <w:r>
        <w:rPr>
          <w:spacing w:val="-23"/>
        </w:rPr>
        <w:t> </w:t>
      </w:r>
      <w:r>
        <w:rPr>
          <w:spacing w:val="-23"/>
        </w:rPr>
      </w:r>
      <w:r>
        <w:rPr/>
        <w:t>的。 本公司从事风险管理的目标是在风险和收益之间取得适当的平衡，将风险对本公司经营业绩的负</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1851" w:right="1132"/>
        <w:jc w:val="both"/>
      </w:pPr>
      <w:r>
        <w:rPr/>
        <w:t>面影响降低到最低水平，使股东及其他权益投资者的利益最大化。基于该风险管理目标，本公司</w:t>
      </w:r>
      <w:r>
        <w:rPr>
          <w:spacing w:val="-23"/>
        </w:rPr>
        <w:t> </w:t>
      </w:r>
      <w:r>
        <w:rPr>
          <w:spacing w:val="-23"/>
        </w:rPr>
      </w:r>
      <w:r>
        <w:rPr/>
        <w:t>风险管理的基本策略是确定和分析本公司所面临的各种风险，建立适当的风险承受底线和进行风</w:t>
      </w:r>
      <w:r>
        <w:rPr>
          <w:spacing w:val="-23"/>
        </w:rPr>
        <w:t> </w:t>
      </w:r>
      <w:r>
        <w:rPr>
          <w:spacing w:val="-23"/>
        </w:rPr>
      </w:r>
      <w:r>
        <w:rPr/>
        <w:t>险管理，并及时可靠地对各种风险进行监督，在不过度影响公司竞争力和应变力的情况下，制定</w:t>
      </w:r>
      <w:r>
        <w:rPr>
          <w:spacing w:val="-23"/>
        </w:rPr>
        <w:t> </w:t>
      </w:r>
      <w:r>
        <w:rPr>
          <w:spacing w:val="-23"/>
        </w:rPr>
      </w:r>
      <w:r>
        <w:rPr/>
        <w:t>尽可能降低风险的风险管理政策。</w:t>
      </w:r>
    </w:p>
    <w:p>
      <w:pPr>
        <w:spacing w:line="240" w:lineRule="auto" w:before="6"/>
        <w:rPr>
          <w:rFonts w:ascii="宋体" w:hAnsi="宋体" w:cs="宋体" w:eastAsia="宋体" w:hint="default"/>
          <w:sz w:val="24"/>
          <w:szCs w:val="24"/>
        </w:rPr>
      </w:pPr>
    </w:p>
    <w:p>
      <w:pPr>
        <w:pStyle w:val="Heading5"/>
        <w:spacing w:line="240" w:lineRule="auto"/>
        <w:ind w:left="1483" w:right="985"/>
        <w:jc w:val="left"/>
        <w:rPr>
          <w:b w:val="0"/>
          <w:bCs w:val="0"/>
        </w:rPr>
      </w:pPr>
      <w:r>
        <w:rPr>
          <w:rFonts w:ascii="宋体" w:hAnsi="宋体" w:cs="宋体" w:eastAsia="宋体" w:hint="default"/>
        </w:rPr>
        <w:t>1.</w:t>
      </w:r>
      <w:r>
        <w:rPr>
          <w:rFonts w:ascii="宋体" w:hAnsi="宋体" w:cs="宋体" w:eastAsia="宋体" w:hint="default"/>
          <w:spacing w:val="42"/>
        </w:rPr>
        <w:t> </w:t>
      </w:r>
      <w:r>
        <w:rPr/>
        <w:t>信用风险</w:t>
      </w:r>
      <w:r>
        <w:rPr>
          <w:b w:val="0"/>
          <w:bCs w:val="0"/>
        </w:rPr>
      </w:r>
    </w:p>
    <w:p>
      <w:pPr>
        <w:pStyle w:val="Heading6"/>
        <w:spacing w:line="266" w:lineRule="auto" w:before="37"/>
        <w:ind w:left="1851" w:right="1122"/>
        <w:jc w:val="left"/>
      </w:pPr>
      <w:r>
        <w:rPr/>
        <w:t>信用风险是指金融工具的一方不履行义务，造成另一方发生财务损失的风险。本公司主要面临赊</w:t>
      </w:r>
      <w:r>
        <w:rPr>
          <w:spacing w:val="-23"/>
        </w:rPr>
        <w:t> </w:t>
      </w:r>
      <w:r>
        <w:rPr>
          <w:spacing w:val="-23"/>
        </w:rPr>
      </w:r>
      <w:r>
        <w:rPr/>
        <w:t>销导致的客户信用风险。在签订新合同之前，本公司会对新客户的信用风险进行评估，包括外部</w:t>
      </w:r>
      <w:r>
        <w:rPr>
          <w:spacing w:val="-23"/>
        </w:rPr>
        <w:t> </w:t>
      </w:r>
      <w:r>
        <w:rPr>
          <w:spacing w:val="-23"/>
        </w:rPr>
      </w:r>
      <w:r>
        <w:rPr/>
        <w:t>信用评级和在某些情况下的银行资信证明（当此信息可获取时）。 公司通过对已有客户信用评级的季度监控以及应收账款账龄分析的月度审核来确保公司的整体信</w:t>
      </w:r>
      <w:r>
        <w:rPr>
          <w:spacing w:val="-23"/>
        </w:rPr>
        <w:t> </w:t>
      </w:r>
      <w:r>
        <w:rPr>
          <w:spacing w:val="-23"/>
        </w:rPr>
      </w:r>
      <w:r>
        <w:rPr/>
        <w:t>用风险在可控的范围内。在监控客户的信用风险时，按照客户的信用特征对其分组。被评为</w:t>
      </w:r>
      <w:r>
        <w:rPr>
          <w:rFonts w:ascii="Times New Roman" w:hAnsi="Times New Roman" w:cs="Times New Roman" w:eastAsia="Times New Roman" w:hint="default"/>
        </w:rPr>
        <w:t>“</w:t>
      </w:r>
      <w:r>
        <w:rPr/>
        <w:t>高风</w:t>
      </w:r>
      <w:r>
        <w:rPr>
          <w:spacing w:val="-97"/>
        </w:rPr>
        <w:t> </w:t>
      </w:r>
      <w:r>
        <w:rPr/>
        <w:t>险</w:t>
      </w:r>
      <w:r>
        <w:rPr>
          <w:rFonts w:ascii="Times New Roman" w:hAnsi="Times New Roman" w:cs="Times New Roman" w:eastAsia="Times New Roman" w:hint="default"/>
        </w:rPr>
        <w:t>”</w:t>
      </w:r>
      <w:r>
        <w:rPr/>
        <w:t>级别的客户会放在受限制客户名单里，并且只有在额外批准的前提下，公司才可在未来期间内</w:t>
      </w:r>
      <w:r>
        <w:rPr>
          <w:spacing w:val="-98"/>
        </w:rPr>
        <w:t> </w:t>
      </w:r>
      <w:r>
        <w:rPr>
          <w:spacing w:val="-98"/>
        </w:rPr>
      </w:r>
      <w:r>
        <w:rPr/>
        <w:t>对其赊销，否则必须要求其提前支付相应款项。</w:t>
      </w:r>
    </w:p>
    <w:p>
      <w:pPr>
        <w:spacing w:line="240" w:lineRule="auto" w:before="12"/>
        <w:rPr>
          <w:rFonts w:ascii="宋体" w:hAnsi="宋体" w:cs="宋体" w:eastAsia="宋体" w:hint="default"/>
          <w:sz w:val="24"/>
          <w:szCs w:val="24"/>
        </w:rPr>
      </w:pPr>
    </w:p>
    <w:p>
      <w:pPr>
        <w:pStyle w:val="Heading5"/>
        <w:spacing w:line="240" w:lineRule="auto"/>
        <w:ind w:left="1483" w:right="985"/>
        <w:jc w:val="left"/>
        <w:rPr>
          <w:b w:val="0"/>
          <w:bCs w:val="0"/>
        </w:rPr>
      </w:pPr>
      <w:r>
        <w:rPr>
          <w:rFonts w:ascii="宋体" w:hAnsi="宋体" w:cs="宋体" w:eastAsia="宋体" w:hint="default"/>
        </w:rPr>
        <w:t>1.</w:t>
      </w:r>
      <w:r>
        <w:rPr>
          <w:rFonts w:ascii="宋体" w:hAnsi="宋体" w:cs="宋体" w:eastAsia="宋体" w:hint="default"/>
          <w:spacing w:val="42"/>
        </w:rPr>
        <w:t> </w:t>
      </w:r>
      <w:r>
        <w:rPr/>
        <w:t>市场风险</w:t>
      </w:r>
      <w:r>
        <w:rPr>
          <w:b w:val="0"/>
          <w:bCs w:val="0"/>
        </w:rPr>
      </w:r>
    </w:p>
    <w:p>
      <w:pPr>
        <w:pStyle w:val="Heading6"/>
        <w:spacing w:line="273" w:lineRule="auto" w:before="37"/>
        <w:ind w:left="1852" w:right="1231"/>
        <w:jc w:val="both"/>
      </w:pPr>
      <w:r>
        <w:rPr/>
        <w:t>金融工具的市场风险，是指金融工具的公允价值或未来现金流量因市场价格变动而发生波动的风 险。利率风险，是指金融工具的公允价值或未来现金流量因市场利率变动而发生波动的风险。本 公司面临的利率风险主要来源于银行借款。公司通过建立良好的银企关系，对授信额度、授信品 种以及授信期限进行合理的设计，保障银行授信额度充足，满足公司各类融资需求。并且通过缩 短单笔借款的期限，特别约定提前还款条款，合理降低利率波动风险。</w:t>
      </w:r>
    </w:p>
    <w:p>
      <w:pPr>
        <w:spacing w:line="240" w:lineRule="auto" w:before="6"/>
        <w:rPr>
          <w:rFonts w:ascii="宋体" w:hAnsi="宋体" w:cs="宋体" w:eastAsia="宋体" w:hint="default"/>
          <w:sz w:val="24"/>
          <w:szCs w:val="24"/>
        </w:rPr>
      </w:pPr>
    </w:p>
    <w:p>
      <w:pPr>
        <w:pStyle w:val="Heading5"/>
        <w:spacing w:line="240" w:lineRule="auto"/>
        <w:ind w:left="1483" w:right="985"/>
        <w:jc w:val="left"/>
        <w:rPr>
          <w:b w:val="0"/>
          <w:bCs w:val="0"/>
        </w:rPr>
      </w:pPr>
      <w:r>
        <w:rPr>
          <w:rFonts w:ascii="宋体" w:hAnsi="宋体" w:cs="宋体" w:eastAsia="宋体" w:hint="default"/>
        </w:rPr>
        <w:t>1.</w:t>
      </w:r>
      <w:r>
        <w:rPr>
          <w:rFonts w:ascii="宋体" w:hAnsi="宋体" w:cs="宋体" w:eastAsia="宋体" w:hint="default"/>
          <w:spacing w:val="42"/>
        </w:rPr>
        <w:t> </w:t>
      </w:r>
      <w:r>
        <w:rPr/>
        <w:t>流动风险</w:t>
      </w:r>
      <w:r>
        <w:rPr>
          <w:b w:val="0"/>
          <w:bCs w:val="0"/>
        </w:rPr>
      </w:r>
    </w:p>
    <w:p>
      <w:pPr>
        <w:pStyle w:val="Heading6"/>
        <w:spacing w:line="266" w:lineRule="auto" w:before="37"/>
        <w:ind w:left="1852" w:right="985"/>
        <w:jc w:val="left"/>
      </w:pPr>
      <w:r>
        <w:rPr>
          <w:spacing w:val="-1"/>
        </w:rPr>
        <w:t>流动风险，是指公司在履行以交付现金或其他金融资产的方式结算的义务时发生资金短缺的风险。</w:t>
      </w:r>
      <w:r>
        <w:rPr>
          <w:spacing w:val="-67"/>
        </w:rPr>
        <w:t> </w:t>
      </w:r>
      <w:r>
        <w:rPr>
          <w:spacing w:val="-67"/>
        </w:rPr>
      </w:r>
      <w:r>
        <w:rPr>
          <w:spacing w:val="-1"/>
        </w:rPr>
        <w:t>本公司的政策是确保拥有充足的现金以偿还到期债务。流动性风险由本公司的财务部门集中控制。</w:t>
      </w:r>
      <w:r>
        <w:rPr>
          <w:spacing w:val="-67"/>
        </w:rPr>
        <w:t> </w:t>
      </w:r>
      <w:r>
        <w:rPr>
          <w:spacing w:val="-67"/>
        </w:rPr>
      </w:r>
      <w:r>
        <w:rPr/>
        <w:t>财务部门通过监控现金余额、可随时变现的有价证券以及对未来</w:t>
      </w:r>
      <w:r>
        <w:rPr>
          <w:rFonts w:ascii="Times New Roman" w:hAnsi="Times New Roman" w:cs="Times New Roman" w:eastAsia="Times New Roman" w:hint="default"/>
        </w:rPr>
        <w:t>12</w:t>
      </w:r>
      <w:r>
        <w:rPr/>
        <w:t>个月现金流量的滚动预测，确 保公司在所有合理预测的情况下拥有充足的资金偿还债务。</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985"/>
        <w:jc w:val="left"/>
        <w:rPr>
          <w:b w:val="0"/>
          <w:bCs w:val="0"/>
        </w:rPr>
      </w:pPr>
      <w:bookmarkStart w:name="十一、公允价值的披露" w:id="445"/>
      <w:bookmarkEnd w:id="44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以公允价值计量的资产和负债的期末公允价值" w:id="446"/>
      <w:bookmarkEnd w:id="4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2、持续和非持续第一层次公允价值计量项目市价的确定依据" w:id="447"/>
      <w:bookmarkEnd w:id="44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3、持续和非持续第二层次公允价值计量项目，采用的估值技术和重要参数的定性及定量信" w:id="448"/>
      <w:bookmarkEnd w:id="44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4、持续和非持续第三层次公允价值计量项目，采用的估值技术和重要参数的定性及定量信" w:id="449"/>
      <w:bookmarkEnd w:id="44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5、持续的第三层次公允价值计量项目，期初与期末账面价值间的调节信息及不可观察参数" w:id="450"/>
      <w:bookmarkEnd w:id="45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6、持续的公允价值计量项目，本期内发生各层级之间转换的，转换的原因及确定转换时点" w:id="451"/>
      <w:bookmarkEnd w:id="45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7、本期内发生的估值技术变更及变更原因" w:id="452"/>
      <w:bookmarkEnd w:id="45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8、不以公允价值计量的金融资产和金融负债的公允价值情况" w:id="453"/>
      <w:bookmarkEnd w:id="45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54"/>
      <w:bookmarkEnd w:id="45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5"/>
      <w:bookmarkEnd w:id="45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6"/>
      <w:bookmarkEnd w:id="45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上海中信电子发展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商务咨询，企业管理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31.10%</w:t>
            </w:r>
          </w:p>
        </w:tc>
      </w:tr>
    </w:tbl>
    <w:p>
      <w:pPr>
        <w:pStyle w:val="BodyText"/>
        <w:spacing w:line="240" w:lineRule="auto" w:before="51"/>
        <w:ind w:left="1134" w:right="985"/>
        <w:jc w:val="left"/>
      </w:pPr>
      <w:r>
        <w:rPr/>
        <w:t>本企业的母公司情况的说明</w:t>
      </w:r>
    </w:p>
    <w:p>
      <w:pPr>
        <w:pStyle w:val="Heading6"/>
        <w:spacing w:line="292" w:lineRule="auto" w:before="90"/>
        <w:ind w:left="1133" w:right="985"/>
        <w:jc w:val="left"/>
        <w:rPr>
          <w:sz w:val="18"/>
          <w:szCs w:val="18"/>
        </w:rPr>
      </w:pPr>
      <w:r>
        <w:rPr>
          <w:spacing w:val="-1"/>
        </w:rPr>
        <w:t>本公司的实际控制人：上海中信电子发展有限公司是张曙华出资成立的一人有限公司，同时张曙华还直接</w:t>
      </w:r>
      <w:r>
        <w:rPr>
          <w:spacing w:val="-81"/>
        </w:rPr>
        <w:t> </w:t>
      </w:r>
      <w:r>
        <w:rPr>
          <w:spacing w:val="-81"/>
        </w:rPr>
      </w:r>
      <w:r>
        <w:rPr/>
        <w:t>持有本公司股份</w:t>
      </w:r>
      <w:r>
        <w:rPr>
          <w:rFonts w:ascii="Times New Roman" w:hAnsi="Times New Roman" w:cs="Times New Roman" w:eastAsia="Times New Roman" w:hint="default"/>
        </w:rPr>
        <w:t>1,507.008</w:t>
      </w:r>
      <w:r>
        <w:rPr/>
        <w:t>万股，持股比例</w:t>
      </w:r>
      <w:r>
        <w:rPr>
          <w:rFonts w:ascii="Times New Roman" w:hAnsi="Times New Roman" w:cs="Times New Roman" w:eastAsia="Times New Roman" w:hint="default"/>
        </w:rPr>
        <w:t>22.06%</w:t>
      </w:r>
      <w:r>
        <w:rPr/>
        <w:t>，本公司的实际控制人为张曙华。 </w:t>
      </w:r>
      <w:r>
        <w:rPr>
          <w:sz w:val="18"/>
          <w:szCs w:val="18"/>
        </w:rPr>
        <w:t>本企业最终控制方是张曙华。</w:t>
      </w:r>
    </w:p>
    <w:p>
      <w:pPr>
        <w:pStyle w:val="BodyText"/>
        <w:spacing w:line="240" w:lineRule="auto" w:before="76"/>
        <w:ind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本企业的子公司情况" w:id="457"/>
      <w:bookmarkEnd w:id="45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3、本企业合营和联营企业情况" w:id="458"/>
      <w:bookmarkEnd w:id="45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9"/>
        <w:ind w:left="1134"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4、其他关联方情况" w:id="459"/>
      <w:bookmarkEnd w:id="4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庞文莉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实际控制人张曙华之配偶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淘菜猫信息发展股份有限公司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子公司光典信息发展有限公司持股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r>
              <w:rPr>
                <w:rFonts w:ascii="宋体" w:hAnsi="宋体" w:cs="宋体" w:eastAsia="宋体" w:hint="default"/>
                <w:sz w:val="18"/>
                <w:szCs w:val="18"/>
              </w:rPr>
              <w:t>的公司</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5、关联交易情况" w:id="460"/>
      <w:bookmarkEnd w:id="4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1）购销商品、提供和接受劳务的关联交易" w:id="461"/>
      <w:bookmarkEnd w:id="4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8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98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淘菜猫信息发展股份有限公司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3,744,898.72</w:t>
            </w:r>
          </w:p>
        </w:tc>
      </w:tr>
    </w:tbl>
    <w:p>
      <w:pPr>
        <w:pStyle w:val="BodyText"/>
        <w:spacing w:line="240" w:lineRule="auto" w:before="51"/>
        <w:ind w:left="1134" w:right="985"/>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2）关联受托管理/承包及委托管理/出包情况" w:id="462"/>
      <w:bookmarkEnd w:id="4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985"/>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38" w:lineRule="auto" w:before="52"/>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985"/>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5"/>
        <w:spacing w:line="240" w:lineRule="auto"/>
        <w:ind w:left="1134" w:right="985"/>
        <w:jc w:val="left"/>
        <w:rPr>
          <w:b w:val="0"/>
          <w:bCs w:val="0"/>
        </w:rPr>
      </w:pPr>
      <w:bookmarkStart w:name="（3）关联租赁情况" w:id="463"/>
      <w:bookmarkEnd w:id="4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985"/>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134" w:right="985"/>
        <w:jc w:val="left"/>
      </w:pPr>
      <w:r>
        <w:rPr/>
        <w:t>本公司作为承租方：</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985"/>
        <w:jc w:val="left"/>
      </w:pPr>
      <w:r>
        <w:rPr/>
        <w:t>关联租赁情况说明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4）关联担保情况" w:id="464"/>
      <w:bookmarkEnd w:id="4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985"/>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134" w:right="985"/>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张曙华、庞文莉、本公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784,900,000.00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985"/>
        <w:jc w:val="left"/>
      </w:pPr>
      <w:r>
        <w:rPr/>
        <w:t>关联担保情况说明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5）关联方资金拆借" w:id="465"/>
      <w:bookmarkEnd w:id="4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6）关联方资产转让、债务重组情况" w:id="466"/>
      <w:bookmarkEnd w:id="4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7）关键管理人员报酬" w:id="467"/>
      <w:bookmarkEnd w:id="4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8）其他关联交易" w:id="468"/>
      <w:bookmarkEnd w:id="4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6、关联方应收应付款项" w:id="469"/>
      <w:bookmarkEnd w:id="4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应收项目" w:id="470"/>
      <w:bookmarkEnd w:id="4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淘菜猫信息发展股 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3,969,592.75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198,479.64</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应付项目" w:id="471"/>
      <w:bookmarkEnd w:id="4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7、关联方承诺" w:id="472"/>
      <w:bookmarkEnd w:id="4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73"/>
      <w:bookmarkEnd w:id="4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4"/>
      <w:bookmarkEnd w:id="47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）根据信息发展《关于首期限制性股票授予完成</w:t>
            </w:r>
          </w:p>
        </w:tc>
      </w:tr>
    </w:tbl>
    <w:p>
      <w:pPr>
        <w:spacing w:after="0" w:line="240" w:lineRule="auto"/>
        <w:jc w:val="right"/>
        <w:rPr>
          <w:rFonts w:ascii="宋体" w:hAnsi="宋体" w:cs="宋体" w:eastAsia="宋体" w:hint="default"/>
          <w:sz w:val="18"/>
          <w:szCs w:val="18"/>
        </w:rPr>
        <w:sectPr>
          <w:footerReference w:type="default" r:id="rId15"/>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285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0"/>
              <w:jc w:val="left"/>
              <w:rPr>
                <w:rFonts w:ascii="宋体" w:hAnsi="宋体" w:cs="宋体" w:eastAsia="宋体" w:hint="default"/>
                <w:sz w:val="18"/>
                <w:szCs w:val="18"/>
              </w:rPr>
            </w:pPr>
            <w:r>
              <w:rPr>
                <w:rFonts w:ascii="宋体" w:hAnsi="宋体" w:cs="宋体" w:eastAsia="宋体" w:hint="default"/>
                <w:spacing w:val="-8"/>
                <w:sz w:val="18"/>
                <w:szCs w:val="18"/>
              </w:rPr>
              <w:t>的公告》（公告编号：</w:t>
            </w:r>
            <w:r>
              <w:rPr>
                <w:rFonts w:ascii="Times New Roman" w:hAnsi="Times New Roman" w:cs="Times New Roman" w:eastAsia="Times New Roman" w:hint="default"/>
                <w:spacing w:val="-8"/>
                <w:sz w:val="18"/>
                <w:szCs w:val="18"/>
              </w:rPr>
              <w:t>2016-042</w:t>
            </w:r>
            <w:r>
              <w:rPr>
                <w:rFonts w:ascii="宋体" w:hAnsi="宋体" w:cs="宋体" w:eastAsia="宋体" w:hint="default"/>
                <w:spacing w:val="-8"/>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8"/>
                <w:sz w:val="18"/>
                <w:szCs w:val="18"/>
              </w:rPr>
              <w:t>月完成向激励对象授予限制性股票。（</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）信息发展限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制性股票激励计划拟在授予日的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7"/>
                <w:sz w:val="18"/>
                <w:szCs w:val="18"/>
              </w:rPr>
              <w:t>个月后、</w:t>
            </w:r>
            <w:r>
              <w:rPr>
                <w:rFonts w:ascii="Times New Roman" w:hAnsi="Times New Roman" w:cs="Times New Roman" w:eastAsia="Times New Roman" w:hint="default"/>
                <w:spacing w:val="-7"/>
                <w:sz w:val="18"/>
                <w:szCs w:val="18"/>
              </w:rPr>
              <w:t>24</w:t>
            </w:r>
            <w:r>
              <w:rPr>
                <w:rFonts w:ascii="Times New Roman" w:hAnsi="Times New Roman" w:cs="Times New Roman" w:eastAsia="Times New Roman" w:hint="default"/>
                <w:sz w:val="18"/>
                <w:szCs w:val="18"/>
              </w:rPr>
              <w:t> </w:t>
            </w:r>
            <w:r>
              <w:rPr>
                <w:rFonts w:ascii="宋体" w:hAnsi="宋体" w:cs="宋体" w:eastAsia="宋体" w:hint="default"/>
                <w:sz w:val="18"/>
                <w:szCs w:val="18"/>
              </w:rPr>
              <w:t>个月 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个月后分三次解锁，每次解锁的限制性股票 比例分别为授予总量的</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30%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）限制</w:t>
            </w:r>
            <w:r>
              <w:rPr>
                <w:rFonts w:ascii="宋体" w:hAnsi="宋体" w:cs="宋体" w:eastAsia="宋体" w:hint="default"/>
                <w:sz w:val="18"/>
                <w:szCs w:val="18"/>
              </w:rPr>
              <w:t> 性股票激励计划中的解锁业绩条件为信息发展相比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年扣除非经常性 损益和股份支付费用影响后的净利润增长率分别不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2、以权益结算的股份支付情况" w:id="476"/>
      <w:bookmarkEnd w:id="47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w:t>
            </w:r>
            <w:r>
              <w:rPr>
                <w:rFonts w:ascii="Times New Roman" w:hAnsi="Times New Roman" w:cs="Times New Roman" w:eastAsia="Times New Roman" w:hint="default"/>
                <w:sz w:val="18"/>
                <w:szCs w:val="18"/>
              </w:rPr>
              <w:t>B-S</w:t>
            </w:r>
            <w:r>
              <w:rPr>
                <w:rFonts w:ascii="宋体" w:hAnsi="宋体" w:cs="宋体" w:eastAsia="宋体" w:hint="default"/>
                <w:sz w:val="18"/>
                <w:szCs w:val="18"/>
              </w:rPr>
              <w:t>）期权定价模型</w:t>
            </w:r>
          </w:p>
        </w:tc>
      </w:tr>
      <w:tr>
        <w:trPr>
          <w:trHeight w:val="1650"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依据《公司法</w:t>
            </w:r>
            <w:r>
              <w:rPr>
                <w:rFonts w:ascii="宋体" w:hAnsi="宋体" w:cs="宋体" w:eastAsia="宋体" w:hint="default"/>
                <w:spacing w:val="-90"/>
                <w:sz w:val="18"/>
                <w:szCs w:val="18"/>
              </w:rPr>
              <w:t>》、</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《上市公司股权激励管理办法</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z w:val="18"/>
                <w:szCs w:val="18"/>
              </w:rPr>
              <w:t>《股权激励有关事项备忘录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《股权激励</w:t>
            </w:r>
          </w:p>
          <w:p>
            <w:pPr>
              <w:pStyle w:val="TableParagraph"/>
              <w:spacing w:line="309" w:lineRule="auto" w:before="63"/>
              <w:ind w:left="23" w:right="5"/>
              <w:jc w:val="both"/>
              <w:rPr>
                <w:rFonts w:ascii="宋体" w:hAnsi="宋体" w:cs="宋体" w:eastAsia="宋体" w:hint="default"/>
                <w:sz w:val="18"/>
                <w:szCs w:val="18"/>
              </w:rPr>
            </w:pPr>
            <w:r>
              <w:rPr>
                <w:rFonts w:ascii="宋体" w:hAnsi="宋体" w:cs="宋体" w:eastAsia="宋体" w:hint="default"/>
                <w:sz w:val="18"/>
                <w:szCs w:val="18"/>
              </w:rPr>
              <w:t>有关事项备忘录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5"/>
                <w:sz w:val="18"/>
                <w:szCs w:val="18"/>
              </w:rPr>
              <w:t> </w:t>
            </w:r>
            <w:r>
              <w:rPr>
                <w:rFonts w:ascii="宋体" w:hAnsi="宋体" w:cs="宋体" w:eastAsia="宋体" w:hint="default"/>
                <w:spacing w:val="-12"/>
                <w:sz w:val="18"/>
                <w:szCs w:val="18"/>
              </w:rPr>
              <w:t>号》、《股权激励有关事项备忘录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 </w:t>
            </w:r>
            <w:r>
              <w:rPr>
                <w:rFonts w:ascii="宋体" w:hAnsi="宋体" w:cs="宋体" w:eastAsia="宋体" w:hint="default"/>
                <w:sz w:val="18"/>
                <w:szCs w:val="18"/>
              </w:rPr>
              <w:t>及《上海中信信息发展股份有限公司章程》的相关规定，</w:t>
            </w:r>
            <w:r>
              <w:rPr>
                <w:rFonts w:ascii="宋体" w:hAnsi="宋体" w:cs="宋体" w:eastAsia="宋体" w:hint="default"/>
                <w:sz w:val="18"/>
                <w:szCs w:val="18"/>
              </w:rPr>
              <w:t> 并结合公司实际情况确定。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15,231,000.00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5,150,600.00</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3、以现金结算的股份支付情况" w:id="477"/>
      <w:bookmarkEnd w:id="47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506" w:lineRule="auto" w:before="0"/>
        <w:ind w:left="1133" w:right="6577" w:firstLine="0"/>
        <w:jc w:val="left"/>
        <w:rPr>
          <w:rFonts w:ascii="宋体" w:hAnsi="宋体" w:cs="宋体" w:eastAsia="宋体" w:hint="default"/>
          <w:sz w:val="21"/>
          <w:szCs w:val="21"/>
        </w:rPr>
      </w:pPr>
      <w:bookmarkStart w:name="4、股份支付的修改、终止情况" w:id="478"/>
      <w:bookmarkEnd w:id="4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详见附注</w:t>
      </w:r>
      <w:r>
        <w:rPr>
          <w:rFonts w:ascii="Times New Roman" w:hAnsi="Times New Roman" w:cs="Times New Roman" w:eastAsia="Times New Roman" w:hint="default"/>
          <w:sz w:val="21"/>
          <w:szCs w:val="21"/>
        </w:rPr>
        <w:t>“</w:t>
      </w:r>
      <w:r>
        <w:rPr>
          <w:rFonts w:ascii="宋体" w:hAnsi="宋体" w:cs="宋体" w:eastAsia="宋体" w:hint="default"/>
          <w:sz w:val="21"/>
          <w:szCs w:val="21"/>
        </w:rPr>
        <w:t>十六、其他重要事项</w:t>
      </w:r>
      <w:r>
        <w:rPr>
          <w:rFonts w:ascii="Times New Roman" w:hAnsi="Times New Roman" w:cs="Times New Roman" w:eastAsia="Times New Roman" w:hint="default"/>
          <w:sz w:val="21"/>
          <w:szCs w:val="21"/>
        </w:rPr>
        <w:t>”</w:t>
      </w:r>
      <w:r>
        <w:rPr>
          <w:rFonts w:ascii="宋体" w:hAnsi="宋体" w:cs="宋体" w:eastAsia="宋体" w:hint="default"/>
          <w:sz w:val="21"/>
          <w:szCs w:val="21"/>
        </w:rPr>
        <w:t>（一）所述。 </w:t>
      </w:r>
      <w:bookmarkStart w:name="5、其他" w:id="479"/>
      <w:bookmarkEnd w:id="479"/>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506" w:lineRule="auto" w:before="41"/>
        <w:ind w:left="1134" w:right="7693" w:firstLine="0"/>
        <w:jc w:val="left"/>
        <w:rPr>
          <w:rFonts w:ascii="宋体" w:hAnsi="宋体" w:cs="宋体" w:eastAsia="宋体" w:hint="default"/>
          <w:sz w:val="18"/>
          <w:szCs w:val="18"/>
        </w:rPr>
      </w:pPr>
      <w:bookmarkStart w:name="十四、承诺及或有事项" w:id="480"/>
      <w:bookmarkEnd w:id="480"/>
      <w:r>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bookmarkStart w:name="1、重要承诺事项" w:id="481"/>
      <w:bookmarkEnd w:id="481"/>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506" w:lineRule="auto"/>
        <w:jc w:val="left"/>
        <w:rPr>
          <w:rFonts w:ascii="宋体" w:hAnsi="宋体" w:cs="宋体" w:eastAsia="宋体" w:hint="default"/>
          <w:sz w:val="18"/>
          <w:szCs w:val="18"/>
        </w:rPr>
        <w:sectPr>
          <w:footerReference w:type="default" r:id="rId16"/>
          <w:pgSz w:w="11910" w:h="16840"/>
          <w:pgMar w:footer="979" w:header="747" w:top="1060" w:bottom="1160" w:left="0" w:right="0"/>
          <w:pgNumType w:start="201"/>
        </w:sectPr>
      </w:pPr>
    </w:p>
    <w:p>
      <w:pPr>
        <w:spacing w:line="240" w:lineRule="auto" w:before="9"/>
        <w:rPr>
          <w:rFonts w:ascii="宋体" w:hAnsi="宋体" w:cs="宋体" w:eastAsia="宋体" w:hint="default"/>
          <w:sz w:val="24"/>
          <w:szCs w:val="24"/>
        </w:rPr>
      </w:pPr>
    </w:p>
    <w:p>
      <w:pPr>
        <w:pStyle w:val="Heading5"/>
        <w:spacing w:line="240" w:lineRule="auto" w:before="35"/>
        <w:ind w:left="1890" w:right="985"/>
        <w:jc w:val="left"/>
        <w:rPr>
          <w:b w:val="0"/>
          <w:bCs w:val="0"/>
        </w:rPr>
      </w:pPr>
      <w:r>
        <w:rPr/>
        <w:t>（</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日，本公司开具的尚未到期保函如下：</w:t>
      </w:r>
      <w:r>
        <w:rPr>
          <w:b w:val="0"/>
          <w:bCs w:val="0"/>
        </w:rPr>
      </w:r>
    </w:p>
    <w:p>
      <w:pPr>
        <w:spacing w:line="240" w:lineRule="auto" w:before="10"/>
        <w:rPr>
          <w:rFonts w:ascii="宋体" w:hAnsi="宋体" w:cs="宋体" w:eastAsia="宋体" w:hint="default"/>
          <w:b/>
          <w:bCs/>
          <w:sz w:val="2"/>
          <w:szCs w:val="2"/>
        </w:rPr>
      </w:pPr>
    </w:p>
    <w:tbl>
      <w:tblPr>
        <w:tblW w:w="0" w:type="auto"/>
        <w:jc w:val="left"/>
        <w:tblInd w:w="1733" w:type="dxa"/>
        <w:tblLayout w:type="fixed"/>
        <w:tblCellMar>
          <w:top w:w="0" w:type="dxa"/>
          <w:left w:w="0" w:type="dxa"/>
          <w:bottom w:w="0" w:type="dxa"/>
          <w:right w:w="0" w:type="dxa"/>
        </w:tblCellMar>
        <w:tblLook w:val="01E0"/>
      </w:tblPr>
      <w:tblGrid>
        <w:gridCol w:w="1360"/>
        <w:gridCol w:w="2820"/>
        <w:gridCol w:w="1252"/>
        <w:gridCol w:w="1194"/>
        <w:gridCol w:w="1188"/>
      </w:tblGrid>
      <w:tr>
        <w:trPr>
          <w:trHeight w:val="355" w:hRule="exact"/>
        </w:trPr>
        <w:tc>
          <w:tcPr>
            <w:tcW w:w="136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52" w:right="0"/>
              <w:jc w:val="left"/>
              <w:rPr>
                <w:rFonts w:ascii="宋体" w:hAnsi="宋体" w:cs="宋体" w:eastAsia="宋体" w:hint="default"/>
                <w:sz w:val="21"/>
                <w:szCs w:val="21"/>
              </w:rPr>
            </w:pPr>
            <w:r>
              <w:rPr>
                <w:rFonts w:ascii="宋体" w:hAnsi="宋体" w:cs="宋体" w:eastAsia="宋体" w:hint="default"/>
                <w:sz w:val="21"/>
                <w:szCs w:val="21"/>
              </w:rPr>
              <w:t>保函类别</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877" w:right="0"/>
              <w:jc w:val="left"/>
              <w:rPr>
                <w:rFonts w:ascii="宋体" w:hAnsi="宋体" w:cs="宋体" w:eastAsia="宋体" w:hint="default"/>
                <w:sz w:val="21"/>
                <w:szCs w:val="21"/>
              </w:rPr>
            </w:pPr>
            <w:r>
              <w:rPr>
                <w:rFonts w:ascii="宋体" w:hAnsi="宋体" w:cs="宋体" w:eastAsia="宋体" w:hint="default"/>
                <w:sz w:val="21"/>
                <w:szCs w:val="21"/>
              </w:rPr>
              <w:t>保函受益人</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97" w:right="0"/>
              <w:jc w:val="left"/>
              <w:rPr>
                <w:rFonts w:ascii="宋体" w:hAnsi="宋体" w:cs="宋体" w:eastAsia="宋体" w:hint="default"/>
                <w:sz w:val="21"/>
                <w:szCs w:val="21"/>
              </w:rPr>
            </w:pPr>
            <w:r>
              <w:rPr>
                <w:rFonts w:ascii="宋体" w:hAnsi="宋体" w:cs="宋体" w:eastAsia="宋体" w:hint="default"/>
                <w:sz w:val="21"/>
                <w:szCs w:val="21"/>
              </w:rPr>
              <w:t>保函金额</w:t>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18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襄阳市商务局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485,400.00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2015-06-09</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2018-06-09</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昆山市档案局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149,100.00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2016-06-16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2018-06-16</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上海市青浦监狱</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12,000.00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2016-06-16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2018-06-16</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宁波市档案局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60,000.00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2016-11-09</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2018-11-09</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上海市吴家洼监狱</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25,760.00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2016-11-14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2019-11-14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上海市司法警官学校</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64,583.87</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2016-11-14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2019-11-14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上海市青浦监狱</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41,500.00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2016-11-24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2019-11-24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呼和浩特市商务局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1,949,000.00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2016-12-02</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2019-11-30</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呼和浩特市商务局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357,600.00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2016-12-02</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2019-11-30</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青浦检察院</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19,745.00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2017-01-13</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2018-08-10</w:t>
            </w:r>
          </w:p>
        </w:tc>
      </w:tr>
      <w:tr>
        <w:trPr>
          <w:trHeight w:val="665"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质量银行保函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中国人民政治协商会议上海市</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委员会办公厅</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39,950.00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2017-01-31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2019-07-04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福州市商务局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498,046.90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2017-02-16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2018-02-14</w:t>
            </w:r>
          </w:p>
        </w:tc>
      </w:tr>
      <w:tr>
        <w:trPr>
          <w:trHeight w:val="664"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履约银行保函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最高人民法院司法行政装备管</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理局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10,500.00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2017-02-20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2018-02-14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太原市商务局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2,988,106.60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2017-03-27</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2020-03-26</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常州市金坛区档案馆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95,500.00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2017-04-13</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2019-04-12</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上海市青浦区科学技术委员会</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37,250.00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2017-04-19</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2018-04-17</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上海市青浦监狱</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10,033.00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2017-04-19</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2020-04-17</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泰兴市史志档案办公室</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68,250.00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2017-04-25</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2018-04-23</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中国第二历史档案馆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152,000.00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2017-05-08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2018-05-02</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133,728.00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2017-05-26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2018-05-25</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黑龙江省档案局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486,000.00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2017-05-26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2018-01-25</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履约银行保函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上海市档案馆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89,500.00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2017-06-19</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2018-06-18</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291,600.00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2017-06-22</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2018-06-21</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上海市公安局信访处</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49,320.00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2017-06-28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2017-12-30</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上海市档案馆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34,000.00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2017-07-21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2018-06-30</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国家卫生计生委设计信息中心</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162,000.00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2017-07-21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2018-01-21</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宁波市档案局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79,500.00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2017-09-08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宁波市档案局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79,500.00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2017-09-08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上海市公安局信访处</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42,500.00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2017-09-21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2018-08-31</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黑龙江省档案局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926,600.00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2017-10-13</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2018-12-31</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黑龙江省档案局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496,600.00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2017-10-24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2018-12-31</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上海市杨浦区档案局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117,550.00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2017-10-24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2018-10-19</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上海市杨浦区档案局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28,860.00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2017-10-24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2018-10-19</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上海市财政局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235,000.00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2017-10-24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2018-03-31</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上海市财政局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240,000.00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2017-10-24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2018-03-31</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733" w:type="dxa"/>
        <w:tblLayout w:type="fixed"/>
        <w:tblCellMar>
          <w:top w:w="0" w:type="dxa"/>
          <w:left w:w="0" w:type="dxa"/>
          <w:bottom w:w="0" w:type="dxa"/>
          <w:right w:w="0" w:type="dxa"/>
        </w:tblCellMar>
        <w:tblLook w:val="01E0"/>
      </w:tblPr>
      <w:tblGrid>
        <w:gridCol w:w="1360"/>
        <w:gridCol w:w="2820"/>
        <w:gridCol w:w="1252"/>
        <w:gridCol w:w="1194"/>
        <w:gridCol w:w="1188"/>
      </w:tblGrid>
      <w:tr>
        <w:trPr>
          <w:trHeight w:val="355" w:hRule="exact"/>
        </w:trPr>
        <w:tc>
          <w:tcPr>
            <w:tcW w:w="136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预付款保函</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上海市财政局</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225,000.00</w:t>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98" w:right="0"/>
              <w:jc w:val="left"/>
              <w:rPr>
                <w:rFonts w:ascii="Times New Roman" w:hAnsi="Times New Roman" w:cs="Times New Roman" w:eastAsia="Times New Roman" w:hint="default"/>
                <w:sz w:val="21"/>
                <w:szCs w:val="21"/>
              </w:rPr>
            </w:pPr>
            <w:r>
              <w:rPr>
                <w:rFonts w:ascii="Times New Roman"/>
                <w:sz w:val="21"/>
              </w:rPr>
              <w:t>2017-10-24</w:t>
            </w:r>
          </w:p>
        </w:tc>
        <w:tc>
          <w:tcPr>
            <w:tcW w:w="11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5"/>
              <w:jc w:val="center"/>
              <w:rPr>
                <w:rFonts w:ascii="Times New Roman" w:hAnsi="Times New Roman" w:cs="Times New Roman" w:eastAsia="Times New Roman" w:hint="default"/>
                <w:sz w:val="21"/>
                <w:szCs w:val="21"/>
              </w:rPr>
            </w:pPr>
            <w:r>
              <w:rPr>
                <w:rFonts w:ascii="Times New Roman"/>
                <w:sz w:val="21"/>
              </w:rPr>
              <w:t>2018-03-31</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上海市公安局奉贤分局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24,150.00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2017-11-01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2020-06-28</w:t>
            </w:r>
          </w:p>
        </w:tc>
      </w:tr>
      <w:tr>
        <w:trPr>
          <w:trHeight w:val="665"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预付款银行保</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上海海事法院</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344,400.00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2017-11-01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2018-10-30</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上海市公安局信访处</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12,950.00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2017-11-10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国家档案局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55,194.84</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2017-11-10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上海市青浦监狱</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187,500.00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2017-11-10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上海市青浦监狱</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25,500.00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2017-11-10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上海市未成年犯管教所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80,000.00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2017-11-16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2022-11-16</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质量银行保函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上海市宝山区人民检察院</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2017-11-16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2018-11-14</w:t>
            </w:r>
          </w:p>
        </w:tc>
      </w:tr>
      <w:tr>
        <w:trPr>
          <w:trHeight w:val="664"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上海市人力资源和社会保障局</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信息中心</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242,400.00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2017-11-23</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国家档案局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79,875.00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2017-11-23</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国家档案局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79,875.00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2017-11-23</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国家档案局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79,875.00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2017-11-23</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中国丝绸博物馆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97,500.00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2017-11-30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广州市增城区人民法院</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348,993.00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2017-11-30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广州市增城区人民法院</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77,430.00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2017-11-30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广州市增城区人民法院</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38,777.00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2017-12-06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2021-06-06</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东莞市档案局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268,000.00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2017-12-06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舟山博物馆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54,200.00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2017-12-07</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晋中市档案局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300,000.00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2017-12-08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青海省海东市商务局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190,000.00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2017-12-12</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青海省海东市商务局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449,000.00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2017-12-12</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宜昌市商务局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1,186,000.00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2017-12-14</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2018-12-10</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抚松县司法局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400,000.00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2017-12-15</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履约银行保函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上海市民防办公室</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93,657.15</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2017-12-18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2018-06-30</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杭州市档案局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42,000.00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2017-12-21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质量维修保函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黑龙江省档案局</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453,100.00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2017-12-21</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2018-03-14</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质量银行保函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上海市档案馆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179,000.00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2017-12-26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2018-03-17</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质量银行保函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上海天华信息发展有限公司</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21,931.00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2017-12-26</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2019-12-24</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安徽省地质博物馆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73,000.00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2017-12-28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2018-12-27</w:t>
            </w:r>
          </w:p>
        </w:tc>
      </w:tr>
      <w:tr>
        <w:trPr>
          <w:trHeight w:val="352"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安徽省地质博物馆</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36,400.00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2017-12-28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2018-12-27</w:t>
            </w:r>
          </w:p>
        </w:tc>
      </w:tr>
      <w:tr>
        <w:trPr>
          <w:trHeight w:val="664"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质量保函</w:t>
            </w:r>
          </w:p>
        </w:tc>
        <w:tc>
          <w:tcPr>
            <w:tcW w:w="28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重庆红岩联线文化发展管理中</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心</w:t>
            </w: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354,000.00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2017-12-28</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2018-02-27</w:t>
            </w:r>
          </w:p>
        </w:tc>
      </w:tr>
      <w:tr>
        <w:trPr>
          <w:trHeight w:val="353" w:hRule="exact"/>
        </w:trPr>
        <w:tc>
          <w:tcPr>
            <w:tcW w:w="13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7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820" w:type="dxa"/>
            <w:tcBorders>
              <w:top w:val="single" w:sz="12" w:space="0" w:color="000000"/>
              <w:left w:val="single" w:sz="6" w:space="0" w:color="000000"/>
              <w:bottom w:val="single" w:sz="12" w:space="0" w:color="000000"/>
              <w:right w:val="single" w:sz="6" w:space="0" w:color="000000"/>
            </w:tcBorders>
          </w:tcPr>
          <w:p>
            <w:pPr/>
          </w:p>
        </w:tc>
        <w:tc>
          <w:tcPr>
            <w:tcW w:w="12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16,665,291.36</w:t>
            </w:r>
          </w:p>
        </w:tc>
        <w:tc>
          <w:tcPr>
            <w:tcW w:w="1194" w:type="dxa"/>
            <w:tcBorders>
              <w:top w:val="single" w:sz="12" w:space="0" w:color="000000"/>
              <w:left w:val="single" w:sz="6" w:space="0" w:color="000000"/>
              <w:bottom w:val="single" w:sz="12" w:space="0" w:color="000000"/>
              <w:right w:val="single" w:sz="6" w:space="0" w:color="000000"/>
            </w:tcBorders>
          </w:tcPr>
          <w:p>
            <w:pPr/>
          </w:p>
        </w:tc>
        <w:tc>
          <w:tcPr>
            <w:tcW w:w="1188" w:type="dxa"/>
            <w:tcBorders>
              <w:top w:val="single" w:sz="12" w:space="0" w:color="000000"/>
              <w:left w:val="single" w:sz="6" w:space="0" w:color="000000"/>
              <w:bottom w:val="single" w:sz="12" w:space="0" w:color="000000"/>
              <w:right w:val="nil" w:sz="6" w:space="0" w:color="auto"/>
            </w:tcBorders>
          </w:tcPr>
          <w:p>
            <w:pPr/>
          </w:p>
        </w:tc>
      </w:tr>
    </w:tbl>
    <w:p>
      <w:pPr>
        <w:pStyle w:val="Heading6"/>
        <w:spacing w:line="276" w:lineRule="exact"/>
        <w:ind w:left="2087" w:right="985"/>
        <w:jc w:val="left"/>
      </w:pPr>
      <w:r>
        <w:rPr/>
        <w:t>开具上述保函，公司存入的保证金金额为</w:t>
      </w:r>
      <w:r>
        <w:rPr>
          <w:rFonts w:ascii="Times New Roman" w:hAnsi="Times New Roman" w:cs="Times New Roman" w:eastAsia="Times New Roman" w:hint="default"/>
        </w:rPr>
        <w:t>2,346,730.09</w:t>
      </w:r>
      <w:r>
        <w:rPr>
          <w:rFonts w:ascii="Times New Roman" w:hAnsi="Times New Roman" w:cs="Times New Roman" w:eastAsia="Times New Roman" w:hint="default"/>
          <w:spacing w:val="29"/>
        </w:rPr>
        <w:t> </w:t>
      </w:r>
      <w:r>
        <w:rPr/>
        <w:t>元。</w:t>
      </w:r>
    </w:p>
    <w:p>
      <w:pPr>
        <w:spacing w:line="240" w:lineRule="auto" w:before="6"/>
        <w:rPr>
          <w:rFonts w:ascii="宋体" w:hAnsi="宋体" w:cs="宋体" w:eastAsia="宋体" w:hint="default"/>
          <w:sz w:val="25"/>
          <w:szCs w:val="25"/>
        </w:rPr>
      </w:pPr>
    </w:p>
    <w:p>
      <w:pPr>
        <w:spacing w:line="256" w:lineRule="auto" w:before="0"/>
        <w:ind w:left="2002" w:right="985" w:hanging="1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）截止</w:t>
      </w: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日，抵押无形资产和在建工程的情况</w:t>
      </w:r>
      <w:r>
        <w:rPr>
          <w:rFonts w:ascii="宋体" w:hAnsi="宋体" w:cs="宋体" w:eastAsia="宋体" w:hint="default"/>
          <w:b/>
          <w:bCs/>
          <w:w w:val="99"/>
          <w:sz w:val="21"/>
          <w:szCs w:val="21"/>
        </w:rPr>
        <w:t> </w:t>
      </w:r>
      <w:r>
        <w:rPr>
          <w:rFonts w:ascii="宋体" w:hAnsi="宋体" w:cs="宋体" w:eastAsia="宋体" w:hint="default"/>
          <w:spacing w:val="-1"/>
          <w:sz w:val="21"/>
          <w:szCs w:val="21"/>
        </w:rPr>
        <w:t>子公司光典信息发展有限公司新建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光典智能物联网、档案数据处理中试基地新建厂房</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项目，该</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61" w:lineRule="auto" w:before="35"/>
        <w:ind w:left="1869" w:right="1119" w:firstLine="132"/>
        <w:jc w:val="left"/>
      </w:pPr>
      <w:r>
        <w:rPr>
          <w:spacing w:val="-1"/>
        </w:rPr>
        <w:t>项目位于青浦区崧泽大道</w:t>
      </w:r>
      <w:r>
        <w:rPr>
          <w:rFonts w:ascii="Times New Roman" w:hAnsi="Times New Roman" w:cs="Times New Roman" w:eastAsia="Times New Roman" w:hint="default"/>
          <w:spacing w:val="-1"/>
        </w:rPr>
        <w:t>6011</w:t>
      </w:r>
      <w:r>
        <w:rPr>
          <w:spacing w:val="-1"/>
        </w:rPr>
        <w:t>号，土地面积</w:t>
      </w:r>
      <w:r>
        <w:rPr>
          <w:rFonts w:ascii="Times New Roman" w:hAnsi="Times New Roman" w:cs="Times New Roman" w:eastAsia="Times New Roman" w:hint="default"/>
          <w:spacing w:val="-1"/>
        </w:rPr>
        <w:t>29,926.30</w:t>
      </w:r>
      <w:r>
        <w:rPr>
          <w:spacing w:val="-1"/>
        </w:rPr>
        <w:t>平方米，在建厂房面积</w:t>
      </w:r>
      <w:r>
        <w:rPr>
          <w:rFonts w:ascii="Times New Roman" w:hAnsi="Times New Roman" w:cs="Times New Roman" w:eastAsia="Times New Roman" w:hint="default"/>
          <w:spacing w:val="-1"/>
        </w:rPr>
        <w:t>81,650.75</w:t>
      </w:r>
      <w:r>
        <w:rPr>
          <w:spacing w:val="-1"/>
        </w:rPr>
        <w:t>平方米，土</w:t>
      </w:r>
      <w:r>
        <w:rPr/>
        <w:t> 地产权证：沪房地青字（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015219</w:t>
      </w:r>
      <w:r>
        <w:rPr/>
        <w:t>号。光典信息发展有限公司以此土地产权证及在建工程 作为抵押，向中国建设银行股份有限公司上海静安支行申请办理了固定资产贷款，贷款用途为投 资</w:t>
      </w:r>
      <w:r>
        <w:rPr>
          <w:rFonts w:ascii="Times New Roman" w:hAnsi="Times New Roman" w:cs="Times New Roman" w:eastAsia="Times New Roman" w:hint="default"/>
        </w:rPr>
        <w:t>“</w:t>
      </w:r>
      <w:r>
        <w:rPr/>
        <w:t>光典智能物联网、档案数据处理中试基地新建厂房</w:t>
      </w:r>
      <w:r>
        <w:rPr>
          <w:rFonts w:ascii="Times New Roman" w:hAnsi="Times New Roman" w:cs="Times New Roman" w:eastAsia="Times New Roman" w:hint="default"/>
        </w:rPr>
        <w:t>”</w:t>
      </w:r>
      <w:r>
        <w:rPr/>
        <w:t>项目，贷款总金额为人民币</w:t>
      </w:r>
      <w:r>
        <w:rPr>
          <w:rFonts w:ascii="Times New Roman" w:hAnsi="Times New Roman" w:cs="Times New Roman" w:eastAsia="Times New Roman" w:hint="default"/>
        </w:rPr>
        <w:t>165,000,000.00 </w:t>
      </w:r>
      <w:r>
        <w:rPr/>
        <w:t>元，贷款期限为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日，还款方式为按还款计划进行还款。本公司、法 定代表人张曙华及其配偶庞文莉为光典信息发展有限公司提供连带责任保证，保证金额为人民币 </w:t>
      </w:r>
      <w:r>
        <w:rPr>
          <w:rFonts w:ascii="Times New Roman" w:hAnsi="Times New Roman" w:cs="Times New Roman" w:eastAsia="Times New Roman" w:hint="default"/>
        </w:rPr>
        <w:t>165,000,000.00</w:t>
      </w:r>
      <w:r>
        <w:rPr/>
        <w:t>元，期限自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日，该长期借款已拨款人民币</w:t>
      </w:r>
      <w:r>
        <w:rPr>
          <w:rFonts w:ascii="Times New Roman" w:hAnsi="Times New Roman" w:cs="Times New Roman" w:eastAsia="Times New Roman" w:hint="default"/>
        </w:rPr>
        <w:t>130,000,000.00</w:t>
      </w:r>
      <w:r>
        <w:rPr/>
        <w:t>元，上述抵押中在建工程合计人民 币</w:t>
      </w:r>
      <w:r>
        <w:rPr>
          <w:rFonts w:ascii="Times New Roman" w:hAnsi="Times New Roman" w:cs="Times New Roman" w:eastAsia="Times New Roman" w:hint="default"/>
        </w:rPr>
        <w:t>230,603,387.02</w:t>
      </w:r>
      <w:r>
        <w:rPr/>
        <w:t>元，无形资产的原值人民</w:t>
      </w:r>
      <w:r>
        <w:rPr>
          <w:spacing w:val="-28"/>
        </w:rPr>
        <w:t> </w:t>
      </w:r>
      <w:r>
        <w:rPr/>
        <w:t>币</w:t>
      </w:r>
      <w:r>
        <w:rPr>
          <w:rFonts w:ascii="Times New Roman" w:hAnsi="Times New Roman" w:cs="Times New Roman" w:eastAsia="Times New Roman" w:hint="default"/>
        </w:rPr>
        <w:t>32,388,620.00</w:t>
      </w:r>
      <w:r>
        <w:rPr/>
        <w:t>元、净值人民币</w:t>
      </w:r>
      <w:r>
        <w:rPr>
          <w:rFonts w:ascii="Times New Roman" w:hAnsi="Times New Roman" w:cs="Times New Roman" w:eastAsia="Times New Roman" w:hint="default"/>
        </w:rPr>
        <w:t>29,797,530.37</w:t>
      </w:r>
      <w:r>
        <w:rPr/>
        <w:t>元。</w:t>
      </w:r>
    </w:p>
    <w:p>
      <w:pPr>
        <w:spacing w:line="240" w:lineRule="auto" w:before="11"/>
        <w:rPr>
          <w:rFonts w:ascii="宋体" w:hAnsi="宋体" w:cs="宋体" w:eastAsia="宋体" w:hint="default"/>
          <w:sz w:val="23"/>
          <w:szCs w:val="23"/>
        </w:rPr>
      </w:pPr>
    </w:p>
    <w:p>
      <w:pPr>
        <w:pStyle w:val="Heading5"/>
        <w:spacing w:line="240" w:lineRule="auto"/>
        <w:ind w:left="1881" w:right="985"/>
        <w:jc w:val="left"/>
        <w:rPr>
          <w:b w:val="0"/>
          <w:bCs w:val="0"/>
        </w:rPr>
      </w:pPr>
      <w:r>
        <w:rPr/>
        <w:t>（</w:t>
      </w:r>
      <w:r>
        <w:rPr>
          <w:rFonts w:ascii="Times New Roman" w:hAnsi="Times New Roman" w:cs="Times New Roman" w:eastAsia="Times New Roman" w:hint="default"/>
        </w:rPr>
        <w:t>3</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日，除上述承诺事项外，本公司无其他需要披露的重要承诺事项。</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Heading5"/>
        <w:spacing w:line="240" w:lineRule="auto"/>
        <w:ind w:left="1134" w:right="985"/>
        <w:jc w:val="left"/>
        <w:rPr>
          <w:b w:val="0"/>
          <w:bCs w:val="0"/>
        </w:rPr>
      </w:pPr>
      <w:bookmarkStart w:name="2、或有事项" w:id="482"/>
      <w:bookmarkEnd w:id="48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资产负债表日存在的重要或有事项" w:id="483"/>
      <w:bookmarkEnd w:id="48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2）公司没有需要披露的重要或有事项，也应予以说明" w:id="484"/>
      <w:bookmarkEnd w:id="48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3、其他" w:id="485"/>
      <w:bookmarkEnd w:id="4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6"/>
      <w:bookmarkEnd w:id="48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7"/>
      <w:bookmarkEnd w:id="48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利润分配情况" w:id="488"/>
      <w:bookmarkEnd w:id="48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6,777,440.00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6,777,440.00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销售退回" w:id="489"/>
      <w:bookmarkEnd w:id="489"/>
      <w:r>
        <w:rPr>
          <w:b w:val="0"/>
          <w:bCs w:val="0"/>
        </w:rPr>
      </w:r>
      <w:r>
        <w:rPr>
          <w:rFonts w:ascii="Times New Roman" w:hAnsi="Times New Roman" w:cs="Times New Roman" w:eastAsia="Times New Roman" w:hint="default"/>
        </w:rPr>
        <w:t>3</w:t>
      </w:r>
      <w:r>
        <w:rPr/>
        <w:t>、销售退回</w:t>
      </w:r>
      <w:r>
        <w:rPr>
          <w:b w:val="0"/>
          <w:bCs w:val="0"/>
        </w:rPr>
      </w:r>
    </w:p>
    <w:p>
      <w:pPr>
        <w:spacing w:line="610" w:lineRule="atLeast" w:before="3"/>
        <w:ind w:left="1134" w:right="985" w:firstLine="0"/>
        <w:jc w:val="left"/>
        <w:rPr>
          <w:rFonts w:ascii="宋体" w:hAnsi="宋体" w:cs="宋体" w:eastAsia="宋体" w:hint="default"/>
          <w:sz w:val="21"/>
          <w:szCs w:val="21"/>
        </w:rPr>
      </w:pPr>
      <w:bookmarkStart w:name="4、其他资产负债表日后事项说明" w:id="490"/>
      <w:bookmarkEnd w:id="49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年度利润分配预案已经</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日召开的第四届董事会第十次会议审议通过，以截止至</w:t>
      </w:r>
    </w:p>
    <w:p>
      <w:pPr>
        <w:pStyle w:val="Heading6"/>
        <w:spacing w:line="240" w:lineRule="auto" w:before="21"/>
        <w:ind w:left="1134" w:right="98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日公司的总股本</w:t>
      </w:r>
      <w:r>
        <w:rPr>
          <w:rFonts w:ascii="Times New Roman" w:hAnsi="Times New Roman" w:cs="Times New Roman" w:eastAsia="Times New Roman" w:hint="default"/>
        </w:rPr>
        <w:t>68,300,000</w:t>
      </w:r>
      <w:r>
        <w:rPr/>
        <w:t>股扣除将注销的回购股份</w:t>
      </w:r>
      <w:r>
        <w:rPr>
          <w:rFonts w:ascii="Times New Roman" w:hAnsi="Times New Roman" w:cs="Times New Roman" w:eastAsia="Times New Roman" w:hint="default"/>
        </w:rPr>
        <w:t>525,600</w:t>
      </w:r>
      <w:r>
        <w:rPr/>
        <w:t>股后的</w:t>
      </w:r>
      <w:r>
        <w:rPr>
          <w:rFonts w:ascii="Times New Roman" w:hAnsi="Times New Roman" w:cs="Times New Roman" w:eastAsia="Times New Roman" w:hint="default"/>
        </w:rPr>
        <w:t>67,774,400</w:t>
      </w:r>
      <w:r>
        <w:rPr/>
        <w:t>股为基数，拟向</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left="1133" w:right="985"/>
        <w:jc w:val="left"/>
      </w:pPr>
      <w:r>
        <w:rPr>
          <w:spacing w:val="-2"/>
        </w:rPr>
        <w:t>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1.00</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，合计派发现金股利人民</w:t>
      </w:r>
      <w:r>
        <w:rPr>
          <w:rFonts w:ascii="Times New Roman" w:hAnsi="Times New Roman" w:cs="Times New Roman" w:eastAsia="Times New Roman" w:hint="default"/>
          <w:spacing w:val="-2"/>
        </w:rPr>
        <w:t>6,777,440.00</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，同时向以</w:t>
      </w:r>
      <w:r>
        <w:rPr>
          <w:spacing w:val="-86"/>
        </w:rPr>
        <w:t> </w:t>
      </w:r>
      <w:r>
        <w:rPr>
          <w:spacing w:val="-86"/>
        </w:rPr>
      </w:r>
      <w:r>
        <w:rPr>
          <w:rFonts w:ascii="Times New Roman" w:hAnsi="Times New Roman" w:cs="Times New Roman" w:eastAsia="Times New Roman" w:hint="default"/>
          <w:spacing w:val="-2"/>
        </w:rPr>
        <w:t>68,300,000</w:t>
      </w:r>
      <w:r>
        <w:rPr>
          <w:spacing w:val="-2"/>
        </w:rPr>
        <w:t>股扣除将注销的回购股份</w:t>
      </w:r>
      <w:r>
        <w:rPr>
          <w:rFonts w:ascii="Times New Roman" w:hAnsi="Times New Roman" w:cs="Times New Roman" w:eastAsia="Times New Roman" w:hint="default"/>
          <w:spacing w:val="-2"/>
        </w:rPr>
        <w:t>525,600</w:t>
      </w:r>
      <w:r>
        <w:rPr>
          <w:spacing w:val="-2"/>
        </w:rPr>
        <w:t>股后的</w:t>
      </w:r>
      <w:r>
        <w:rPr>
          <w:rFonts w:ascii="Times New Roman" w:hAnsi="Times New Roman" w:cs="Times New Roman" w:eastAsia="Times New Roman" w:hint="default"/>
          <w:spacing w:val="-2"/>
        </w:rPr>
        <w:t>67,774,400</w:t>
      </w:r>
      <w:r>
        <w:rPr>
          <w:spacing w:val="-2"/>
        </w:rPr>
        <w:t>股为基数，拟向全体股东以资本公积每</w:t>
      </w:r>
      <w:r>
        <w:rPr>
          <w:rFonts w:ascii="Times New Roman" w:hAnsi="Times New Roman" w:cs="Times New Roman" w:eastAsia="Times New Roman" w:hint="default"/>
          <w:spacing w:val="-2"/>
        </w:rPr>
        <w:t>10</w:t>
      </w:r>
      <w:r>
        <w:rPr>
          <w:spacing w:val="-2"/>
        </w:rPr>
        <w:t>股转</w:t>
      </w:r>
      <w:r>
        <w:rPr>
          <w:spacing w:val="-60"/>
        </w:rPr>
        <w:t> </w:t>
      </w:r>
      <w:r>
        <w:rPr/>
        <w:t>增</w:t>
      </w:r>
      <w:r>
        <w:rPr>
          <w:rFonts w:ascii="Times New Roman" w:hAnsi="Times New Roman" w:cs="Times New Roman" w:eastAsia="Times New Roman" w:hint="default"/>
        </w:rPr>
        <w:t>8</w:t>
      </w:r>
      <w:r>
        <w:rPr/>
        <w:t>股，分配完成后公司股本总额增至</w:t>
      </w:r>
      <w:r>
        <w:rPr>
          <w:rFonts w:ascii="Times New Roman" w:hAnsi="Times New Roman" w:cs="Times New Roman" w:eastAsia="Times New Roman" w:hint="default"/>
        </w:rPr>
        <w:t>121,993,920</w:t>
      </w:r>
      <w:r>
        <w:rPr/>
        <w:t>股。本次分配不送红股，剩余未分配利润结转以后年度 分配。</w:t>
      </w:r>
    </w:p>
    <w:p>
      <w:pPr>
        <w:pStyle w:val="Heading6"/>
        <w:spacing w:line="240" w:lineRule="auto" w:before="23"/>
        <w:ind w:left="1133" w:right="985"/>
        <w:jc w:val="left"/>
      </w:pPr>
      <w:r>
        <w:rPr/>
        <w:t>公司将注销上述回购的</w:t>
      </w:r>
      <w:r>
        <w:rPr>
          <w:rFonts w:ascii="Times New Roman" w:hAnsi="Times New Roman" w:cs="Times New Roman" w:eastAsia="Times New Roman" w:hint="default"/>
        </w:rPr>
        <w:t>525,600.00</w:t>
      </w:r>
      <w:r>
        <w:rPr/>
        <w:t>股后再实施上述利润分配预案和资本公积转增股本预案。</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4"/>
        <w:spacing w:line="240" w:lineRule="auto"/>
        <w:ind w:left="1134" w:right="985"/>
        <w:jc w:val="left"/>
        <w:rPr>
          <w:b w:val="0"/>
          <w:bCs w:val="0"/>
        </w:rPr>
      </w:pPr>
      <w:bookmarkStart w:name="十六、其他重要事项" w:id="491"/>
      <w:bookmarkEnd w:id="49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前期会计差错更正" w:id="492"/>
      <w:bookmarkEnd w:id="49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追溯重述法" w:id="493"/>
      <w:bookmarkEnd w:id="4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未来适用法" w:id="494"/>
      <w:bookmarkEnd w:id="4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2、债务重组" w:id="495"/>
      <w:bookmarkEnd w:id="4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85"/>
        <w:jc w:val="left"/>
        <w:rPr>
          <w:b w:val="0"/>
          <w:bCs w:val="0"/>
        </w:rPr>
      </w:pPr>
      <w:bookmarkStart w:name="3、资产置换" w:id="496"/>
      <w:bookmarkEnd w:id="4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非货币性资产交换" w:id="497"/>
      <w:bookmarkEnd w:id="4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85"/>
        <w:jc w:val="left"/>
        <w:rPr>
          <w:b w:val="0"/>
          <w:bCs w:val="0"/>
        </w:rPr>
      </w:pPr>
      <w:bookmarkStart w:name="（2）其他资产置换" w:id="498"/>
      <w:bookmarkEnd w:id="4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985"/>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85"/>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5"/>
        <w:jc w:val="left"/>
        <w:rPr>
          <w:b w:val="0"/>
          <w:bCs w:val="0"/>
        </w:rPr>
      </w:pPr>
      <w:bookmarkStart w:name="（1）报告分部的确定依据与会计政策" w:id="502"/>
      <w:bookmarkEnd w:id="5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2）报告分部的财务信息" w:id="503"/>
      <w:bookmarkEnd w:id="5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公司无报告分部的，或者不能披露各报告分部的资产总额和负债总额的，应说明原因" w:id="504"/>
      <w:bookmarkEnd w:id="5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4）其他说明" w:id="505"/>
      <w:bookmarkEnd w:id="50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7、其他对投资者决策有影响的重要交易和事项" w:id="506"/>
      <w:bookmarkEnd w:id="50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8、其他" w:id="507"/>
      <w:bookmarkEnd w:id="507"/>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870" w:right="985"/>
        <w:jc w:val="left"/>
        <w:rPr>
          <w:b w:val="0"/>
          <w:bCs w:val="0"/>
        </w:rPr>
      </w:pPr>
      <w:r>
        <w:rPr/>
        <w:t>（一）关于公司股票期权的事项</w:t>
      </w:r>
      <w:r>
        <w:rPr>
          <w:b w:val="0"/>
          <w:bCs w:val="0"/>
        </w:rPr>
      </w:r>
    </w:p>
    <w:p>
      <w:pPr>
        <w:pStyle w:val="Heading6"/>
        <w:spacing w:line="259" w:lineRule="auto" w:before="37"/>
        <w:ind w:left="1869" w:right="1118"/>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 </w:t>
      </w:r>
      <w:r>
        <w:rPr/>
        <w:t>日，公司公告了《</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年度业绩快报》，该业绩快报已经公司第四届审计委员 会 </w:t>
      </w:r>
      <w:r>
        <w:rPr>
          <w:rFonts w:ascii="Times New Roman" w:hAnsi="Times New Roman" w:cs="Times New Roman" w:eastAsia="Times New Roman" w:hint="default"/>
        </w:rPr>
        <w:t>2018 </w:t>
      </w:r>
      <w:r>
        <w:rPr/>
        <w:t>年第一次会议审议通过。根据《</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年业绩快报》出具的数据，按照《上海中信信息发 展股份有限公司首期限制性股票激励计划（草案）》的相关规定，公司董事会认定首次授予限制 性股票未达到第二个解锁期公司层面业绩考核条件，将依据公司股东大会的授权，按相关程序办 理回购注销未达到第二个解锁期解锁条件的首次授予限制性股票共计</w:t>
      </w:r>
      <w:r>
        <w:rPr>
          <w:rFonts w:ascii="Times New Roman" w:hAnsi="Times New Roman" w:cs="Times New Roman" w:eastAsia="Times New Roman" w:hint="default"/>
        </w:rPr>
        <w:t>447,570</w:t>
      </w:r>
      <w:r>
        <w:rPr/>
        <w:t>股。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日召开第四届董事会第十次会议，审议通过了《关于回购注销部分限制性股票</w:t>
      </w:r>
      <w:r>
        <w:rPr>
          <w:spacing w:val="-84"/>
        </w:rPr>
        <w:t> </w:t>
      </w:r>
      <w:r>
        <w:rPr>
          <w:spacing w:val="-84"/>
        </w:rPr>
      </w:r>
      <w:r>
        <w:rPr/>
        <w:t>的议案》和《关于减少公司注册资本并修改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的议案》，鉴于公司首期限制性股票激励 计划及首期授予方案第一个解锁期内，</w:t>
      </w:r>
      <w:r>
        <w:rPr>
          <w:rFonts w:ascii="Times New Roman" w:hAnsi="Times New Roman" w:cs="Times New Roman" w:eastAsia="Times New Roman" w:hint="default"/>
        </w:rPr>
        <w:t>8</w:t>
      </w:r>
      <w:r>
        <w:rPr/>
        <w:t>名激励对象因离职应予回购注销其已获授但尚未解锁的 </w:t>
      </w:r>
      <w:r>
        <w:rPr>
          <w:rFonts w:ascii="Times New Roman" w:hAnsi="Times New Roman" w:cs="Times New Roman" w:eastAsia="Times New Roman" w:hint="default"/>
          <w:spacing w:val="-1"/>
        </w:rPr>
        <w:t>108,000</w:t>
      </w:r>
      <w:r>
        <w:rPr>
          <w:spacing w:val="-1"/>
        </w:rPr>
        <w:t>股限制性股票（含第三届董事会第二十二次会议审议的</w:t>
      </w:r>
      <w:r>
        <w:rPr>
          <w:rFonts w:ascii="Times New Roman" w:hAnsi="Times New Roman" w:cs="Times New Roman" w:eastAsia="Times New Roman" w:hint="default"/>
          <w:spacing w:val="-1"/>
        </w:rPr>
        <w:t>15,336</w:t>
      </w:r>
      <w:r>
        <w:rPr>
          <w:spacing w:val="-1"/>
        </w:rPr>
        <w:t>股），因部分与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30"/>
        </w:rPr>
        <w:t> </w:t>
      </w:r>
      <w:r>
        <w:rPr/>
        <w:t>日的回购股份数重叠，合并计算共计回购</w:t>
      </w:r>
      <w:r>
        <w:rPr>
          <w:rFonts w:ascii="Times New Roman" w:hAnsi="Times New Roman" w:cs="Times New Roman" w:eastAsia="Times New Roman" w:hint="default"/>
        </w:rPr>
        <w:t>525,600</w:t>
      </w:r>
      <w:r>
        <w:rPr/>
        <w:t>股。 </w:t>
      </w:r>
      <w:r>
        <w:rPr>
          <w:spacing w:val="-2"/>
        </w:rPr>
        <w:t>因公司于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日实施</w:t>
      </w:r>
      <w:r>
        <w:rPr>
          <w:rFonts w:ascii="Times New Roman" w:hAnsi="Times New Roman" w:cs="Times New Roman" w:eastAsia="Times New Roman" w:hint="default"/>
          <w:spacing w:val="-2"/>
        </w:rPr>
        <w:t>2016</w:t>
      </w:r>
      <w:r>
        <w:rPr>
          <w:spacing w:val="-2"/>
        </w:rPr>
        <w:t>年度权益分派，根据《公司</w:t>
      </w:r>
      <w:r>
        <w:rPr>
          <w:rFonts w:ascii="Times New Roman" w:hAnsi="Times New Roman" w:cs="Times New Roman" w:eastAsia="Times New Roman" w:hint="default"/>
          <w:spacing w:val="-2"/>
        </w:rPr>
        <w:t>&lt;</w:t>
      </w:r>
      <w:r>
        <w:rPr>
          <w:spacing w:val="-2"/>
        </w:rPr>
        <w:t>首期限制性股票激励计划（草案）</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8"/>
        </w:rPr>
        <w:t> </w:t>
      </w:r>
      <w:r>
        <w:rPr/>
        <w:t>及其摘要的议案》，限制性股票的回购价格应相应予以调整，回购价格</w:t>
      </w:r>
      <w:r>
        <w:rPr>
          <w:rFonts w:ascii="Times New Roman" w:hAnsi="Times New Roman" w:cs="Times New Roman" w:eastAsia="Times New Roman" w:hint="default"/>
        </w:rPr>
        <w:t>55.79</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55.68</w:t>
      </w:r>
      <w:r>
        <w:rPr/>
        <w:t>元</w:t>
      </w:r>
      <w:r>
        <w:rPr>
          <w:rFonts w:ascii="Times New Roman" w:hAnsi="Times New Roman" w:cs="Times New Roman" w:eastAsia="Times New Roman" w:hint="default"/>
        </w:rPr>
        <w:t>/ </w:t>
      </w:r>
      <w:r>
        <w:rPr/>
        <w:t>股，回购总金额为</w:t>
      </w:r>
      <w:r>
        <w:rPr>
          <w:rFonts w:ascii="Times New Roman" w:hAnsi="Times New Roman" w:cs="Times New Roman" w:eastAsia="Times New Roman" w:hint="default"/>
        </w:rPr>
        <w:t>29,265,408</w:t>
      </w:r>
      <w:r>
        <w:rPr/>
        <w:t>元，回购资金为公司自有资金。 此外，根据公司《首期限制性股票激励计划（草案）》的规定</w:t>
      </w:r>
      <w:r>
        <w:rPr>
          <w:rFonts w:ascii="Times New Roman" w:hAnsi="Times New Roman" w:cs="Times New Roman" w:eastAsia="Times New Roman" w:hint="default"/>
        </w:rPr>
        <w:t>,</w:t>
      </w:r>
      <w:r>
        <w:rPr/>
        <w:t>公司董事会决定回购注销部分限制 性股票共计</w:t>
      </w:r>
      <w:r>
        <w:rPr>
          <w:rFonts w:ascii="Times New Roman" w:hAnsi="Times New Roman" w:cs="Times New Roman" w:eastAsia="Times New Roman" w:hint="default"/>
        </w:rPr>
        <w:t>525,600</w:t>
      </w:r>
      <w:r>
        <w:rPr/>
        <w:t>股</w:t>
      </w:r>
      <w:r>
        <w:rPr>
          <w:rFonts w:ascii="Times New Roman" w:hAnsi="Times New Roman" w:cs="Times New Roman" w:eastAsia="Times New Roman" w:hint="default"/>
        </w:rPr>
        <w:t>,</w:t>
      </w:r>
      <w:r>
        <w:rPr/>
        <w:t>公司股本将由</w:t>
      </w:r>
      <w:r>
        <w:rPr>
          <w:rFonts w:ascii="Times New Roman" w:hAnsi="Times New Roman" w:cs="Times New Roman" w:eastAsia="Times New Roman" w:hint="default"/>
        </w:rPr>
        <w:t>68,300,000</w:t>
      </w:r>
      <w:r>
        <w:rPr/>
        <w:t>股减少为</w:t>
      </w:r>
      <w:r>
        <w:rPr>
          <w:rFonts w:ascii="Times New Roman" w:hAnsi="Times New Roman" w:cs="Times New Roman" w:eastAsia="Times New Roman" w:hint="default"/>
        </w:rPr>
        <w:t>67,774,400</w:t>
      </w:r>
      <w:r>
        <w:rPr/>
        <w:t>股，注册资本由</w:t>
      </w:r>
      <w:r>
        <w:rPr>
          <w:rFonts w:ascii="Times New Roman" w:hAnsi="Times New Roman" w:cs="Times New Roman" w:eastAsia="Times New Roman" w:hint="default"/>
        </w:rPr>
        <w:t>68,300,000</w:t>
      </w:r>
      <w:r>
        <w:rPr/>
        <w:t>元减 少为</w:t>
      </w:r>
      <w:r>
        <w:rPr>
          <w:rFonts w:ascii="Times New Roman" w:hAnsi="Times New Roman" w:cs="Times New Roman" w:eastAsia="Times New Roman" w:hint="default"/>
        </w:rPr>
        <w:t>67,774,400</w:t>
      </w:r>
      <w:r>
        <w:rPr/>
        <w:t>元。</w:t>
      </w:r>
    </w:p>
    <w:p>
      <w:pPr>
        <w:spacing w:line="240" w:lineRule="auto" w:before="1"/>
        <w:rPr>
          <w:rFonts w:ascii="宋体" w:hAnsi="宋体" w:cs="宋体" w:eastAsia="宋体" w:hint="default"/>
          <w:sz w:val="24"/>
          <w:szCs w:val="24"/>
        </w:rPr>
      </w:pPr>
    </w:p>
    <w:p>
      <w:pPr>
        <w:spacing w:line="264" w:lineRule="auto" w:before="0"/>
        <w:ind w:left="1870" w:right="1196" w:firstLine="0"/>
        <w:jc w:val="left"/>
        <w:rPr>
          <w:rFonts w:ascii="宋体" w:hAnsi="宋体" w:cs="宋体" w:eastAsia="宋体" w:hint="default"/>
          <w:sz w:val="21"/>
          <w:szCs w:val="21"/>
        </w:rPr>
      </w:pPr>
      <w:r>
        <w:rPr>
          <w:rFonts w:ascii="宋体" w:hAnsi="宋体" w:cs="宋体" w:eastAsia="宋体" w:hint="default"/>
          <w:b/>
          <w:bCs/>
          <w:sz w:val="21"/>
          <w:szCs w:val="21"/>
        </w:rPr>
        <w:t>（二）关于公司非公开发行股票的事项</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日，公司召开第四届董事会第五次会议，审议并通过《关于公司符合非公开发行股 票条件的议案》。</w:t>
      </w:r>
    </w:p>
    <w:p>
      <w:pPr>
        <w:pStyle w:val="Heading6"/>
        <w:spacing w:line="256" w:lineRule="auto" w:before="16"/>
        <w:ind w:left="1870" w:right="12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日，公司召开</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年第一次临时股东大会，审议通过了上述《关于公司符合非公开 发行股票条件的议案》。</w:t>
      </w:r>
    </w:p>
    <w:p>
      <w:pPr>
        <w:pStyle w:val="Heading6"/>
        <w:spacing w:line="240" w:lineRule="auto" w:before="23"/>
        <w:ind w:left="1870" w:right="985"/>
        <w:jc w:val="left"/>
      </w:pPr>
      <w:r>
        <w:rPr/>
        <w:t>截止本报告日，上述议案尚未实施。</w:t>
      </w:r>
    </w:p>
    <w:p>
      <w:pPr>
        <w:spacing w:line="240" w:lineRule="auto" w:before="9"/>
        <w:rPr>
          <w:rFonts w:ascii="宋体" w:hAnsi="宋体" w:cs="宋体" w:eastAsia="宋体" w:hint="default"/>
          <w:sz w:val="26"/>
          <w:szCs w:val="26"/>
        </w:rPr>
      </w:pPr>
    </w:p>
    <w:p>
      <w:pPr>
        <w:pStyle w:val="Heading5"/>
        <w:spacing w:line="240" w:lineRule="auto"/>
        <w:ind w:left="1869" w:right="985"/>
        <w:jc w:val="left"/>
        <w:rPr>
          <w:b w:val="0"/>
          <w:bCs w:val="0"/>
        </w:rPr>
      </w:pPr>
      <w:r>
        <w:rPr/>
        <w:t>（三）关于公司股权质押的事项</w:t>
      </w:r>
      <w:r>
        <w:rPr>
          <w:b w:val="0"/>
          <w:bCs w:val="0"/>
        </w:rPr>
      </w:r>
    </w:p>
    <w:p>
      <w:pPr>
        <w:pStyle w:val="Heading6"/>
        <w:spacing w:line="240" w:lineRule="auto" w:before="37"/>
        <w:ind w:left="1869" w:right="985"/>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日止，上海中信电子发展有限公司直接持有本公司股份</w:t>
      </w:r>
      <w:r>
        <w:rPr>
          <w:rFonts w:ascii="Times New Roman" w:hAnsi="Times New Roman" w:cs="Times New Roman" w:eastAsia="Times New Roman" w:hint="default"/>
        </w:rPr>
        <w:t>21,242,400</w:t>
      </w:r>
      <w:r>
        <w:rPr/>
        <w:t>股，占公</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left="1869" w:right="1112"/>
        <w:jc w:val="left"/>
      </w:pPr>
      <w:r>
        <w:rPr/>
        <w:t>司总股本的</w:t>
      </w:r>
      <w:r>
        <w:rPr>
          <w:rFonts w:ascii="Times New Roman" w:hAnsi="Times New Roman" w:cs="Times New Roman" w:eastAsia="Times New Roman" w:hint="default"/>
        </w:rPr>
        <w:t>31.10%</w:t>
      </w:r>
      <w:r>
        <w:rPr/>
        <w:t>。质押的股份总数为</w:t>
      </w:r>
      <w:r>
        <w:rPr>
          <w:rFonts w:ascii="Times New Roman" w:hAnsi="Times New Roman" w:cs="Times New Roman" w:eastAsia="Times New Roman" w:hint="default"/>
        </w:rPr>
        <w:t>4,990,000</w:t>
      </w:r>
      <w:r>
        <w:rPr/>
        <w:t>股，占其持有本公司股份总数的</w:t>
      </w:r>
      <w:r>
        <w:rPr>
          <w:spacing w:val="-55"/>
        </w:rPr>
        <w:t> </w:t>
      </w:r>
      <w:r>
        <w:rPr>
          <w:rFonts w:ascii="Times New Roman" w:hAnsi="Times New Roman" w:cs="Times New Roman" w:eastAsia="Times New Roman" w:hint="default"/>
        </w:rPr>
        <w:t>23.49%</w:t>
      </w:r>
      <w:r>
        <w:rPr/>
        <w:t>，占公司 总股本的</w:t>
      </w:r>
      <w:r>
        <w:rPr>
          <w:rFonts w:ascii="Times New Roman" w:hAnsi="Times New Roman" w:cs="Times New Roman" w:eastAsia="Times New Roman" w:hint="default"/>
        </w:rPr>
        <w:t>7.31%</w:t>
      </w:r>
      <w:r>
        <w:rPr/>
        <w:t>。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日止，公司实际控制人张曙华持有公司股份</w:t>
      </w:r>
      <w:r>
        <w:rPr>
          <w:rFonts w:ascii="Times New Roman" w:hAnsi="Times New Roman" w:cs="Times New Roman" w:eastAsia="Times New Roman" w:hint="default"/>
        </w:rPr>
        <w:t>15,070,080</w:t>
      </w:r>
      <w:r>
        <w:rPr/>
        <w:t>股，占公司总股本的 </w:t>
      </w:r>
      <w:r>
        <w:rPr>
          <w:rFonts w:ascii="Times New Roman" w:hAnsi="Times New Roman" w:cs="Times New Roman" w:eastAsia="Times New Roman" w:hint="default"/>
        </w:rPr>
        <w:t>22.06%</w:t>
      </w:r>
      <w:r>
        <w:rPr/>
        <w:t>。质押的股份总数为</w:t>
      </w:r>
      <w:r>
        <w:rPr>
          <w:rFonts w:ascii="Times New Roman" w:hAnsi="Times New Roman" w:cs="Times New Roman" w:eastAsia="Times New Roman" w:hint="default"/>
        </w:rPr>
        <w:t>5,800,000.00</w:t>
      </w:r>
      <w:r>
        <w:rPr/>
        <w:t>股，占其持有公司股份总数的</w:t>
      </w:r>
      <w:r>
        <w:rPr>
          <w:spacing w:val="-27"/>
        </w:rPr>
        <w:t> </w:t>
      </w:r>
      <w:r>
        <w:rPr>
          <w:rFonts w:ascii="Times New Roman" w:hAnsi="Times New Roman" w:cs="Times New Roman" w:eastAsia="Times New Roman" w:hint="default"/>
        </w:rPr>
        <w:t>38.49%</w:t>
      </w:r>
      <w:r>
        <w:rPr/>
        <w:t>，占公司总股本的</w:t>
      </w:r>
    </w:p>
    <w:p>
      <w:pPr>
        <w:pStyle w:val="Heading6"/>
        <w:spacing w:line="240" w:lineRule="auto" w:before="5"/>
        <w:ind w:left="1870" w:right="985"/>
        <w:jc w:val="left"/>
      </w:pPr>
      <w:r>
        <w:rPr>
          <w:rFonts w:ascii="Times New Roman" w:hAnsi="Times New Roman" w:cs="Times New Roman" w:eastAsia="Times New Roman" w:hint="default"/>
        </w:rPr>
        <w:t>8.49%</w:t>
      </w:r>
      <w:r>
        <w:rPr/>
        <w:t>。</w:t>
      </w:r>
    </w:p>
    <w:p>
      <w:pPr>
        <w:pStyle w:val="Heading6"/>
        <w:spacing w:line="256" w:lineRule="auto" w:before="21"/>
        <w:ind w:left="1869" w:right="985"/>
        <w:jc w:val="left"/>
      </w:pPr>
      <w:r>
        <w:rPr>
          <w:rFonts w:ascii="Times New Roman" w:hAnsi="Times New Roman" w:cs="Times New Roman" w:eastAsia="Times New Roman" w:hint="default"/>
        </w:rPr>
        <w:t>2</w:t>
      </w:r>
      <w:r>
        <w:rPr/>
        <w:t>、截至本报告日止，上海中信电子发展有限公司直接持有本公司股份</w:t>
      </w:r>
      <w:r>
        <w:rPr>
          <w:rFonts w:ascii="Times New Roman" w:hAnsi="Times New Roman" w:cs="Times New Roman" w:eastAsia="Times New Roman" w:hint="default"/>
        </w:rPr>
        <w:t>21,242,400</w:t>
      </w:r>
      <w:r>
        <w:rPr/>
        <w:t>股，占公司总股 </w:t>
      </w:r>
      <w:r>
        <w:rPr>
          <w:spacing w:val="-1"/>
        </w:rPr>
        <w:t>本的</w:t>
      </w:r>
      <w:r>
        <w:rPr>
          <w:rFonts w:ascii="Times New Roman" w:hAnsi="Times New Roman" w:cs="Times New Roman" w:eastAsia="Times New Roman" w:hint="default"/>
          <w:spacing w:val="-1"/>
        </w:rPr>
        <w:t>31.10%</w:t>
      </w:r>
      <w:r>
        <w:rPr>
          <w:spacing w:val="-1"/>
        </w:rPr>
        <w:t>。质押的股份总数为</w:t>
      </w:r>
      <w:r>
        <w:rPr>
          <w:rFonts w:ascii="Times New Roman" w:hAnsi="Times New Roman" w:cs="Times New Roman" w:eastAsia="Times New Roman" w:hint="default"/>
          <w:spacing w:val="-1"/>
        </w:rPr>
        <w:t>6,990,000.00</w:t>
      </w:r>
      <w:r>
        <w:rPr>
          <w:spacing w:val="-1"/>
        </w:rPr>
        <w:t>股，占其持有本公司股份总数的</w:t>
      </w:r>
      <w:r>
        <w:rPr>
          <w:rFonts w:ascii="Times New Roman" w:hAnsi="Times New Roman" w:cs="Times New Roman" w:eastAsia="Times New Roman" w:hint="default"/>
          <w:spacing w:val="-1"/>
        </w:rPr>
        <w:t>32.91%</w:t>
      </w:r>
      <w:r>
        <w:rPr>
          <w:spacing w:val="-1"/>
        </w:rPr>
        <w:t>，占公司总股</w:t>
      </w:r>
      <w:r>
        <w:rPr>
          <w:spacing w:val="-61"/>
        </w:rPr>
        <w:t> </w:t>
      </w:r>
      <w:r>
        <w:rPr>
          <w:spacing w:val="-61"/>
        </w:rPr>
      </w:r>
      <w:r>
        <w:rPr/>
        <w:t>本的</w:t>
      </w:r>
      <w:r>
        <w:rPr>
          <w:rFonts w:ascii="Times New Roman" w:hAnsi="Times New Roman" w:cs="Times New Roman" w:eastAsia="Times New Roman" w:hint="default"/>
        </w:rPr>
        <w:t>10.23%</w:t>
      </w:r>
      <w:r>
        <w:rPr/>
        <w:t>。 </w:t>
      </w:r>
      <w:r>
        <w:rPr>
          <w:spacing w:val="-2"/>
        </w:rPr>
        <w:t>截至本报告日止，公司实际控制人张曙华持有公司股份</w:t>
      </w:r>
      <w:r>
        <w:rPr>
          <w:rFonts w:ascii="Times New Roman" w:hAnsi="Times New Roman" w:cs="Times New Roman" w:eastAsia="Times New Roman" w:hint="default"/>
          <w:spacing w:val="-2"/>
        </w:rPr>
        <w:t>15,170,080</w:t>
      </w:r>
      <w:r>
        <w:rPr>
          <w:spacing w:val="-2"/>
        </w:rPr>
        <w:t>股，占公司总股本的</w:t>
      </w:r>
      <w:r>
        <w:rPr>
          <w:rFonts w:ascii="Times New Roman" w:hAnsi="Times New Roman" w:cs="Times New Roman" w:eastAsia="Times New Roman" w:hint="default"/>
          <w:spacing w:val="-2"/>
        </w:rPr>
        <w:t>22.21%</w:t>
      </w:r>
      <w:r>
        <w:rPr>
          <w:spacing w:val="-2"/>
        </w:rPr>
        <w:t>。质</w:t>
      </w:r>
      <w:r>
        <w:rPr>
          <w:spacing w:val="-61"/>
        </w:rPr>
        <w:t> </w:t>
      </w:r>
      <w:r>
        <w:rPr/>
        <w:t>押的股份总数为</w:t>
      </w:r>
      <w:r>
        <w:rPr>
          <w:rFonts w:ascii="Times New Roman" w:hAnsi="Times New Roman" w:cs="Times New Roman" w:eastAsia="Times New Roman" w:hint="default"/>
        </w:rPr>
        <w:t>11,020,000.00</w:t>
      </w:r>
      <w:r>
        <w:rPr/>
        <w:t>股，占其持有公司股份总数的</w:t>
      </w:r>
      <w:r>
        <w:rPr>
          <w:spacing w:val="-25"/>
        </w:rPr>
        <w:t> </w:t>
      </w:r>
      <w:r>
        <w:rPr>
          <w:rFonts w:ascii="Times New Roman" w:hAnsi="Times New Roman" w:cs="Times New Roman" w:eastAsia="Times New Roman" w:hint="default"/>
        </w:rPr>
        <w:t>72.64%</w:t>
      </w:r>
      <w:r>
        <w:rPr/>
        <w:t>，占公司总股本的</w:t>
      </w:r>
      <w:r>
        <w:rPr>
          <w:rFonts w:ascii="Times New Roman" w:hAnsi="Times New Roman" w:cs="Times New Roman" w:eastAsia="Times New Roman" w:hint="default"/>
        </w:rPr>
        <w:t>16.13%</w:t>
      </w:r>
      <w:r>
        <w:rPr/>
        <w:t>。</w:t>
      </w:r>
    </w:p>
    <w:p>
      <w:pPr>
        <w:spacing w:line="240" w:lineRule="auto" w:before="3"/>
        <w:rPr>
          <w:rFonts w:ascii="宋体" w:hAnsi="宋体" w:cs="宋体" w:eastAsia="宋体" w:hint="default"/>
          <w:sz w:val="24"/>
          <w:szCs w:val="24"/>
        </w:rPr>
      </w:pPr>
    </w:p>
    <w:p>
      <w:pPr>
        <w:pStyle w:val="Heading6"/>
        <w:spacing w:line="266" w:lineRule="auto"/>
        <w:ind w:left="1869" w:right="1144"/>
        <w:jc w:val="left"/>
      </w:pPr>
      <w:r>
        <w:rPr>
          <w:rFonts w:ascii="宋体" w:hAnsi="宋体" w:cs="宋体" w:eastAsia="宋体" w:hint="default"/>
          <w:b/>
          <w:bCs/>
        </w:rPr>
        <w:t>（四）关于部分募集资金投资项目延期的事项</w:t>
      </w:r>
      <w:r>
        <w:rPr>
          <w:rFonts w:ascii="宋体" w:hAnsi="宋体" w:cs="宋体" w:eastAsia="宋体" w:hint="default"/>
          <w:b/>
          <w:bCs/>
          <w:w w:val="99"/>
        </w:rPr>
        <w:t> </w:t>
      </w:r>
      <w:r>
        <w:rPr/>
        <w:t>公司于</w:t>
      </w:r>
      <w:r>
        <w:rPr>
          <w:rFonts w:ascii="Times New Roman" w:hAnsi="Times New Roman" w:cs="Times New Roman" w:eastAsia="Times New Roman" w:hint="default"/>
        </w:rPr>
        <w:t>2015</w:t>
      </w:r>
      <w:r>
        <w:rPr/>
        <w:t>年首次公开发行股票人民币普通股（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16,700,000</w:t>
      </w:r>
      <w:r>
        <w:rPr/>
        <w:t>股，共募集资金净额为人民币 </w:t>
      </w:r>
      <w:r>
        <w:rPr>
          <w:rFonts w:ascii="Times New Roman" w:hAnsi="Times New Roman" w:cs="Times New Roman" w:eastAsia="Times New Roman" w:hint="default"/>
        </w:rPr>
        <w:t>143,705,696.49</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日，公司召开第四届董事会第三次会议，审议通过了《关于部分 募集资金投资项目延期的议案》，公司的募集资金投资项目所在地均为公司位于上海青浦的自有 土地上建设，其主体建设工程已完成，受装修进度影响，部分募集资金使用存在延迟，因此公司 结合实际，在保证公司正常经营的基础上，拟将部分募集资金投资项目达到预计可使用状态的日 期延后一年至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w:t>
      </w:r>
    </w:p>
    <w:p>
      <w:pPr>
        <w:spacing w:line="240" w:lineRule="auto" w:before="7"/>
        <w:rPr>
          <w:rFonts w:ascii="宋体" w:hAnsi="宋体" w:cs="宋体" w:eastAsia="宋体" w:hint="default"/>
          <w:sz w:val="23"/>
          <w:szCs w:val="23"/>
        </w:rPr>
      </w:pPr>
    </w:p>
    <w:p>
      <w:pPr>
        <w:pStyle w:val="Heading5"/>
        <w:spacing w:line="240" w:lineRule="auto"/>
        <w:ind w:left="1870" w:right="985"/>
        <w:jc w:val="left"/>
        <w:rPr>
          <w:b w:val="0"/>
          <w:bCs w:val="0"/>
        </w:rPr>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日，除上述事项外，本公司无需要披露的其他重要事项。</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8"/>
          <w:szCs w:val="28"/>
        </w:rPr>
      </w:pPr>
    </w:p>
    <w:p>
      <w:pPr>
        <w:pStyle w:val="Heading4"/>
        <w:spacing w:line="240" w:lineRule="auto"/>
        <w:ind w:left="1134" w:right="985"/>
        <w:jc w:val="left"/>
        <w:rPr>
          <w:b w:val="0"/>
          <w:bCs w:val="0"/>
        </w:rPr>
      </w:pPr>
      <w:bookmarkStart w:name="十七、母公司财务报表主要项目注释" w:id="508"/>
      <w:bookmarkEnd w:id="508"/>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应收账款" w:id="509"/>
      <w:bookmarkEnd w:id="50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1）应收账款分类披露" w:id="510"/>
      <w:bookmarkEnd w:id="51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351,498,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965.09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40,190,7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311,308,1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72.28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301,498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,924.26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31,759,34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269,739,58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3.06</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351,498,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965.09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40,190,7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311,308,1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72.28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301,498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31,759,34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269,739,58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985"/>
        <w:jc w:val="left"/>
      </w:pPr>
      <w:r>
        <w:rPr/>
        <w:t>期末单项金额重大并单项计提坏账准备的应收账款：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spacing w:after="0" w:line="3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211,399,926.16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10,569,996.31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93,901,476.63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9,390,147.66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25,763,376.65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7,729,013.00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14,690,003.68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7,345,001.84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1,958,493.23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1,370,945.26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3,785,688.74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3,785,688.74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351,498,965.09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40,190,792.81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5"/>
        <w:spacing w:line="240" w:lineRule="auto"/>
        <w:ind w:right="985"/>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ind w:left="1134" w:right="-17"/>
        <w:jc w:val="left"/>
      </w:pPr>
      <w:r>
        <w:rPr/>
        <w:t>本期计提坏账准备金额</w:t>
      </w:r>
      <w:r>
        <w:rPr>
          <w:spacing w:val="-47"/>
        </w:rPr>
        <w:t> </w:t>
      </w:r>
      <w:r>
        <w:rPr>
          <w:rFonts w:ascii="Times New Roman" w:hAnsi="Times New Roman" w:cs="Times New Roman" w:eastAsia="Times New Roman" w:hint="default"/>
        </w:rPr>
        <w:t>8,431,451.61</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029" w:space="1800"/>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本期实际核销的应收账款情况" w:id="512"/>
      <w:bookmarkEnd w:id="51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985"/>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985"/>
        <w:jc w:val="left"/>
      </w:pPr>
      <w:r>
        <w:rPr/>
        <w:t>应收账款核销说明：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4）按欠款方归集的期末余额前五名的应收账款情况" w:id="513"/>
      <w:bookmarkEnd w:id="51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733" w:type="dxa"/>
        <w:tblLayout w:type="fixed"/>
        <w:tblCellMar>
          <w:top w:w="0" w:type="dxa"/>
          <w:left w:w="0" w:type="dxa"/>
          <w:bottom w:w="0" w:type="dxa"/>
          <w:right w:w="0" w:type="dxa"/>
        </w:tblCellMar>
        <w:tblLook w:val="01E0"/>
      </w:tblPr>
      <w:tblGrid>
        <w:gridCol w:w="2938"/>
        <w:gridCol w:w="1679"/>
        <w:gridCol w:w="1483"/>
        <w:gridCol w:w="1714"/>
      </w:tblGrid>
      <w:tr>
        <w:trPr>
          <w:trHeight w:val="355" w:hRule="exact"/>
        </w:trPr>
        <w:tc>
          <w:tcPr>
            <w:tcW w:w="2938"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876"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2938" w:type="dxa"/>
            <w:vMerge/>
            <w:tcBorders>
              <w:left w:val="single" w:sz="6" w:space="0" w:color="000000"/>
              <w:bottom w:val="single" w:sz="12" w:space="0" w:color="000000"/>
              <w:right w:val="single" w:sz="6" w:space="0" w:color="000000"/>
            </w:tcBorders>
          </w:tcPr>
          <w:p>
            <w:pP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占应收账款合</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429"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60" w:lineRule="exact"/>
        <w:jc w:val="left"/>
        <w:rPr>
          <w:rFonts w:ascii="宋体" w:hAnsi="宋体" w:cs="宋体" w:eastAsia="宋体" w:hint="default"/>
          <w:sz w:val="21"/>
          <w:szCs w:val="21"/>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733" w:type="dxa"/>
        <w:tblLayout w:type="fixed"/>
        <w:tblCellMar>
          <w:top w:w="0" w:type="dxa"/>
          <w:left w:w="0" w:type="dxa"/>
          <w:bottom w:w="0" w:type="dxa"/>
          <w:right w:w="0" w:type="dxa"/>
        </w:tblCellMar>
        <w:tblLook w:val="01E0"/>
      </w:tblPr>
      <w:tblGrid>
        <w:gridCol w:w="2938"/>
        <w:gridCol w:w="1679"/>
        <w:gridCol w:w="1483"/>
        <w:gridCol w:w="1714"/>
      </w:tblGrid>
      <w:tr>
        <w:trPr>
          <w:trHeight w:val="355" w:hRule="exact"/>
        </w:trPr>
        <w:tc>
          <w:tcPr>
            <w:tcW w:w="2938" w:type="dxa"/>
            <w:tcBorders>
              <w:top w:val="single" w:sz="6" w:space="0" w:color="000000"/>
              <w:left w:val="single" w:sz="6" w:space="0" w:color="000000"/>
              <w:bottom w:val="single" w:sz="12" w:space="0" w:color="000000"/>
              <w:right w:val="single" w:sz="6" w:space="0" w:color="000000"/>
            </w:tcBorders>
          </w:tcPr>
          <w:p>
            <w:pPr/>
          </w:p>
        </w:tc>
        <w:tc>
          <w:tcPr>
            <w:tcW w:w="1679" w:type="dxa"/>
            <w:tcBorders>
              <w:top w:val="single" w:sz="6" w:space="0" w:color="000000"/>
              <w:left w:val="single" w:sz="6" w:space="0" w:color="000000"/>
              <w:bottom w:val="single" w:sz="12" w:space="0" w:color="000000"/>
              <w:right w:val="single" w:sz="6" w:space="0" w:color="000000"/>
            </w:tcBorders>
          </w:tcPr>
          <w:p>
            <w:pP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50"/>
              <w:jc w:val="right"/>
              <w:rPr>
                <w:rFonts w:ascii="Times New Roman" w:hAnsi="Times New Roman" w:cs="Times New Roman" w:eastAsia="Times New Roman" w:hint="default"/>
                <w:sz w:val="21"/>
                <w:szCs w:val="21"/>
              </w:rPr>
            </w:pP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714"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16,483,000.00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4.69</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1,648,300.00</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12,653,018.87</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3.60</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632,650.94</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10,742,764.96</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3.06</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537,138.25</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9,995,117.29</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2.84</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499,755.86</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8,619,195.26</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2.45</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718,287.45</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58,493,096.38</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16.64</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4,036,132.51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left="1134" w:right="985"/>
        <w:jc w:val="left"/>
        <w:rPr>
          <w:b w:val="0"/>
          <w:bCs w:val="0"/>
        </w:rPr>
      </w:pPr>
      <w:bookmarkStart w:name="（5）因金融资产转移而终止确认的应收账款" w:id="514"/>
      <w:bookmarkEnd w:id="51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6）转移应收账款且继续涉入形成的资产、负债金额" w:id="515"/>
      <w:bookmarkEnd w:id="51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4" w:right="985"/>
        <w:jc w:val="left"/>
        <w:rPr>
          <w:b w:val="0"/>
          <w:bCs w:val="0"/>
        </w:rPr>
      </w:pPr>
      <w:bookmarkStart w:name="2、其他应收款" w:id="516"/>
      <w:bookmarkEnd w:id="51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其他应收款分类披露" w:id="517"/>
      <w:bookmarkEnd w:id="51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106,576,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780.05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9,713,49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9.11%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96,863,28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56,521,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495.41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7,997,400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48,524,095.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106,576,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780.05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9,713,49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9.11%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96,863,28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1.37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56,521,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495.41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7,997,400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48,524,095.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27,223,507.81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1,361,175.39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15,165,307.37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1,516,530.74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10,043,941.85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3,013,182.56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3,274,836.05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1,637,418.03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2,682,887.80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1,878,021.46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307,170.50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307,170.50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58,697,651.38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9,713,498.68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742" w:type="dxa"/>
        <w:tblLayout w:type="fixed"/>
        <w:tblCellMar>
          <w:top w:w="0" w:type="dxa"/>
          <w:left w:w="0" w:type="dxa"/>
          <w:bottom w:w="0" w:type="dxa"/>
          <w:right w:w="0" w:type="dxa"/>
        </w:tblCellMar>
        <w:tblLook w:val="01E0"/>
      </w:tblPr>
      <w:tblGrid>
        <w:gridCol w:w="3080"/>
        <w:gridCol w:w="1973"/>
        <w:gridCol w:w="1271"/>
        <w:gridCol w:w="1576"/>
      </w:tblGrid>
      <w:tr>
        <w:trPr>
          <w:trHeight w:val="355" w:hRule="exact"/>
        </w:trPr>
        <w:tc>
          <w:tcPr>
            <w:tcW w:w="3080" w:type="dxa"/>
            <w:vMerge w:val="restart"/>
            <w:tcBorders>
              <w:top w:val="single" w:sz="6" w:space="0" w:color="000000"/>
              <w:left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82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3080" w:type="dxa"/>
            <w:vMerge/>
            <w:tcBorders>
              <w:left w:val="single" w:sz="6" w:space="0" w:color="000000"/>
              <w:bottom w:val="single" w:sz="12" w:space="0" w:color="000000"/>
              <w:right w:val="single" w:sz="6" w:space="0" w:color="000000"/>
            </w:tcBorders>
          </w:tcPr>
          <w:p>
            <w:pPr/>
          </w:p>
        </w:tc>
        <w:tc>
          <w:tcPr>
            <w:tcW w:w="19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2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2"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应收合并范围内关联方款项</w:t>
            </w:r>
          </w:p>
        </w:tc>
        <w:tc>
          <w:tcPr>
            <w:tcW w:w="19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20" w:right="0"/>
              <w:jc w:val="left"/>
              <w:rPr>
                <w:rFonts w:ascii="Times New Roman" w:hAnsi="Times New Roman" w:cs="Times New Roman" w:eastAsia="Times New Roman" w:hint="default"/>
                <w:sz w:val="18"/>
                <w:szCs w:val="18"/>
              </w:rPr>
            </w:pPr>
            <w:r>
              <w:rPr>
                <w:rFonts w:ascii="Times New Roman"/>
                <w:sz w:val="18"/>
              </w:rPr>
              <w:t>47,879,128.67</w:t>
            </w:r>
          </w:p>
        </w:tc>
        <w:tc>
          <w:tcPr>
            <w:tcW w:w="1271" w:type="dxa"/>
            <w:tcBorders>
              <w:top w:val="single" w:sz="12" w:space="0" w:color="000000"/>
              <w:left w:val="single" w:sz="6" w:space="0" w:color="000000"/>
              <w:bottom w:val="single" w:sz="12" w:space="0" w:color="000000"/>
              <w:right w:val="single" w:sz="6" w:space="0" w:color="000000"/>
            </w:tcBorders>
          </w:tcPr>
          <w:p>
            <w:pPr/>
          </w:p>
        </w:tc>
        <w:tc>
          <w:tcPr>
            <w:tcW w:w="157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left="1134" w:right="985"/>
        <w:jc w:val="left"/>
        <w:rPr>
          <w:b w:val="0"/>
          <w:bCs w:val="0"/>
        </w:rPr>
      </w:pPr>
      <w:bookmarkStart w:name="（2）本期计提、收回或转回的坏账准备情况" w:id="518"/>
      <w:bookmarkEnd w:id="5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ind w:left="1134" w:right="-17"/>
        <w:jc w:val="left"/>
      </w:pPr>
      <w:r>
        <w:rPr/>
        <w:t>本期计提坏账准备金额</w:t>
      </w:r>
      <w:r>
        <w:rPr>
          <w:spacing w:val="-47"/>
        </w:rPr>
        <w:t> </w:t>
      </w:r>
      <w:r>
        <w:rPr>
          <w:rFonts w:ascii="Times New Roman" w:hAnsi="Times New Roman" w:cs="Times New Roman" w:eastAsia="Times New Roman" w:hint="default"/>
        </w:rPr>
        <w:t>1,716,098.40</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029" w:space="1800"/>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本期实际核销的其他应收款情况" w:id="519"/>
      <w:bookmarkEnd w:id="51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985"/>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985"/>
        <w:jc w:val="left"/>
      </w:pPr>
      <w:r>
        <w:rPr/>
        <w:t>其他应收款核销说明：</w:t>
      </w:r>
    </w:p>
    <w:p>
      <w:pPr>
        <w:spacing w:line="240" w:lineRule="auto" w:before="10"/>
        <w:rPr>
          <w:rFonts w:ascii="宋体" w:hAnsi="宋体" w:cs="宋体" w:eastAsia="宋体" w:hint="default"/>
          <w:sz w:val="26"/>
          <w:szCs w:val="26"/>
        </w:rPr>
      </w:pPr>
    </w:p>
    <w:p>
      <w:pPr>
        <w:pStyle w:val="Heading5"/>
        <w:spacing w:line="240" w:lineRule="auto"/>
        <w:ind w:left="1134" w:right="985"/>
        <w:jc w:val="left"/>
        <w:rPr>
          <w:b w:val="0"/>
          <w:bCs w:val="0"/>
        </w:rPr>
      </w:pPr>
      <w:bookmarkStart w:name="（4）其他应收款按款项性质分类情况" w:id="520"/>
      <w:bookmarkEnd w:id="52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53,286,981.22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51,339,740.96</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4,153,266.68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4,786,283.45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48,279,128.67</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857,403.48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395,471.00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106,576,780.05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56,521,495.41</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5）按欠款方归集的期末余额前五名的其他应收款情况" w:id="521"/>
      <w:bookmarkEnd w:id="52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47,879,128.67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217,400.00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2,001,997.00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100,099.85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1,854,556.90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185,455.69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59,409,682.57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2,152,955.54</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6）涉及政府补助的应收款项" w:id="522"/>
      <w:bookmarkEnd w:id="52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7）因金融资产转移而终止确认的其他应收款" w:id="523"/>
      <w:bookmarkEnd w:id="52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8）转移其他应收款且继续涉入形成的资产、负债金额" w:id="524"/>
      <w:bookmarkEnd w:id="52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85"/>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85"/>
        <w:jc w:val="left"/>
        <w:rPr>
          <w:b w:val="0"/>
          <w:bCs w:val="0"/>
        </w:rPr>
      </w:pPr>
      <w:bookmarkStart w:name="3、长期股权投资" w:id="525"/>
      <w:bookmarkEnd w:id="52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104,100,000.00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104,100,000.00</w:t>
            </w:r>
          </w:p>
        </w:tc>
      </w:tr>
    </w:tbl>
    <w:p>
      <w:pPr>
        <w:spacing w:line="240" w:lineRule="auto" w:before="3"/>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1）对子公司投资" w:id="526"/>
      <w:bookmarkEnd w:id="5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上海金档信息技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光典信息发展有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2）对联营、合营企业投资" w:id="527"/>
      <w:bookmarkEnd w:id="52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5"/>
        <w:spacing w:line="240" w:lineRule="auto" w:before="35"/>
        <w:ind w:left="1134" w:right="985"/>
        <w:jc w:val="left"/>
        <w:rPr>
          <w:b w:val="0"/>
          <w:bCs w:val="0"/>
        </w:rPr>
      </w:pPr>
      <w:bookmarkStart w:name="（3）其他说明" w:id="528"/>
      <w:bookmarkEnd w:id="52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85"/>
        <w:jc w:val="left"/>
        <w:rPr>
          <w:b w:val="0"/>
          <w:bCs w:val="0"/>
        </w:rPr>
      </w:pPr>
      <w:bookmarkStart w:name="4、营业收入和营业成本" w:id="529"/>
      <w:bookmarkEnd w:id="52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535,993,844.97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352,151,541.18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496,227,835.66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318,453,031.58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535,993,844.97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352,151,541.18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496,227,835.66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318,453,031.58</w:t>
            </w:r>
          </w:p>
        </w:tc>
      </w:tr>
    </w:tbl>
    <w:p>
      <w:pPr>
        <w:pStyle w:val="BodyText"/>
        <w:spacing w:line="240" w:lineRule="auto" w:before="51"/>
        <w:ind w:left="1134" w:right="985"/>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85"/>
        <w:jc w:val="left"/>
        <w:rPr>
          <w:b w:val="0"/>
          <w:bCs w:val="0"/>
        </w:rPr>
      </w:pPr>
      <w:bookmarkStart w:name="5、投资收益" w:id="530"/>
      <w:bookmarkEnd w:id="53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85"/>
        <w:jc w:val="left"/>
        <w:rPr>
          <w:b w:val="0"/>
          <w:bCs w:val="0"/>
        </w:rPr>
      </w:pPr>
      <w:bookmarkStart w:name="6、其他" w:id="531"/>
      <w:bookmarkEnd w:id="53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985"/>
        <w:jc w:val="left"/>
        <w:rPr>
          <w:b w:val="0"/>
          <w:bCs w:val="0"/>
        </w:rPr>
      </w:pPr>
      <w:bookmarkStart w:name="十八、补充资料" w:id="532"/>
      <w:bookmarkEnd w:id="532"/>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5"/>
        <w:jc w:val="left"/>
        <w:rPr>
          <w:b w:val="0"/>
          <w:bCs w:val="0"/>
        </w:rPr>
      </w:pPr>
      <w:bookmarkStart w:name="1、当期非经常性损益明细表" w:id="533"/>
      <w:bookmarkEnd w:id="53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12,528,675.00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58,351.16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-5,150,600.00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1,115,463.94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62,958.97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6,258,003.25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8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85"/>
        <w:jc w:val="left"/>
        <w:rPr>
          <w:b w:val="0"/>
          <w:bCs w:val="0"/>
        </w:rPr>
      </w:pPr>
      <w:bookmarkStart w:name="2、净资产收益率及每股收益" w:id="534"/>
      <w:bookmarkEnd w:id="53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0.395</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85"/>
        <w:jc w:val="left"/>
        <w:rPr>
          <w:b w:val="0"/>
          <w:bCs w:val="0"/>
        </w:rPr>
      </w:pPr>
      <w:bookmarkStart w:name="3、境内外会计准则下会计数据差异" w:id="535"/>
      <w:bookmarkEnd w:id="53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85"/>
        <w:jc w:val="left"/>
        <w:rPr>
          <w:b w:val="0"/>
          <w:bCs w:val="0"/>
        </w:rPr>
      </w:pPr>
      <w:bookmarkStart w:name="（1）同时按照国际会计准则与按中国会计准则披露的财务报告中净利润和净资产差异情况" w:id="536"/>
      <w:bookmarkEnd w:id="53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85"/>
        <w:jc w:val="left"/>
        <w:rPr>
          <w:b w:val="0"/>
          <w:bCs w:val="0"/>
        </w:rPr>
      </w:pPr>
      <w:bookmarkStart w:name="（2）同时按照境外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59" w:lineRule="auto" w:before="35"/>
        <w:ind w:right="985"/>
        <w:jc w:val="left"/>
        <w:rPr>
          <w:b w:val="0"/>
          <w:bCs w:val="0"/>
        </w:rPr>
      </w:pPr>
      <w:bookmarkStart w:name="（3）境内外会计准则下会计数据差异原因说明，对已经境外审计机构审计的数据进行差异" w:id="538"/>
      <w:bookmarkEnd w:id="53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85"/>
        <w:jc w:val="left"/>
        <w:rPr>
          <w:b w:val="0"/>
          <w:bCs w:val="0"/>
        </w:rPr>
      </w:pPr>
      <w:bookmarkStart w:name="4、其他" w:id="539"/>
      <w:bookmarkEnd w:id="53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402" w:right="3403"/>
        <w:jc w:val="center"/>
        <w:rPr>
          <w:b w:val="0"/>
          <w:bCs w:val="0"/>
        </w:rPr>
      </w:pPr>
      <w:bookmarkStart w:name="_TOC_250000" w:id="540"/>
      <w:bookmarkStart w:name="第十二节 备查文件目录" w:id="541"/>
      <w:r>
        <w:rPr>
          <w:b w:val="0"/>
          <w:bCs w:val="0"/>
        </w:rPr>
      </w:r>
      <w:r>
        <w:rPr/>
        <w:t>第十二节</w:t>
      </w:r>
      <w:r>
        <w:rPr>
          <w:spacing w:val="-8"/>
        </w:rPr>
        <w:t> </w:t>
      </w:r>
      <w:r>
        <w:rPr/>
        <w:t>备查文件目录</w:t>
      </w:r>
      <w:bookmarkEnd w:id="540"/>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1213"/>
        <w:jc w:val="left"/>
      </w:pPr>
      <w:r>
        <w:rPr/>
        <w:t>一、载有法定代表人张曙华先生、主管会计工作负责人张颖女士、会计机构负责人张颖女士签名并盖章的财务报告文本； 二、载有会计师事务所盖章、注册会计师签名并盖章的审计报告原件； 三、经公司法定代表人张曙华先生签名的</w:t>
      </w:r>
      <w:r>
        <w:rPr>
          <w:rFonts w:ascii="Times New Roman" w:hAnsi="Times New Roman" w:cs="Times New Roman" w:eastAsia="Times New Roman" w:hint="default"/>
        </w:rPr>
        <w:t>2017</w:t>
      </w:r>
      <w:r>
        <w:rPr/>
        <w:t>年年度报告原件；</w:t>
      </w:r>
    </w:p>
    <w:p>
      <w:pPr>
        <w:pStyle w:val="BodyText"/>
        <w:spacing w:line="316" w:lineRule="auto" w:before="0"/>
        <w:ind w:left="1134" w:right="7152"/>
        <w:jc w:val="left"/>
      </w:pPr>
      <w:r>
        <w:rPr/>
        <w:t>四、其他有关资料。 以上备查文件备置地点：公司董事会办公室。</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7128" type="#_x0000_t75" stroked="false">
          <v:imagedata r:id="rId1" o:title=""/>
        </v:shape>
      </w:pict>
    </w:r>
    <w:r>
      <w:rPr/>
      <w:pict>
        <v:shape style="position:absolute;margin-left:533.179993pt;margin-top:795.517944pt;width:6.5pt;height:11pt;mso-position-horizontal-relative:page;mso-position-vertical-relative:page;z-index:-115710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7080" type="#_x0000_t75" stroked="false">
          <v:imagedata r:id="rId1" o:title=""/>
        </v:shape>
      </w:pict>
    </w:r>
    <w:r>
      <w:rPr/>
      <w:pict>
        <v:shape style="position:absolute;margin-left:527.679993pt;margin-top:781.957947pt;width:13pt;height:11pt;mso-position-horizontal-relative:page;mso-position-vertical-relative:page;z-index:-11570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7032" type="#_x0000_t75" stroked="false">
          <v:imagedata r:id="rId1" o:title=""/>
        </v:shape>
      </w:pict>
    </w:r>
    <w:r>
      <w:rPr/>
      <w:pict>
        <v:shape style="position:absolute;margin-left:524.179993pt;margin-top:781.957947pt;width:15.5pt;height:11pt;mso-position-horizontal-relative:page;mso-position-vertical-relative:page;z-index:-11570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6984" type="#_x0000_t75" stroked="false">
          <v:imagedata r:id="rId1" o:title=""/>
        </v:shape>
      </w:pict>
    </w:r>
    <w:r>
      <w:rPr/>
      <w:pict>
        <v:shape style="position:absolute;margin-left:523.179993pt;margin-top:781.957947pt;width:17.5pt;height:11pt;mso-position-horizontal-relative:page;mso-position-vertical-relative:page;z-index:-1156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6936" type="#_x0000_t75" stroked="false">
          <v:imagedata r:id="rId1" o:title=""/>
        </v:shape>
      </w:pict>
    </w:r>
    <w:r>
      <w:rPr/>
      <w:pict>
        <v:shape style="position:absolute;margin-left:524.179993pt;margin-top:781.957947pt;width:15.5pt;height:11pt;mso-position-horizontal-relative:page;mso-position-vertical-relative:page;z-index:-115691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6888" type="#_x0000_t75" stroked="false">
          <v:imagedata r:id="rId1" o:title=""/>
        </v:shape>
      </w:pict>
    </w:r>
    <w:r>
      <w:rPr/>
      <w:pict>
        <v:shape style="position:absolute;margin-left:523.179993pt;margin-top:781.957947pt;width:17.5pt;height:11pt;mso-position-horizontal-relative:page;mso-position-vertical-relative:page;z-index:-1156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57152" type="#_x0000_t202" filled="false" stroked="false">
          <v:textbox inset="0,0,0,0">
            <w:txbxContent>
              <w:p>
                <w:pPr>
                  <w:pStyle w:val="BodyText"/>
                  <w:spacing w:line="214" w:lineRule="exact" w:before="0"/>
                  <w:ind w:left="20" w:right="0"/>
                  <w:jc w:val="left"/>
                </w:pPr>
                <w:r>
                  <w:rPr/>
                  <w:t>上海中信信息发展股份有限公司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spacing w:before="44"/>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8"/>
      <w:szCs w:val="28"/>
    </w:rPr>
  </w:style>
  <w:style w:styleId="Heading3" w:type="paragraph">
    <w:name w:val="Heading 3"/>
    <w:basedOn w:val="Normal"/>
    <w:uiPriority w:val="1"/>
    <w:qFormat/>
    <w:pPr>
      <w:ind w:left="1133" w:firstLine="568"/>
      <w:outlineLvl w:val="3"/>
    </w:pPr>
    <w:rPr>
      <w:rFonts w:ascii="宋体" w:hAnsi="宋体" w:eastAsia="宋体"/>
      <w:sz w:val="28"/>
      <w:szCs w:val="28"/>
    </w:rPr>
  </w:style>
  <w:style w:styleId="Heading4" w:type="paragraph">
    <w:name w:val="Heading 4"/>
    <w:basedOn w:val="Normal"/>
    <w:uiPriority w:val="1"/>
    <w:qFormat/>
    <w:pPr>
      <w:ind w:left="1133"/>
      <w:outlineLvl w:val="4"/>
    </w:pPr>
    <w:rPr>
      <w:rFonts w:ascii="宋体" w:hAnsi="宋体" w:eastAsia="宋体"/>
      <w:b/>
      <w:bCs/>
      <w:sz w:val="24"/>
      <w:szCs w:val="24"/>
    </w:rPr>
  </w:style>
  <w:style w:styleId="Heading5" w:type="paragraph">
    <w:name w:val="Heading 5"/>
    <w:basedOn w:val="Normal"/>
    <w:uiPriority w:val="1"/>
    <w:qFormat/>
    <w:pPr>
      <w:ind w:left="1133"/>
      <w:outlineLvl w:val="5"/>
    </w:pPr>
    <w:rPr>
      <w:rFonts w:ascii="宋体" w:hAnsi="宋体" w:eastAsia="宋体"/>
      <w:b/>
      <w:bCs/>
      <w:sz w:val="21"/>
      <w:szCs w:val="21"/>
    </w:rPr>
  </w:style>
  <w:style w:styleId="Heading6" w:type="paragraph">
    <w:name w:val="Heading 6"/>
    <w:basedOn w:val="Normal"/>
    <w:uiPriority w:val="1"/>
    <w:qFormat/>
    <w:pPr>
      <w:ind w:left="2410"/>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esgroup.com.cn/" TargetMode="External"/><Relationship Id="rId10" Type="http://schemas.openxmlformats.org/officeDocument/2006/relationships/hyperlink" Target="mailto:ir@cesgroup.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上海中信信息发展股份有限公司</dc:creator>
  <dc:title>上海中信信息发展股份有限公司2017年年度报告全文</dc:title>
  <dcterms:created xsi:type="dcterms:W3CDTF">2020-05-03T00:51:36Z</dcterms:created>
  <dcterms:modified xsi:type="dcterms:W3CDTF">2020-05-03T00:51:36Z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Office Word 2007</vt:lpwstr>
  </property>
  <property fmtid="{D5CDD505-2E9C-101B-9397-08002B2CF9AE}" pid="4" name="LastSaved">
    <vt:filetime>2020-05-02T00:00:00Z</vt:filetime>
  </property>
</Properties>
</file>