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Default Extension="png" ContentType="image/png"/>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r>
        <w:rPr/>
        <w:pict>
          <v:shape style="position:absolute;margin-left:56.700001pt;margin-top:37.899982pt;width:69.5pt;height:10.95pt;mso-position-horizontal-relative:page;mso-position-vertical-relative:page;z-index:0" type="#_x0000_t75" stroked="false">
            <v:imagedata r:id="rId7" o:title=""/>
          </v:shape>
        </w:pict>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6"/>
        <w:rPr>
          <w:rFonts w:ascii="Times New Roman" w:hAnsi="Times New Roman" w:cs="Times New Roman" w:eastAsia="Times New Roman" w:hint="default"/>
          <w:sz w:val="23"/>
          <w:szCs w:val="23"/>
        </w:rPr>
      </w:pPr>
    </w:p>
    <w:p>
      <w:pPr>
        <w:spacing w:line="460" w:lineRule="exact" w:before="0"/>
        <w:ind w:left="2384" w:right="3401" w:firstLine="0"/>
        <w:jc w:val="center"/>
        <w:rPr>
          <w:rFonts w:ascii="宋体" w:hAnsi="宋体" w:cs="宋体" w:eastAsia="宋体" w:hint="default"/>
          <w:sz w:val="36"/>
          <w:szCs w:val="36"/>
        </w:rPr>
      </w:pPr>
      <w:r>
        <w:rPr>
          <w:rFonts w:ascii="宋体" w:hAnsi="宋体" w:cs="宋体" w:eastAsia="宋体" w:hint="default"/>
          <w:b/>
          <w:bCs/>
          <w:sz w:val="36"/>
          <w:szCs w:val="36"/>
        </w:rPr>
        <w:t>上海中信信息发展股份有限公司</w:t>
      </w:r>
      <w:r>
        <w:rPr>
          <w:rFonts w:ascii="宋体" w:hAnsi="宋体" w:cs="宋体" w:eastAsia="宋体" w:hint="default"/>
          <w:sz w:val="36"/>
          <w:szCs w:val="36"/>
        </w:rPr>
      </w:r>
    </w:p>
    <w:p>
      <w:pPr>
        <w:spacing w:line="240" w:lineRule="auto" w:before="10"/>
        <w:rPr>
          <w:rFonts w:ascii="宋体" w:hAnsi="宋体" w:cs="宋体" w:eastAsia="宋体" w:hint="default"/>
          <w:b/>
          <w:bCs/>
          <w:sz w:val="30"/>
          <w:szCs w:val="30"/>
        </w:rPr>
      </w:pPr>
    </w:p>
    <w:p>
      <w:pPr>
        <w:spacing w:before="0"/>
        <w:ind w:left="2382" w:right="3401"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2018</w:t>
      </w:r>
      <w:r>
        <w:rPr>
          <w:rFonts w:ascii="Times New Roman" w:hAnsi="Times New Roman" w:cs="Times New Roman" w:eastAsia="Times New Roman" w:hint="default"/>
          <w:b/>
          <w:bCs/>
          <w:spacing w:val="-4"/>
          <w:sz w:val="32"/>
          <w:szCs w:val="32"/>
        </w:rPr>
        <w:t> </w:t>
      </w:r>
      <w:r>
        <w:rPr>
          <w:rFonts w:ascii="宋体" w:hAnsi="宋体" w:cs="宋体" w:eastAsia="宋体" w:hint="default"/>
          <w:b/>
          <w:bCs/>
          <w:sz w:val="32"/>
          <w:szCs w:val="32"/>
        </w:rPr>
        <w:t>年年度报告</w:t>
      </w:r>
      <w:r>
        <w:rPr>
          <w:rFonts w:ascii="宋体" w:hAnsi="宋体" w:cs="宋体" w:eastAsia="宋体" w:hint="default"/>
          <w:sz w:val="32"/>
          <w:szCs w:val="32"/>
        </w:rPr>
      </w: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0"/>
        <w:rPr>
          <w:rFonts w:ascii="宋体" w:hAnsi="宋体" w:cs="宋体" w:eastAsia="宋体" w:hint="default"/>
          <w:b/>
          <w:bCs/>
          <w:sz w:val="34"/>
          <w:szCs w:val="34"/>
        </w:rPr>
      </w:pPr>
    </w:p>
    <w:p>
      <w:pPr>
        <w:spacing w:line="240" w:lineRule="auto" w:before="4"/>
        <w:rPr>
          <w:rFonts w:ascii="宋体" w:hAnsi="宋体" w:cs="宋体" w:eastAsia="宋体" w:hint="default"/>
          <w:b/>
          <w:bCs/>
          <w:sz w:val="48"/>
          <w:szCs w:val="48"/>
        </w:rPr>
      </w:pPr>
    </w:p>
    <w:p>
      <w:pPr>
        <w:spacing w:before="0"/>
        <w:ind w:left="2384" w:right="3400" w:firstLine="0"/>
        <w:jc w:val="center"/>
        <w:rPr>
          <w:rFonts w:ascii="宋体" w:hAnsi="宋体" w:cs="宋体" w:eastAsia="宋体" w:hint="default"/>
          <w:sz w:val="32"/>
          <w:szCs w:val="32"/>
        </w:rPr>
      </w:pPr>
      <w:r>
        <w:rPr>
          <w:rFonts w:ascii="Times New Roman" w:hAnsi="Times New Roman" w:cs="Times New Roman" w:eastAsia="Times New Roman" w:hint="default"/>
          <w:b/>
          <w:bCs/>
          <w:sz w:val="32"/>
          <w:szCs w:val="32"/>
        </w:rPr>
        <w:t>2019</w:t>
      </w:r>
      <w:r>
        <w:rPr>
          <w:rFonts w:ascii="Times New Roman" w:hAnsi="Times New Roman" w:cs="Times New Roman" w:eastAsia="Times New Roman" w:hint="default"/>
          <w:b/>
          <w:bCs/>
          <w:spacing w:val="-1"/>
          <w:sz w:val="32"/>
          <w:szCs w:val="32"/>
        </w:rPr>
        <w:t> </w:t>
      </w:r>
      <w:r>
        <w:rPr>
          <w:rFonts w:ascii="宋体" w:hAnsi="宋体" w:cs="宋体" w:eastAsia="宋体" w:hint="default"/>
          <w:b/>
          <w:bCs/>
          <w:sz w:val="32"/>
          <w:szCs w:val="32"/>
        </w:rPr>
        <w:t>年</w:t>
      </w:r>
      <w:r>
        <w:rPr>
          <w:rFonts w:ascii="宋体" w:hAnsi="宋体" w:cs="宋体" w:eastAsia="宋体" w:hint="default"/>
          <w:b/>
          <w:bCs/>
          <w:spacing w:val="-82"/>
          <w:sz w:val="32"/>
          <w:szCs w:val="32"/>
        </w:rPr>
        <w:t> </w:t>
      </w:r>
      <w:r>
        <w:rPr>
          <w:rFonts w:ascii="Times New Roman" w:hAnsi="Times New Roman" w:cs="Times New Roman" w:eastAsia="Times New Roman" w:hint="default"/>
          <w:b/>
          <w:bCs/>
          <w:sz w:val="32"/>
          <w:szCs w:val="32"/>
        </w:rPr>
        <w:t>04</w:t>
      </w:r>
      <w:r>
        <w:rPr>
          <w:rFonts w:ascii="Times New Roman" w:hAnsi="Times New Roman" w:cs="Times New Roman" w:eastAsia="Times New Roman" w:hint="default"/>
          <w:b/>
          <w:bCs/>
          <w:spacing w:val="-2"/>
          <w:sz w:val="32"/>
          <w:szCs w:val="32"/>
        </w:rPr>
        <w:t> </w:t>
      </w:r>
      <w:r>
        <w:rPr>
          <w:rFonts w:ascii="宋体" w:hAnsi="宋体" w:cs="宋体" w:eastAsia="宋体" w:hint="default"/>
          <w:b/>
          <w:bCs/>
          <w:sz w:val="32"/>
          <w:szCs w:val="32"/>
        </w:rPr>
        <w:t>月</w:t>
      </w:r>
      <w:r>
        <w:rPr>
          <w:rFonts w:ascii="宋体" w:hAnsi="宋体" w:cs="宋体" w:eastAsia="宋体" w:hint="default"/>
          <w:sz w:val="32"/>
          <w:szCs w:val="32"/>
        </w:rPr>
      </w:r>
    </w:p>
    <w:p>
      <w:pPr>
        <w:spacing w:after="0"/>
        <w:jc w:val="center"/>
        <w:rPr>
          <w:rFonts w:ascii="宋体" w:hAnsi="宋体" w:cs="宋体" w:eastAsia="宋体" w:hint="default"/>
          <w:sz w:val="32"/>
          <w:szCs w:val="32"/>
        </w:rPr>
        <w:sectPr>
          <w:headerReference w:type="default" r:id="rId5"/>
          <w:footerReference w:type="default" r:id="rId6"/>
          <w:type w:val="continuous"/>
          <w:pgSz w:w="11910" w:h="16840"/>
          <w:pgMar w:header="822" w:footer="1019" w:top="1140" w:bottom="1200" w:left="1020" w:right="0"/>
        </w:sectPr>
      </w:pPr>
    </w:p>
    <w:p>
      <w:pPr>
        <w:spacing w:line="240" w:lineRule="auto" w:before="0"/>
        <w:rPr>
          <w:rFonts w:ascii="宋体" w:hAnsi="宋体" w:cs="宋体" w:eastAsia="宋体" w:hint="default"/>
          <w:b/>
          <w:bCs/>
          <w:sz w:val="20"/>
          <w:szCs w:val="20"/>
        </w:rPr>
      </w:pPr>
      <w:r>
        <w:rPr/>
        <w:pict>
          <v:shape style="position:absolute;margin-left:56.700001pt;margin-top:44.449982pt;width:69.5pt;height:10.95pt;mso-position-horizontal-relative:page;mso-position-vertical-relative:page;z-index:1048" type="#_x0000_t75" stroked="false">
            <v:imagedata r:id="rId7" o:title=""/>
          </v:shape>
        </w:pict>
      </w:r>
    </w:p>
    <w:p>
      <w:pPr>
        <w:spacing w:line="240" w:lineRule="auto" w:before="0"/>
        <w:rPr>
          <w:rFonts w:ascii="宋体" w:hAnsi="宋体" w:cs="宋体" w:eastAsia="宋体" w:hint="default"/>
          <w:b/>
          <w:bCs/>
          <w:sz w:val="20"/>
          <w:szCs w:val="20"/>
        </w:rPr>
      </w:pPr>
    </w:p>
    <w:p>
      <w:pPr>
        <w:spacing w:line="240" w:lineRule="auto" w:before="6"/>
        <w:rPr>
          <w:rFonts w:ascii="宋体" w:hAnsi="宋体" w:cs="宋体" w:eastAsia="宋体" w:hint="default"/>
          <w:b/>
          <w:bCs/>
          <w:sz w:val="17"/>
          <w:szCs w:val="17"/>
        </w:rPr>
      </w:pPr>
    </w:p>
    <w:p>
      <w:pPr>
        <w:pStyle w:val="Heading1"/>
        <w:spacing w:line="240" w:lineRule="auto"/>
        <w:ind w:left="2765" w:right="0"/>
        <w:jc w:val="left"/>
        <w:rPr>
          <w:b w:val="0"/>
          <w:bCs w:val="0"/>
        </w:rPr>
      </w:pPr>
      <w:bookmarkStart w:name="第一节 重要提示、目录和释义" w:id="1"/>
      <w:bookmarkEnd w:id="1"/>
      <w:r>
        <w:rPr>
          <w:b w:val="0"/>
          <w:bCs w:val="0"/>
        </w:rPr>
      </w:r>
      <w:r>
        <w:rPr/>
        <w:t>第一节</w:t>
      </w:r>
      <w:r>
        <w:rPr>
          <w:spacing w:val="-11"/>
        </w:rPr>
        <w:t> </w:t>
      </w:r>
      <w:r>
        <w:rPr/>
        <w:t>重要提示、目录和释义</w:t>
      </w:r>
      <w:r>
        <w:rPr>
          <w:b w:val="0"/>
          <w:bCs w:val="0"/>
        </w:rPr>
      </w:r>
    </w:p>
    <w:p>
      <w:pPr>
        <w:spacing w:line="240" w:lineRule="auto" w:before="0"/>
        <w:rPr>
          <w:rFonts w:ascii="宋体" w:hAnsi="宋体" w:cs="宋体" w:eastAsia="宋体" w:hint="default"/>
          <w:b/>
          <w:bCs/>
          <w:sz w:val="32"/>
          <w:szCs w:val="32"/>
        </w:rPr>
      </w:pPr>
    </w:p>
    <w:p>
      <w:pPr>
        <w:pStyle w:val="Heading2"/>
        <w:spacing w:line="408" w:lineRule="auto" w:before="211"/>
        <w:ind w:right="1138" w:firstLine="562"/>
        <w:jc w:val="both"/>
        <w:rPr>
          <w:b w:val="0"/>
          <w:bCs w:val="0"/>
        </w:rPr>
      </w:pPr>
      <w:r>
        <w:rPr>
          <w:spacing w:val="3"/>
          <w:w w:val="95"/>
        </w:rPr>
        <w:t>公司董事会、监事会及董事、监事、高级管理人员保证年度报告内容的真</w:t>
      </w:r>
      <w:r>
        <w:rPr>
          <w:w w:val="99"/>
        </w:rPr>
        <w:t> </w:t>
      </w:r>
      <w:r>
        <w:rPr>
          <w:spacing w:val="3"/>
          <w:w w:val="95"/>
        </w:rPr>
        <w:t>实、准确、完整，不存在虚假记载、误导性陈述或重大遗漏，并承担个别和连</w:t>
      </w:r>
      <w:r>
        <w:rPr>
          <w:spacing w:val="28"/>
          <w:w w:val="95"/>
        </w:rPr>
        <w:t> </w:t>
      </w:r>
      <w:r>
        <w:rPr>
          <w:spacing w:val="28"/>
          <w:w w:val="95"/>
        </w:rPr>
      </w:r>
      <w:r>
        <w:rPr/>
        <w:t>带的法律责任。</w:t>
      </w:r>
      <w:r>
        <w:rPr>
          <w:b w:val="0"/>
          <w:bCs w:val="0"/>
        </w:rPr>
      </w:r>
    </w:p>
    <w:p>
      <w:pPr>
        <w:pStyle w:val="Heading2"/>
        <w:spacing w:line="386" w:lineRule="auto" w:before="161"/>
        <w:ind w:right="1132" w:firstLine="562"/>
        <w:jc w:val="both"/>
        <w:rPr>
          <w:b w:val="0"/>
          <w:bCs w:val="0"/>
        </w:rPr>
      </w:pPr>
      <w:r>
        <w:rPr>
          <w:w w:val="95"/>
        </w:rPr>
        <w:t>公司负责人张曙华、主管会计工作负责人张颖及会计机构负责人</w:t>
      </w:r>
      <w:r>
        <w:rPr>
          <w:rFonts w:ascii="Times New Roman" w:hAnsi="Times New Roman" w:cs="Times New Roman" w:eastAsia="Times New Roman" w:hint="default"/>
          <w:w w:val="95"/>
        </w:rPr>
        <w:t>(</w:t>
      </w:r>
      <w:r>
        <w:rPr>
          <w:w w:val="95"/>
        </w:rPr>
        <w:t>会计主管</w:t>
      </w:r>
      <w:r>
        <w:rPr>
          <w:spacing w:val="1"/>
          <w:w w:val="99"/>
        </w:rPr>
        <w:t> </w:t>
      </w:r>
      <w:r>
        <w:rPr/>
        <w:t>人员</w:t>
      </w:r>
      <w:r>
        <w:rPr>
          <w:rFonts w:ascii="Times New Roman" w:hAnsi="Times New Roman" w:cs="Times New Roman" w:eastAsia="Times New Roman" w:hint="default"/>
        </w:rPr>
        <w:t>)</w:t>
      </w:r>
      <w:r>
        <w:rPr/>
        <w:t>范燕青声明：保证年度报告中财务报告的真实、准确、完整。</w:t>
      </w:r>
      <w:r>
        <w:rPr>
          <w:b w:val="0"/>
          <w:bCs w:val="0"/>
        </w:rPr>
      </w:r>
    </w:p>
    <w:p>
      <w:pPr>
        <w:pStyle w:val="Heading2"/>
        <w:spacing w:line="472" w:lineRule="auto" w:before="147"/>
        <w:ind w:left="676" w:right="0"/>
        <w:jc w:val="left"/>
        <w:rPr>
          <w:b w:val="0"/>
          <w:bCs w:val="0"/>
        </w:rPr>
      </w:pPr>
      <w:r>
        <w:rPr/>
        <w:t>所有董事均已出席了审议本报告的董事会会议。</w:t>
      </w:r>
      <w:r>
        <w:rPr>
          <w:w w:val="99"/>
        </w:rPr>
        <w:t> </w:t>
      </w:r>
      <w:r>
        <w:rPr>
          <w:spacing w:val="3"/>
          <w:w w:val="95"/>
        </w:rPr>
        <w:t>公司在经营管理中可能面临的风险与对策举措已已在本报告中第四节“经</w:t>
      </w:r>
      <w:r>
        <w:rPr>
          <w:b w:val="0"/>
          <w:bCs w:val="0"/>
          <w:spacing w:val="3"/>
        </w:rPr>
      </w:r>
    </w:p>
    <w:p>
      <w:pPr>
        <w:pStyle w:val="Heading2"/>
        <w:spacing w:line="410" w:lineRule="auto"/>
        <w:ind w:right="1139"/>
        <w:jc w:val="both"/>
        <w:rPr>
          <w:b w:val="0"/>
          <w:bCs w:val="0"/>
        </w:rPr>
      </w:pPr>
      <w:r>
        <w:rPr>
          <w:spacing w:val="3"/>
          <w:w w:val="95"/>
        </w:rPr>
        <w:t>营情况讨论与分析”之“一、概述”部分予以描述。敬请广大投资者关注，并</w:t>
      </w:r>
      <w:r>
        <w:rPr>
          <w:spacing w:val="27"/>
          <w:w w:val="95"/>
        </w:rPr>
        <w:t> </w:t>
      </w:r>
      <w:r>
        <w:rPr>
          <w:spacing w:val="27"/>
          <w:w w:val="95"/>
        </w:rPr>
      </w:r>
      <w:r>
        <w:rPr/>
        <w:t>注意投资风险。</w:t>
      </w:r>
      <w:r>
        <w:rPr>
          <w:b w:val="0"/>
          <w:bCs w:val="0"/>
        </w:rPr>
      </w:r>
    </w:p>
    <w:p>
      <w:pPr>
        <w:pStyle w:val="Heading2"/>
        <w:spacing w:line="240" w:lineRule="auto" w:before="158"/>
        <w:ind w:left="676" w:right="0"/>
        <w:jc w:val="left"/>
        <w:rPr>
          <w:b w:val="0"/>
          <w:bCs w:val="0"/>
        </w:rPr>
      </w:pPr>
      <w:r>
        <w:rPr/>
        <w:t>公司经本次董事会审议通过的利润分配预案为：以 </w:t>
      </w:r>
      <w:r>
        <w:rPr>
          <w:rFonts w:ascii="Times New Roman" w:hAnsi="Times New Roman" w:cs="Times New Roman" w:eastAsia="Times New Roman" w:hint="default"/>
        </w:rPr>
        <w:t>120991680</w:t>
      </w:r>
      <w:r>
        <w:rPr>
          <w:rFonts w:ascii="Times New Roman" w:hAnsi="Times New Roman" w:cs="Times New Roman" w:eastAsia="Times New Roman" w:hint="default"/>
          <w:spacing w:val="-9"/>
        </w:rPr>
        <w:t> </w:t>
      </w:r>
      <w:r>
        <w:rPr/>
        <w:t>为基数，向</w:t>
      </w:r>
      <w:r>
        <w:rPr>
          <w:b w:val="0"/>
          <w:bCs w:val="0"/>
        </w:rPr>
      </w:r>
    </w:p>
    <w:p>
      <w:pPr>
        <w:pStyle w:val="Heading2"/>
        <w:spacing w:line="240" w:lineRule="auto" w:before="236"/>
        <w:ind w:right="0"/>
        <w:jc w:val="both"/>
        <w:rPr>
          <w:b w:val="0"/>
          <w:bCs w:val="0"/>
        </w:rPr>
      </w:pPr>
      <w:r>
        <w:rPr>
          <w:w w:val="99"/>
        </w:rPr>
        <w:t>全体股</w:t>
      </w:r>
      <w:r>
        <w:rPr>
          <w:spacing w:val="2"/>
          <w:w w:val="99"/>
        </w:rPr>
        <w:t>东</w:t>
      </w:r>
      <w:r>
        <w:rPr>
          <w:w w:val="99"/>
        </w:rPr>
        <w:t>每</w:t>
      </w:r>
      <w:r>
        <w:rPr>
          <w:spacing w:val="-68"/>
        </w:rPr>
        <w:t> </w:t>
      </w:r>
      <w:r>
        <w:rPr>
          <w:rFonts w:ascii="Times New Roman" w:hAnsi="Times New Roman" w:cs="Times New Roman" w:eastAsia="Times New Roman" w:hint="default"/>
          <w:w w:val="99"/>
        </w:rPr>
        <w:t>10</w:t>
      </w:r>
      <w:r>
        <w:rPr>
          <w:rFonts w:ascii="Times New Roman" w:hAnsi="Times New Roman" w:cs="Times New Roman" w:eastAsia="Times New Roman" w:hint="default"/>
          <w:spacing w:val="1"/>
        </w:rPr>
        <w:t> </w:t>
      </w:r>
      <w:r>
        <w:rPr>
          <w:w w:val="99"/>
        </w:rPr>
        <w:t>股派发现</w:t>
      </w:r>
      <w:r>
        <w:rPr>
          <w:spacing w:val="2"/>
          <w:w w:val="99"/>
        </w:rPr>
        <w:t>金</w:t>
      </w:r>
      <w:r>
        <w:rPr>
          <w:w w:val="99"/>
        </w:rPr>
        <w:t>红利</w:t>
      </w:r>
      <w:r>
        <w:rPr>
          <w:spacing w:val="-68"/>
        </w:rPr>
        <w:t> </w:t>
      </w:r>
      <w:r>
        <w:rPr>
          <w:rFonts w:ascii="Times New Roman" w:hAnsi="Times New Roman" w:cs="Times New Roman" w:eastAsia="Times New Roman" w:hint="default"/>
          <w:w w:val="99"/>
        </w:rPr>
        <w:t>0.30</w:t>
      </w:r>
      <w:r>
        <w:rPr>
          <w:rFonts w:ascii="Times New Roman" w:hAnsi="Times New Roman" w:cs="Times New Roman" w:eastAsia="Times New Roman" w:hint="default"/>
        </w:rPr>
        <w:t> </w:t>
      </w:r>
      <w:r>
        <w:rPr>
          <w:spacing w:val="-30"/>
          <w:w w:val="99"/>
        </w:rPr>
        <w:t>元</w:t>
      </w:r>
      <w:r>
        <w:rPr>
          <w:w w:val="99"/>
        </w:rPr>
        <w:t>（含</w:t>
      </w:r>
      <w:r>
        <w:rPr>
          <w:spacing w:val="2"/>
          <w:w w:val="99"/>
        </w:rPr>
        <w:t>税</w:t>
      </w:r>
      <w:r>
        <w:rPr>
          <w:spacing w:val="-140"/>
          <w:w w:val="99"/>
        </w:rPr>
        <w:t>）</w:t>
      </w:r>
      <w:r>
        <w:rPr>
          <w:spacing w:val="-30"/>
          <w:w w:val="99"/>
        </w:rPr>
        <w:t>，</w:t>
      </w:r>
      <w:r>
        <w:rPr>
          <w:w w:val="99"/>
        </w:rPr>
        <w:t>送红股</w:t>
      </w:r>
      <w:r>
        <w:rPr>
          <w:spacing w:val="-68"/>
        </w:rPr>
        <w:t> </w:t>
      </w:r>
      <w:r>
        <w:rPr>
          <w:rFonts w:ascii="Times New Roman" w:hAnsi="Times New Roman" w:cs="Times New Roman" w:eastAsia="Times New Roman" w:hint="default"/>
          <w:w w:val="99"/>
        </w:rPr>
        <w:t>0</w:t>
      </w:r>
      <w:r>
        <w:rPr>
          <w:rFonts w:ascii="Times New Roman" w:hAnsi="Times New Roman" w:cs="Times New Roman" w:eastAsia="Times New Roman" w:hint="default"/>
          <w:spacing w:val="1"/>
        </w:rPr>
        <w:t> </w:t>
      </w:r>
      <w:r>
        <w:rPr>
          <w:spacing w:val="-30"/>
          <w:w w:val="99"/>
        </w:rPr>
        <w:t>股</w:t>
      </w:r>
      <w:r>
        <w:rPr>
          <w:w w:val="99"/>
        </w:rPr>
        <w:t>（含税</w:t>
      </w:r>
      <w:r>
        <w:rPr>
          <w:spacing w:val="-140"/>
          <w:w w:val="99"/>
        </w:rPr>
        <w:t>）</w:t>
      </w:r>
      <w:r>
        <w:rPr>
          <w:spacing w:val="-30"/>
          <w:w w:val="99"/>
        </w:rPr>
        <w:t>，</w:t>
      </w:r>
      <w:r>
        <w:rPr>
          <w:w w:val="99"/>
        </w:rPr>
        <w:t>以</w:t>
      </w:r>
      <w:r>
        <w:rPr>
          <w:spacing w:val="2"/>
          <w:w w:val="99"/>
        </w:rPr>
        <w:t>资</w:t>
      </w:r>
      <w:r>
        <w:rPr>
          <w:spacing w:val="1"/>
          <w:w w:val="99"/>
        </w:rPr>
        <w:t>本公</w:t>
      </w:r>
      <w:r>
        <w:rPr>
          <w:b w:val="0"/>
          <w:bCs w:val="0"/>
        </w:rPr>
      </w:r>
    </w:p>
    <w:p>
      <w:pPr>
        <w:pStyle w:val="Heading2"/>
        <w:spacing w:line="240" w:lineRule="auto" w:before="237"/>
        <w:ind w:right="0"/>
        <w:jc w:val="both"/>
        <w:rPr>
          <w:b w:val="0"/>
          <w:bCs w:val="0"/>
        </w:rPr>
      </w:pPr>
      <w:r>
        <w:rPr/>
        <w:t>积金向全体股东每</w:t>
      </w:r>
      <w:r>
        <w:rPr>
          <w:spacing w:val="-71"/>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股转增</w:t>
      </w:r>
      <w:r>
        <w:rPr>
          <w:spacing w:val="-73"/>
        </w:rPr>
        <w:t> </w:t>
      </w:r>
      <w:r>
        <w:rPr>
          <w:rFonts w:ascii="Times New Roman" w:hAnsi="Times New Roman" w:cs="Times New Roman" w:eastAsia="Times New Roman" w:hint="default"/>
        </w:rPr>
        <w:t>7</w:t>
      </w:r>
      <w:r>
        <w:rPr>
          <w:rFonts w:ascii="Times New Roman" w:hAnsi="Times New Roman" w:cs="Times New Roman" w:eastAsia="Times New Roman" w:hint="default"/>
          <w:spacing w:val="-3"/>
        </w:rPr>
        <w:t> </w:t>
      </w:r>
      <w:r>
        <w:rPr/>
        <w:t>股。</w:t>
      </w:r>
      <w:r>
        <w:rPr>
          <w:b w:val="0"/>
          <w:bCs w:val="0"/>
        </w:rPr>
      </w:r>
    </w:p>
    <w:p>
      <w:pPr>
        <w:spacing w:line="240" w:lineRule="auto" w:before="8"/>
        <w:rPr>
          <w:rFonts w:ascii="宋体" w:hAnsi="宋体" w:cs="宋体" w:eastAsia="宋体" w:hint="default"/>
          <w:b/>
          <w:bCs/>
          <w:sz w:val="25"/>
          <w:szCs w:val="25"/>
        </w:rPr>
      </w:pPr>
    </w:p>
    <w:p>
      <w:pPr>
        <w:pStyle w:val="Heading2"/>
        <w:spacing w:line="240" w:lineRule="auto"/>
        <w:ind w:left="676" w:right="0"/>
        <w:jc w:val="left"/>
        <w:rPr>
          <w:b w:val="0"/>
          <w:bCs w:val="0"/>
        </w:rPr>
      </w:pPr>
      <w:r>
        <w:rPr>
          <w:rFonts w:ascii="Times New Roman" w:hAnsi="Times New Roman" w:cs="Times New Roman" w:eastAsia="Times New Roman" w:hint="default"/>
        </w:rPr>
        <w:t>2018 </w:t>
      </w:r>
      <w:r>
        <w:rPr/>
        <w:t>年公司通过集中竞价方式累计回购公司股份 </w:t>
      </w:r>
      <w:r>
        <w:rPr>
          <w:rFonts w:ascii="Times New Roman" w:hAnsi="Times New Roman" w:cs="Times New Roman" w:eastAsia="Times New Roman" w:hint="default"/>
        </w:rPr>
        <w:t>325,380</w:t>
      </w:r>
      <w:r>
        <w:rPr>
          <w:rFonts w:ascii="Times New Roman" w:hAnsi="Times New Roman" w:cs="Times New Roman" w:eastAsia="Times New Roman" w:hint="default"/>
          <w:spacing w:val="-3"/>
        </w:rPr>
        <w:t> </w:t>
      </w:r>
      <w:r>
        <w:rPr/>
        <w:t>股，支付现金总</w:t>
      </w:r>
      <w:r>
        <w:rPr>
          <w:b w:val="0"/>
          <w:bCs w:val="0"/>
        </w:rPr>
      </w:r>
    </w:p>
    <w:p>
      <w:pPr>
        <w:pStyle w:val="Heading2"/>
        <w:spacing w:line="398" w:lineRule="auto" w:before="236"/>
        <w:ind w:right="1130"/>
        <w:jc w:val="both"/>
        <w:rPr>
          <w:b w:val="0"/>
          <w:bCs w:val="0"/>
        </w:rPr>
      </w:pPr>
      <w:r>
        <w:rPr>
          <w:w w:val="99"/>
        </w:rPr>
        <w:t>额为</w:t>
      </w:r>
      <w:r>
        <w:rPr>
          <w:spacing w:val="-57"/>
          <w:w w:val="99"/>
        </w:rPr>
        <w:t> </w:t>
      </w:r>
      <w:r>
        <w:rPr>
          <w:rFonts w:ascii="Times New Roman" w:hAnsi="Times New Roman" w:cs="Times New Roman" w:eastAsia="Times New Roman" w:hint="default"/>
          <w:w w:val="99"/>
        </w:rPr>
        <w:t>6,462,926.40</w:t>
      </w:r>
      <w:r>
        <w:rPr>
          <w:rFonts w:ascii="Times New Roman" w:hAnsi="Times New Roman" w:cs="Times New Roman" w:eastAsia="Times New Roman" w:hint="default"/>
          <w:spacing w:val="12"/>
          <w:w w:val="99"/>
        </w:rPr>
        <w:t> </w:t>
      </w:r>
      <w:r>
        <w:rPr>
          <w:spacing w:val="-5"/>
          <w:w w:val="99"/>
        </w:rPr>
        <w:t>元（不含交易费用）。根据《深圳证券交易所上市公司回购股</w:t>
      </w:r>
      <w:r>
        <w:rPr>
          <w:spacing w:val="-139"/>
          <w:w w:val="99"/>
        </w:rPr>
        <w:t> </w:t>
      </w:r>
      <w:r>
        <w:rPr>
          <w:spacing w:val="-139"/>
          <w:w w:val="99"/>
        </w:rPr>
      </w:r>
      <w:r>
        <w:rPr>
          <w:spacing w:val="3"/>
          <w:w w:val="95"/>
        </w:rPr>
        <w:t>份实施细则》有关规定，公司当年已实施的股份回购金额视同现金分红，纳入</w:t>
      </w:r>
      <w:r>
        <w:rPr>
          <w:spacing w:val="23"/>
          <w:w w:val="95"/>
        </w:rPr>
        <w:t> </w:t>
      </w:r>
      <w:r>
        <w:rPr>
          <w:spacing w:val="23"/>
          <w:w w:val="95"/>
        </w:rPr>
      </w:r>
      <w:r>
        <w:rPr/>
        <w:t>该年度现金分红的相关比例计算。基于上述规定，以截止至</w:t>
      </w:r>
      <w:r>
        <w:rPr>
          <w:spacing w:val="-78"/>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4"/>
        </w:rPr>
        <w:t> </w:t>
      </w:r>
      <w:r>
        <w:rPr/>
        <w:t>年</w:t>
      </w:r>
      <w:r>
        <w:rPr>
          <w:spacing w:val="-85"/>
        </w:rPr>
        <w:t> </w:t>
      </w:r>
      <w:r>
        <w:rPr>
          <w:rFonts w:ascii="Times New Roman" w:hAnsi="Times New Roman" w:cs="Times New Roman" w:eastAsia="Times New Roman" w:hint="default"/>
        </w:rPr>
        <w:t>12</w:t>
      </w:r>
      <w:r>
        <w:rPr>
          <w:rFonts w:ascii="Times New Roman" w:hAnsi="Times New Roman" w:cs="Times New Roman" w:eastAsia="Times New Roman" w:hint="default"/>
          <w:spacing w:val="-15"/>
        </w:rPr>
        <w:t> </w:t>
      </w:r>
      <w:r>
        <w:rPr/>
        <w:t>月</w:t>
      </w:r>
      <w:r>
        <w:rPr>
          <w:spacing w:val="-85"/>
        </w:rPr>
        <w:t> </w:t>
      </w:r>
      <w:r>
        <w:rPr>
          <w:rFonts w:ascii="Times New Roman" w:hAnsi="Times New Roman" w:cs="Times New Roman" w:eastAsia="Times New Roman" w:hint="default"/>
        </w:rPr>
        <w:t>31</w:t>
      </w:r>
      <w:r>
        <w:rPr>
          <w:rFonts w:ascii="Times New Roman" w:hAnsi="Times New Roman" w:cs="Times New Roman" w:eastAsia="Times New Roman" w:hint="default"/>
          <w:spacing w:val="-14"/>
        </w:rPr>
        <w:t> </w:t>
      </w:r>
      <w:r>
        <w:rPr/>
        <w:t>日</w:t>
      </w:r>
      <w:r>
        <w:rPr>
          <w:b w:val="0"/>
          <w:bCs w:val="0"/>
        </w:rPr>
      </w:r>
    </w:p>
    <w:p>
      <w:pPr>
        <w:pStyle w:val="Heading2"/>
        <w:spacing w:line="386" w:lineRule="auto" w:before="31"/>
        <w:ind w:right="1133"/>
        <w:jc w:val="both"/>
        <w:rPr>
          <w:b w:val="0"/>
          <w:bCs w:val="0"/>
        </w:rPr>
      </w:pPr>
      <w:r>
        <w:rPr/>
        <w:t>的总股本扣除将回购注销的</w:t>
      </w:r>
      <w:r>
        <w:rPr>
          <w:spacing w:val="-52"/>
        </w:rPr>
        <w:t> </w:t>
      </w:r>
      <w:r>
        <w:rPr>
          <w:rFonts w:ascii="Times New Roman" w:hAnsi="Times New Roman" w:cs="Times New Roman" w:eastAsia="Times New Roman" w:hint="default"/>
        </w:rPr>
        <w:t>1,002,240</w:t>
      </w:r>
      <w:r>
        <w:rPr>
          <w:rFonts w:ascii="Times New Roman" w:hAnsi="Times New Roman" w:cs="Times New Roman" w:eastAsia="Times New Roman" w:hint="default"/>
          <w:spacing w:val="14"/>
        </w:rPr>
        <w:t> </w:t>
      </w:r>
      <w:r>
        <w:rPr/>
        <w:t>股后，并以实施</w:t>
      </w:r>
      <w:r>
        <w:rPr>
          <w:spacing w:val="-55"/>
        </w:rPr>
        <w:t> </w:t>
      </w:r>
      <w:r>
        <w:rPr>
          <w:rFonts w:ascii="Times New Roman" w:hAnsi="Times New Roman" w:cs="Times New Roman" w:eastAsia="Times New Roman" w:hint="default"/>
        </w:rPr>
        <w:t>2018</w:t>
      </w:r>
      <w:r>
        <w:rPr>
          <w:rFonts w:ascii="Times New Roman" w:hAnsi="Times New Roman" w:cs="Times New Roman" w:eastAsia="Times New Roman" w:hint="default"/>
          <w:spacing w:val="15"/>
        </w:rPr>
        <w:t> </w:t>
      </w:r>
      <w:r>
        <w:rPr/>
        <w:t>年度利润分配时股</w:t>
      </w:r>
      <w:r>
        <w:rPr>
          <w:w w:val="99"/>
        </w:rPr>
        <w:t> 权登记日可参与分配的股本为基数向全体股东每</w:t>
      </w:r>
      <w:r>
        <w:rPr>
          <w:spacing w:val="-59"/>
          <w:w w:val="99"/>
        </w:rPr>
        <w:t> </w:t>
      </w:r>
      <w:r>
        <w:rPr>
          <w:rFonts w:ascii="Times New Roman" w:hAnsi="Times New Roman" w:cs="Times New Roman" w:eastAsia="Times New Roman" w:hint="default"/>
          <w:w w:val="99"/>
        </w:rPr>
        <w:t>10</w:t>
      </w:r>
      <w:r>
        <w:rPr>
          <w:rFonts w:ascii="Times New Roman" w:hAnsi="Times New Roman" w:cs="Times New Roman" w:eastAsia="Times New Roman" w:hint="default"/>
          <w:spacing w:val="4"/>
          <w:w w:val="99"/>
        </w:rPr>
        <w:t> </w:t>
      </w:r>
      <w:r>
        <w:rPr>
          <w:w w:val="99"/>
        </w:rPr>
        <w:t>股派发现金红利</w:t>
      </w:r>
      <w:r>
        <w:rPr>
          <w:spacing w:val="-65"/>
          <w:w w:val="99"/>
        </w:rPr>
        <w:t> </w:t>
      </w:r>
      <w:r>
        <w:rPr>
          <w:rFonts w:ascii="Times New Roman" w:hAnsi="Times New Roman" w:cs="Times New Roman" w:eastAsia="Times New Roman" w:hint="default"/>
          <w:w w:val="99"/>
        </w:rPr>
        <w:t>0.30</w:t>
      </w:r>
      <w:r>
        <w:rPr>
          <w:rFonts w:ascii="Times New Roman" w:hAnsi="Times New Roman" w:cs="Times New Roman" w:eastAsia="Times New Roman" w:hint="default"/>
          <w:spacing w:val="3"/>
          <w:w w:val="99"/>
        </w:rPr>
        <w:t> </w:t>
      </w:r>
      <w:r>
        <w:rPr>
          <w:spacing w:val="-43"/>
          <w:w w:val="99"/>
        </w:rPr>
        <w:t>元（含</w:t>
      </w:r>
      <w:r>
        <w:rPr>
          <w:w w:val="99"/>
        </w:rPr>
        <w:t> </w:t>
      </w:r>
      <w:r>
        <w:rPr>
          <w:spacing w:val="-24"/>
          <w:w w:val="99"/>
        </w:rPr>
        <w:t>税），送红股</w:t>
      </w:r>
      <w:r>
        <w:rPr>
          <w:spacing w:val="-65"/>
          <w:w w:val="99"/>
        </w:rPr>
        <w:t> </w:t>
      </w:r>
      <w:r>
        <w:rPr>
          <w:rFonts w:ascii="Times New Roman" w:hAnsi="Times New Roman" w:cs="Times New Roman" w:eastAsia="Times New Roman" w:hint="default"/>
          <w:w w:val="99"/>
        </w:rPr>
        <w:t>0</w:t>
      </w:r>
      <w:r>
        <w:rPr>
          <w:rFonts w:ascii="Times New Roman" w:hAnsi="Times New Roman" w:cs="Times New Roman" w:eastAsia="Times New Roman" w:hint="default"/>
          <w:spacing w:val="4"/>
          <w:w w:val="99"/>
        </w:rPr>
        <w:t> </w:t>
      </w:r>
      <w:r>
        <w:rPr>
          <w:spacing w:val="-8"/>
          <w:w w:val="99"/>
        </w:rPr>
        <w:t>股（含税），以资本公积金向全体股东每</w:t>
      </w:r>
      <w:r>
        <w:rPr>
          <w:spacing w:val="-62"/>
          <w:w w:val="99"/>
        </w:rPr>
        <w:t> </w:t>
      </w:r>
      <w:r>
        <w:rPr>
          <w:rFonts w:ascii="Times New Roman" w:hAnsi="Times New Roman" w:cs="Times New Roman" w:eastAsia="Times New Roman" w:hint="default"/>
          <w:w w:val="99"/>
        </w:rPr>
        <w:t>10</w:t>
      </w:r>
      <w:r>
        <w:rPr>
          <w:rFonts w:ascii="Times New Roman" w:hAnsi="Times New Roman" w:cs="Times New Roman" w:eastAsia="Times New Roman" w:hint="default"/>
          <w:spacing w:val="4"/>
          <w:w w:val="99"/>
        </w:rPr>
        <w:t> </w:t>
      </w:r>
      <w:r>
        <w:rPr>
          <w:w w:val="99"/>
        </w:rPr>
        <w:t>股转增</w:t>
      </w:r>
      <w:r>
        <w:rPr>
          <w:spacing w:val="-66"/>
          <w:w w:val="99"/>
        </w:rPr>
        <w:t> </w:t>
      </w:r>
      <w:r>
        <w:rPr>
          <w:rFonts w:ascii="Times New Roman" w:hAnsi="Times New Roman" w:cs="Times New Roman" w:eastAsia="Times New Roman" w:hint="default"/>
          <w:w w:val="99"/>
        </w:rPr>
        <w:t>7</w:t>
      </w:r>
      <w:r>
        <w:rPr>
          <w:rFonts w:ascii="Times New Roman" w:hAnsi="Times New Roman" w:cs="Times New Roman" w:eastAsia="Times New Roman" w:hint="default"/>
          <w:spacing w:val="4"/>
          <w:w w:val="99"/>
        </w:rPr>
        <w:t> </w:t>
      </w:r>
      <w:r>
        <w:rPr>
          <w:w w:val="99"/>
        </w:rPr>
        <w:t>股。</w:t>
      </w:r>
      <w:r>
        <w:rPr>
          <w:b w:val="0"/>
          <w:bCs w:val="0"/>
        </w:rPr>
      </w:r>
    </w:p>
    <w:p>
      <w:pPr>
        <w:spacing w:after="0" w:line="386" w:lineRule="auto"/>
        <w:jc w:val="both"/>
        <w:sectPr>
          <w:footerReference w:type="default" r:id="rId8"/>
          <w:pgSz w:w="11910" w:h="16840"/>
          <w:pgMar w:footer="1019" w:header="822" w:top="1140" w:bottom="1200" w:left="1020" w:right="0"/>
          <w:pgNumType w:start="2"/>
        </w:sectPr>
      </w:pPr>
    </w:p>
    <w:p>
      <w:pPr>
        <w:spacing w:line="240" w:lineRule="auto" w:before="0"/>
        <w:rPr>
          <w:rFonts w:ascii="宋体" w:hAnsi="宋体" w:cs="宋体" w:eastAsia="宋体" w:hint="default"/>
          <w:b/>
          <w:bCs/>
          <w:sz w:val="20"/>
          <w:szCs w:val="20"/>
        </w:rPr>
      </w:pPr>
      <w:r>
        <w:rPr/>
        <w:pict>
          <v:shape style="position:absolute;margin-left:56.700001pt;margin-top:44.449982pt;width:69.5pt;height:10.95pt;mso-position-horizontal-relative:page;mso-position-vertical-relative:page;z-index:1072" type="#_x0000_t75" stroked="false">
            <v:imagedata r:id="rId7" o:title=""/>
          </v:shape>
        </w:pict>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24"/>
          <w:szCs w:val="24"/>
        </w:rPr>
      </w:pPr>
    </w:p>
    <w:p>
      <w:pPr>
        <w:spacing w:line="460" w:lineRule="exact" w:before="0"/>
        <w:ind w:left="2384" w:right="3400"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p>
      <w:pPr>
        <w:spacing w:line="240" w:lineRule="auto" w:before="0"/>
        <w:rPr>
          <w:rFonts w:ascii="宋体" w:hAnsi="宋体" w:cs="宋体" w:eastAsia="宋体" w:hint="default"/>
          <w:b/>
          <w:bCs/>
          <w:sz w:val="36"/>
          <w:szCs w:val="36"/>
        </w:rPr>
      </w:pPr>
    </w:p>
    <w:p>
      <w:pPr>
        <w:spacing w:line="240" w:lineRule="auto" w:before="0"/>
        <w:rPr>
          <w:rFonts w:ascii="宋体" w:hAnsi="宋体" w:cs="宋体" w:eastAsia="宋体" w:hint="default"/>
          <w:b/>
          <w:bCs/>
          <w:sz w:val="36"/>
          <w:szCs w:val="36"/>
        </w:rPr>
      </w:pPr>
    </w:p>
    <w:p>
      <w:pPr>
        <w:spacing w:line="240" w:lineRule="auto" w:before="1"/>
        <w:rPr>
          <w:rFonts w:ascii="宋体" w:hAnsi="宋体" w:cs="宋体" w:eastAsia="宋体" w:hint="default"/>
          <w:b/>
          <w:bCs/>
          <w:sz w:val="42"/>
          <w:szCs w:val="42"/>
        </w:rPr>
      </w:pPr>
    </w:p>
    <w:sdt>
      <w:sdtPr>
        <w:docPartObj>
          <w:docPartGallery w:val="Table of Contents"/>
          <w:docPartUnique/>
        </w:docPartObj>
      </w:sdtPr>
      <w:sdtEndPr/>
      <w:sdtContent>
        <w:p>
          <w:pPr>
            <w:pStyle w:val="TOC1"/>
            <w:tabs>
              <w:tab w:pos="9742" w:val="right" w:leader="dot"/>
            </w:tabs>
            <w:spacing w:line="240" w:lineRule="auto" w:before="0"/>
            <w:ind w:right="0"/>
            <w:jc w:val="left"/>
            <w:rPr>
              <w:rFonts w:ascii="Times New Roman" w:hAnsi="Times New Roman" w:cs="Times New Roman" w:eastAsia="Times New Roman" w:hint="default"/>
              <w:b w:val="0"/>
              <w:bCs w:val="0"/>
            </w:rPr>
          </w:pPr>
          <w:hyperlink w:history="true" w:anchor="_bookmark0">
            <w:r>
              <w:rPr/>
              <w:t>第一节</w:t>
            </w:r>
            <w:r>
              <w:rPr>
                <w:spacing w:val="-1"/>
              </w:rPr>
              <w:t> </w:t>
            </w:r>
            <w:r>
              <w:rPr/>
              <w:t>重要提示、目录和释义</w:t>
            </w:r>
            <w:r>
              <w:rPr>
                <w:rFonts w:ascii="Times New Roman" w:hAnsi="Times New Roman" w:cs="Times New Roman" w:eastAsia="Times New Roman" w:hint="default"/>
              </w:rPr>
              <w:tab/>
              <w:t>7</w:t>
            </w:r>
            <w:r>
              <w:rPr>
                <w:rFonts w:ascii="Times New Roman" w:hAnsi="Times New Roman" w:cs="Times New Roman" w:eastAsia="Times New Roman" w:hint="default"/>
                <w:b w:val="0"/>
                <w:bCs w:val="0"/>
              </w:rPr>
            </w:r>
          </w:hyperlink>
        </w:p>
        <w:p>
          <w:pPr>
            <w:pStyle w:val="TOC1"/>
            <w:tabs>
              <w:tab w:pos="9729" w:val="right" w:leader="dot"/>
            </w:tabs>
            <w:spacing w:line="240" w:lineRule="auto"/>
            <w:ind w:right="0"/>
            <w:jc w:val="left"/>
            <w:rPr>
              <w:rFonts w:ascii="Times New Roman" w:hAnsi="Times New Roman" w:cs="Times New Roman" w:eastAsia="Times New Roman" w:hint="default"/>
              <w:b w:val="0"/>
              <w:bCs w:val="0"/>
            </w:rPr>
          </w:pPr>
          <w:hyperlink w:history="true" w:anchor="_bookmark1">
            <w:r>
              <w:rPr/>
              <w:t>第二节</w:t>
            </w:r>
            <w:r>
              <w:rPr>
                <w:spacing w:val="-1"/>
              </w:rPr>
              <w:t> </w:t>
            </w:r>
            <w:r>
              <w:rPr/>
              <w:t>公司简介和主要财务指标</w:t>
            </w:r>
            <w:r>
              <w:rPr>
                <w:rFonts w:ascii="Times New Roman" w:hAnsi="Times New Roman" w:cs="Times New Roman" w:eastAsia="Times New Roman" w:hint="default"/>
              </w:rPr>
              <w:tab/>
            </w:r>
            <w:r>
              <w:rPr>
                <w:rFonts w:ascii="Times New Roman" w:hAnsi="Times New Roman" w:cs="Times New Roman" w:eastAsia="Times New Roman" w:hint="default"/>
                <w:spacing w:val="-14"/>
              </w:rPr>
              <w:t>11</w:t>
            </w:r>
            <w:r>
              <w:rPr>
                <w:rFonts w:ascii="Times New Roman" w:hAnsi="Times New Roman" w:cs="Times New Roman" w:eastAsia="Times New Roman" w:hint="default"/>
                <w:b w:val="0"/>
                <w:bCs w:val="0"/>
              </w:rPr>
            </w:r>
          </w:hyperlink>
        </w:p>
        <w:p>
          <w:pPr>
            <w:pStyle w:val="TOC1"/>
            <w:tabs>
              <w:tab w:pos="9742" w:val="right" w:leader="dot"/>
            </w:tabs>
            <w:spacing w:line="240" w:lineRule="auto"/>
            <w:ind w:right="0"/>
            <w:jc w:val="left"/>
            <w:rPr>
              <w:rFonts w:ascii="Times New Roman" w:hAnsi="Times New Roman" w:cs="Times New Roman" w:eastAsia="Times New Roman" w:hint="default"/>
              <w:b w:val="0"/>
              <w:bCs w:val="0"/>
            </w:rPr>
          </w:pPr>
          <w:hyperlink w:history="true" w:anchor="_bookmark2">
            <w:r>
              <w:rPr/>
              <w:t>第三节</w:t>
            </w:r>
            <w:r>
              <w:rPr>
                <w:spacing w:val="-1"/>
              </w:rPr>
              <w:t> </w:t>
            </w:r>
            <w:r>
              <w:rPr/>
              <w:t>公司业务概要</w:t>
            </w:r>
            <w:r>
              <w:rPr>
                <w:rFonts w:ascii="Times New Roman" w:hAnsi="Times New Roman" w:cs="Times New Roman" w:eastAsia="Times New Roman" w:hint="default"/>
              </w:rPr>
              <w:tab/>
              <w:t>22</w:t>
            </w:r>
            <w:r>
              <w:rPr>
                <w:rFonts w:ascii="Times New Roman" w:hAnsi="Times New Roman" w:cs="Times New Roman" w:eastAsia="Times New Roman" w:hint="default"/>
                <w:b w:val="0"/>
                <w:bCs w:val="0"/>
              </w:rPr>
            </w:r>
          </w:hyperlink>
        </w:p>
        <w:p>
          <w:pPr>
            <w:pStyle w:val="TOC1"/>
            <w:tabs>
              <w:tab w:pos="9742" w:val="right" w:leader="dot"/>
            </w:tabs>
            <w:spacing w:line="240" w:lineRule="auto"/>
            <w:ind w:right="0"/>
            <w:jc w:val="left"/>
            <w:rPr>
              <w:rFonts w:ascii="Times New Roman" w:hAnsi="Times New Roman" w:cs="Times New Roman" w:eastAsia="Times New Roman" w:hint="default"/>
              <w:b w:val="0"/>
              <w:bCs w:val="0"/>
            </w:rPr>
          </w:pPr>
          <w:hyperlink w:history="true" w:anchor="_bookmark3">
            <w:r>
              <w:rPr/>
              <w:t>第四节</w:t>
            </w:r>
            <w:r>
              <w:rPr>
                <w:spacing w:val="-1"/>
              </w:rPr>
              <w:t> </w:t>
            </w:r>
            <w:r>
              <w:rPr/>
              <w:t>经营情况讨论与分析</w:t>
            </w:r>
            <w:r>
              <w:rPr>
                <w:rFonts w:ascii="Times New Roman" w:hAnsi="Times New Roman" w:cs="Times New Roman" w:eastAsia="Times New Roman" w:hint="default"/>
              </w:rPr>
              <w:tab/>
              <w:t>42</w:t>
            </w:r>
            <w:r>
              <w:rPr>
                <w:rFonts w:ascii="Times New Roman" w:hAnsi="Times New Roman" w:cs="Times New Roman" w:eastAsia="Times New Roman" w:hint="default"/>
                <w:b w:val="0"/>
                <w:bCs w:val="0"/>
              </w:rPr>
            </w:r>
          </w:hyperlink>
        </w:p>
        <w:p>
          <w:pPr>
            <w:pStyle w:val="TOC1"/>
            <w:tabs>
              <w:tab w:pos="9742" w:val="right" w:leader="dot"/>
            </w:tabs>
            <w:spacing w:line="240" w:lineRule="auto"/>
            <w:ind w:right="0"/>
            <w:jc w:val="left"/>
            <w:rPr>
              <w:rFonts w:ascii="Times New Roman" w:hAnsi="Times New Roman" w:cs="Times New Roman" w:eastAsia="Times New Roman" w:hint="default"/>
              <w:b w:val="0"/>
              <w:bCs w:val="0"/>
            </w:rPr>
          </w:pPr>
          <w:hyperlink w:history="true" w:anchor="_bookmark4">
            <w:r>
              <w:rPr/>
              <w:t>第五节</w:t>
            </w:r>
            <w:r>
              <w:rPr>
                <w:spacing w:val="-1"/>
              </w:rPr>
              <w:t> </w:t>
            </w:r>
            <w:r>
              <w:rPr/>
              <w:t>重要事项</w:t>
            </w:r>
            <w:r>
              <w:rPr>
                <w:rFonts w:ascii="Times New Roman" w:hAnsi="Times New Roman" w:cs="Times New Roman" w:eastAsia="Times New Roman" w:hint="default"/>
              </w:rPr>
              <w:tab/>
              <w:t>94</w:t>
            </w:r>
            <w:r>
              <w:rPr>
                <w:rFonts w:ascii="Times New Roman" w:hAnsi="Times New Roman" w:cs="Times New Roman" w:eastAsia="Times New Roman" w:hint="default"/>
                <w:b w:val="0"/>
                <w:bCs w:val="0"/>
              </w:rPr>
            </w:r>
          </w:hyperlink>
        </w:p>
        <w:p>
          <w:pPr>
            <w:pStyle w:val="TOC1"/>
            <w:tabs>
              <w:tab w:pos="9742"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第六节</w:t>
            </w:r>
            <w:r>
              <w:rPr>
                <w:spacing w:val="-1"/>
              </w:rPr>
              <w:t> </w:t>
            </w:r>
            <w:r>
              <w:rPr/>
              <w:t>股份变动及股东情况</w:t>
            </w:r>
            <w:r>
              <w:rPr>
                <w:rFonts w:ascii="Times New Roman" w:hAnsi="Times New Roman" w:cs="Times New Roman" w:eastAsia="Times New Roman" w:hint="default"/>
              </w:rPr>
              <w:tab/>
              <w:t>104</w:t>
            </w:r>
            <w:r>
              <w:rPr>
                <w:rFonts w:ascii="Times New Roman" w:hAnsi="Times New Roman" w:cs="Times New Roman" w:eastAsia="Times New Roman" w:hint="default"/>
                <w:b w:val="0"/>
                <w:bCs w:val="0"/>
              </w:rPr>
            </w:r>
          </w:hyperlink>
        </w:p>
        <w:p>
          <w:pPr>
            <w:pStyle w:val="TOC1"/>
            <w:tabs>
              <w:tab w:pos="9742" w:val="right" w:leader="dot"/>
            </w:tabs>
            <w:spacing w:line="240" w:lineRule="auto"/>
            <w:ind w:right="0"/>
            <w:jc w:val="left"/>
            <w:rPr>
              <w:rFonts w:ascii="Times New Roman" w:hAnsi="Times New Roman" w:cs="Times New Roman" w:eastAsia="Times New Roman" w:hint="default"/>
              <w:b w:val="0"/>
              <w:bCs w:val="0"/>
            </w:rPr>
          </w:pPr>
          <w:hyperlink w:history="true" w:anchor="_bookmark5">
            <w:r>
              <w:rPr/>
              <w:t>第七节</w:t>
            </w:r>
            <w:r>
              <w:rPr>
                <w:spacing w:val="-1"/>
              </w:rPr>
              <w:t> </w:t>
            </w:r>
            <w:r>
              <w:rPr/>
              <w:t>优先股相关情况</w:t>
            </w:r>
            <w:r>
              <w:rPr>
                <w:rFonts w:ascii="Times New Roman" w:hAnsi="Times New Roman" w:cs="Times New Roman" w:eastAsia="Times New Roman" w:hint="default"/>
              </w:rPr>
              <w:tab/>
              <w:t>104</w:t>
            </w:r>
            <w:r>
              <w:rPr>
                <w:rFonts w:ascii="Times New Roman" w:hAnsi="Times New Roman" w:cs="Times New Roman" w:eastAsia="Times New Roman" w:hint="default"/>
                <w:b w:val="0"/>
                <w:bCs w:val="0"/>
              </w:rPr>
            </w:r>
          </w:hyperlink>
        </w:p>
        <w:p>
          <w:pPr>
            <w:pStyle w:val="TOC1"/>
            <w:tabs>
              <w:tab w:pos="9742" w:val="right" w:leader="dot"/>
            </w:tabs>
            <w:spacing w:line="240" w:lineRule="auto" w:before="160"/>
            <w:ind w:right="0"/>
            <w:jc w:val="left"/>
            <w:rPr>
              <w:rFonts w:ascii="Times New Roman" w:hAnsi="Times New Roman" w:cs="Times New Roman" w:eastAsia="Times New Roman" w:hint="default"/>
              <w:b w:val="0"/>
              <w:bCs w:val="0"/>
            </w:rPr>
          </w:pPr>
          <w:hyperlink w:history="true" w:anchor="_bookmark6">
            <w:r>
              <w:rPr/>
              <w:t>第八节</w:t>
            </w:r>
            <w:r>
              <w:rPr>
                <w:spacing w:val="-1"/>
              </w:rPr>
              <w:t> </w:t>
            </w:r>
            <w:r>
              <w:rPr/>
              <w:t>董事、监事、高级管理人员和员工情况</w:t>
            </w:r>
            <w:r>
              <w:rPr>
                <w:rFonts w:ascii="Times New Roman" w:hAnsi="Times New Roman" w:cs="Times New Roman" w:eastAsia="Times New Roman" w:hint="default"/>
              </w:rPr>
              <w:tab/>
              <w:t>105</w:t>
            </w:r>
            <w:r>
              <w:rPr>
                <w:rFonts w:ascii="Times New Roman" w:hAnsi="Times New Roman" w:cs="Times New Roman" w:eastAsia="Times New Roman" w:hint="default"/>
                <w:b w:val="0"/>
                <w:bCs w:val="0"/>
              </w:rPr>
            </w:r>
          </w:hyperlink>
        </w:p>
        <w:p>
          <w:pPr>
            <w:pStyle w:val="TOC1"/>
            <w:tabs>
              <w:tab w:pos="9742" w:val="right" w:leader="dot"/>
            </w:tabs>
            <w:spacing w:line="240" w:lineRule="auto"/>
            <w:ind w:right="0"/>
            <w:jc w:val="left"/>
            <w:rPr>
              <w:rFonts w:ascii="Times New Roman" w:hAnsi="Times New Roman" w:cs="Times New Roman" w:eastAsia="Times New Roman" w:hint="default"/>
              <w:b w:val="0"/>
              <w:bCs w:val="0"/>
            </w:rPr>
          </w:pPr>
          <w:hyperlink w:history="true" w:anchor="_bookmark7">
            <w:r>
              <w:rPr/>
              <w:t>第九节</w:t>
            </w:r>
            <w:r>
              <w:rPr>
                <w:spacing w:val="-1"/>
              </w:rPr>
              <w:t> </w:t>
            </w:r>
            <w:r>
              <w:rPr/>
              <w:t>公司治理</w:t>
            </w:r>
            <w:r>
              <w:rPr>
                <w:rFonts w:ascii="Times New Roman" w:hAnsi="Times New Roman" w:cs="Times New Roman" w:eastAsia="Times New Roman" w:hint="default"/>
              </w:rPr>
              <w:tab/>
            </w:r>
            <w:r>
              <w:rPr>
                <w:rFonts w:ascii="Times New Roman" w:hAnsi="Times New Roman" w:cs="Times New Roman" w:eastAsia="Times New Roman" w:hint="default"/>
                <w:spacing w:val="-5"/>
              </w:rPr>
              <w:t>113</w:t>
            </w:r>
            <w:r>
              <w:rPr>
                <w:rFonts w:ascii="Times New Roman" w:hAnsi="Times New Roman" w:cs="Times New Roman" w:eastAsia="Times New Roman" w:hint="default"/>
                <w:b w:val="0"/>
                <w:bCs w:val="0"/>
                <w:spacing w:val="-5"/>
              </w:rPr>
            </w:r>
          </w:hyperlink>
        </w:p>
        <w:p>
          <w:pPr>
            <w:pStyle w:val="TOC1"/>
            <w:tabs>
              <w:tab w:pos="9742" w:val="right" w:leader="dot"/>
            </w:tabs>
            <w:spacing w:line="240" w:lineRule="auto"/>
            <w:ind w:right="0"/>
            <w:jc w:val="left"/>
            <w:rPr>
              <w:rFonts w:ascii="Times New Roman" w:hAnsi="Times New Roman" w:cs="Times New Roman" w:eastAsia="Times New Roman" w:hint="default"/>
              <w:b w:val="0"/>
              <w:bCs w:val="0"/>
            </w:rPr>
          </w:pPr>
          <w:hyperlink w:history="true" w:anchor="_bookmark8">
            <w:r>
              <w:rPr/>
              <w:t>第十节</w:t>
            </w:r>
            <w:r>
              <w:rPr>
                <w:spacing w:val="-1"/>
              </w:rPr>
              <w:t> </w:t>
            </w:r>
            <w:r>
              <w:rPr/>
              <w:t>公司债券相关情况</w:t>
            </w:r>
            <w:r>
              <w:rPr>
                <w:rFonts w:ascii="Times New Roman" w:hAnsi="Times New Roman" w:cs="Times New Roman" w:eastAsia="Times New Roman" w:hint="default"/>
              </w:rPr>
              <w:tab/>
              <w:t>120</w:t>
            </w:r>
            <w:r>
              <w:rPr>
                <w:rFonts w:ascii="Times New Roman" w:hAnsi="Times New Roman" w:cs="Times New Roman" w:eastAsia="Times New Roman" w:hint="default"/>
                <w:b w:val="0"/>
                <w:bCs w:val="0"/>
              </w:rPr>
            </w:r>
          </w:hyperlink>
        </w:p>
        <w:p>
          <w:pPr>
            <w:pStyle w:val="TOC1"/>
            <w:tabs>
              <w:tab w:pos="9742" w:val="right" w:leader="dot"/>
            </w:tabs>
            <w:spacing w:line="240" w:lineRule="auto"/>
            <w:ind w:right="0"/>
            <w:jc w:val="left"/>
            <w:rPr>
              <w:rFonts w:ascii="Times New Roman" w:hAnsi="Times New Roman" w:cs="Times New Roman" w:eastAsia="Times New Roman" w:hint="default"/>
              <w:b w:val="0"/>
              <w:bCs w:val="0"/>
            </w:rPr>
          </w:pPr>
          <w:hyperlink w:history="true" w:anchor="_bookmark9">
            <w:r>
              <w:rPr/>
              <w:t>第十一节</w:t>
            </w:r>
            <w:r>
              <w:rPr>
                <w:spacing w:val="-1"/>
              </w:rPr>
              <w:t> </w:t>
            </w:r>
            <w:r>
              <w:rPr/>
              <w:t>财务报告</w:t>
            </w:r>
            <w:r>
              <w:rPr>
                <w:rFonts w:ascii="Times New Roman" w:hAnsi="Times New Roman" w:cs="Times New Roman" w:eastAsia="Times New Roman" w:hint="default"/>
              </w:rPr>
              <w:tab/>
              <w:t>121</w:t>
            </w:r>
            <w:r>
              <w:rPr>
                <w:rFonts w:ascii="Times New Roman" w:hAnsi="Times New Roman" w:cs="Times New Roman" w:eastAsia="Times New Roman" w:hint="default"/>
                <w:b w:val="0"/>
                <w:bCs w:val="0"/>
              </w:rPr>
            </w:r>
          </w:hyperlink>
        </w:p>
        <w:p>
          <w:pPr>
            <w:pStyle w:val="TOC1"/>
            <w:tabs>
              <w:tab w:pos="9742" w:val="right" w:leader="dot"/>
            </w:tabs>
            <w:spacing w:line="240" w:lineRule="auto"/>
            <w:ind w:right="0"/>
            <w:jc w:val="left"/>
            <w:rPr>
              <w:rFonts w:ascii="Times New Roman" w:hAnsi="Times New Roman" w:cs="Times New Roman" w:eastAsia="Times New Roman" w:hint="default"/>
              <w:b w:val="0"/>
              <w:bCs w:val="0"/>
            </w:rPr>
          </w:pPr>
          <w:hyperlink w:history="true" w:anchor="_bookmark10">
            <w:r>
              <w:rPr/>
              <w:t>第十二节</w:t>
            </w:r>
            <w:r>
              <w:rPr>
                <w:spacing w:val="-2"/>
              </w:rPr>
              <w:t> </w:t>
            </w:r>
            <w:r>
              <w:rPr/>
              <w:t>备查文件目录</w:t>
            </w:r>
            <w:r>
              <w:rPr>
                <w:rFonts w:ascii="Times New Roman" w:hAnsi="Times New Roman" w:cs="Times New Roman" w:eastAsia="Times New Roman" w:hint="default"/>
              </w:rPr>
              <w:tab/>
              <w:t>245</w:t>
            </w:r>
            <w:r>
              <w:rPr>
                <w:rFonts w:ascii="Times New Roman" w:hAnsi="Times New Roman" w:cs="Times New Roman" w:eastAsia="Times New Roman" w:hint="default"/>
                <w:b w:val="0"/>
                <w:bCs w:val="0"/>
              </w:rPr>
            </w:r>
          </w:hyperlink>
        </w:p>
      </w:sdtContent>
    </w:sdt>
    <w:p>
      <w:pPr>
        <w:spacing w:after="0" w:line="240" w:lineRule="auto"/>
        <w:jc w:val="left"/>
        <w:rPr>
          <w:rFonts w:ascii="Times New Roman" w:hAnsi="Times New Roman" w:cs="Times New Roman" w:eastAsia="Times New Roman" w:hint="default"/>
        </w:rPr>
        <w:sectPr>
          <w:pgSz w:w="11910" w:h="16840"/>
          <w:pgMar w:header="822" w:footer="1019" w:top="1140" w:bottom="1200" w:left="1020" w:right="0"/>
        </w:sectPr>
      </w:pPr>
    </w:p>
    <w:p>
      <w:pPr>
        <w:spacing w:before="870"/>
        <w:ind w:left="2384" w:right="3400"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525"/>
        <w:gridCol w:w="621"/>
        <w:gridCol w:w="5424"/>
      </w:tblGrid>
      <w:tr>
        <w:trPr>
          <w:trHeight w:val="397" w:hRule="exact"/>
        </w:trPr>
        <w:tc>
          <w:tcPr>
            <w:tcW w:w="35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释义项</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释义内容</w:t>
            </w:r>
          </w:p>
        </w:tc>
      </w:tr>
      <w:tr>
        <w:trPr>
          <w:trHeight w:val="407"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证监会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中国证券监督管理委员会</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深交所</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深圳证券交易所</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公司、本公司、信息发展</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上海中信信息发展股份有限公司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公司章程</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上海中信信息发展股份有限公司章程</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股东大会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上海中信信息发展股份有限公司股东大会</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上海中信信息发展股份有限公司董事会</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监事会</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上海中信信息发展股份有限公司监事会</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公司法</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中华人民共和国公司法</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证券法</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中华人民共和国证券法</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保荐机构</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中山证券有限责任公司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会计师</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元</w:t>
            </w:r>
            <w:r>
              <w:rPr>
                <w:rFonts w:ascii="Times New Roman" w:hAnsi="Times New Roman" w:cs="Times New Roman" w:eastAsia="Times New Roman" w:hint="default"/>
                <w:sz w:val="18"/>
                <w:szCs w:val="18"/>
              </w:rPr>
              <w:t>/</w:t>
            </w:r>
            <w:r>
              <w:rPr>
                <w:rFonts w:ascii="宋体" w:hAnsi="宋体" w:cs="宋体" w:eastAsia="宋体" w:hint="default"/>
                <w:sz w:val="18"/>
                <w:szCs w:val="18"/>
              </w:rPr>
              <w:t>万元</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人民币元</w:t>
            </w:r>
            <w:r>
              <w:rPr>
                <w:rFonts w:ascii="Times New Roman" w:hAnsi="Times New Roman" w:cs="Times New Roman" w:eastAsia="Times New Roman" w:hint="default"/>
                <w:sz w:val="18"/>
                <w:szCs w:val="18"/>
              </w:rPr>
              <w:t>/</w:t>
            </w:r>
            <w:r>
              <w:rPr>
                <w:rFonts w:ascii="宋体" w:hAnsi="宋体" w:cs="宋体" w:eastAsia="宋体" w:hint="default"/>
                <w:sz w:val="18"/>
                <w:szCs w:val="18"/>
              </w:rPr>
              <w:t>人民币万元</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报告期、本报告期</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期末、本期末、报告期末</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金档公司</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上海金档信息技术有限公司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光典公司</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光典信息发展有限公司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追溯云公司</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追溯云信息发展股份有限公司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智秾公司</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智秾信息发展股份有限公司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信发资产公司</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信发资产管理有限责任公司</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追索公司</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上海追索信息科技有限公司</w:t>
            </w:r>
          </w:p>
        </w:tc>
      </w:tr>
      <w:tr>
        <w:trPr>
          <w:trHeight w:val="1026"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大数据</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1"/>
              <w:jc w:val="both"/>
              <w:rPr>
                <w:rFonts w:ascii="宋体" w:hAnsi="宋体" w:cs="宋体" w:eastAsia="宋体" w:hint="default"/>
                <w:sz w:val="18"/>
                <w:szCs w:val="18"/>
              </w:rPr>
            </w:pPr>
            <w:r>
              <w:rPr>
                <w:rFonts w:ascii="宋体" w:hAnsi="宋体" w:cs="宋体" w:eastAsia="宋体" w:hint="default"/>
                <w:spacing w:val="-1"/>
                <w:sz w:val="18"/>
                <w:szCs w:val="18"/>
              </w:rPr>
              <w:t>由数量巨大、结构复杂、类型众多的数据构成的数据集合，是需要</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1"/>
                <w:sz w:val="18"/>
                <w:szCs w:val="18"/>
              </w:rPr>
              <w:t>新处理模式才能具有更强的决策力、洞察发现力和流程优化能力的</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海量、高增长率和多样化的信息资产。</w:t>
            </w:r>
          </w:p>
        </w:tc>
      </w:tr>
      <w:tr>
        <w:trPr>
          <w:trHeight w:val="1338"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区块链</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1"/>
              <w:jc w:val="both"/>
              <w:rPr>
                <w:rFonts w:ascii="宋体" w:hAnsi="宋体" w:cs="宋体" w:eastAsia="宋体" w:hint="default"/>
                <w:sz w:val="18"/>
                <w:szCs w:val="18"/>
              </w:rPr>
            </w:pPr>
            <w:r>
              <w:rPr>
                <w:rFonts w:ascii="宋体" w:hAnsi="宋体" w:cs="宋体" w:eastAsia="宋体" w:hint="default"/>
                <w:spacing w:val="-1"/>
                <w:sz w:val="18"/>
                <w:szCs w:val="18"/>
              </w:rPr>
              <w:t>是利用块链式数据结构来验证与存储数据、利用分布式节点共识算</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1"/>
                <w:sz w:val="18"/>
                <w:szCs w:val="18"/>
              </w:rPr>
              <w:t>法来生成和更新数据、利用密码学的方式保证数据传输和访问的安</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1"/>
                <w:sz w:val="18"/>
                <w:szCs w:val="18"/>
              </w:rPr>
              <w:t>全、利用由自动化脚本代码组成的智能合约来编程和操作数据的一</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种全新的分布式基础架构与计算方式。</w:t>
            </w:r>
          </w:p>
        </w:tc>
      </w:tr>
      <w:tr>
        <w:trPr>
          <w:trHeight w:val="71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SaaS</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101"/>
              <w:jc w:val="left"/>
              <w:rPr>
                <w:rFonts w:ascii="宋体" w:hAnsi="宋体" w:cs="宋体" w:eastAsia="宋体" w:hint="default"/>
                <w:sz w:val="18"/>
                <w:szCs w:val="18"/>
              </w:rPr>
            </w:pPr>
            <w:r>
              <w:rPr>
                <w:rFonts w:ascii="宋体" w:hAnsi="宋体" w:cs="宋体" w:eastAsia="宋体" w:hint="default"/>
                <w:spacing w:val="-7"/>
                <w:sz w:val="18"/>
                <w:szCs w:val="18"/>
              </w:rPr>
              <w:t>“软件即服务”（</w:t>
            </w:r>
            <w:r>
              <w:rPr>
                <w:rFonts w:ascii="Times New Roman" w:hAnsi="Times New Roman" w:cs="Times New Roman" w:eastAsia="Times New Roman" w:hint="default"/>
                <w:spacing w:val="-7"/>
                <w:sz w:val="18"/>
                <w:szCs w:val="18"/>
              </w:rPr>
              <w:t>Software</w:t>
            </w:r>
            <w:r>
              <w:rPr>
                <w:rFonts w:ascii="Times New Roman" w:hAnsi="Times New Roman" w:cs="Times New Roman" w:eastAsia="Times New Roman" w:hint="default"/>
                <w:spacing w:val="5"/>
                <w:sz w:val="18"/>
                <w:szCs w:val="18"/>
              </w:rPr>
              <w:t> </w:t>
            </w:r>
            <w:r>
              <w:rPr>
                <w:rFonts w:ascii="Times New Roman" w:hAnsi="Times New Roman" w:cs="Times New Roman" w:eastAsia="Times New Roman" w:hint="default"/>
                <w:w w:val="99"/>
                <w:sz w:val="18"/>
                <w:szCs w:val="18"/>
              </w:rPr>
              <w:t>as</w:t>
            </w:r>
            <w:r>
              <w:rPr>
                <w:rFonts w:ascii="Times New Roman" w:hAnsi="Times New Roman" w:cs="Times New Roman" w:eastAsia="Times New Roman" w:hint="default"/>
                <w:spacing w:val="6"/>
                <w:w w:val="99"/>
                <w:sz w:val="18"/>
                <w:szCs w:val="18"/>
              </w:rPr>
              <w:t>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4"/>
                <w:sz w:val="18"/>
                <w:szCs w:val="18"/>
              </w:rPr>
              <w:t> </w:t>
            </w:r>
            <w:r>
              <w:rPr>
                <w:rFonts w:ascii="Times New Roman" w:hAnsi="Times New Roman" w:cs="Times New Roman" w:eastAsia="Times New Roman" w:hint="default"/>
                <w:spacing w:val="-2"/>
                <w:sz w:val="18"/>
                <w:szCs w:val="18"/>
              </w:rPr>
              <w:t>Service</w:t>
            </w:r>
            <w:r>
              <w:rPr>
                <w:rFonts w:ascii="宋体" w:hAnsi="宋体" w:cs="宋体" w:eastAsia="宋体" w:hint="default"/>
                <w:spacing w:val="-2"/>
                <w:sz w:val="18"/>
                <w:szCs w:val="18"/>
              </w:rPr>
              <w:t>）的英文缩写，是云计算模式</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下的应用软件服务模式。</w:t>
            </w:r>
          </w:p>
        </w:tc>
      </w:tr>
      <w:tr>
        <w:trPr>
          <w:trHeight w:val="40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追溯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Inside</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z w:val="18"/>
                <w:szCs w:val="18"/>
              </w:rPr>
              <w:t>追溯云公司提供的一种信息服务，是将追溯服务植入食品生产、加</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525"/>
        <w:gridCol w:w="621"/>
        <w:gridCol w:w="5424"/>
      </w:tblGrid>
      <w:tr>
        <w:trPr>
          <w:trHeight w:val="674" w:hRule="exact"/>
        </w:trPr>
        <w:tc>
          <w:tcPr>
            <w:tcW w:w="3525" w:type="dxa"/>
            <w:tcBorders>
              <w:top w:val="single" w:sz="4" w:space="0" w:color="000000"/>
              <w:left w:val="single" w:sz="4" w:space="0" w:color="000000"/>
              <w:bottom w:val="single" w:sz="4" w:space="0" w:color="000000"/>
              <w:right w:val="single" w:sz="4" w:space="0" w:color="000000"/>
            </w:tcBorders>
          </w:tcPr>
          <w:p>
            <w:pP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01"/>
              <w:jc w:val="left"/>
              <w:rPr>
                <w:rFonts w:ascii="宋体" w:hAnsi="宋体" w:cs="宋体" w:eastAsia="宋体" w:hint="default"/>
                <w:sz w:val="18"/>
                <w:szCs w:val="18"/>
              </w:rPr>
            </w:pPr>
            <w:r>
              <w:rPr>
                <w:rFonts w:ascii="宋体" w:hAnsi="宋体" w:cs="宋体" w:eastAsia="宋体" w:hint="default"/>
                <w:spacing w:val="-1"/>
                <w:sz w:val="18"/>
                <w:szCs w:val="18"/>
              </w:rPr>
              <w:t>工、流通、消费等食品安全追溯链条各环节中，实现可追溯食品的</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正向追踪和反向溯源。</w:t>
            </w:r>
          </w:p>
        </w:tc>
      </w:tr>
      <w:tr>
        <w:trPr>
          <w:trHeight w:val="1338"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103" w:right="0"/>
              <w:jc w:val="left"/>
              <w:rPr>
                <w:rFonts w:ascii="宋体" w:hAnsi="宋体" w:cs="宋体" w:eastAsia="宋体" w:hint="default"/>
                <w:sz w:val="18"/>
                <w:szCs w:val="18"/>
              </w:rPr>
            </w:pPr>
            <w:r>
              <w:rPr>
                <w:rFonts w:ascii="宋体" w:hAnsi="宋体" w:cs="宋体" w:eastAsia="宋体" w:hint="default"/>
                <w:sz w:val="18"/>
                <w:szCs w:val="18"/>
              </w:rPr>
              <w:t>生物芯片</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0"/>
              <w:jc w:val="left"/>
              <w:rPr>
                <w:rFonts w:ascii="宋体" w:hAnsi="宋体" w:cs="宋体" w:eastAsia="宋体" w:hint="default"/>
                <w:sz w:val="18"/>
                <w:szCs w:val="18"/>
              </w:rPr>
            </w:pPr>
            <w:r>
              <w:rPr>
                <w:rFonts w:ascii="宋体" w:hAnsi="宋体" w:cs="宋体" w:eastAsia="宋体" w:hint="default"/>
                <w:spacing w:val="-1"/>
                <w:sz w:val="18"/>
                <w:szCs w:val="18"/>
              </w:rPr>
              <w:t>是通过缩微技术，根据分子间特异性相互作用的原理，将生命科学</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领域中不连续的分析过程集成于硅芯片或玻璃芯片表面的微型生 </w:t>
            </w:r>
            <w:r>
              <w:rPr>
                <w:rFonts w:ascii="宋体" w:hAnsi="宋体" w:cs="宋体" w:eastAsia="宋体" w:hint="default"/>
                <w:spacing w:val="-1"/>
                <w:sz w:val="18"/>
                <w:szCs w:val="18"/>
              </w:rPr>
              <w:t>物化学分析系统，以实现对细胞、蛋白质、基因及其它生物组分的</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准确、快速、大信息量检测的技术。</w:t>
            </w:r>
          </w:p>
        </w:tc>
      </w:tr>
      <w:tr>
        <w:trPr>
          <w:trHeight w:val="1338"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安心检</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1"/>
              <w:jc w:val="both"/>
              <w:rPr>
                <w:rFonts w:ascii="宋体" w:hAnsi="宋体" w:cs="宋体" w:eastAsia="宋体" w:hint="default"/>
                <w:sz w:val="18"/>
                <w:szCs w:val="18"/>
              </w:rPr>
            </w:pPr>
            <w:r>
              <w:rPr>
                <w:rFonts w:ascii="宋体" w:hAnsi="宋体" w:cs="宋体" w:eastAsia="宋体" w:hint="default"/>
                <w:spacing w:val="-1"/>
                <w:sz w:val="18"/>
                <w:szCs w:val="18"/>
              </w:rPr>
              <w:t>追溯云公司提供的一种食品安全快检服务，通过在社区设立专业快</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pacing w:val="-1"/>
                <w:sz w:val="18"/>
                <w:szCs w:val="18"/>
              </w:rPr>
              <w:t>检实验中心，对蔬菜、生猪等消费量大、保质期短、食品安全风险</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1"/>
                <w:sz w:val="18"/>
                <w:szCs w:val="18"/>
              </w:rPr>
              <w:t>相对较高的食品和食用农产品开展集中式检测，对零售环节食品安</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全进行管控，为居民提供食品安全保障。</w:t>
            </w:r>
          </w:p>
        </w:tc>
      </w:tr>
      <w:tr>
        <w:trPr>
          <w:trHeight w:val="1962"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长三角联盟</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2"/>
              <w:jc w:val="both"/>
              <w:rPr>
                <w:rFonts w:ascii="宋体" w:hAnsi="宋体" w:cs="宋体" w:eastAsia="宋体" w:hint="default"/>
                <w:sz w:val="18"/>
                <w:szCs w:val="18"/>
              </w:rPr>
            </w:pPr>
            <w:r>
              <w:rPr>
                <w:rFonts w:ascii="宋体" w:hAnsi="宋体" w:cs="宋体" w:eastAsia="宋体" w:hint="default"/>
                <w:sz w:val="18"/>
                <w:szCs w:val="18"/>
              </w:rPr>
              <w:t>长三角重要产品（区块链）追溯联盟的简称。是为贯彻党中央、国 务院关于长三角地区一体化发展的重要指示精神，在商务部、三省 一市商务主管部门指导下成立的非营利性社会组织。联盟旨在以国 家产业政策为指导，以市场为主导，以企业为主体，搭建江、浙、 沪、皖三省一市重要产品追溯的互联、互通、互认、互查平台，提 </w:t>
            </w:r>
            <w:r>
              <w:rPr>
                <w:rFonts w:ascii="宋体" w:hAnsi="宋体" w:cs="宋体" w:eastAsia="宋体" w:hint="default"/>
                <w:spacing w:val="-4"/>
                <w:sz w:val="18"/>
                <w:szCs w:val="18"/>
              </w:rPr>
              <w:t>升长三角区域重要产品追溯标准化、信息化、集约化和品牌化水平。</w:t>
            </w:r>
          </w:p>
        </w:tc>
      </w:tr>
      <w:tr>
        <w:trPr>
          <w:trHeight w:val="2274"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03" w:right="0"/>
              <w:jc w:val="left"/>
              <w:rPr>
                <w:rFonts w:ascii="宋体" w:hAnsi="宋体" w:cs="宋体" w:eastAsia="宋体" w:hint="default"/>
                <w:sz w:val="18"/>
                <w:szCs w:val="18"/>
              </w:rPr>
            </w:pPr>
            <w:r>
              <w:rPr>
                <w:rFonts w:ascii="宋体" w:hAnsi="宋体" w:cs="宋体" w:eastAsia="宋体" w:hint="default"/>
                <w:sz w:val="18"/>
                <w:szCs w:val="18"/>
              </w:rPr>
              <w:t>安全可控</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9"/>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89"/>
              <w:jc w:val="left"/>
              <w:rPr>
                <w:rFonts w:ascii="宋体" w:hAnsi="宋体" w:cs="宋体" w:eastAsia="宋体" w:hint="default"/>
                <w:sz w:val="18"/>
                <w:szCs w:val="18"/>
              </w:rPr>
            </w:pPr>
            <w:r>
              <w:rPr>
                <w:rFonts w:ascii="宋体" w:hAnsi="宋体" w:cs="宋体" w:eastAsia="宋体" w:hint="default"/>
                <w:sz w:val="18"/>
                <w:szCs w:val="18"/>
              </w:rPr>
              <w:t>上海中信信息发展股份有限公司致力于研发和推广具有自主知识 产权的信息系统，推出基于国产自主、安全、可控的档案管理系统 和监狱管理系统等，并与业内众多国产芯片、服务器、操作系统、 中间件、数据库等软硬厂商技术合作，系统研发过程中充分与合作 伙伴共同进行技术消化、吸收再创新，构建广泛兼容、自主可控、 安全可信、性能稳定、高效可用的信息系统，目前已经逐步应用于 相应的各级政府机关的信息系统当中。</w:t>
            </w:r>
          </w:p>
        </w:tc>
      </w:tr>
      <w:tr>
        <w:trPr>
          <w:trHeight w:val="3210"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人工智能</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
              <w:jc w:val="left"/>
              <w:rPr>
                <w:rFonts w:ascii="宋体" w:hAnsi="宋体" w:cs="宋体" w:eastAsia="宋体" w:hint="default"/>
                <w:sz w:val="18"/>
                <w:szCs w:val="18"/>
              </w:rPr>
            </w:pPr>
            <w:r>
              <w:rPr>
                <w:rFonts w:ascii="宋体" w:hAnsi="宋体" w:cs="宋体" w:eastAsia="宋体" w:hint="default"/>
                <w:sz w:val="18"/>
                <w:szCs w:val="18"/>
              </w:rPr>
              <w:t>人工智能（</w:t>
            </w:r>
            <w:r>
              <w:rPr>
                <w:rFonts w:ascii="Times New Roman" w:hAnsi="Times New Roman" w:cs="Times New Roman" w:eastAsia="Times New Roman" w:hint="default"/>
                <w:sz w:val="18"/>
                <w:szCs w:val="18"/>
              </w:rPr>
              <w:t>Artificial </w:t>
            </w:r>
            <w:r>
              <w:rPr>
                <w:rFonts w:ascii="Times New Roman" w:hAnsi="Times New Roman" w:cs="Times New Roman" w:eastAsia="Times New Roman" w:hint="default"/>
                <w:spacing w:val="-5"/>
                <w:sz w:val="18"/>
                <w:szCs w:val="18"/>
              </w:rPr>
              <w:t>Intelligence</w:t>
            </w:r>
            <w:r>
              <w:rPr>
                <w:rFonts w:ascii="宋体" w:hAnsi="宋体" w:cs="宋体" w:eastAsia="宋体" w:hint="default"/>
                <w:spacing w:val="-5"/>
                <w:sz w:val="18"/>
                <w:szCs w:val="18"/>
              </w:rPr>
              <w:t>），英文缩写为</w:t>
            </w:r>
            <w:r>
              <w:rPr>
                <w:rFonts w:ascii="宋体" w:hAnsi="宋体" w:cs="宋体" w:eastAsia="宋体" w:hint="default"/>
                <w:spacing w:val="-46"/>
                <w:sz w:val="18"/>
                <w:szCs w:val="18"/>
              </w:rPr>
              <w:t> </w:t>
            </w:r>
            <w:r>
              <w:rPr>
                <w:rFonts w:ascii="Times New Roman" w:hAnsi="Times New Roman" w:cs="Times New Roman" w:eastAsia="Times New Roman" w:hint="default"/>
                <w:w w:val="99"/>
                <w:sz w:val="18"/>
                <w:szCs w:val="18"/>
              </w:rPr>
              <w:t>AI</w:t>
            </w:r>
            <w:r>
              <w:rPr>
                <w:rFonts w:ascii="宋体" w:hAnsi="宋体" w:cs="宋体" w:eastAsia="宋体" w:hint="default"/>
                <w:w w:val="99"/>
                <w:sz w:val="18"/>
                <w:szCs w:val="18"/>
              </w:rPr>
              <w:t>。它是研究、开</w:t>
            </w:r>
            <w:r>
              <w:rPr>
                <w:rFonts w:ascii="宋体" w:hAnsi="宋体" w:cs="宋体" w:eastAsia="宋体" w:hint="default"/>
                <w:sz w:val="18"/>
                <w:szCs w:val="18"/>
              </w:rPr>
              <w:t> 发用于模拟、延伸和扩展人的智能的理论、方法、技术及应用系统 的一门新的技术科学。人工智能是计算机科学的一个分支，它企图 了解智能的实质，并生产出一种新的能以人类智能相似的方式做出 </w:t>
            </w:r>
            <w:r>
              <w:rPr>
                <w:rFonts w:ascii="宋体" w:hAnsi="宋体" w:cs="宋体" w:eastAsia="宋体" w:hint="default"/>
                <w:spacing w:val="-4"/>
                <w:sz w:val="18"/>
                <w:szCs w:val="18"/>
              </w:rPr>
              <w:t>反应的智能机器，该领域的研究包括机器人、语言识别、图像识别、</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自然语言处理和专家系统等。人工智能从诞生以来，理论和技术日</w:t>
            </w:r>
            <w:r>
              <w:rPr>
                <w:rFonts w:ascii="宋体" w:hAnsi="宋体" w:cs="宋体" w:eastAsia="宋体" w:hint="default"/>
                <w:sz w:val="18"/>
                <w:szCs w:val="18"/>
              </w:rPr>
              <w:t> 益成熟，应用领域也不断扩大，可以设想，未来人工智能带来的科 </w:t>
            </w:r>
            <w:r>
              <w:rPr>
                <w:rFonts w:ascii="宋体" w:hAnsi="宋体" w:cs="宋体" w:eastAsia="宋体" w:hint="default"/>
                <w:spacing w:val="-4"/>
                <w:sz w:val="18"/>
                <w:szCs w:val="18"/>
              </w:rPr>
              <w:t>技产品，将会是人类智慧的“容器”。人工智能可以对人的意识、</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思维的信息过程的模拟。人工智能不是人的智能，但能像人那样思</w:t>
            </w:r>
            <w:r>
              <w:rPr>
                <w:rFonts w:ascii="宋体" w:hAnsi="宋体" w:cs="宋体" w:eastAsia="宋体" w:hint="default"/>
                <w:sz w:val="18"/>
                <w:szCs w:val="18"/>
              </w:rPr>
              <w:t> 考、也可能超过人的智能。</w:t>
            </w:r>
          </w:p>
        </w:tc>
      </w:tr>
      <w:tr>
        <w:trPr>
          <w:trHeight w:val="2859" w:hRule="exact"/>
        </w:trPr>
        <w:tc>
          <w:tcPr>
            <w:tcW w:w="35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物联网</w:t>
            </w: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指</w:t>
            </w: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89"/>
              <w:jc w:val="both"/>
              <w:rPr>
                <w:rFonts w:ascii="宋体" w:hAnsi="宋体" w:cs="宋体" w:eastAsia="宋体" w:hint="default"/>
                <w:sz w:val="18"/>
                <w:szCs w:val="18"/>
              </w:rPr>
            </w:pPr>
            <w:r>
              <w:rPr>
                <w:rFonts w:ascii="宋体" w:hAnsi="宋体" w:cs="宋体" w:eastAsia="宋体" w:hint="default"/>
                <w:sz w:val="18"/>
                <w:szCs w:val="18"/>
              </w:rPr>
              <w:t>物联网（英语：</w:t>
            </w:r>
            <w:r>
              <w:rPr>
                <w:rFonts w:ascii="Times New Roman" w:hAnsi="Times New Roman" w:cs="Times New Roman" w:eastAsia="Times New Roman" w:hint="default"/>
                <w:sz w:val="18"/>
                <w:szCs w:val="18"/>
              </w:rPr>
              <w:t>Internet of Things</w:t>
            </w:r>
            <w:r>
              <w:rPr>
                <w:rFonts w:ascii="宋体" w:hAnsi="宋体" w:cs="宋体" w:eastAsia="宋体" w:hint="default"/>
                <w:sz w:val="18"/>
                <w:szCs w:val="18"/>
              </w:rPr>
              <w:t>，缩写</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IoT</w:t>
            </w:r>
            <w:r>
              <w:rPr>
                <w:rFonts w:ascii="宋体" w:hAnsi="宋体" w:cs="宋体" w:eastAsia="宋体" w:hint="default"/>
                <w:sz w:val="18"/>
                <w:szCs w:val="18"/>
              </w:rPr>
              <w:t>）是互联网、传统电信 网等信息承载体，让所有能行使独立功能的普通物体实现互联互通 的网络。物联网一般为无线网，而由于每个人周围的设备可以达到 一千至五千个，所以物联网可能要包含</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兆至一千兆个物体。在 物联网上，每个人都可以应用电子标签将真实的物体上网联结，在 物联网上都可以查出它们的具体位置。通过物联网可以用中心计算 机对机器、设备、人员进行集中管理、控制，也可以对家庭设备、 汽车进行遥控，以及搜索位置、防止物品被盗等，类似自动化操控 系统，同时透过收集这些小事的数据，最后可以聚集成大数据，包</w:t>
            </w:r>
          </w:p>
        </w:tc>
      </w:tr>
    </w:tbl>
    <w:p>
      <w:pPr>
        <w:spacing w:after="0" w:line="314" w:lineRule="auto"/>
        <w:jc w:val="both"/>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525"/>
        <w:gridCol w:w="621"/>
        <w:gridCol w:w="5424"/>
      </w:tblGrid>
      <w:tr>
        <w:trPr>
          <w:trHeight w:val="674" w:hRule="exact"/>
        </w:trPr>
        <w:tc>
          <w:tcPr>
            <w:tcW w:w="3525" w:type="dxa"/>
            <w:tcBorders>
              <w:top w:val="single" w:sz="4" w:space="0" w:color="000000"/>
              <w:left w:val="single" w:sz="4" w:space="0" w:color="000000"/>
              <w:bottom w:val="single" w:sz="4" w:space="0" w:color="000000"/>
              <w:right w:val="single" w:sz="4" w:space="0" w:color="000000"/>
            </w:tcBorders>
          </w:tcPr>
          <w:p>
            <w:pPr/>
          </w:p>
        </w:tc>
        <w:tc>
          <w:tcPr>
            <w:tcW w:w="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42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01"/>
              <w:jc w:val="left"/>
              <w:rPr>
                <w:rFonts w:ascii="宋体" w:hAnsi="宋体" w:cs="宋体" w:eastAsia="宋体" w:hint="default"/>
                <w:sz w:val="18"/>
                <w:szCs w:val="18"/>
              </w:rPr>
            </w:pPr>
            <w:r>
              <w:rPr>
                <w:rFonts w:ascii="宋体" w:hAnsi="宋体" w:cs="宋体" w:eastAsia="宋体" w:hint="default"/>
                <w:spacing w:val="-1"/>
                <w:sz w:val="18"/>
                <w:szCs w:val="18"/>
              </w:rPr>
              <w:t>含重新设计道路以减少车祸、都市更新、灾害预测与犯罪防治、流</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行病控制等等社会的重大改变，实现物和物相联。</w:t>
            </w:r>
          </w:p>
        </w:tc>
      </w:tr>
    </w:tbl>
    <w:p>
      <w:pPr>
        <w:spacing w:after="0" w:line="319"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pStyle w:val="Heading1"/>
        <w:spacing w:line="240" w:lineRule="auto"/>
        <w:ind w:left="2604" w:right="0"/>
        <w:jc w:val="left"/>
        <w:rPr>
          <w:b w:val="0"/>
          <w:bCs w:val="0"/>
        </w:rPr>
      </w:pPr>
      <w:bookmarkStart w:name="第二节 公司简介和主要财务指标" w:id="2"/>
      <w:bookmarkEnd w:id="2"/>
      <w:r>
        <w:rPr>
          <w:b w:val="0"/>
          <w:bCs w:val="0"/>
        </w:rPr>
      </w:r>
      <w:bookmarkStart w:name="_bookmark0" w:id="3"/>
      <w:bookmarkEnd w:id="3"/>
      <w:r>
        <w:rPr>
          <w:b w:val="0"/>
          <w:bCs w:val="0"/>
        </w:rPr>
      </w:r>
      <w:r>
        <w:rPr/>
        <w:t>第二节</w:t>
      </w:r>
      <w:r>
        <w:rPr>
          <w:spacing w:val="-11"/>
        </w:rPr>
        <w:t> </w:t>
      </w:r>
      <w:r>
        <w:rPr/>
        <w:t>公司简介和主要财务指标</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4"/>
        <w:spacing w:line="240" w:lineRule="auto" w:before="26"/>
        <w:ind w:right="0"/>
        <w:jc w:val="left"/>
        <w:rPr>
          <w:b w:val="0"/>
          <w:bCs w:val="0"/>
        </w:rPr>
      </w:pPr>
      <w:bookmarkStart w:name="一、公司信息" w:id="4"/>
      <w:bookmarkEnd w:id="4"/>
      <w:r>
        <w:rPr>
          <w:b w:val="0"/>
          <w:bCs w:val="0"/>
        </w:rPr>
      </w: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2284"/>
        <w:gridCol w:w="2954"/>
        <w:gridCol w:w="2157"/>
        <w:gridCol w:w="2176"/>
      </w:tblGrid>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股票简称</w:t>
            </w:r>
          </w:p>
        </w:tc>
        <w:tc>
          <w:tcPr>
            <w:tcW w:w="29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信息发展</w:t>
            </w:r>
          </w:p>
        </w:tc>
        <w:tc>
          <w:tcPr>
            <w:tcW w:w="21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股票代码</w:t>
            </w:r>
          </w:p>
        </w:tc>
        <w:tc>
          <w:tcPr>
            <w:tcW w:w="21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300469</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公司的中文名称</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上海中信信息发展股份有限公司</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公司的中文简称</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信息发展</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公司的外文名称（如有）</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CHINA </w:t>
            </w:r>
            <w:r>
              <w:rPr>
                <w:rFonts w:ascii="Times New Roman"/>
                <w:spacing w:val="-3"/>
                <w:sz w:val="18"/>
              </w:rPr>
              <w:t>INFORMATION </w:t>
            </w:r>
            <w:r>
              <w:rPr>
                <w:rFonts w:ascii="Times New Roman"/>
                <w:sz w:val="18"/>
              </w:rPr>
              <w:t>DEVELOPMENT INC., </w:t>
            </w:r>
            <w:r>
              <w:rPr>
                <w:rFonts w:ascii="Times New Roman"/>
                <w:spacing w:val="-5"/>
                <w:sz w:val="18"/>
              </w:rPr>
              <w:t>LTD.</w:t>
            </w:r>
            <w:r>
              <w:rPr>
                <w:rFonts w:ascii="Times New Roman"/>
                <w:spacing w:val="-4"/>
                <w:sz w:val="18"/>
              </w:rPr>
              <w:t> </w:t>
            </w:r>
            <w:r>
              <w:rPr>
                <w:rFonts w:ascii="Times New Roman"/>
                <w:sz w:val="18"/>
              </w:rPr>
              <w:t>SHANGHAI</w:t>
            </w:r>
          </w:p>
        </w:tc>
      </w:tr>
      <w:tr>
        <w:trPr>
          <w:trHeight w:val="714"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89"/>
              <w:jc w:val="left"/>
              <w:rPr>
                <w:rFonts w:ascii="宋体" w:hAnsi="宋体" w:cs="宋体" w:eastAsia="宋体" w:hint="default"/>
                <w:sz w:val="18"/>
                <w:szCs w:val="18"/>
              </w:rPr>
            </w:pPr>
            <w:r>
              <w:rPr>
                <w:rFonts w:ascii="宋体" w:hAnsi="宋体" w:cs="宋体" w:eastAsia="宋体" w:hint="default"/>
                <w:sz w:val="18"/>
                <w:szCs w:val="18"/>
              </w:rPr>
              <w:t>公司的外文名称缩写（如 有）</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CES</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公司的法定代表人</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张曙华</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注册地址</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上海市静安区昌平路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室</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注册地址的邮政编码</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200040</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办公地址</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上海市中江路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879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办公地址的邮政编码</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200333</w:t>
            </w:r>
          </w:p>
        </w:tc>
      </w:tr>
      <w:tr>
        <w:trPr>
          <w:trHeight w:val="402"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公司国际互联网网址</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hyperlink r:id="rId9">
              <w:r>
                <w:rPr>
                  <w:rFonts w:ascii="Times New Roman"/>
                  <w:sz w:val="18"/>
                </w:rPr>
                <w:t>www.cesgroup.com.cn</w:t>
              </w:r>
            </w:hyperlink>
          </w:p>
        </w:tc>
      </w:tr>
      <w:tr>
        <w:trPr>
          <w:trHeight w:val="404" w:hRule="exact"/>
        </w:trPr>
        <w:tc>
          <w:tcPr>
            <w:tcW w:w="22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7286"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hyperlink r:id="rId10">
              <w:r>
                <w:rPr>
                  <w:rFonts w:ascii="Times New Roman"/>
                  <w:sz w:val="18"/>
                </w:rPr>
                <w:t>ir@cesgroup.com.cn</w:t>
              </w:r>
            </w:hyperlink>
          </w:p>
        </w:tc>
      </w:tr>
    </w:tbl>
    <w:p>
      <w:pPr>
        <w:spacing w:line="240" w:lineRule="auto" w:before="2"/>
        <w:rPr>
          <w:rFonts w:ascii="宋体" w:hAnsi="宋体" w:cs="宋体" w:eastAsia="宋体" w:hint="default"/>
          <w:b/>
          <w:bCs/>
          <w:sz w:val="18"/>
          <w:szCs w:val="18"/>
        </w:rPr>
      </w:pPr>
    </w:p>
    <w:p>
      <w:pPr>
        <w:pStyle w:val="Heading4"/>
        <w:spacing w:line="240" w:lineRule="auto" w:before="26"/>
        <w:ind w:right="0"/>
        <w:jc w:val="left"/>
        <w:rPr>
          <w:b w:val="0"/>
          <w:bCs w:val="0"/>
        </w:rPr>
      </w:pPr>
      <w:bookmarkStart w:name="二、联系人和联系方式" w:id="5"/>
      <w:bookmarkEnd w:id="5"/>
      <w:r>
        <w:rPr>
          <w:b w:val="0"/>
          <w:bCs w:val="0"/>
        </w:rPr>
      </w:r>
      <w:r>
        <w:rPr/>
        <w:t>二、联系人和联系方式</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董事会秘书</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证券事务代表</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徐云蔚</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曹晔</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联系地址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上海市中江路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879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上海市中江路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879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号楼</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电话</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1" w:right="0"/>
              <w:jc w:val="left"/>
              <w:rPr>
                <w:rFonts w:ascii="Times New Roman" w:hAnsi="Times New Roman" w:cs="Times New Roman" w:eastAsia="Times New Roman" w:hint="default"/>
                <w:sz w:val="18"/>
                <w:szCs w:val="18"/>
              </w:rPr>
            </w:pPr>
            <w:r>
              <w:rPr>
                <w:rFonts w:ascii="Times New Roman"/>
                <w:sz w:val="18"/>
              </w:rPr>
              <w:t>021-51208285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021-51208285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传真</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1" w:right="0"/>
              <w:jc w:val="left"/>
              <w:rPr>
                <w:rFonts w:ascii="Times New Roman" w:hAnsi="Times New Roman" w:cs="Times New Roman" w:eastAsia="Times New Roman" w:hint="default"/>
                <w:sz w:val="18"/>
                <w:szCs w:val="18"/>
              </w:rPr>
            </w:pPr>
            <w:r>
              <w:rPr>
                <w:rFonts w:ascii="Times New Roman"/>
                <w:sz w:val="18"/>
              </w:rPr>
              <w:t>021-51208285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021-51208285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电子信箱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1" w:right="0"/>
              <w:jc w:val="left"/>
              <w:rPr>
                <w:rFonts w:ascii="Times New Roman" w:hAnsi="Times New Roman" w:cs="Times New Roman" w:eastAsia="Times New Roman" w:hint="default"/>
                <w:sz w:val="18"/>
                <w:szCs w:val="18"/>
              </w:rPr>
            </w:pPr>
            <w:hyperlink r:id="rId10">
              <w:r>
                <w:rPr>
                  <w:rFonts w:ascii="Times New Roman"/>
                  <w:sz w:val="18"/>
                </w:rPr>
                <w:t>ir@cesgroup.com.cn</w:t>
              </w:r>
            </w:hyperlink>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hyperlink r:id="rId10">
              <w:r>
                <w:rPr>
                  <w:rFonts w:ascii="Times New Roman"/>
                  <w:sz w:val="18"/>
                </w:rPr>
                <w:t>ir@cesgroup.com.cn</w:t>
              </w:r>
            </w:hyperlink>
          </w:p>
        </w:tc>
      </w:tr>
    </w:tbl>
    <w:p>
      <w:pPr>
        <w:spacing w:line="240" w:lineRule="auto" w:before="2"/>
        <w:rPr>
          <w:rFonts w:ascii="宋体" w:hAnsi="宋体" w:cs="宋体" w:eastAsia="宋体" w:hint="default"/>
          <w:b/>
          <w:bCs/>
          <w:sz w:val="18"/>
          <w:szCs w:val="18"/>
        </w:rPr>
      </w:pPr>
    </w:p>
    <w:p>
      <w:pPr>
        <w:pStyle w:val="Heading4"/>
        <w:spacing w:line="240" w:lineRule="auto" w:before="26"/>
        <w:ind w:right="0"/>
        <w:jc w:val="left"/>
        <w:rPr>
          <w:b w:val="0"/>
          <w:bCs w:val="0"/>
        </w:rPr>
      </w:pPr>
      <w:bookmarkStart w:name="三、信息披露及备置地点" w:id="6"/>
      <w:bookmarkEnd w:id="6"/>
      <w:r>
        <w:rPr>
          <w:b w:val="0"/>
          <w:bCs w:val="0"/>
        </w:rPr>
      </w:r>
      <w:r>
        <w:rPr/>
        <w:t>三、信息披露及备置地点</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993"/>
        <w:gridCol w:w="5576"/>
      </w:tblGrid>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公司选定的信息披露媒体的名称</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《证券时报</w:t>
            </w:r>
            <w:r>
              <w:rPr>
                <w:rFonts w:ascii="宋体" w:hAnsi="宋体" w:cs="宋体" w:eastAsia="宋体" w:hint="default"/>
                <w:spacing w:val="-90"/>
                <w:sz w:val="18"/>
                <w:szCs w:val="18"/>
              </w:rPr>
              <w:t>》、</w:t>
            </w:r>
            <w:r>
              <w:rPr>
                <w:rFonts w:ascii="宋体" w:hAnsi="宋体" w:cs="宋体" w:eastAsia="宋体" w:hint="default"/>
                <w:sz w:val="18"/>
                <w:szCs w:val="18"/>
              </w:rPr>
              <w:t>《证券日报</w:t>
            </w:r>
            <w:r>
              <w:rPr>
                <w:rFonts w:ascii="宋体" w:hAnsi="宋体" w:cs="宋体" w:eastAsia="宋体" w:hint="default"/>
                <w:spacing w:val="-90"/>
                <w:sz w:val="18"/>
                <w:szCs w:val="18"/>
              </w:rPr>
              <w:t>》、</w:t>
            </w:r>
            <w:r>
              <w:rPr>
                <w:rFonts w:ascii="宋体" w:hAnsi="宋体" w:cs="宋体" w:eastAsia="宋体" w:hint="default"/>
                <w:sz w:val="18"/>
                <w:szCs w:val="18"/>
              </w:rPr>
              <w:t>《中国证券报</w:t>
            </w:r>
            <w:r>
              <w:rPr>
                <w:rFonts w:ascii="宋体" w:hAnsi="宋体" w:cs="宋体" w:eastAsia="宋体" w:hint="default"/>
                <w:spacing w:val="-90"/>
                <w:sz w:val="18"/>
                <w:szCs w:val="18"/>
              </w:rPr>
              <w:t>》、</w:t>
            </w:r>
            <w:r>
              <w:rPr>
                <w:rFonts w:ascii="宋体" w:hAnsi="宋体" w:cs="宋体" w:eastAsia="宋体" w:hint="default"/>
                <w:sz w:val="18"/>
                <w:szCs w:val="18"/>
              </w:rPr>
              <w:t>《上海证券报》</w:t>
            </w:r>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登载年度报告的中国证监会指定网站的网址</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hyperlink r:id="rId11">
              <w:r>
                <w:rPr>
                  <w:rFonts w:ascii="Times New Roman"/>
                  <w:sz w:val="18"/>
                </w:rPr>
                <w:t>http://www.cninfo.com.cn</w:t>
              </w:r>
            </w:hyperlink>
          </w:p>
        </w:tc>
      </w:tr>
      <w:tr>
        <w:trPr>
          <w:trHeight w:val="402" w:hRule="exact"/>
        </w:trPr>
        <w:tc>
          <w:tcPr>
            <w:tcW w:w="39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公司年度报告备置地点</w:t>
            </w:r>
          </w:p>
        </w:tc>
        <w:tc>
          <w:tcPr>
            <w:tcW w:w="55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董事会办公室</w:t>
            </w:r>
          </w:p>
        </w:tc>
      </w:tr>
    </w:tbl>
    <w:p>
      <w:pPr>
        <w:spacing w:line="240" w:lineRule="auto" w:before="2"/>
        <w:rPr>
          <w:rFonts w:ascii="宋体" w:hAnsi="宋体" w:cs="宋体" w:eastAsia="宋体" w:hint="default"/>
          <w:b/>
          <w:bCs/>
          <w:sz w:val="18"/>
          <w:szCs w:val="18"/>
        </w:rPr>
      </w:pPr>
    </w:p>
    <w:p>
      <w:pPr>
        <w:pStyle w:val="Heading4"/>
        <w:spacing w:line="240" w:lineRule="auto" w:before="26"/>
        <w:ind w:right="0"/>
        <w:jc w:val="left"/>
        <w:rPr>
          <w:b w:val="0"/>
          <w:bCs w:val="0"/>
        </w:rPr>
      </w:pPr>
      <w:bookmarkStart w:name="四、其他有关资料" w:id="7"/>
      <w:bookmarkEnd w:id="7"/>
      <w:r>
        <w:rPr>
          <w:b w:val="0"/>
          <w:bCs w:val="0"/>
        </w:rPr>
      </w:r>
      <w:r>
        <w:rPr/>
        <w:t>四、其他有关资料</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公司聘请的会计师事务所</w:t>
      </w:r>
    </w:p>
    <w:p>
      <w:pPr>
        <w:spacing w:after="0"/>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2662"/>
        <w:gridCol w:w="6907"/>
      </w:tblGrid>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会计师事务所名称</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立信会计事务所（特殊普通合伙）</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会计师事务所办公地址</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上海市南京东路</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楼</w:t>
            </w:r>
          </w:p>
        </w:tc>
      </w:tr>
      <w:tr>
        <w:trPr>
          <w:trHeight w:val="402"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签字会计师姓名</w:t>
            </w:r>
          </w:p>
        </w:tc>
        <w:tc>
          <w:tcPr>
            <w:tcW w:w="69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庄继宁、吴海燕</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公司聘请的报告期内履行持续督导职责的保荐机构</w:t>
      </w:r>
    </w:p>
    <w:p>
      <w:pPr>
        <w:spacing w:before="117"/>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3"/>
        <w:gridCol w:w="2392"/>
        <w:gridCol w:w="2392"/>
      </w:tblGrid>
      <w:tr>
        <w:trPr>
          <w:trHeight w:val="401"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0" w:right="0"/>
              <w:jc w:val="left"/>
              <w:rPr>
                <w:rFonts w:ascii="宋体" w:hAnsi="宋体" w:cs="宋体" w:eastAsia="宋体" w:hint="default"/>
                <w:sz w:val="18"/>
                <w:szCs w:val="18"/>
              </w:rPr>
            </w:pPr>
            <w:r>
              <w:rPr>
                <w:rFonts w:ascii="宋体" w:hAnsi="宋体" w:cs="宋体" w:eastAsia="宋体" w:hint="default"/>
                <w:sz w:val="18"/>
                <w:szCs w:val="18"/>
              </w:rPr>
              <w:t>保荐机构名称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70" w:right="0"/>
              <w:jc w:val="left"/>
              <w:rPr>
                <w:rFonts w:ascii="宋体" w:hAnsi="宋体" w:cs="宋体" w:eastAsia="宋体" w:hint="default"/>
                <w:sz w:val="18"/>
                <w:szCs w:val="18"/>
              </w:rPr>
            </w:pPr>
            <w:r>
              <w:rPr>
                <w:rFonts w:ascii="宋体" w:hAnsi="宋体" w:cs="宋体" w:eastAsia="宋体" w:hint="default"/>
                <w:sz w:val="18"/>
                <w:szCs w:val="18"/>
              </w:rPr>
              <w:t>保荐机构办公地址</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60" w:right="0"/>
              <w:jc w:val="left"/>
              <w:rPr>
                <w:rFonts w:ascii="宋体" w:hAnsi="宋体" w:cs="宋体" w:eastAsia="宋体" w:hint="default"/>
                <w:sz w:val="18"/>
                <w:szCs w:val="18"/>
              </w:rPr>
            </w:pPr>
            <w:r>
              <w:rPr>
                <w:rFonts w:ascii="宋体" w:hAnsi="宋体" w:cs="宋体" w:eastAsia="宋体" w:hint="default"/>
                <w:sz w:val="18"/>
                <w:szCs w:val="18"/>
              </w:rPr>
              <w:t>保荐代表人姓名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0" w:right="0"/>
              <w:jc w:val="left"/>
              <w:rPr>
                <w:rFonts w:ascii="宋体" w:hAnsi="宋体" w:cs="宋体" w:eastAsia="宋体" w:hint="default"/>
                <w:sz w:val="18"/>
                <w:szCs w:val="18"/>
              </w:rPr>
            </w:pPr>
            <w:r>
              <w:rPr>
                <w:rFonts w:ascii="宋体" w:hAnsi="宋体" w:cs="宋体" w:eastAsia="宋体" w:hint="default"/>
                <w:sz w:val="18"/>
                <w:szCs w:val="18"/>
              </w:rPr>
              <w:t>持续督导期间</w:t>
            </w:r>
          </w:p>
        </w:tc>
      </w:tr>
      <w:tr>
        <w:trPr>
          <w:trHeight w:val="1027"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中山证券有限责任公司</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2"/>
              <w:ind w:left="103" w:right="118"/>
              <w:jc w:val="left"/>
              <w:rPr>
                <w:rFonts w:ascii="宋体" w:hAnsi="宋体" w:cs="宋体" w:eastAsia="宋体" w:hint="default"/>
                <w:sz w:val="18"/>
                <w:szCs w:val="18"/>
              </w:rPr>
            </w:pPr>
            <w:r>
              <w:rPr>
                <w:rFonts w:ascii="宋体" w:hAnsi="宋体" w:cs="宋体" w:eastAsia="宋体" w:hint="default"/>
                <w:sz w:val="18"/>
                <w:szCs w:val="18"/>
              </w:rPr>
              <w:t>深圳市南山区科技中一路西 华强高新发展大楼</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层、</w:t>
            </w:r>
            <w:r>
              <w:rPr>
                <w:rFonts w:ascii="Times New Roman" w:hAnsi="Times New Roman" w:cs="Times New Roman" w:eastAsia="Times New Roman" w:hint="default"/>
                <w:sz w:val="18"/>
                <w:szCs w:val="18"/>
              </w:rPr>
              <w:t>8 </w:t>
            </w:r>
            <w:r>
              <w:rPr>
                <w:rFonts w:ascii="宋体" w:hAnsi="宋体" w:cs="宋体" w:eastAsia="宋体" w:hint="default"/>
                <w:sz w:val="18"/>
                <w:szCs w:val="18"/>
              </w:rPr>
              <w:t>层</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何庆桥、王艺祥</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月</w:t>
            </w:r>
            <w:r>
              <w:rPr>
                <w:rFonts w:ascii="宋体" w:hAnsi="宋体" w:cs="宋体" w:eastAsia="宋体" w:hint="default"/>
                <w:spacing w:val="-57"/>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日</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2"/>
                <w:sz w:val="18"/>
                <w:szCs w:val="18"/>
              </w:rPr>
              <w:t> </w:t>
            </w:r>
            <w:r>
              <w:rPr>
                <w:rFonts w:ascii="宋体" w:hAnsi="宋体" w:cs="宋体" w:eastAsia="宋体" w:hint="default"/>
                <w:sz w:val="18"/>
                <w:szCs w:val="18"/>
              </w:rPr>
              <w:t>年</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公司聘请的报告期内履行持续督导职责的财务顾问</w:t>
      </w:r>
    </w:p>
    <w:p>
      <w:pPr>
        <w:spacing w:before="116"/>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4"/>
        <w:spacing w:line="240" w:lineRule="auto"/>
        <w:ind w:right="0"/>
        <w:jc w:val="left"/>
        <w:rPr>
          <w:b w:val="0"/>
          <w:bCs w:val="0"/>
        </w:rPr>
      </w:pPr>
      <w:bookmarkStart w:name="五、主要会计数据和财务指标" w:id="8"/>
      <w:bookmarkEnd w:id="8"/>
      <w:r>
        <w:rPr>
          <w:b w:val="0"/>
          <w:bCs w:val="0"/>
        </w:rPr>
      </w:r>
      <w:r>
        <w:rPr/>
        <w:t>五、主要会计数据和财务指标</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公司是否需追溯调整或重述以前年度会计数据</w:t>
      </w:r>
    </w:p>
    <w:p>
      <w:pPr>
        <w:spacing w:line="357" w:lineRule="auto" w:before="117"/>
        <w:ind w:left="114" w:right="9132" w:firstLine="0"/>
        <w:jc w:val="left"/>
        <w:rPr>
          <w:rFonts w:ascii="宋体" w:hAnsi="宋体" w:cs="宋体" w:eastAsia="宋体" w:hint="default"/>
          <w:sz w:val="18"/>
          <w:szCs w:val="18"/>
        </w:rPr>
      </w:pPr>
      <w:r>
        <w:rPr>
          <w:rFonts w:ascii="宋体" w:hAnsi="宋体" w:cs="宋体" w:eastAsia="宋体" w:hint="default"/>
          <w:sz w:val="18"/>
          <w:szCs w:val="18"/>
        </w:rPr>
        <w:t>√ 是 □ 否 追溯调整或重述原因 其他原因</w:t>
      </w:r>
    </w:p>
    <w:tbl>
      <w:tblPr>
        <w:tblW w:w="0" w:type="auto"/>
        <w:jc w:val="left"/>
        <w:tblInd w:w="109" w:type="dxa"/>
        <w:tblLayout w:type="fixed"/>
        <w:tblCellMar>
          <w:top w:w="0" w:type="dxa"/>
          <w:left w:w="0" w:type="dxa"/>
          <w:bottom w:w="0" w:type="dxa"/>
          <w:right w:w="0" w:type="dxa"/>
        </w:tblCellMar>
        <w:tblLook w:val="01E0"/>
      </w:tblPr>
      <w:tblGrid>
        <w:gridCol w:w="2361"/>
        <w:gridCol w:w="1200"/>
        <w:gridCol w:w="1202"/>
        <w:gridCol w:w="1200"/>
        <w:gridCol w:w="1202"/>
        <w:gridCol w:w="1202"/>
        <w:gridCol w:w="1202"/>
      </w:tblGrid>
      <w:tr>
        <w:trPr>
          <w:trHeight w:val="714" w:hRule="exact"/>
        </w:trPr>
        <w:tc>
          <w:tcPr>
            <w:tcW w:w="2361" w:type="dxa"/>
            <w:vMerge w:val="restart"/>
            <w:tcBorders>
              <w:top w:val="single" w:sz="4" w:space="0" w:color="000000"/>
              <w:left w:val="single" w:sz="4" w:space="0" w:color="000000"/>
              <w:right w:val="single" w:sz="4" w:space="0" w:color="000000"/>
            </w:tcBorders>
            <w:shd w:val="clear" w:color="auto" w:fill="D2D2D2"/>
          </w:tcPr>
          <w:p>
            <w:pPr/>
          </w:p>
        </w:tc>
        <w:tc>
          <w:tcPr>
            <w:tcW w:w="12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30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40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15" w:right="144" w:hanging="270"/>
              <w:jc w:val="left"/>
              <w:rPr>
                <w:rFonts w:ascii="宋体" w:hAnsi="宋体" w:cs="宋体" w:eastAsia="宋体" w:hint="default"/>
                <w:sz w:val="18"/>
                <w:szCs w:val="18"/>
              </w:rPr>
            </w:pPr>
            <w:r>
              <w:rPr>
                <w:rFonts w:ascii="宋体" w:hAnsi="宋体" w:cs="宋体" w:eastAsia="宋体" w:hint="default"/>
                <w:sz w:val="18"/>
                <w:szCs w:val="18"/>
              </w:rPr>
              <w:t>本年比上年 增减</w:t>
            </w:r>
          </w:p>
        </w:tc>
        <w:tc>
          <w:tcPr>
            <w:tcW w:w="240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361" w:type="dxa"/>
            <w:vMerge/>
            <w:tcBorders>
              <w:left w:val="single" w:sz="4" w:space="0" w:color="000000"/>
              <w:bottom w:val="single" w:sz="4" w:space="0" w:color="000000"/>
              <w:right w:val="single" w:sz="4" w:space="0" w:color="000000"/>
            </w:tcBorders>
            <w:shd w:val="clear" w:color="auto" w:fill="D2D2D2"/>
          </w:tcPr>
          <w:p>
            <w:pPr/>
          </w:p>
        </w:tc>
        <w:tc>
          <w:tcPr>
            <w:tcW w:w="1200" w:type="dxa"/>
            <w:vMerge/>
            <w:tcBorders>
              <w:left w:val="single" w:sz="4" w:space="0" w:color="000000"/>
              <w:bottom w:val="single" w:sz="4" w:space="0" w:color="000000"/>
              <w:right w:val="single" w:sz="4" w:space="0" w:color="000000"/>
            </w:tcBorders>
            <w:shd w:val="clear" w:color="auto" w:fill="D2D2D2"/>
          </w:tcPr>
          <w:p>
            <w:pPr/>
          </w:p>
        </w:tc>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5"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3"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5"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6"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6" w:right="0"/>
              <w:jc w:val="left"/>
              <w:rPr>
                <w:rFonts w:ascii="宋体" w:hAnsi="宋体" w:cs="宋体" w:eastAsia="宋体" w:hint="default"/>
                <w:sz w:val="18"/>
                <w:szCs w:val="18"/>
              </w:rPr>
            </w:pPr>
            <w:r>
              <w:rPr>
                <w:rFonts w:ascii="宋体" w:hAnsi="宋体" w:cs="宋体" w:eastAsia="宋体" w:hint="default"/>
                <w:sz w:val="18"/>
                <w:szCs w:val="18"/>
              </w:rPr>
              <w:t>调整后</w:t>
            </w:r>
          </w:p>
        </w:tc>
      </w:tr>
      <w:tr>
        <w:trPr>
          <w:trHeight w:val="714" w:hRule="exact"/>
        </w:trPr>
        <w:tc>
          <w:tcPr>
            <w:tcW w:w="2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营业收入（元）</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706,940,063.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53</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564,293,578.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564,293,578.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68</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25.28%</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521,105,140.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41</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521,105,140.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41</w:t>
            </w:r>
          </w:p>
        </w:tc>
      </w:tr>
      <w:tr>
        <w:trPr>
          <w:trHeight w:val="714" w:hRule="exact"/>
        </w:trPr>
        <w:tc>
          <w:tcPr>
            <w:tcW w:w="2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267"/>
              <w:jc w:val="left"/>
              <w:rPr>
                <w:rFonts w:ascii="宋体" w:hAnsi="宋体" w:cs="宋体" w:eastAsia="宋体" w:hint="default"/>
                <w:sz w:val="18"/>
                <w:szCs w:val="18"/>
              </w:rPr>
            </w:pPr>
            <w:r>
              <w:rPr>
                <w:rFonts w:ascii="宋体" w:hAnsi="宋体" w:cs="宋体" w:eastAsia="宋体" w:hint="default"/>
                <w:sz w:val="18"/>
                <w:szCs w:val="18"/>
              </w:rPr>
              <w:t>归属于上市公司股东的净 利润（元）</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44,803,214.1</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33,207,874.9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33,207,874.9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34.92%</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30,008,810.4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30,008,810.4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r>
      <w:tr>
        <w:trPr>
          <w:trHeight w:val="1026" w:hRule="exact"/>
        </w:trPr>
        <w:tc>
          <w:tcPr>
            <w:tcW w:w="2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267"/>
              <w:jc w:val="left"/>
              <w:rPr>
                <w:rFonts w:ascii="宋体" w:hAnsi="宋体" w:cs="宋体" w:eastAsia="宋体" w:hint="default"/>
                <w:sz w:val="18"/>
                <w:szCs w:val="18"/>
              </w:rPr>
            </w:pPr>
            <w:r>
              <w:rPr>
                <w:rFonts w:ascii="宋体" w:hAnsi="宋体" w:cs="宋体" w:eastAsia="宋体" w:hint="default"/>
                <w:sz w:val="18"/>
                <w:szCs w:val="18"/>
              </w:rPr>
              <w:t>归属于上市公司股东的扣 除非经常性损益的净利润</w:t>
            </w:r>
          </w:p>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（元）</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21,403,553.0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26,949,871.7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26,949,871.7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-20.58%</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30,121,636.9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30,121,636.9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r>
      <w:tr>
        <w:trPr>
          <w:trHeight w:val="714" w:hRule="exact"/>
        </w:trPr>
        <w:tc>
          <w:tcPr>
            <w:tcW w:w="2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267"/>
              <w:jc w:val="left"/>
              <w:rPr>
                <w:rFonts w:ascii="宋体" w:hAnsi="宋体" w:cs="宋体" w:eastAsia="宋体" w:hint="default"/>
                <w:sz w:val="18"/>
                <w:szCs w:val="18"/>
              </w:rPr>
            </w:pPr>
            <w:r>
              <w:rPr>
                <w:rFonts w:ascii="宋体" w:hAnsi="宋体" w:cs="宋体" w:eastAsia="宋体" w:hint="default"/>
                <w:sz w:val="18"/>
                <w:szCs w:val="18"/>
              </w:rPr>
              <w:t>经营活动产生的现金流量 净额（元）</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4,012,417.86</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8,210,200.08</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8,210,200.08</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-51.13%</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-63,765,893.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38</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-63,765,893.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38</w:t>
            </w:r>
          </w:p>
        </w:tc>
      </w:tr>
      <w:tr>
        <w:trPr>
          <w:trHeight w:val="402" w:hRule="exact"/>
        </w:trPr>
        <w:tc>
          <w:tcPr>
            <w:tcW w:w="2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基本每股收益（元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0.370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0.486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0.275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34.55%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0.445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0.247</w:t>
            </w:r>
          </w:p>
        </w:tc>
      </w:tr>
      <w:tr>
        <w:trPr>
          <w:trHeight w:val="402" w:hRule="exact"/>
        </w:trPr>
        <w:tc>
          <w:tcPr>
            <w:tcW w:w="2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稀释每股收益（元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0.370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0.486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0.275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34.55%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0.445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0.247</w:t>
            </w:r>
          </w:p>
        </w:tc>
      </w:tr>
      <w:tr>
        <w:trPr>
          <w:trHeight w:val="402" w:hRule="exact"/>
        </w:trPr>
        <w:tc>
          <w:tcPr>
            <w:tcW w:w="2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10.56%</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8.16%</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8.16%</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2.40%</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7.79%</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7.79%</w:t>
            </w:r>
          </w:p>
        </w:tc>
      </w:tr>
      <w:tr>
        <w:trPr>
          <w:trHeight w:val="714" w:hRule="exact"/>
        </w:trPr>
        <w:tc>
          <w:tcPr>
            <w:tcW w:w="2361" w:type="dxa"/>
            <w:vMerge w:val="restart"/>
            <w:tcBorders>
              <w:top w:val="single" w:sz="4" w:space="0" w:color="000000"/>
              <w:left w:val="single" w:sz="4" w:space="0" w:color="000000"/>
              <w:right w:val="single" w:sz="4" w:space="0" w:color="000000"/>
            </w:tcBorders>
            <w:shd w:val="clear" w:color="auto" w:fill="D2D2D2"/>
          </w:tcPr>
          <w:p>
            <w:pPr/>
          </w:p>
        </w:tc>
        <w:tc>
          <w:tcPr>
            <w:tcW w:w="120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21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40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35" w:right="144" w:hanging="90"/>
              <w:jc w:val="left"/>
              <w:rPr>
                <w:rFonts w:ascii="宋体" w:hAnsi="宋体" w:cs="宋体" w:eastAsia="宋体" w:hint="default"/>
                <w:sz w:val="18"/>
                <w:szCs w:val="18"/>
              </w:rPr>
            </w:pPr>
            <w:r>
              <w:rPr>
                <w:rFonts w:ascii="宋体" w:hAnsi="宋体" w:cs="宋体" w:eastAsia="宋体" w:hint="default"/>
                <w:sz w:val="18"/>
                <w:szCs w:val="18"/>
              </w:rPr>
              <w:t>本年末比上 年末增减</w:t>
            </w:r>
          </w:p>
        </w:tc>
        <w:tc>
          <w:tcPr>
            <w:tcW w:w="240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r>
      <w:tr>
        <w:trPr>
          <w:trHeight w:val="402" w:hRule="exact"/>
        </w:trPr>
        <w:tc>
          <w:tcPr>
            <w:tcW w:w="2361" w:type="dxa"/>
            <w:vMerge/>
            <w:tcBorders>
              <w:left w:val="single" w:sz="4" w:space="0" w:color="000000"/>
              <w:bottom w:val="single" w:sz="4" w:space="0" w:color="000000"/>
              <w:right w:val="single" w:sz="4" w:space="0" w:color="000000"/>
            </w:tcBorders>
            <w:shd w:val="clear" w:color="auto" w:fill="D2D2D2"/>
          </w:tcPr>
          <w:p>
            <w:pPr/>
          </w:p>
        </w:tc>
        <w:tc>
          <w:tcPr>
            <w:tcW w:w="1200" w:type="dxa"/>
            <w:vMerge/>
            <w:tcBorders>
              <w:left w:val="single" w:sz="4" w:space="0" w:color="000000"/>
              <w:bottom w:val="single" w:sz="4" w:space="0" w:color="000000"/>
              <w:right w:val="single" w:sz="4" w:space="0" w:color="000000"/>
            </w:tcBorders>
            <w:shd w:val="clear" w:color="auto" w:fill="D2D2D2"/>
          </w:tcPr>
          <w:p>
            <w:pPr/>
          </w:p>
        </w:tc>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5"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3"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5" w:right="0"/>
              <w:jc w:val="left"/>
              <w:rPr>
                <w:rFonts w:ascii="宋体" w:hAnsi="宋体" w:cs="宋体" w:eastAsia="宋体" w:hint="default"/>
                <w:sz w:val="18"/>
                <w:szCs w:val="18"/>
              </w:rPr>
            </w:pPr>
            <w:r>
              <w:rPr>
                <w:rFonts w:ascii="宋体" w:hAnsi="宋体" w:cs="宋体" w:eastAsia="宋体" w:hint="default"/>
                <w:sz w:val="18"/>
                <w:szCs w:val="18"/>
              </w:rPr>
              <w:t>调整后</w:t>
            </w:r>
          </w:p>
        </w:tc>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6" w:right="0"/>
              <w:jc w:val="left"/>
              <w:rPr>
                <w:rFonts w:ascii="宋体" w:hAnsi="宋体" w:cs="宋体" w:eastAsia="宋体" w:hint="default"/>
                <w:sz w:val="18"/>
                <w:szCs w:val="18"/>
              </w:rPr>
            </w:pPr>
            <w:r>
              <w:rPr>
                <w:rFonts w:ascii="宋体" w:hAnsi="宋体" w:cs="宋体" w:eastAsia="宋体" w:hint="default"/>
                <w:sz w:val="18"/>
                <w:szCs w:val="18"/>
              </w:rPr>
              <w:t>调整前</w:t>
            </w:r>
          </w:p>
        </w:tc>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6" w:right="0"/>
              <w:jc w:val="left"/>
              <w:rPr>
                <w:rFonts w:ascii="宋体" w:hAnsi="宋体" w:cs="宋体" w:eastAsia="宋体" w:hint="default"/>
                <w:sz w:val="18"/>
                <w:szCs w:val="18"/>
              </w:rPr>
            </w:pPr>
            <w:r>
              <w:rPr>
                <w:rFonts w:ascii="宋体" w:hAnsi="宋体" w:cs="宋体" w:eastAsia="宋体" w:hint="default"/>
                <w:sz w:val="18"/>
                <w:szCs w:val="18"/>
              </w:rPr>
              <w:t>调整后</w:t>
            </w:r>
          </w:p>
        </w:tc>
      </w:tr>
      <w:tr>
        <w:trPr>
          <w:trHeight w:val="714" w:hRule="exact"/>
        </w:trPr>
        <w:tc>
          <w:tcPr>
            <w:tcW w:w="23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资产总额（元）</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2" w:right="0"/>
              <w:jc w:val="left"/>
              <w:rPr>
                <w:rFonts w:ascii="Times New Roman" w:hAnsi="Times New Roman" w:cs="Times New Roman" w:eastAsia="Times New Roman" w:hint="default"/>
                <w:sz w:val="18"/>
                <w:szCs w:val="18"/>
              </w:rPr>
            </w:pPr>
            <w:r>
              <w:rPr>
                <w:rFonts w:ascii="Times New Roman"/>
                <w:sz w:val="18"/>
              </w:rPr>
              <w:t>1,375,043,02</w:t>
            </w:r>
          </w:p>
          <w:p>
            <w:pPr>
              <w:pStyle w:val="TableParagraph"/>
              <w:spacing w:line="240" w:lineRule="auto" w:before="105"/>
              <w:ind w:left="778" w:right="0"/>
              <w:jc w:val="left"/>
              <w:rPr>
                <w:rFonts w:ascii="Times New Roman" w:hAnsi="Times New Roman" w:cs="Times New Roman" w:eastAsia="Times New Roman" w:hint="default"/>
                <w:sz w:val="18"/>
                <w:szCs w:val="18"/>
              </w:rPr>
            </w:pPr>
            <w:r>
              <w:rPr>
                <w:rFonts w:ascii="Times New Roman"/>
                <w:sz w:val="18"/>
              </w:rPr>
              <w:t>6.11</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3" w:right="0"/>
              <w:jc w:val="left"/>
              <w:rPr>
                <w:rFonts w:ascii="Times New Roman" w:hAnsi="Times New Roman" w:cs="Times New Roman" w:eastAsia="Times New Roman" w:hint="default"/>
                <w:sz w:val="18"/>
                <w:szCs w:val="18"/>
              </w:rPr>
            </w:pPr>
            <w:r>
              <w:rPr>
                <w:rFonts w:ascii="Times New Roman"/>
                <w:sz w:val="18"/>
              </w:rPr>
              <w:t>1,217,276,83</w:t>
            </w:r>
          </w:p>
          <w:p>
            <w:pPr>
              <w:pStyle w:val="TableParagraph"/>
              <w:spacing w:line="240" w:lineRule="auto" w:before="105"/>
              <w:ind w:left="774" w:right="0"/>
              <w:jc w:val="left"/>
              <w:rPr>
                <w:rFonts w:ascii="Times New Roman" w:hAnsi="Times New Roman" w:cs="Times New Roman" w:eastAsia="Times New Roman" w:hint="default"/>
                <w:sz w:val="18"/>
                <w:szCs w:val="18"/>
              </w:rPr>
            </w:pPr>
            <w:r>
              <w:rPr>
                <w:rFonts w:ascii="Times New Roman"/>
                <w:sz w:val="18"/>
              </w:rPr>
              <w:t>4.99</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2" w:right="0"/>
              <w:jc w:val="left"/>
              <w:rPr>
                <w:rFonts w:ascii="Times New Roman" w:hAnsi="Times New Roman" w:cs="Times New Roman" w:eastAsia="Times New Roman" w:hint="default"/>
                <w:sz w:val="18"/>
                <w:szCs w:val="18"/>
              </w:rPr>
            </w:pPr>
            <w:r>
              <w:rPr>
                <w:rFonts w:ascii="Times New Roman"/>
                <w:sz w:val="18"/>
              </w:rPr>
              <w:t>1,217,276,83</w:t>
            </w:r>
          </w:p>
          <w:p>
            <w:pPr>
              <w:pStyle w:val="TableParagraph"/>
              <w:spacing w:line="240" w:lineRule="auto" w:before="105"/>
              <w:ind w:left="772" w:right="0"/>
              <w:jc w:val="left"/>
              <w:rPr>
                <w:rFonts w:ascii="Times New Roman" w:hAnsi="Times New Roman" w:cs="Times New Roman" w:eastAsia="Times New Roman" w:hint="default"/>
                <w:sz w:val="18"/>
                <w:szCs w:val="18"/>
              </w:rPr>
            </w:pPr>
            <w:r>
              <w:rPr>
                <w:rFonts w:ascii="Times New Roman"/>
                <w:sz w:val="18"/>
              </w:rPr>
              <w:t>4.99</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12.96%</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859,613,144.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61</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859,613,144.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61</w:t>
            </w:r>
          </w:p>
        </w:tc>
      </w:tr>
    </w:tbl>
    <w:p>
      <w:pPr>
        <w:spacing w:after="0" w:line="240" w:lineRule="auto"/>
        <w:jc w:val="right"/>
        <w:rPr>
          <w:rFonts w:ascii="Times New Roman" w:hAnsi="Times New Roman" w:cs="Times New Roman" w:eastAsia="Times New Roman" w:hint="default"/>
          <w:sz w:val="18"/>
          <w:szCs w:val="18"/>
        </w:rPr>
        <w:sectPr>
          <w:pgSz w:w="11910" w:h="16840"/>
          <w:pgMar w:header="822"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2360"/>
        <w:gridCol w:w="1201"/>
        <w:gridCol w:w="1202"/>
        <w:gridCol w:w="1200"/>
        <w:gridCol w:w="1202"/>
        <w:gridCol w:w="1202"/>
        <w:gridCol w:w="1202"/>
      </w:tblGrid>
      <w:tr>
        <w:trPr>
          <w:trHeight w:val="714" w:hRule="exact"/>
        </w:trPr>
        <w:tc>
          <w:tcPr>
            <w:tcW w:w="23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65"/>
              <w:jc w:val="left"/>
              <w:rPr>
                <w:rFonts w:ascii="宋体" w:hAnsi="宋体" w:cs="宋体" w:eastAsia="宋体" w:hint="default"/>
                <w:sz w:val="18"/>
                <w:szCs w:val="18"/>
              </w:rPr>
            </w:pPr>
            <w:r>
              <w:rPr>
                <w:rFonts w:ascii="宋体" w:hAnsi="宋体" w:cs="宋体" w:eastAsia="宋体" w:hint="default"/>
                <w:sz w:val="18"/>
                <w:szCs w:val="18"/>
              </w:rPr>
              <w:t>归属于上市公司股东的净 资产（元）</w:t>
            </w:r>
          </w:p>
        </w:tc>
        <w:tc>
          <w:tcPr>
            <w:tcW w:w="12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452,583,483.</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54</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422,372,877.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07</w:t>
            </w:r>
          </w:p>
        </w:tc>
        <w:tc>
          <w:tcPr>
            <w:tcW w:w="12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422,372,877.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07</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23" w:right="0"/>
              <w:jc w:val="left"/>
              <w:rPr>
                <w:rFonts w:ascii="Times New Roman" w:hAnsi="Times New Roman" w:cs="Times New Roman" w:eastAsia="Times New Roman" w:hint="default"/>
                <w:sz w:val="18"/>
                <w:szCs w:val="18"/>
              </w:rPr>
            </w:pPr>
            <w:r>
              <w:rPr>
                <w:rFonts w:ascii="Times New Roman"/>
                <w:sz w:val="18"/>
              </w:rPr>
              <w:t>7.15%</w:t>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451,795,434.</w:t>
            </w:r>
          </w:p>
          <w:p>
            <w:pPr>
              <w:pStyle w:val="TableParagraph"/>
              <w:spacing w:line="240" w:lineRule="auto" w:before="106"/>
              <w:ind w:right="108"/>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451,795,434.</w:t>
            </w:r>
          </w:p>
          <w:p>
            <w:pPr>
              <w:pStyle w:val="TableParagraph"/>
              <w:spacing w:line="240" w:lineRule="auto" w:before="106"/>
              <w:ind w:right="108"/>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r>
    </w:tbl>
    <w:p>
      <w:pPr>
        <w:spacing w:line="240" w:lineRule="auto" w:before="2"/>
        <w:rPr>
          <w:rFonts w:ascii="宋体" w:hAnsi="宋体" w:cs="宋体" w:eastAsia="宋体" w:hint="default"/>
          <w:sz w:val="18"/>
          <w:szCs w:val="18"/>
        </w:rPr>
      </w:pPr>
    </w:p>
    <w:p>
      <w:pPr>
        <w:pStyle w:val="Heading4"/>
        <w:spacing w:line="240" w:lineRule="auto" w:before="26"/>
        <w:ind w:right="0"/>
        <w:jc w:val="left"/>
        <w:rPr>
          <w:b w:val="0"/>
          <w:bCs w:val="0"/>
        </w:rPr>
      </w:pPr>
      <w:bookmarkStart w:name="六、分季度主要财务指标" w:id="9"/>
      <w:bookmarkEnd w:id="9"/>
      <w:r>
        <w:rPr>
          <w:b w:val="0"/>
          <w:bCs w:val="0"/>
        </w:rPr>
      </w:r>
      <w:r>
        <w:rPr/>
        <w:t>六、分季度主要财务指标</w:t>
      </w:r>
      <w:r>
        <w:rPr>
          <w:b w:val="0"/>
          <w:bCs w:val="0"/>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621"/>
        <w:gridCol w:w="1740"/>
        <w:gridCol w:w="1739"/>
        <w:gridCol w:w="1740"/>
        <w:gridCol w:w="1729"/>
      </w:tblGrid>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5"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73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4"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7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03"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7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9"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43,818,946.39</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192,193,144.76</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133,112,377.46</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337,815,594.92</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归属于上市公司股东的净利润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-18,238,785.15</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16,454,889.96</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9,079,083.12</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37,508,026.20</w:t>
            </w:r>
          </w:p>
        </w:tc>
      </w:tr>
      <w:tr>
        <w:trPr>
          <w:trHeight w:val="714"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66"/>
              <w:jc w:val="left"/>
              <w:rPr>
                <w:rFonts w:ascii="宋体" w:hAnsi="宋体" w:cs="宋体" w:eastAsia="宋体" w:hint="default"/>
                <w:sz w:val="18"/>
                <w:szCs w:val="18"/>
              </w:rPr>
            </w:pPr>
            <w:r>
              <w:rPr>
                <w:rFonts w:ascii="宋体" w:hAnsi="宋体" w:cs="宋体" w:eastAsia="宋体" w:hint="default"/>
                <w:sz w:val="18"/>
                <w:szCs w:val="18"/>
              </w:rPr>
              <w:t>归属于上市公司股东的扣除非 经常性损益的净利润</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-18,115,764.24</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13,156,349.47</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7,410,382.49</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18,952,585.32</w:t>
            </w:r>
          </w:p>
        </w:tc>
      </w:tr>
      <w:tr>
        <w:trPr>
          <w:trHeight w:val="402" w:hRule="exact"/>
        </w:trPr>
        <w:tc>
          <w:tcPr>
            <w:tcW w:w="26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-138,247,135.85</w:t>
            </w:r>
          </w:p>
        </w:tc>
        <w:tc>
          <w:tcPr>
            <w:tcW w:w="173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-25,027,207.79</w:t>
            </w:r>
          </w:p>
        </w:tc>
        <w:tc>
          <w:tcPr>
            <w:tcW w:w="17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-4,795,695.99</w:t>
            </w:r>
          </w:p>
        </w:tc>
        <w:tc>
          <w:tcPr>
            <w:tcW w:w="172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173,029,587.49</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上述财务指标或其加总数是否与公司已披露季度报告、半年度报告相关财务指标存在重大差异</w:t>
      </w:r>
    </w:p>
    <w:p>
      <w:pPr>
        <w:spacing w:before="117"/>
        <w:ind w:left="114" w:right="0"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line="240" w:lineRule="auto" w:before="13"/>
        <w:rPr>
          <w:rFonts w:ascii="宋体" w:hAnsi="宋体" w:cs="宋体" w:eastAsia="宋体" w:hint="default"/>
          <w:sz w:val="24"/>
          <w:szCs w:val="24"/>
        </w:rPr>
      </w:pPr>
    </w:p>
    <w:p>
      <w:pPr>
        <w:pStyle w:val="Heading4"/>
        <w:spacing w:line="240" w:lineRule="auto"/>
        <w:ind w:right="0"/>
        <w:jc w:val="left"/>
        <w:rPr>
          <w:b w:val="0"/>
          <w:bCs w:val="0"/>
        </w:rPr>
      </w:pPr>
      <w:bookmarkStart w:name="七、境内外会计准则下会计数据差异" w:id="10"/>
      <w:bookmarkEnd w:id="10"/>
      <w:r>
        <w:rPr>
          <w:b w:val="0"/>
          <w:bCs w:val="0"/>
        </w:rPr>
      </w:r>
      <w:r>
        <w:rPr/>
        <w:t>七、境内外会计准则下会计数据差异</w:t>
      </w:r>
      <w:r>
        <w:rPr>
          <w:b w:val="0"/>
          <w:bCs w:val="0"/>
        </w:rPr>
      </w:r>
    </w:p>
    <w:p>
      <w:pPr>
        <w:spacing w:line="240" w:lineRule="auto" w:before="9"/>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同时按照国际会计准则与按照中国会计准则披露的财务报告中净利润和净资产差异情况" w:id="11"/>
      <w:bookmarkEnd w:id="11"/>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、同时按照国际会计准则与按照中国会计准则披露的财务报告中净利润和净资产差异情况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57" w:lineRule="auto" w:before="0"/>
        <w:ind w:left="114" w:right="121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公司报告期不存在按照国际会计准则与按照中国会计准则披露的财务报告中净利润和净资产差异情况。</w:t>
      </w:r>
    </w:p>
    <w:p>
      <w:pPr>
        <w:spacing w:line="240" w:lineRule="auto" w:before="1"/>
        <w:rPr>
          <w:rFonts w:ascii="宋体" w:hAnsi="宋体" w:cs="宋体" w:eastAsia="宋体" w:hint="default"/>
          <w:sz w:val="20"/>
          <w:szCs w:val="20"/>
        </w:rPr>
      </w:pPr>
    </w:p>
    <w:p>
      <w:pPr>
        <w:spacing w:before="0"/>
        <w:ind w:left="114" w:right="0" w:firstLine="0"/>
        <w:jc w:val="left"/>
        <w:rPr>
          <w:rFonts w:ascii="宋体" w:hAnsi="宋体" w:cs="宋体" w:eastAsia="宋体" w:hint="default"/>
          <w:sz w:val="21"/>
          <w:szCs w:val="21"/>
        </w:rPr>
      </w:pPr>
      <w:bookmarkStart w:name="2、同时按照境外会计准则与按照中国会计准则披露的财务报告中净利润和净资产差异情况" w:id="12"/>
      <w:bookmarkEnd w:id="12"/>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、同时按照境外会计准则与按照中国会计准则披露的财务报告中净利润和净资产差异情况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60" w:lineRule="auto" w:before="0"/>
        <w:ind w:left="114" w:right="265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公司报告期不存在按照境外会计准则与按照中国会计准则披露的财务报告中净利润和净资产差异情况。</w:t>
      </w:r>
    </w:p>
    <w:p>
      <w:pPr>
        <w:spacing w:line="240" w:lineRule="auto" w:before="1"/>
        <w:rPr>
          <w:rFonts w:ascii="宋体" w:hAnsi="宋体" w:cs="宋体" w:eastAsia="宋体" w:hint="default"/>
          <w:sz w:val="18"/>
          <w:szCs w:val="18"/>
        </w:rPr>
      </w:pPr>
    </w:p>
    <w:p>
      <w:pPr>
        <w:pStyle w:val="Heading4"/>
        <w:spacing w:line="240" w:lineRule="auto"/>
        <w:ind w:right="0"/>
        <w:jc w:val="left"/>
        <w:rPr>
          <w:b w:val="0"/>
          <w:bCs w:val="0"/>
        </w:rPr>
      </w:pPr>
      <w:bookmarkStart w:name="八、非经常性损益项目及金额" w:id="13"/>
      <w:bookmarkEnd w:id="13"/>
      <w:r>
        <w:rPr>
          <w:b w:val="0"/>
          <w:bCs w:val="0"/>
        </w:rPr>
      </w:r>
      <w:r>
        <w:rPr/>
        <w:t>八、非经常性损益项目及金额</w:t>
      </w:r>
      <w:r>
        <w:rPr>
          <w:b w:val="0"/>
          <w:bCs w:val="0"/>
        </w:rPr>
      </w:r>
    </w:p>
    <w:p>
      <w:pPr>
        <w:spacing w:line="240" w:lineRule="auto" w:before="3"/>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297"/>
        <w:gridCol w:w="1520"/>
        <w:gridCol w:w="1520"/>
        <w:gridCol w:w="1522"/>
        <w:gridCol w:w="1710"/>
      </w:tblGrid>
      <w:tr>
        <w:trPr>
          <w:trHeight w:val="401"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5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年金额</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714"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23"/>
              <w:jc w:val="left"/>
              <w:rPr>
                <w:rFonts w:ascii="宋体" w:hAnsi="宋体" w:cs="宋体" w:eastAsia="宋体" w:hint="default"/>
                <w:sz w:val="18"/>
                <w:szCs w:val="18"/>
              </w:rPr>
            </w:pPr>
            <w:r>
              <w:rPr>
                <w:rFonts w:ascii="宋体" w:hAnsi="宋体" w:cs="宋体" w:eastAsia="宋体" w:hint="default"/>
                <w:sz w:val="18"/>
                <w:szCs w:val="18"/>
              </w:rPr>
              <w:t>非流动资产处置损益（包括已计提资产 减值准备的冲销部分）</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42,373.26</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-11,289.23</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23"/>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 密切相关，按照国家统一标准定额或定 量享受的政府补助除外）</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27,601,525.00</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12,528,675.00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10,132,227.00</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3" w:right="123"/>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 出</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w w:val="95"/>
                <w:sz w:val="18"/>
              </w:rPr>
              <w:t>-91,275.28</w:t>
            </w:r>
            <w:r>
              <w:rPr>
                <w:rFonts w:ascii="Times New Roman"/>
                <w:sz w:val="18"/>
              </w:rPr>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58,351.16</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-148,114.49</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2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股份支付</w:t>
            </w:r>
          </w:p>
        </w:tc>
        <w:tc>
          <w:tcPr>
            <w:tcW w:w="1520" w:type="dxa"/>
            <w:tcBorders>
              <w:top w:val="single" w:sz="4" w:space="0" w:color="000000"/>
              <w:left w:val="single" w:sz="4" w:space="0" w:color="000000"/>
              <w:bottom w:val="single" w:sz="4" w:space="0" w:color="000000"/>
              <w:right w:val="single" w:sz="4" w:space="0" w:color="000000"/>
            </w:tcBorders>
          </w:tcPr>
          <w:p>
            <w:pP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-5,150,600.00</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-10,080,400.00</w:t>
            </w:r>
          </w:p>
        </w:tc>
        <w:tc>
          <w:tcPr>
            <w:tcW w:w="171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3297"/>
        <w:gridCol w:w="1520"/>
        <w:gridCol w:w="1520"/>
        <w:gridCol w:w="1522"/>
        <w:gridCol w:w="1710"/>
      </w:tblGrid>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4,121,835.64</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1,115,463.94</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-54,086.51</w:t>
            </w:r>
            <w:r>
              <w:rPr>
                <w:rFonts w:ascii="Times New Roman"/>
                <w:sz w:val="18"/>
              </w:rPr>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31,126.25</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62,958.97</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59,336.31</w:t>
            </w:r>
          </w:p>
        </w:tc>
        <w:tc>
          <w:tcPr>
            <w:tcW w:w="171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2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23,399,661.09</w:t>
            </w:r>
          </w:p>
        </w:tc>
        <w:tc>
          <w:tcPr>
            <w:tcW w:w="15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6,258,003.25</w:t>
            </w:r>
          </w:p>
        </w:tc>
        <w:tc>
          <w:tcPr>
            <w:tcW w:w="15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-112,826.52</w:t>
            </w:r>
          </w:p>
        </w:tc>
        <w:tc>
          <w:tcPr>
            <w:tcW w:w="17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pacing w:val="-7"/>
          <w:sz w:val="18"/>
          <w:szCs w:val="18"/>
        </w:rPr>
        <w:t>号——非经常性损益》定义界定的非经常性损益项目，以及把《公</w:t>
      </w:r>
    </w:p>
    <w:p>
      <w:pPr>
        <w:spacing w:line="302" w:lineRule="auto" w:before="63"/>
        <w:ind w:left="114" w:right="1118"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6"/>
          <w:sz w:val="18"/>
          <w:szCs w:val="18"/>
        </w:rPr>
        <w:t> </w:t>
      </w:r>
      <w:r>
        <w:rPr>
          <w:rFonts w:ascii="宋体" w:hAnsi="宋体" w:cs="宋体" w:eastAsia="宋体" w:hint="default"/>
          <w:spacing w:val="-3"/>
          <w:sz w:val="18"/>
          <w:szCs w:val="18"/>
        </w:rPr>
        <w:t>号——非经常性损益》中列举的非经常性损益项目界定为经常性损益的项目，应</w:t>
      </w:r>
      <w:r>
        <w:rPr>
          <w:rFonts w:ascii="宋体" w:hAnsi="宋体" w:cs="宋体" w:eastAsia="宋体" w:hint="default"/>
          <w:sz w:val="18"/>
          <w:szCs w:val="18"/>
        </w:rPr>
        <w:t> 说明原因</w:t>
      </w:r>
    </w:p>
    <w:p>
      <w:pPr>
        <w:spacing w:before="69"/>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302" w:lineRule="auto" w:before="115"/>
        <w:ind w:left="114" w:right="1115" w:firstLine="0"/>
        <w:jc w:val="left"/>
        <w:rPr>
          <w:rFonts w:ascii="宋体" w:hAnsi="宋体" w:cs="宋体" w:eastAsia="宋体" w:hint="default"/>
          <w:sz w:val="18"/>
          <w:szCs w:val="18"/>
        </w:rPr>
      </w:pPr>
      <w:r>
        <w:rPr>
          <w:rFonts w:ascii="宋体" w:hAnsi="宋体" w:cs="宋体" w:eastAsia="宋体" w:hint="default"/>
          <w:sz w:val="18"/>
          <w:szCs w:val="18"/>
        </w:rPr>
        <w:t>公司报告期不存在将根据《公开发行证券的公司信息披露解释性公告第</w:t>
      </w:r>
      <w:r>
        <w:rPr>
          <w:rFonts w:ascii="宋体" w:hAnsi="宋体" w:cs="宋体" w:eastAsia="宋体" w:hint="default"/>
          <w:spacing w:val="-53"/>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9"/>
          <w:sz w:val="18"/>
          <w:szCs w:val="18"/>
        </w:rPr>
        <w:t> </w:t>
      </w:r>
      <w:r>
        <w:rPr>
          <w:rFonts w:ascii="宋体" w:hAnsi="宋体" w:cs="宋体" w:eastAsia="宋体" w:hint="default"/>
          <w:spacing w:val="-3"/>
          <w:sz w:val="18"/>
          <w:szCs w:val="18"/>
        </w:rPr>
        <w:t>号——非经常性损益》定义、列举的非经常性损益</w:t>
      </w:r>
      <w:r>
        <w:rPr>
          <w:rFonts w:ascii="宋体" w:hAnsi="宋体" w:cs="宋体" w:eastAsia="宋体" w:hint="default"/>
          <w:sz w:val="18"/>
          <w:szCs w:val="18"/>
        </w:rPr>
        <w:t> 项目界定为经常性损益的项目的情形。</w:t>
      </w:r>
    </w:p>
    <w:p>
      <w:pPr>
        <w:spacing w:after="0" w:line="302"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Heading1"/>
        <w:spacing w:line="240" w:lineRule="auto"/>
        <w:ind w:left="3407" w:right="0"/>
        <w:jc w:val="left"/>
        <w:rPr>
          <w:b w:val="0"/>
          <w:bCs w:val="0"/>
        </w:rPr>
      </w:pPr>
      <w:bookmarkStart w:name="第三节 公司业务概要" w:id="14"/>
      <w:bookmarkEnd w:id="14"/>
      <w:r>
        <w:rPr>
          <w:b w:val="0"/>
          <w:bCs w:val="0"/>
        </w:rPr>
      </w:r>
      <w:bookmarkStart w:name="_bookmark1" w:id="15"/>
      <w:bookmarkEnd w:id="15"/>
      <w:r>
        <w:rPr>
          <w:b w:val="0"/>
          <w:bCs w:val="0"/>
        </w:rPr>
      </w:r>
      <w:r>
        <w:rPr/>
        <w:t>第三节</w:t>
      </w:r>
      <w:r>
        <w:rPr>
          <w:spacing w:val="-7"/>
        </w:rPr>
        <w:t> </w:t>
      </w:r>
      <w:r>
        <w:rPr/>
        <w:t>公司业务概要</w:t>
      </w:r>
      <w:r>
        <w:rPr>
          <w:b w:val="0"/>
          <w:bCs w:val="0"/>
        </w:rPr>
      </w:r>
    </w:p>
    <w:p>
      <w:pPr>
        <w:spacing w:line="240" w:lineRule="auto" w:before="12"/>
        <w:rPr>
          <w:rFonts w:ascii="宋体" w:hAnsi="宋体" w:cs="宋体" w:eastAsia="宋体" w:hint="default"/>
          <w:b/>
          <w:bCs/>
          <w:sz w:val="38"/>
          <w:szCs w:val="38"/>
        </w:rPr>
      </w:pPr>
    </w:p>
    <w:p>
      <w:pPr>
        <w:pStyle w:val="Heading4"/>
        <w:spacing w:line="240" w:lineRule="auto"/>
        <w:ind w:right="0"/>
        <w:jc w:val="both"/>
        <w:rPr>
          <w:b w:val="0"/>
          <w:bCs w:val="0"/>
        </w:rPr>
      </w:pPr>
      <w:bookmarkStart w:name="一、报告期内公司从事的主要业务" w:id="16"/>
      <w:bookmarkEnd w:id="16"/>
      <w:r>
        <w:rPr>
          <w:b w:val="0"/>
          <w:bCs w:val="0"/>
        </w:rPr>
      </w:r>
      <w:r>
        <w:rPr/>
        <w:t>一、报告期内公司从事的主要业务</w:t>
      </w:r>
      <w:r>
        <w:rPr>
          <w:b w:val="0"/>
          <w:bCs w:val="0"/>
        </w:rPr>
      </w:r>
    </w:p>
    <w:p>
      <w:pPr>
        <w:spacing w:line="240" w:lineRule="auto" w:before="7"/>
        <w:rPr>
          <w:rFonts w:ascii="宋体" w:hAnsi="宋体" w:cs="宋体" w:eastAsia="宋体" w:hint="default"/>
          <w:b/>
          <w:bCs/>
          <w:sz w:val="26"/>
          <w:szCs w:val="26"/>
        </w:rPr>
      </w:pPr>
    </w:p>
    <w:p>
      <w:pPr>
        <w:spacing w:line="360" w:lineRule="auto" w:before="0"/>
        <w:ind w:left="11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6"/>
        <w:ind w:left="114" w:right="0" w:firstLine="0"/>
        <w:jc w:val="both"/>
        <w:rPr>
          <w:rFonts w:ascii="宋体" w:hAnsi="宋体" w:cs="宋体" w:eastAsia="宋体" w:hint="default"/>
          <w:sz w:val="18"/>
          <w:szCs w:val="18"/>
        </w:rPr>
      </w:pPr>
      <w:r>
        <w:rPr>
          <w:rFonts w:ascii="宋体" w:hAnsi="宋体" w:cs="宋体" w:eastAsia="宋体" w:hint="default"/>
          <w:sz w:val="18"/>
          <w:szCs w:val="18"/>
        </w:rPr>
        <w:t>软件与信息技术服务业</w:t>
      </w:r>
    </w:p>
    <w:p>
      <w:pPr>
        <w:spacing w:before="116"/>
        <w:ind w:left="114" w:right="0" w:firstLine="0"/>
        <w:jc w:val="both"/>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号——上市公司从事软件与信息技术服务业务》的披露要求</w:t>
      </w:r>
    </w:p>
    <w:p>
      <w:pPr>
        <w:pStyle w:val="BodyText"/>
        <w:spacing w:line="312" w:lineRule="exact" w:before="83"/>
        <w:ind w:left="714" w:right="0" w:hanging="118"/>
        <w:jc w:val="left"/>
      </w:pPr>
      <w:r>
        <w:rPr>
          <w:rFonts w:ascii="宋体" w:hAnsi="宋体" w:cs="宋体" w:eastAsia="宋体" w:hint="default"/>
          <w:b/>
          <w:bCs/>
        </w:rPr>
        <w:t>（一）主营业务概要</w:t>
      </w:r>
      <w:r>
        <w:rPr>
          <w:rFonts w:ascii="宋体" w:hAnsi="宋体" w:cs="宋体" w:eastAsia="宋体" w:hint="default"/>
          <w:b/>
          <w:bCs/>
          <w:w w:val="99"/>
        </w:rPr>
        <w:t> </w:t>
      </w:r>
      <w:r>
        <w:rPr>
          <w:rFonts w:ascii="宋体" w:hAnsi="宋体" w:cs="宋体" w:eastAsia="宋体" w:hint="default"/>
        </w:rPr>
        <w:t>2018</w:t>
      </w:r>
      <w:r>
        <w:rPr/>
        <w:t>年公司明确了信息发展</w:t>
      </w:r>
      <w:r>
        <w:rPr>
          <w:rFonts w:ascii="宋体" w:hAnsi="宋体" w:cs="宋体" w:eastAsia="宋体" w:hint="default"/>
        </w:rPr>
        <w:t>2.0</w:t>
      </w:r>
      <w:r>
        <w:rPr/>
        <w:t>战略，即信息发展是一家运用大数据和区块链等技术，</w:t>
      </w:r>
    </w:p>
    <w:p>
      <w:pPr>
        <w:pStyle w:val="BodyText"/>
        <w:spacing w:line="312" w:lineRule="exact"/>
        <w:ind w:right="1130"/>
        <w:jc w:val="both"/>
      </w:pPr>
      <w:r>
        <w:rPr/>
        <w:t>面向智慧食安、智慧档案、智慧司法等政府和企业，为数字中国提供行业专有云综合解决方</w:t>
      </w:r>
      <w:r>
        <w:rPr>
          <w:spacing w:val="-113"/>
        </w:rPr>
        <w:t> </w:t>
      </w:r>
      <w:r>
        <w:rPr>
          <w:spacing w:val="-113"/>
        </w:rPr>
      </w:r>
      <w:r>
        <w:rPr>
          <w:spacing w:val="-8"/>
        </w:rPr>
        <w:t>案的服务运营商。信息发展</w:t>
      </w:r>
      <w:r>
        <w:rPr>
          <w:rFonts w:ascii="宋体" w:hAnsi="宋体" w:cs="宋体" w:eastAsia="宋体" w:hint="default"/>
          <w:spacing w:val="-8"/>
        </w:rPr>
        <w:t>2.0</w:t>
      </w:r>
      <w:r>
        <w:rPr>
          <w:spacing w:val="-8"/>
        </w:rPr>
        <w:t>战略可以概括为“一体两翼、数链驱动”：即以智慧食安为“一</w:t>
      </w:r>
      <w:r>
        <w:rPr>
          <w:spacing w:val="-100"/>
        </w:rPr>
        <w:t> </w:t>
      </w:r>
      <w:r>
        <w:rPr>
          <w:spacing w:val="-100"/>
        </w:rPr>
      </w:r>
      <w:r>
        <w:rPr>
          <w:spacing w:val="-6"/>
        </w:rPr>
        <w:t>体”，以智慧档案、智慧司法为“两翼”，以区块链创新中心和大数据智能创新中心为“技术</w:t>
      </w:r>
      <w:r>
        <w:rPr>
          <w:spacing w:val="-100"/>
        </w:rPr>
        <w:t> </w:t>
      </w:r>
      <w:r>
        <w:rPr>
          <w:spacing w:val="-100"/>
        </w:rPr>
      </w:r>
      <w:r>
        <w:rPr>
          <w:spacing w:val="-10"/>
        </w:rPr>
        <w:t>引擎”，赋能公司三大行业。</w:t>
      </w:r>
    </w:p>
    <w:p>
      <w:pPr>
        <w:pStyle w:val="BodyText"/>
        <w:spacing w:line="312" w:lineRule="exact"/>
        <w:ind w:right="1128" w:firstLine="420"/>
        <w:jc w:val="both"/>
      </w:pPr>
      <w:r>
        <w:rPr>
          <w:spacing w:val="2"/>
        </w:rPr>
        <w:t>未来公司将更聚焦智慧食安领域，加快向产品型、服务型公司迈进，在保持政府客户基</w:t>
      </w:r>
      <w:r>
        <w:rPr/>
        <w:t> 数的前提下大力开拓企业客户，在全公司签约额稳步增长的情况下，全力加速推进</w:t>
      </w:r>
      <w:r>
        <w:rPr>
          <w:rFonts w:ascii="宋体" w:hAnsi="宋体" w:cs="宋体" w:eastAsia="宋体" w:hint="default"/>
        </w:rPr>
        <w:t>SaaS</w:t>
      </w:r>
      <w:r>
        <w:rPr/>
        <w:t>产品</w:t>
      </w:r>
      <w:r>
        <w:rPr>
          <w:spacing w:val="-107"/>
        </w:rPr>
        <w:t> </w:t>
      </w:r>
      <w:r>
        <w:rPr/>
        <w:t>研发、销售和服务，实现公司各项经济指标的不断提升。</w:t>
      </w:r>
    </w:p>
    <w:p>
      <w:pPr>
        <w:pStyle w:val="Heading4"/>
        <w:spacing w:line="312" w:lineRule="exact"/>
        <w:ind w:left="534" w:right="5952"/>
        <w:jc w:val="left"/>
        <w:rPr>
          <w:b w:val="0"/>
          <w:bCs w:val="0"/>
        </w:rPr>
      </w:pPr>
      <w:r>
        <w:rPr/>
        <w:t>（二）智慧食安业务概要</w:t>
      </w:r>
      <w:r>
        <w:rPr>
          <w:w w:val="99"/>
        </w:rPr>
        <w:t> </w:t>
      </w:r>
      <w:r>
        <w:rPr>
          <w:rFonts w:ascii="宋体" w:hAnsi="宋体" w:cs="宋体" w:eastAsia="宋体" w:hint="default"/>
          <w:w w:val="95"/>
        </w:rPr>
        <w:t>1</w:t>
      </w:r>
      <w:r>
        <w:rPr>
          <w:w w:val="95"/>
        </w:rPr>
        <w:t>、智慧食安供应链生态圈</w:t>
      </w:r>
      <w:r>
        <w:rPr>
          <w:b w:val="0"/>
          <w:bCs w:val="0"/>
        </w:rPr>
      </w:r>
    </w:p>
    <w:p>
      <w:pPr>
        <w:pStyle w:val="BodyText"/>
        <w:spacing w:line="312" w:lineRule="exact"/>
        <w:ind w:right="1130" w:firstLine="420"/>
        <w:jc w:val="both"/>
      </w:pPr>
      <w:r>
        <w:rPr>
          <w:spacing w:val="2"/>
        </w:rPr>
        <w:t>公司依托在食品安全供应链领域长期积累的核心技术与行业经验，不断完善产业布局，</w:t>
      </w:r>
      <w:r>
        <w:rPr/>
        <w:t> 应用云计算、大数据、区块链、物联网、人工智能等技术，以追溯云食品安全大数据平台为 </w:t>
      </w:r>
      <w:r>
        <w:rPr>
          <w:spacing w:val="-16"/>
        </w:rPr>
        <w:t>核心，通过建设智慧农业云、智慧冷链云、智慧农批云、智慧零售云等四大行业专有云（</w:t>
      </w:r>
      <w:r>
        <w:rPr>
          <w:rFonts w:ascii="宋体" w:hAnsi="宋体" w:cs="宋体" w:eastAsia="宋体" w:hint="default"/>
          <w:spacing w:val="-16"/>
        </w:rPr>
        <w:t>SaaS</w:t>
      </w:r>
      <w:r>
        <w:rPr>
          <w:spacing w:val="-16"/>
        </w:rPr>
        <w:t>）；</w:t>
      </w:r>
      <w:r>
        <w:rPr>
          <w:spacing w:val="-119"/>
        </w:rPr>
        <w:t> </w:t>
      </w:r>
      <w:r>
        <w:rPr/>
        <w:t>追溯体系、认证体系、信任体系、激励体系等四大保障体系；追溯云</w:t>
      </w:r>
      <w:r>
        <w:rPr>
          <w:rFonts w:ascii="宋体" w:hAnsi="宋体" w:cs="宋体" w:eastAsia="宋体" w:hint="default"/>
        </w:rPr>
        <w:t>Inside</w:t>
      </w:r>
      <w:r>
        <w:rPr/>
        <w:t>服务、食品安全</w:t>
      </w:r>
      <w:r>
        <w:rPr>
          <w:spacing w:val="-111"/>
        </w:rPr>
        <w:t> </w:t>
      </w:r>
      <w:r>
        <w:rPr>
          <w:spacing w:val="-111"/>
        </w:rPr>
      </w:r>
      <w:r>
        <w:rPr/>
        <w:t>服务和供应链增值服务等三大服务内容；食安供应链体验中心、追溯联合创新实验室和农产 </w:t>
      </w:r>
      <w:r>
        <w:rPr>
          <w:spacing w:val="-5"/>
        </w:rPr>
        <w:t>品检测中心等三大实体支撑，不断打造“智慧食安供应链生态圈”，为未来成为中国最大的食</w:t>
      </w:r>
      <w:r>
        <w:rPr>
          <w:spacing w:val="-118"/>
        </w:rPr>
        <w:t> </w:t>
      </w:r>
      <w:r>
        <w:rPr>
          <w:spacing w:val="-118"/>
        </w:rPr>
      </w:r>
      <w:r>
        <w:rPr/>
        <w:t>品安全运营服务提供商打下坚实的基础。</w:t>
      </w:r>
    </w:p>
    <w:p>
      <w:pPr>
        <w:pStyle w:val="BodyText"/>
        <w:spacing w:line="283" w:lineRule="exact"/>
        <w:ind w:left="534" w:right="0"/>
        <w:jc w:val="left"/>
      </w:pPr>
      <w:r>
        <w:rPr/>
        <w:t>“智慧食安供应链生态圈”示意如下图所示：</w:t>
      </w:r>
    </w:p>
    <w:p>
      <w:pPr>
        <w:spacing w:after="0" w:line="283" w:lineRule="exact"/>
        <w:jc w:val="left"/>
        <w:sectPr>
          <w:pgSz w:w="11910" w:h="16840"/>
          <w:pgMar w:header="822" w:footer="1019" w:top="1140" w:bottom="1200" w:left="1020" w:right="0"/>
        </w:sect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14"/>
          <w:szCs w:val="14"/>
        </w:rPr>
      </w:pPr>
    </w:p>
    <w:p>
      <w:pPr>
        <w:spacing w:line="5989" w:lineRule="exact"/>
        <w:ind w:left="121" w:right="0" w:firstLine="0"/>
        <w:rPr>
          <w:rFonts w:ascii="宋体" w:hAnsi="宋体" w:cs="宋体" w:eastAsia="宋体" w:hint="default"/>
          <w:sz w:val="20"/>
          <w:szCs w:val="20"/>
        </w:rPr>
      </w:pPr>
      <w:r>
        <w:rPr>
          <w:rFonts w:ascii="宋体" w:hAnsi="宋体" w:cs="宋体" w:eastAsia="宋体" w:hint="default"/>
          <w:position w:val="-119"/>
          <w:sz w:val="20"/>
          <w:szCs w:val="20"/>
        </w:rPr>
        <w:drawing>
          <wp:inline distT="0" distB="0" distL="0" distR="0">
            <wp:extent cx="6164705" cy="3803618"/>
            <wp:effectExtent l="0" t="0" r="0" b="0"/>
            <wp:docPr id="1" name="image3.png" descr=""/>
            <wp:cNvGraphicFramePr>
              <a:graphicFrameLocks noChangeAspect="1"/>
            </wp:cNvGraphicFramePr>
            <a:graphic>
              <a:graphicData uri="http://schemas.openxmlformats.org/drawingml/2006/picture">
                <pic:pic>
                  <pic:nvPicPr>
                    <pic:cNvPr id="2" name="image3.png"/>
                    <pic:cNvPicPr/>
                  </pic:nvPicPr>
                  <pic:blipFill>
                    <a:blip r:embed="rId12" cstate="print"/>
                    <a:stretch>
                      <a:fillRect/>
                    </a:stretch>
                  </pic:blipFill>
                  <pic:spPr>
                    <a:xfrm>
                      <a:off x="0" y="0"/>
                      <a:ext cx="6164705" cy="3803618"/>
                    </a:xfrm>
                    <a:prstGeom prst="rect">
                      <a:avLst/>
                    </a:prstGeom>
                  </pic:spPr>
                </pic:pic>
              </a:graphicData>
            </a:graphic>
          </wp:inline>
        </w:drawing>
      </w:r>
      <w:r>
        <w:rPr>
          <w:rFonts w:ascii="宋体" w:hAnsi="宋体" w:cs="宋体" w:eastAsia="宋体" w:hint="default"/>
          <w:position w:val="-119"/>
          <w:sz w:val="20"/>
          <w:szCs w:val="20"/>
        </w:rPr>
      </w:r>
    </w:p>
    <w:p>
      <w:pPr>
        <w:spacing w:line="240" w:lineRule="auto" w:before="7"/>
        <w:rPr>
          <w:rFonts w:ascii="宋体" w:hAnsi="宋体" w:cs="宋体" w:eastAsia="宋体" w:hint="default"/>
          <w:sz w:val="26"/>
          <w:szCs w:val="26"/>
        </w:rPr>
      </w:pPr>
    </w:p>
    <w:p>
      <w:pPr>
        <w:pStyle w:val="Heading4"/>
        <w:spacing w:line="313" w:lineRule="exact" w:before="26"/>
        <w:ind w:left="534" w:right="0"/>
        <w:jc w:val="left"/>
        <w:rPr>
          <w:b w:val="0"/>
          <w:bCs w:val="0"/>
        </w:rPr>
      </w:pPr>
      <w:r>
        <w:rPr>
          <w:rFonts w:ascii="宋体" w:hAnsi="宋体" w:cs="宋体" w:eastAsia="宋体" w:hint="default"/>
        </w:rPr>
        <w:t>2</w:t>
      </w:r>
      <w:r>
        <w:rPr/>
        <w:t>、行业专有云</w:t>
      </w:r>
      <w:r>
        <w:rPr>
          <w:b w:val="0"/>
          <w:bCs w:val="0"/>
        </w:rPr>
      </w:r>
    </w:p>
    <w:p>
      <w:pPr>
        <w:pStyle w:val="BodyText"/>
        <w:spacing w:line="312" w:lineRule="exact" w:before="30"/>
        <w:ind w:left="534" w:right="1136"/>
        <w:jc w:val="left"/>
      </w:pPr>
      <w:r>
        <w:rPr>
          <w:rFonts w:ascii="宋体" w:hAnsi="宋体" w:cs="宋体" w:eastAsia="宋体" w:hint="default"/>
          <w:b/>
          <w:bCs/>
        </w:rPr>
        <w:t>（</w:t>
      </w:r>
      <w:r>
        <w:rPr>
          <w:rFonts w:ascii="宋体" w:hAnsi="宋体" w:cs="宋体" w:eastAsia="宋体" w:hint="default"/>
          <w:b/>
          <w:bCs/>
        </w:rPr>
        <w:t>1</w:t>
      </w:r>
      <w:r>
        <w:rPr>
          <w:rFonts w:ascii="宋体" w:hAnsi="宋体" w:cs="宋体" w:eastAsia="宋体" w:hint="default"/>
          <w:b/>
          <w:bCs/>
        </w:rPr>
        <w:t>）追溯云</w:t>
      </w:r>
      <w:r>
        <w:rPr>
          <w:rFonts w:ascii="宋体" w:hAnsi="宋体" w:cs="宋体" w:eastAsia="宋体" w:hint="default"/>
          <w:b/>
          <w:bCs/>
          <w:w w:val="99"/>
        </w:rPr>
        <w:t> </w:t>
      </w:r>
      <w:r>
        <w:rPr>
          <w:spacing w:val="2"/>
        </w:rPr>
        <w:t>作为国内首批通过第三方认证的重要产品追溯服务提供商之一，追溯云是整个智慧食安</w:t>
      </w:r>
    </w:p>
    <w:p>
      <w:pPr>
        <w:pStyle w:val="BodyText"/>
        <w:spacing w:line="312" w:lineRule="exact"/>
        <w:ind w:right="1132"/>
        <w:jc w:val="both"/>
      </w:pPr>
      <w:r>
        <w:rPr/>
        <w:t>供应链生态圈的核心。以“链接信任，让人人都能吃上安全的食品”为己任，利用区块链、</w:t>
      </w:r>
      <w:r>
        <w:rPr>
          <w:spacing w:val="-111"/>
        </w:rPr>
        <w:t> </w:t>
      </w:r>
      <w:r>
        <w:rPr>
          <w:spacing w:val="-111"/>
        </w:rPr>
      </w:r>
      <w:r>
        <w:rPr/>
        <w:t>大数据等创新技术，采用</w:t>
      </w:r>
      <w:r>
        <w:rPr>
          <w:rFonts w:ascii="宋体" w:hAnsi="宋体" w:cs="宋体" w:eastAsia="宋体" w:hint="default"/>
        </w:rPr>
        <w:t>SaaS</w:t>
      </w:r>
      <w:r>
        <w:rPr/>
        <w:t>服务模式，围绕食品和食用农产品的全产业链，提供咨询、认</w:t>
      </w:r>
      <w:r>
        <w:rPr>
          <w:spacing w:val="-115"/>
        </w:rPr>
        <w:t> </w:t>
      </w:r>
      <w:r>
        <w:rPr>
          <w:spacing w:val="-115"/>
        </w:rPr>
      </w:r>
      <w:r>
        <w:rPr/>
        <w:t>证、检测、信用和大数据服务，旨在提升食品和食用农产品供应链服务的可信度与透明度，</w:t>
      </w:r>
      <w:r>
        <w:rPr>
          <w:spacing w:val="-112"/>
        </w:rPr>
        <w:t> </w:t>
      </w:r>
      <w:r>
        <w:rPr>
          <w:spacing w:val="-112"/>
        </w:rPr>
      </w:r>
      <w:r>
        <w:rPr/>
        <w:t>实现供应链成员间的高效协作，互利共赢，同时也通过追溯</w:t>
      </w:r>
      <w:r>
        <w:rPr>
          <w:rFonts w:ascii="宋体" w:hAnsi="宋体" w:cs="宋体" w:eastAsia="宋体" w:hint="default"/>
        </w:rPr>
        <w:t>Inside</w:t>
      </w:r>
      <w:r>
        <w:rPr/>
        <w:t>服务为智慧食安供应链生</w:t>
      </w:r>
      <w:r>
        <w:rPr>
          <w:spacing w:val="-111"/>
        </w:rPr>
        <w:t> </w:t>
      </w:r>
      <w:r>
        <w:rPr>
          <w:spacing w:val="-111"/>
        </w:rPr>
      </w:r>
      <w:r>
        <w:rPr/>
        <w:t>态圈的其他行业专有云提供食品安全服务，致力于成为中国最权威的食品安全第三方服务平 台。</w:t>
      </w:r>
    </w:p>
    <w:p>
      <w:pPr>
        <w:pStyle w:val="BodyText"/>
        <w:spacing w:line="312" w:lineRule="exact"/>
        <w:ind w:left="534" w:right="1011"/>
        <w:jc w:val="left"/>
      </w:pPr>
      <w:r>
        <w:rPr>
          <w:rFonts w:ascii="宋体" w:hAnsi="宋体" w:cs="宋体" w:eastAsia="宋体" w:hint="default"/>
          <w:b/>
          <w:bCs/>
        </w:rPr>
        <w:t>（</w:t>
      </w:r>
      <w:r>
        <w:rPr>
          <w:rFonts w:ascii="宋体" w:hAnsi="宋体" w:cs="宋体" w:eastAsia="宋体" w:hint="default"/>
          <w:b/>
          <w:bCs/>
        </w:rPr>
        <w:t>2</w:t>
      </w:r>
      <w:r>
        <w:rPr>
          <w:rFonts w:ascii="宋体" w:hAnsi="宋体" w:cs="宋体" w:eastAsia="宋体" w:hint="default"/>
          <w:b/>
          <w:bCs/>
        </w:rPr>
        <w:t>）智慧农业云</w:t>
      </w:r>
      <w:r>
        <w:rPr>
          <w:rFonts w:ascii="宋体" w:hAnsi="宋体" w:cs="宋体" w:eastAsia="宋体" w:hint="default"/>
          <w:b/>
          <w:bCs/>
          <w:w w:val="99"/>
        </w:rPr>
        <w:t> </w:t>
      </w:r>
      <w:r>
        <w:rPr>
          <w:spacing w:val="-1"/>
        </w:rPr>
        <w:t>智慧农业云是智慧食安供应链生态圈的起点，以“为传统农业赋能，绿色、安全、共享”</w:t>
      </w:r>
    </w:p>
    <w:p>
      <w:pPr>
        <w:pStyle w:val="BodyText"/>
        <w:spacing w:line="312" w:lineRule="exact"/>
        <w:ind w:right="0"/>
        <w:jc w:val="left"/>
      </w:pPr>
      <w:r>
        <w:rPr/>
        <w:t>为己任，依托“互联网</w:t>
      </w:r>
      <w:r>
        <w:rPr>
          <w:rFonts w:ascii="宋体" w:hAnsi="宋体" w:cs="宋体" w:eastAsia="宋体" w:hint="default"/>
        </w:rPr>
        <w:t>+</w:t>
      </w:r>
      <w:r>
        <w:rPr/>
        <w:t>大数据</w:t>
      </w:r>
      <w:r>
        <w:rPr>
          <w:rFonts w:ascii="宋体" w:hAnsi="宋体" w:cs="宋体" w:eastAsia="宋体" w:hint="default"/>
        </w:rPr>
        <w:t>+</w:t>
      </w:r>
      <w:r>
        <w:rPr/>
        <w:t>区块链</w:t>
      </w:r>
      <w:r>
        <w:rPr>
          <w:rFonts w:ascii="宋体" w:hAnsi="宋体" w:cs="宋体" w:eastAsia="宋体" w:hint="default"/>
        </w:rPr>
        <w:t>+</w:t>
      </w:r>
      <w:r>
        <w:rPr/>
        <w:t>现代农业”技术优势，公司致力于用现代信息技术为 </w:t>
      </w:r>
      <w:r>
        <w:rPr>
          <w:spacing w:val="-3"/>
        </w:rPr>
        <w:t>传统农业产业进行赋能，让流量、信息、知识、资本能够在农产品（投入品）生产经营企业、</w:t>
      </w:r>
      <w:r>
        <w:rPr>
          <w:spacing w:val="-82"/>
        </w:rPr>
        <w:t> </w:t>
      </w:r>
      <w:r>
        <w:rPr>
          <w:spacing w:val="-82"/>
        </w:rPr>
      </w:r>
      <w:r>
        <w:rPr>
          <w:spacing w:val="-3"/>
        </w:rPr>
        <w:t>监管部门、金融机构等部门间共享、流动和服务，形成产业互联网</w:t>
      </w:r>
      <w:r>
        <w:rPr>
          <w:rFonts w:ascii="宋体" w:hAnsi="宋体" w:cs="宋体" w:eastAsia="宋体" w:hint="default"/>
          <w:spacing w:val="-3"/>
        </w:rPr>
        <w:t>+</w:t>
      </w:r>
      <w:r>
        <w:rPr>
          <w:spacing w:val="-3"/>
        </w:rPr>
        <w:t>供应链金融服务模式。同</w:t>
      </w:r>
      <w:r>
        <w:rPr>
          <w:spacing w:val="-81"/>
        </w:rPr>
        <w:t> </w:t>
      </w:r>
      <w:r>
        <w:rPr>
          <w:spacing w:val="-81"/>
        </w:rPr>
      </w:r>
      <w:r>
        <w:rPr/>
        <w:t>时公司聚焦农资、农事、畜牧三条产品线，围绕农业投入品和农畜产品的产销供应链，提供 行业专有云和数据运营服务的农业数字经济服务平台。同时智慧农业云通过追溯云提供的追 溯</w:t>
      </w:r>
      <w:r>
        <w:rPr>
          <w:rFonts w:ascii="宋体" w:hAnsi="宋体" w:cs="宋体" w:eastAsia="宋体" w:hint="default"/>
        </w:rPr>
        <w:t>Inside</w:t>
      </w:r>
      <w:r>
        <w:rPr/>
        <w:t>服务实现农产品质量安全的源头追溯。</w:t>
      </w:r>
    </w:p>
    <w:p>
      <w:pPr>
        <w:pStyle w:val="BodyText"/>
        <w:spacing w:line="312" w:lineRule="exact"/>
        <w:ind w:left="534" w:right="1136"/>
        <w:jc w:val="left"/>
      </w:pPr>
      <w:r>
        <w:rPr>
          <w:rFonts w:ascii="宋体" w:hAnsi="宋体" w:cs="宋体" w:eastAsia="宋体" w:hint="default"/>
          <w:b/>
          <w:bCs/>
        </w:rPr>
        <w:t>（</w:t>
      </w:r>
      <w:r>
        <w:rPr>
          <w:rFonts w:ascii="宋体" w:hAnsi="宋体" w:cs="宋体" w:eastAsia="宋体" w:hint="default"/>
          <w:b/>
          <w:bCs/>
        </w:rPr>
        <w:t>3</w:t>
      </w:r>
      <w:r>
        <w:rPr>
          <w:rFonts w:ascii="宋体" w:hAnsi="宋体" w:cs="宋体" w:eastAsia="宋体" w:hint="default"/>
          <w:b/>
          <w:bCs/>
        </w:rPr>
        <w:t>）智慧冷链云</w:t>
      </w:r>
      <w:r>
        <w:rPr>
          <w:rFonts w:ascii="宋体" w:hAnsi="宋体" w:cs="宋体" w:eastAsia="宋体" w:hint="default"/>
          <w:b/>
          <w:bCs/>
          <w:w w:val="99"/>
        </w:rPr>
        <w:t> </w:t>
      </w:r>
      <w:r>
        <w:rPr>
          <w:spacing w:val="2"/>
        </w:rPr>
        <w:t>智慧冷链云致力于为企业提供各种冷链生鲜食品在加工、配送、仓储等环节的信息实时</w:t>
      </w:r>
    </w:p>
    <w:p>
      <w:pPr>
        <w:pStyle w:val="BodyText"/>
        <w:spacing w:line="312" w:lineRule="exact"/>
        <w:ind w:right="1132"/>
        <w:jc w:val="both"/>
      </w:pPr>
      <w:r>
        <w:rPr/>
        <w:t>跟踪、监管和大数据服务，打造专业、安全的冷链物流信息监控平台。企业通过建设冷链物 流云平台，可以促进生鲜食品的流通效率，降低腐损率，强化冷链物流标准化体系建设，为 生鲜食品安全保驾护航。同时智慧冷链云通过追溯云提供的追溯</w:t>
      </w:r>
      <w:r>
        <w:rPr>
          <w:rFonts w:ascii="宋体" w:hAnsi="宋体" w:cs="宋体" w:eastAsia="宋体" w:hint="default"/>
        </w:rPr>
        <w:t>Inside</w:t>
      </w:r>
      <w:r>
        <w:rPr/>
        <w:t>服务实现食品及食用</w:t>
      </w:r>
      <w:r>
        <w:rPr>
          <w:spacing w:val="-110"/>
        </w:rPr>
        <w:t> </w:t>
      </w:r>
      <w:r>
        <w:rPr>
          <w:spacing w:val="-110"/>
        </w:rPr>
      </w:r>
      <w:r>
        <w:rPr/>
        <w:t>农产品的冷链物流信息的可追溯。</w:t>
      </w:r>
    </w:p>
    <w:p>
      <w:pPr>
        <w:spacing w:after="0" w:line="312" w:lineRule="exact"/>
        <w:jc w:val="both"/>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spacing w:line="312" w:lineRule="exact" w:before="56"/>
        <w:ind w:left="534" w:right="113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4</w:t>
      </w:r>
      <w:r>
        <w:rPr>
          <w:rFonts w:ascii="宋体" w:hAnsi="宋体" w:cs="宋体" w:eastAsia="宋体" w:hint="default"/>
          <w:b/>
          <w:bCs/>
          <w:sz w:val="24"/>
          <w:szCs w:val="24"/>
        </w:rPr>
        <w:t>）智慧农批云（新农批）</w:t>
      </w:r>
      <w:r>
        <w:rPr>
          <w:rFonts w:ascii="宋体" w:hAnsi="宋体" w:cs="宋体" w:eastAsia="宋体" w:hint="default"/>
          <w:b/>
          <w:bCs/>
          <w:w w:val="99"/>
          <w:sz w:val="24"/>
          <w:szCs w:val="24"/>
        </w:rPr>
        <w:t> </w:t>
      </w:r>
      <w:r>
        <w:rPr>
          <w:rFonts w:ascii="宋体" w:hAnsi="宋体" w:cs="宋体" w:eastAsia="宋体" w:hint="default"/>
          <w:spacing w:val="2"/>
          <w:sz w:val="24"/>
          <w:szCs w:val="24"/>
        </w:rPr>
        <w:t>智慧农批云是一个聚焦农批行业的产业互联网平台，旨在通过解决农批环节低效高损的</w:t>
      </w:r>
    </w:p>
    <w:p>
      <w:pPr>
        <w:pStyle w:val="BodyText"/>
        <w:spacing w:line="312" w:lineRule="exact"/>
        <w:ind w:right="1129"/>
        <w:jc w:val="both"/>
      </w:pPr>
      <w:r>
        <w:rPr/>
        <w:t>问题，来实现让农民不再难卖、市民不再贵买，帮助农批市场转型升级。智慧农批云，首创 </w:t>
      </w:r>
      <w:r>
        <w:rPr>
          <w:rFonts w:ascii="宋体" w:hAnsi="宋体" w:cs="宋体" w:eastAsia="宋体" w:hint="default"/>
          <w:spacing w:val="-2"/>
        </w:rPr>
        <w:t>O2O</w:t>
      </w:r>
      <w:r>
        <w:rPr>
          <w:spacing w:val="-2"/>
        </w:rPr>
        <w:t>智慧“新农批”理念，提供农批市场综合管理、电子化结算、物流配送等</w:t>
      </w:r>
      <w:r>
        <w:rPr>
          <w:rFonts w:ascii="宋体" w:hAnsi="宋体" w:cs="宋体" w:eastAsia="宋体" w:hint="default"/>
          <w:spacing w:val="-2"/>
        </w:rPr>
        <w:t>SaaS</w:t>
      </w:r>
      <w:r>
        <w:rPr>
          <w:spacing w:val="-2"/>
        </w:rPr>
        <w:t>服务，应用</w:t>
      </w:r>
    </w:p>
    <w:p>
      <w:pPr>
        <w:pStyle w:val="BodyText"/>
        <w:spacing w:line="312" w:lineRule="exact"/>
        <w:ind w:right="1132"/>
        <w:jc w:val="both"/>
      </w:pPr>
      <w:r>
        <w:rPr/>
        <w:t>云计算、物联网、区块链等高新技术，实现农批环节降本增效。同时智慧农批云通过追溯云 提供的追溯</w:t>
      </w:r>
      <w:r>
        <w:rPr>
          <w:rFonts w:ascii="宋体" w:hAnsi="宋体" w:cs="宋体" w:eastAsia="宋体" w:hint="default"/>
        </w:rPr>
        <w:t>Inside</w:t>
      </w:r>
      <w:r>
        <w:rPr/>
        <w:t>服务加强供应链分销与配送环节的食品安全管理，确保农批环节来源可追</w:t>
      </w:r>
      <w:r>
        <w:rPr>
          <w:spacing w:val="-108"/>
        </w:rPr>
        <w:t> </w:t>
      </w:r>
      <w:r>
        <w:rPr>
          <w:spacing w:val="-108"/>
        </w:rPr>
      </w:r>
      <w:r>
        <w:rPr/>
        <w:t>溯、流向可查证、责任可追究。</w:t>
      </w:r>
    </w:p>
    <w:p>
      <w:pPr>
        <w:spacing w:line="312" w:lineRule="exact" w:before="0"/>
        <w:ind w:left="534" w:right="113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5</w:t>
      </w:r>
      <w:r>
        <w:rPr>
          <w:rFonts w:ascii="宋体" w:hAnsi="宋体" w:cs="宋体" w:eastAsia="宋体" w:hint="default"/>
          <w:b/>
          <w:bCs/>
          <w:sz w:val="24"/>
          <w:szCs w:val="24"/>
        </w:rPr>
        <w:t>）智慧零售云（新零售）</w:t>
      </w:r>
      <w:r>
        <w:rPr>
          <w:rFonts w:ascii="宋体" w:hAnsi="宋体" w:cs="宋体" w:eastAsia="宋体" w:hint="default"/>
          <w:b/>
          <w:bCs/>
          <w:w w:val="99"/>
          <w:sz w:val="24"/>
          <w:szCs w:val="24"/>
        </w:rPr>
        <w:t> </w:t>
      </w:r>
      <w:r>
        <w:rPr>
          <w:rFonts w:ascii="宋体" w:hAnsi="宋体" w:cs="宋体" w:eastAsia="宋体" w:hint="default"/>
          <w:spacing w:val="2"/>
          <w:sz w:val="24"/>
          <w:szCs w:val="24"/>
        </w:rPr>
        <w:t>智慧零售云是整个智慧食安供应链生态圈的最后环节，为传统生鲜零售渠道搭建智慧零</w:t>
      </w:r>
    </w:p>
    <w:p>
      <w:pPr>
        <w:pStyle w:val="BodyText"/>
        <w:spacing w:line="312" w:lineRule="exact"/>
        <w:ind w:right="1132"/>
        <w:jc w:val="both"/>
      </w:pPr>
      <w:r>
        <w:rPr/>
        <w:t>售</w:t>
      </w:r>
      <w:r>
        <w:rPr>
          <w:rFonts w:ascii="宋体" w:hAnsi="宋体" w:cs="宋体" w:eastAsia="宋体" w:hint="default"/>
        </w:rPr>
        <w:t>SaaS</w:t>
      </w:r>
      <w:r>
        <w:rPr/>
        <w:t>服务平台，满足产地农户、零售商户、消费顾客等三方需求。通过平台服务来赋能农</w:t>
      </w:r>
      <w:r>
        <w:rPr>
          <w:spacing w:val="-116"/>
        </w:rPr>
        <w:t> </w:t>
      </w:r>
      <w:r>
        <w:rPr>
          <w:spacing w:val="-116"/>
        </w:rPr>
      </w:r>
      <w:r>
        <w:rPr/>
        <w:t>贸市场、社区生鲜店等传统生鲜零售渠道，提升商户、市场、管理公司等各方运营效率，实 现了线下门店中人、货、场的数据化、智能化，帮助生鲜零售渠道实现业务数字化和数字业 务化，实现门店管理科学化和运营精细化，同时通过追溯云提供的追溯</w:t>
      </w:r>
      <w:r>
        <w:rPr>
          <w:rFonts w:ascii="宋体" w:hAnsi="宋体" w:cs="宋体" w:eastAsia="宋体" w:hint="default"/>
        </w:rPr>
        <w:t>Inside</w:t>
      </w:r>
      <w:r>
        <w:rPr/>
        <w:t>服务，为顾客</w:t>
      </w:r>
      <w:r>
        <w:rPr>
          <w:spacing w:val="-110"/>
        </w:rPr>
        <w:t> </w:t>
      </w:r>
      <w:r>
        <w:rPr>
          <w:spacing w:val="-110"/>
        </w:rPr>
      </w:r>
      <w:r>
        <w:rPr>
          <w:spacing w:val="-4"/>
        </w:rPr>
        <w:t>提供安全、新鲜、便捷、健康、实惠的消费体验，实现“最后一公里追溯”。</w:t>
      </w:r>
    </w:p>
    <w:p>
      <w:pPr>
        <w:pStyle w:val="Heading4"/>
        <w:spacing w:line="282" w:lineRule="exact"/>
        <w:ind w:left="534" w:right="0"/>
        <w:jc w:val="left"/>
        <w:rPr>
          <w:b w:val="0"/>
          <w:bCs w:val="0"/>
        </w:rPr>
      </w:pPr>
      <w:r>
        <w:rPr>
          <w:rFonts w:ascii="宋体" w:hAnsi="宋体" w:cs="宋体" w:eastAsia="宋体" w:hint="default"/>
        </w:rPr>
        <w:t>2</w:t>
      </w:r>
      <w:r>
        <w:rPr/>
        <w:t>、产品及增值服务业务</w:t>
      </w:r>
      <w:r>
        <w:rPr>
          <w:b w:val="0"/>
          <w:bCs w:val="0"/>
        </w:rPr>
      </w:r>
    </w:p>
    <w:p>
      <w:pPr>
        <w:spacing w:line="312" w:lineRule="exact" w:before="29"/>
        <w:ind w:left="534" w:right="113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1</w:t>
      </w:r>
      <w:r>
        <w:rPr>
          <w:rFonts w:ascii="宋体" w:hAnsi="宋体" w:cs="宋体" w:eastAsia="宋体" w:hint="default"/>
          <w:b/>
          <w:bCs/>
          <w:sz w:val="24"/>
          <w:szCs w:val="24"/>
        </w:rPr>
        <w:t>）食品安全企业信用大数据平台</w:t>
      </w:r>
      <w:r>
        <w:rPr>
          <w:rFonts w:ascii="宋体" w:hAnsi="宋体" w:cs="宋体" w:eastAsia="宋体" w:hint="default"/>
          <w:b/>
          <w:bCs/>
          <w:w w:val="99"/>
          <w:sz w:val="24"/>
          <w:szCs w:val="24"/>
        </w:rPr>
        <w:t> </w:t>
      </w:r>
      <w:r>
        <w:rPr>
          <w:rFonts w:ascii="宋体" w:hAnsi="宋体" w:cs="宋体" w:eastAsia="宋体" w:hint="default"/>
          <w:spacing w:val="2"/>
          <w:sz w:val="24"/>
          <w:szCs w:val="24"/>
        </w:rPr>
        <w:t>公司依托智慧食安供应链生态圈战略以及强大的研发实力，研发了食品安全企业信用大</w:t>
      </w:r>
    </w:p>
    <w:p>
      <w:pPr>
        <w:pStyle w:val="BodyText"/>
        <w:spacing w:line="312" w:lineRule="exact"/>
        <w:ind w:right="1132"/>
        <w:jc w:val="both"/>
      </w:pPr>
      <w:r>
        <w:rPr>
          <w:spacing w:val="-2"/>
        </w:rPr>
        <w:t>数据平台，该平台由大数据基础平台以及</w:t>
      </w:r>
      <w:r>
        <w:rPr>
          <w:rFonts w:ascii="宋体" w:hAnsi="宋体" w:cs="宋体" w:eastAsia="宋体" w:hint="default"/>
          <w:spacing w:val="-2"/>
        </w:rPr>
        <w:t>ETL</w:t>
      </w:r>
      <w:r>
        <w:rPr>
          <w:spacing w:val="-2"/>
        </w:rPr>
        <w:t>、</w:t>
      </w:r>
      <w:r>
        <w:rPr>
          <w:rFonts w:ascii="宋体" w:hAnsi="宋体" w:cs="宋体" w:eastAsia="宋体" w:hint="default"/>
          <w:spacing w:val="-2"/>
        </w:rPr>
        <w:t>DM</w:t>
      </w:r>
      <w:r>
        <w:rPr>
          <w:spacing w:val="-2"/>
        </w:rPr>
        <w:t>、</w:t>
      </w:r>
      <w:r>
        <w:rPr>
          <w:rFonts w:ascii="宋体" w:hAnsi="宋体" w:cs="宋体" w:eastAsia="宋体" w:hint="default"/>
          <w:spacing w:val="-2"/>
        </w:rPr>
        <w:t>DW</w:t>
      </w:r>
      <w:r>
        <w:rPr>
          <w:spacing w:val="-2"/>
        </w:rPr>
        <w:t>、</w:t>
      </w:r>
      <w:r>
        <w:rPr>
          <w:rFonts w:ascii="宋体" w:hAnsi="宋体" w:cs="宋体" w:eastAsia="宋体" w:hint="default"/>
          <w:spacing w:val="-2"/>
        </w:rPr>
        <w:t>BI</w:t>
      </w:r>
      <w:r>
        <w:rPr>
          <w:spacing w:val="-2"/>
        </w:rPr>
        <w:t>等各类大数据工具构成，通过汇聚</w:t>
      </w:r>
      <w:r>
        <w:rPr>
          <w:spacing w:val="-114"/>
        </w:rPr>
        <w:t> </w:t>
      </w:r>
      <w:r>
        <w:rPr>
          <w:spacing w:val="-114"/>
        </w:rPr>
      </w:r>
      <w:r>
        <w:rPr/>
        <w:t>食品及食用农产品生产、加工、流通、销售等供应链环节中的数据并进行深入治理、挖掘、 建模、分析，各食品供应链环节上的各类企业提供大数据决策分析服务，特别是为食品企业 的供应商管理提供第三方独立机构的企业信用服务，让企业可以及时了解供应商信息的活跃 度和透明度，并且将企业信用评估数据作为食品安全服务中重要组成部分。</w:t>
      </w:r>
    </w:p>
    <w:p>
      <w:pPr>
        <w:spacing w:line="312" w:lineRule="exact" w:before="0"/>
        <w:ind w:left="534" w:right="0" w:firstLine="0"/>
        <w:jc w:val="left"/>
        <w:rPr>
          <w:rFonts w:ascii="宋体" w:hAnsi="宋体" w:cs="宋体" w:eastAsia="宋体" w:hint="default"/>
          <w:sz w:val="24"/>
          <w:szCs w:val="24"/>
        </w:rPr>
      </w:pPr>
      <w:r>
        <w:rPr>
          <w:rFonts w:ascii="宋体" w:hAnsi="宋体" w:cs="宋体" w:eastAsia="宋体" w:hint="default"/>
          <w:b/>
          <w:bCs/>
          <w:spacing w:val="-9"/>
          <w:w w:val="99"/>
          <w:sz w:val="24"/>
          <w:szCs w:val="24"/>
        </w:rPr>
        <w:t>（</w:t>
      </w:r>
      <w:r>
        <w:rPr>
          <w:rFonts w:ascii="宋体" w:hAnsi="宋体" w:cs="宋体" w:eastAsia="宋体" w:hint="default"/>
          <w:b/>
          <w:bCs/>
          <w:spacing w:val="-9"/>
          <w:w w:val="99"/>
          <w:sz w:val="24"/>
          <w:szCs w:val="24"/>
        </w:rPr>
        <w:t>2</w:t>
      </w:r>
      <w:r>
        <w:rPr>
          <w:rFonts w:ascii="宋体" w:hAnsi="宋体" w:cs="宋体" w:eastAsia="宋体" w:hint="default"/>
          <w:b/>
          <w:bCs/>
          <w:spacing w:val="-9"/>
          <w:w w:val="99"/>
          <w:sz w:val="24"/>
          <w:szCs w:val="24"/>
        </w:rPr>
        <w:t>）“智农云链”农资一体机</w:t>
      </w:r>
      <w:r>
        <w:rPr>
          <w:rFonts w:ascii="宋体" w:hAnsi="宋体" w:cs="宋体" w:eastAsia="宋体" w:hint="default"/>
          <w:b/>
          <w:bCs/>
          <w:spacing w:val="-109"/>
          <w:w w:val="99"/>
          <w:sz w:val="24"/>
          <w:szCs w:val="24"/>
        </w:rPr>
        <w:t> </w:t>
      </w:r>
      <w:r>
        <w:rPr>
          <w:rFonts w:ascii="宋体" w:hAnsi="宋体" w:cs="宋体" w:eastAsia="宋体" w:hint="default"/>
          <w:b/>
          <w:bCs/>
          <w:spacing w:val="-109"/>
          <w:w w:val="99"/>
          <w:sz w:val="24"/>
          <w:szCs w:val="24"/>
        </w:rPr>
      </w:r>
      <w:r>
        <w:rPr>
          <w:rFonts w:ascii="宋体" w:hAnsi="宋体" w:cs="宋体" w:eastAsia="宋体" w:hint="default"/>
          <w:spacing w:val="2"/>
          <w:sz w:val="24"/>
          <w:szCs w:val="24"/>
        </w:rPr>
        <w:t>公司依托扎根于智慧农业行业丰富的经验和强大的技术研发实力，推出“智农云链”农</w:t>
      </w:r>
    </w:p>
    <w:p>
      <w:pPr>
        <w:pStyle w:val="BodyText"/>
        <w:spacing w:line="312" w:lineRule="exact"/>
        <w:ind w:right="1139"/>
        <w:jc w:val="both"/>
      </w:pPr>
      <w:r>
        <w:rPr/>
        <w:t>资一体机，是智慧农业云管端解决方案的重要组成部分，该产品严格按照《农药经营许可管 理办法》要求，将农资计算机管理系统、可追溯电子信息码扫描设备、小票打印机等设备高 度集成，轻松实现农资交易电子台账的管理，帮助农资店轻松实现农资的进、销、存管理， 数据实时上传到智慧农业云平台，是符合申请农药经营许可证必备条件的智能终端。</w:t>
      </w:r>
    </w:p>
    <w:p>
      <w:pPr>
        <w:spacing w:line="312" w:lineRule="exact" w:before="0"/>
        <w:ind w:left="534" w:right="113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3</w:t>
      </w:r>
      <w:r>
        <w:rPr>
          <w:rFonts w:ascii="宋体" w:hAnsi="宋体" w:cs="宋体" w:eastAsia="宋体" w:hint="default"/>
          <w:b/>
          <w:bCs/>
          <w:sz w:val="24"/>
          <w:szCs w:val="24"/>
        </w:rPr>
        <w:t>）智慧零售一体机</w:t>
      </w:r>
      <w:r>
        <w:rPr>
          <w:rFonts w:ascii="宋体" w:hAnsi="宋体" w:cs="宋体" w:eastAsia="宋体" w:hint="default"/>
          <w:b/>
          <w:bCs/>
          <w:w w:val="99"/>
          <w:sz w:val="24"/>
          <w:szCs w:val="24"/>
        </w:rPr>
        <w:t> </w:t>
      </w:r>
      <w:r>
        <w:rPr>
          <w:rFonts w:ascii="宋体" w:hAnsi="宋体" w:cs="宋体" w:eastAsia="宋体" w:hint="default"/>
          <w:spacing w:val="2"/>
          <w:sz w:val="24"/>
          <w:szCs w:val="24"/>
        </w:rPr>
        <w:t>公司针对农贸市场与社区生鲜零售店推出了店铺级的运营管理智能终端，是智慧零售云</w:t>
      </w:r>
    </w:p>
    <w:p>
      <w:pPr>
        <w:pStyle w:val="BodyText"/>
        <w:spacing w:line="312" w:lineRule="exact"/>
        <w:ind w:right="994"/>
        <w:jc w:val="left"/>
      </w:pPr>
      <w:r>
        <w:rPr>
          <w:spacing w:val="-3"/>
        </w:rPr>
        <w:t>管端解决方案的重要组成部分，集收银、称重、支付、追溯、运营、管理等六项功能于一体，</w:t>
      </w:r>
      <w:r>
        <w:rPr>
          <w:spacing w:val="-84"/>
        </w:rPr>
        <w:t> </w:t>
      </w:r>
      <w:r>
        <w:rPr>
          <w:spacing w:val="-84"/>
        </w:rPr>
      </w:r>
      <w:r>
        <w:rPr>
          <w:spacing w:val="-3"/>
        </w:rPr>
        <w:t>可以帮助商户实现进销存管理、财务管理、数据分析等。零售商在全覆盖使用该服务系统后，</w:t>
      </w:r>
      <w:r>
        <w:rPr>
          <w:spacing w:val="-81"/>
        </w:rPr>
        <w:t> </w:t>
      </w:r>
      <w:r>
        <w:rPr>
          <w:spacing w:val="-81"/>
        </w:rPr>
      </w:r>
      <w:r>
        <w:rPr>
          <w:spacing w:val="-2"/>
        </w:rPr>
        <w:t>能够方便地对每一个商户每天的销售情况等信息进行实时采集，并进行智能化数据分析管理。</w:t>
      </w:r>
      <w:r>
        <w:rPr/>
        <w:t> 与此同时，消费者只要扫描二维码，实现聚合支付的同时，还可以清楚地查到产品的溯源信 息、商户的经营证照信息以及所购商品的单价、重量、金额等。是农贸市场和社区生鲜零售 店不可或缺的智能终端。</w:t>
      </w:r>
    </w:p>
    <w:p>
      <w:pPr>
        <w:spacing w:line="312" w:lineRule="exact" w:before="0"/>
        <w:ind w:left="534" w:right="113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4</w:t>
      </w:r>
      <w:r>
        <w:rPr>
          <w:rFonts w:ascii="宋体" w:hAnsi="宋体" w:cs="宋体" w:eastAsia="宋体" w:hint="default"/>
          <w:b/>
          <w:bCs/>
          <w:sz w:val="24"/>
          <w:szCs w:val="24"/>
        </w:rPr>
        <w:t>）</w:t>
      </w:r>
      <w:r>
        <w:rPr>
          <w:rFonts w:ascii="宋体" w:hAnsi="宋体" w:cs="宋体" w:eastAsia="宋体" w:hint="default"/>
          <w:b/>
          <w:bCs/>
          <w:spacing w:val="-1"/>
          <w:sz w:val="24"/>
          <w:szCs w:val="24"/>
        </w:rPr>
        <w:t> </w:t>
      </w:r>
      <w:r>
        <w:rPr>
          <w:rFonts w:ascii="宋体" w:hAnsi="宋体" w:cs="宋体" w:eastAsia="宋体" w:hint="default"/>
          <w:b/>
          <w:bCs/>
          <w:sz w:val="24"/>
          <w:szCs w:val="24"/>
        </w:rPr>
        <w:t>“安心检”食品安全快速检测服务</w:t>
      </w:r>
      <w:r>
        <w:rPr>
          <w:rFonts w:ascii="宋体" w:hAnsi="宋体" w:cs="宋体" w:eastAsia="宋体" w:hint="default"/>
          <w:b/>
          <w:bCs/>
          <w:w w:val="99"/>
          <w:sz w:val="24"/>
          <w:szCs w:val="24"/>
        </w:rPr>
        <w:t> </w:t>
      </w:r>
      <w:r>
        <w:rPr>
          <w:rFonts w:ascii="宋体" w:hAnsi="宋体" w:cs="宋体" w:eastAsia="宋体" w:hint="default"/>
          <w:spacing w:val="2"/>
          <w:sz w:val="24"/>
          <w:szCs w:val="24"/>
        </w:rPr>
        <w:t>公司通过布局以“安心检”为品牌的集中式专业快检实验中心，逐步实现专业的食品安</w:t>
      </w:r>
    </w:p>
    <w:p>
      <w:pPr>
        <w:pStyle w:val="BodyText"/>
        <w:spacing w:line="312" w:lineRule="exact"/>
        <w:ind w:right="1130"/>
        <w:jc w:val="both"/>
      </w:pPr>
      <w:r>
        <w:rPr/>
        <w:t>全快速检测服务，主要对肉、菜、水果、粮食及其制品等消费量大、保质期短、食品安全风 险相对较高的食品和食用农产品开展检测，检测项目包括不限于农药残留、孔雀石绿、吊白 </w:t>
      </w:r>
      <w:r>
        <w:rPr>
          <w:spacing w:val="-5"/>
        </w:rPr>
        <w:t>块、甲醛、盐酸克仑特罗、莱克多巴胺和食品添加剂等，“安心检”通过检测数据与追溯云食</w:t>
      </w:r>
    </w:p>
    <w:p>
      <w:pPr>
        <w:pStyle w:val="BodyText"/>
        <w:spacing w:line="312" w:lineRule="exact"/>
        <w:ind w:right="1139"/>
        <w:jc w:val="both"/>
      </w:pPr>
      <w:r>
        <w:rPr/>
        <w:t>品安全大数据平台的无缝对接，进一步实现零售环节食品安全智慧监管，旨在为消费者提供 专业、长效、及时的食品安全保障。</w:t>
      </w:r>
    </w:p>
    <w:p>
      <w:pPr>
        <w:pStyle w:val="Heading4"/>
        <w:spacing w:line="283" w:lineRule="exact"/>
        <w:ind w:left="534" w:right="0"/>
        <w:jc w:val="left"/>
        <w:rPr>
          <w:b w:val="0"/>
          <w:bCs w:val="0"/>
        </w:rPr>
      </w:pPr>
      <w:r>
        <w:rPr/>
        <w:t>（</w:t>
      </w:r>
      <w:r>
        <w:rPr>
          <w:rFonts w:ascii="宋体" w:hAnsi="宋体" w:cs="宋体" w:eastAsia="宋体" w:hint="default"/>
        </w:rPr>
        <w:t>5</w:t>
      </w:r>
      <w:r>
        <w:rPr/>
        <w:t>）食品安全咨询服务</w:t>
      </w:r>
      <w:r>
        <w:rPr>
          <w:b w:val="0"/>
          <w:bCs w:val="0"/>
        </w:rPr>
      </w:r>
    </w:p>
    <w:p>
      <w:pPr>
        <w:spacing w:after="0" w:line="283" w:lineRule="exact"/>
        <w:jc w:val="left"/>
        <w:sectPr>
          <w:pgSz w:w="11910" w:h="16840"/>
          <w:pgMar w:header="822" w:footer="1019" w:top="1140" w:bottom="1200" w:left="1020" w:right="0"/>
        </w:sectPr>
      </w:pPr>
    </w:p>
    <w:p>
      <w:pPr>
        <w:spacing w:line="240" w:lineRule="auto" w:before="10"/>
        <w:rPr>
          <w:rFonts w:ascii="宋体" w:hAnsi="宋体" w:cs="宋体" w:eastAsia="宋体" w:hint="default"/>
          <w:b/>
          <w:bCs/>
          <w:sz w:val="17"/>
          <w:szCs w:val="17"/>
        </w:rPr>
      </w:pPr>
    </w:p>
    <w:p>
      <w:pPr>
        <w:pStyle w:val="BodyText"/>
        <w:spacing w:line="237" w:lineRule="auto" w:before="28"/>
        <w:ind w:right="1109" w:firstLine="420"/>
        <w:jc w:val="both"/>
      </w:pPr>
      <w:r>
        <w:rPr/>
        <w:t>公司响应</w:t>
      </w:r>
      <w:r>
        <w:rPr>
          <w:rFonts w:ascii="宋体" w:hAnsi="宋体" w:cs="宋体" w:eastAsia="宋体" w:hint="default"/>
        </w:rPr>
        <w:t>GFSI</w:t>
      </w:r>
      <w:r>
        <w:rPr/>
        <w:t>全球食品安全倡议，在其框架指引下，引用</w:t>
      </w:r>
      <w:r>
        <w:rPr>
          <w:rFonts w:ascii="宋体" w:hAnsi="宋体" w:cs="宋体" w:eastAsia="宋体" w:hint="default"/>
        </w:rPr>
        <w:t>IFS/BRC/GAP</w:t>
      </w:r>
      <w:r>
        <w:rPr/>
        <w:t>等国际食品标准， 开发了一系列食品规范生产管理的服务，主要有食品安全审核服务、食品安全培训服务、新 标准制定服务等。该系列服务遵守</w:t>
      </w:r>
      <w:r>
        <w:rPr>
          <w:rFonts w:ascii="宋体" w:hAnsi="宋体" w:cs="宋体" w:eastAsia="宋体" w:hint="default"/>
        </w:rPr>
        <w:t>PDCA</w:t>
      </w:r>
      <w:r>
        <w:rPr/>
        <w:t>持续改进的基本逻辑，通过审核发现问题、进而制定</w:t>
      </w:r>
      <w:r>
        <w:rPr>
          <w:spacing w:val="-115"/>
        </w:rPr>
        <w:t> </w:t>
      </w:r>
      <w:r>
        <w:rPr>
          <w:spacing w:val="-115"/>
        </w:rPr>
      </w:r>
      <w:r>
        <w:rPr/>
        <w:t>纠偏措施，并通过培训手段，落实纠偏措施，结合飞行检查监督，形成食品安全的闭环，持 续改进食品企业安全管理体系，提升企业食品安全管理水平，守护市民餐桌安全。</w:t>
      </w:r>
    </w:p>
    <w:p>
      <w:pPr>
        <w:pStyle w:val="Heading4"/>
        <w:spacing w:line="311" w:lineRule="exact"/>
        <w:ind w:left="534" w:right="0"/>
        <w:jc w:val="left"/>
        <w:rPr>
          <w:b w:val="0"/>
          <w:bCs w:val="0"/>
        </w:rPr>
      </w:pPr>
      <w:r>
        <w:rPr>
          <w:rFonts w:ascii="宋体" w:hAnsi="宋体" w:cs="宋体" w:eastAsia="宋体" w:hint="default"/>
        </w:rPr>
        <w:t>3</w:t>
      </w:r>
      <w:r>
        <w:rPr/>
        <w:t>、行业解决方案业务</w:t>
      </w:r>
      <w:r>
        <w:rPr>
          <w:b w:val="0"/>
          <w:bCs w:val="0"/>
        </w:rPr>
      </w:r>
    </w:p>
    <w:p>
      <w:pPr>
        <w:spacing w:line="312" w:lineRule="exact" w:before="29"/>
        <w:ind w:left="534" w:right="113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1</w:t>
      </w:r>
      <w:r>
        <w:rPr>
          <w:rFonts w:ascii="宋体" w:hAnsi="宋体" w:cs="宋体" w:eastAsia="宋体" w:hint="default"/>
          <w:b/>
          <w:bCs/>
          <w:sz w:val="24"/>
          <w:szCs w:val="24"/>
        </w:rPr>
        <w:t>）重要产品全程追溯解决方案</w:t>
      </w:r>
      <w:r>
        <w:rPr>
          <w:rFonts w:ascii="宋体" w:hAnsi="宋体" w:cs="宋体" w:eastAsia="宋体" w:hint="default"/>
          <w:b/>
          <w:bCs/>
          <w:w w:val="99"/>
          <w:sz w:val="24"/>
          <w:szCs w:val="24"/>
        </w:rPr>
        <w:t> </w:t>
      </w:r>
      <w:r>
        <w:rPr>
          <w:rFonts w:ascii="宋体" w:hAnsi="宋体" w:cs="宋体" w:eastAsia="宋体" w:hint="default"/>
          <w:spacing w:val="2"/>
          <w:sz w:val="24"/>
          <w:szCs w:val="24"/>
        </w:rPr>
        <w:t>以国家、省市政府要求建设的食用农产品、食品、药品、农业生产资料、特种设备、危</w:t>
      </w:r>
    </w:p>
    <w:p>
      <w:pPr>
        <w:pStyle w:val="BodyText"/>
        <w:spacing w:line="312" w:lineRule="exact"/>
        <w:ind w:right="1008"/>
        <w:jc w:val="left"/>
      </w:pPr>
      <w:r>
        <w:rPr/>
        <w:t>险品、稀土、宝玉石及进出口产品等重要产品追溯体系为重点，基于重要产品追溯“云</w:t>
      </w:r>
      <w:r>
        <w:rPr>
          <w:rFonts w:ascii="宋体" w:hAnsi="宋体" w:cs="宋体" w:eastAsia="宋体" w:hint="default"/>
        </w:rPr>
        <w:t>+</w:t>
      </w:r>
      <w:r>
        <w:rPr/>
        <w:t>端” </w:t>
      </w:r>
      <w:r>
        <w:rPr>
          <w:spacing w:val="-8"/>
        </w:rPr>
        <w:t>全新架构，构建可伸缩的中央、省（直辖市、自治区）、地（市、州）三级平台，形成高可用、</w:t>
      </w:r>
      <w:r>
        <w:rPr>
          <w:spacing w:val="-110"/>
        </w:rPr>
        <w:t> </w:t>
      </w:r>
      <w:r>
        <w:rPr>
          <w:spacing w:val="-110"/>
        </w:rPr>
      </w:r>
      <w:r>
        <w:rPr/>
        <w:t>可扩展、易部署的重要产品全程追溯解决方案。该解决方案融数据中心、信息服务中心和决 </w:t>
      </w:r>
      <w:r>
        <w:rPr>
          <w:spacing w:val="-5"/>
        </w:rPr>
        <w:t>策指挥中心于一体，可实现各类重要产品从“田间到餐桌”、从“工厂到消费”的全程信息追</w:t>
      </w:r>
      <w:r>
        <w:rPr/>
        <w:t> 溯。</w:t>
      </w:r>
    </w:p>
    <w:p>
      <w:pPr>
        <w:spacing w:line="312" w:lineRule="exact" w:before="0"/>
        <w:ind w:left="534" w:right="0"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2</w:t>
      </w:r>
      <w:r>
        <w:rPr>
          <w:rFonts w:ascii="宋体" w:hAnsi="宋体" w:cs="宋体" w:eastAsia="宋体" w:hint="default"/>
          <w:b/>
          <w:bCs/>
          <w:sz w:val="24"/>
          <w:szCs w:val="24"/>
        </w:rPr>
        <w:t>）食品追溯全产业链服务解决方案</w:t>
      </w:r>
      <w:r>
        <w:rPr>
          <w:rFonts w:ascii="宋体" w:hAnsi="宋体" w:cs="宋体" w:eastAsia="宋体" w:hint="default"/>
          <w:b/>
          <w:bCs/>
          <w:w w:val="99"/>
          <w:sz w:val="24"/>
          <w:szCs w:val="24"/>
        </w:rPr>
        <w:t> </w:t>
      </w:r>
      <w:r>
        <w:rPr>
          <w:rFonts w:ascii="宋体" w:hAnsi="宋体" w:cs="宋体" w:eastAsia="宋体" w:hint="default"/>
          <w:spacing w:val="2"/>
          <w:sz w:val="24"/>
          <w:szCs w:val="24"/>
        </w:rPr>
        <w:t>该解决方案依托智慧食安供应链生态圈，以“食品追溯关系民生，信息服务提升质量”</w:t>
      </w:r>
    </w:p>
    <w:p>
      <w:pPr>
        <w:pStyle w:val="BodyText"/>
        <w:spacing w:line="312" w:lineRule="exact"/>
        <w:ind w:right="1129"/>
        <w:jc w:val="both"/>
      </w:pPr>
      <w:r>
        <w:rPr/>
        <w:t>为目标，基于云计算、物联网、区块链和大数据等技术，面向政府食品安全监管部门、食品</w:t>
      </w:r>
      <w:r>
        <w:rPr>
          <w:spacing w:val="-109"/>
        </w:rPr>
        <w:t> </w:t>
      </w:r>
      <w:r>
        <w:rPr>
          <w:spacing w:val="-109"/>
        </w:rPr>
      </w:r>
      <w:r>
        <w:rPr/>
        <w:t>生产经营企业、协会及团体、设备供应商以及运维服务商，提供全面、规范、快捷的追溯系</w:t>
      </w:r>
      <w:r>
        <w:rPr/>
        <w:t> 统定制开发、和现有</w:t>
      </w:r>
      <w:r>
        <w:rPr>
          <w:rFonts w:ascii="宋体" w:hAnsi="宋体" w:cs="宋体" w:eastAsia="宋体" w:hint="default"/>
        </w:rPr>
        <w:t>ERP</w:t>
      </w:r>
      <w:r>
        <w:rPr/>
        <w:t>系统的快速对接以及食品安全信息咨询服务。</w:t>
      </w:r>
    </w:p>
    <w:p>
      <w:pPr>
        <w:spacing w:line="312" w:lineRule="exact" w:before="0"/>
        <w:ind w:left="534" w:right="1011"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3</w:t>
      </w:r>
      <w:r>
        <w:rPr>
          <w:rFonts w:ascii="宋体" w:hAnsi="宋体" w:cs="宋体" w:eastAsia="宋体" w:hint="default"/>
          <w:b/>
          <w:bCs/>
          <w:sz w:val="24"/>
          <w:szCs w:val="24"/>
        </w:rPr>
        <w:t>）智慧农业整体解决方案</w:t>
      </w:r>
      <w:r>
        <w:rPr>
          <w:rFonts w:ascii="宋体" w:hAnsi="宋体" w:cs="宋体" w:eastAsia="宋体" w:hint="default"/>
          <w:b/>
          <w:bCs/>
          <w:w w:val="99"/>
          <w:sz w:val="24"/>
          <w:szCs w:val="24"/>
        </w:rPr>
        <w:t> </w:t>
      </w:r>
      <w:r>
        <w:rPr>
          <w:rFonts w:ascii="宋体" w:hAnsi="宋体" w:cs="宋体" w:eastAsia="宋体" w:hint="default"/>
          <w:spacing w:val="-1"/>
          <w:sz w:val="24"/>
          <w:szCs w:val="24"/>
        </w:rPr>
        <w:t>该解决方案借助物联网、云计算、大数据、人工智能等新一代信息技术，应用三产融合、</w:t>
      </w:r>
    </w:p>
    <w:p>
      <w:pPr>
        <w:pStyle w:val="BodyText"/>
        <w:spacing w:line="312" w:lineRule="exact"/>
        <w:ind w:right="1131"/>
        <w:jc w:val="both"/>
      </w:pPr>
      <w:r>
        <w:rPr>
          <w:spacing w:val="-3"/>
        </w:rPr>
        <w:t>绿色发展等理念，面向种植、水产、畜牧等产业，全面推进“互联网</w:t>
      </w:r>
      <w:r>
        <w:rPr>
          <w:rFonts w:ascii="宋体" w:hAnsi="宋体" w:cs="宋体" w:eastAsia="宋体" w:hint="default"/>
          <w:spacing w:val="-3"/>
        </w:rPr>
        <w:t>+</w:t>
      </w:r>
      <w:r>
        <w:rPr>
          <w:spacing w:val="-3"/>
        </w:rPr>
        <w:t>现代农业发展”，打造</w:t>
      </w:r>
      <w:r>
        <w:rPr>
          <w:spacing w:val="-104"/>
        </w:rPr>
        <w:t> </w:t>
      </w:r>
      <w:r>
        <w:rPr>
          <w:spacing w:val="-104"/>
        </w:rPr>
      </w:r>
      <w:r>
        <w:rPr/>
        <w:t>智慧农业云平台，建设农业物联网应用、水肥一体化灌溉系统、农业投入品监管系统等，全 力推动农业全产业链改造升级，扎根智慧农业、引领行业未来，助力传统农业向现代农业转</w:t>
      </w:r>
    </w:p>
    <w:p>
      <w:pPr>
        <w:pStyle w:val="BodyText"/>
        <w:spacing w:line="282" w:lineRule="exact"/>
        <w:ind w:right="0"/>
        <w:jc w:val="both"/>
      </w:pPr>
      <w:r>
        <w:rPr/>
        <w:t>型升级。</w:t>
      </w:r>
    </w:p>
    <w:p>
      <w:pPr>
        <w:spacing w:line="312" w:lineRule="exact" w:before="29"/>
        <w:ind w:left="534" w:right="113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4</w:t>
      </w:r>
      <w:r>
        <w:rPr>
          <w:rFonts w:ascii="宋体" w:hAnsi="宋体" w:cs="宋体" w:eastAsia="宋体" w:hint="default"/>
          <w:b/>
          <w:bCs/>
          <w:sz w:val="24"/>
          <w:szCs w:val="24"/>
        </w:rPr>
        <w:t>）生鲜商超食品安全解决方案</w:t>
      </w:r>
      <w:r>
        <w:rPr>
          <w:rFonts w:ascii="宋体" w:hAnsi="宋体" w:cs="宋体" w:eastAsia="宋体" w:hint="default"/>
          <w:b/>
          <w:bCs/>
          <w:w w:val="99"/>
          <w:sz w:val="24"/>
          <w:szCs w:val="24"/>
        </w:rPr>
        <w:t> </w:t>
      </w:r>
      <w:r>
        <w:rPr>
          <w:rFonts w:ascii="宋体" w:hAnsi="宋体" w:cs="宋体" w:eastAsia="宋体" w:hint="default"/>
          <w:spacing w:val="2"/>
          <w:sz w:val="24"/>
          <w:szCs w:val="24"/>
        </w:rPr>
        <w:t>该解决方案主要面向生鲜商超等新零售企业，通过帮助企业建立食品安全追溯系统，实</w:t>
      </w:r>
    </w:p>
    <w:p>
      <w:pPr>
        <w:pStyle w:val="BodyText"/>
        <w:spacing w:line="312" w:lineRule="exact"/>
        <w:ind w:right="1139"/>
        <w:jc w:val="both"/>
      </w:pPr>
      <w:r>
        <w:rPr/>
        <w:t>施供应商质量管理，提升商超企业食品安全管控水平，降低食品安全风险，满足政府监管要 求。同时，通过对食品安全追溯的宣传，引导和培养消费者购物扫码、查询追溯的习惯，提 高消费者对食品安全追溯的参与感，从而增强产品辨识度，促进企业品牌建设。</w:t>
      </w:r>
    </w:p>
    <w:p>
      <w:pPr>
        <w:spacing w:line="312" w:lineRule="exact" w:before="0"/>
        <w:ind w:left="534" w:right="113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5</w:t>
      </w:r>
      <w:r>
        <w:rPr>
          <w:rFonts w:ascii="宋体" w:hAnsi="宋体" w:cs="宋体" w:eastAsia="宋体" w:hint="default"/>
          <w:b/>
          <w:bCs/>
          <w:sz w:val="24"/>
          <w:szCs w:val="24"/>
        </w:rPr>
        <w:t>）追溯体系运营解决方案</w:t>
      </w:r>
      <w:r>
        <w:rPr>
          <w:rFonts w:ascii="宋体" w:hAnsi="宋体" w:cs="宋体" w:eastAsia="宋体" w:hint="default"/>
          <w:b/>
          <w:bCs/>
          <w:w w:val="99"/>
          <w:sz w:val="24"/>
          <w:szCs w:val="24"/>
        </w:rPr>
        <w:t> </w:t>
      </w:r>
      <w:r>
        <w:rPr>
          <w:rFonts w:ascii="宋体" w:hAnsi="宋体" w:cs="宋体" w:eastAsia="宋体" w:hint="default"/>
          <w:spacing w:val="2"/>
          <w:sz w:val="24"/>
          <w:szCs w:val="24"/>
        </w:rPr>
        <w:t>该解决方案面向现有已经建立肉菜追溯体系的客户，依照商务部《肉类蔬菜流通追溯体</w:t>
      </w:r>
    </w:p>
    <w:p>
      <w:pPr>
        <w:pStyle w:val="BodyText"/>
        <w:spacing w:line="312" w:lineRule="exact"/>
        <w:ind w:right="1132"/>
        <w:jc w:val="both"/>
      </w:pPr>
      <w:r>
        <w:rPr>
          <w:spacing w:val="-5"/>
        </w:rPr>
        <w:t>系运行考核办法（试行）》以及各追溯试点城市的相关运营需求，采用成熟的数据交换技术和</w:t>
      </w:r>
      <w:r>
        <w:rPr>
          <w:spacing w:val="-118"/>
        </w:rPr>
        <w:t> </w:t>
      </w:r>
      <w:r>
        <w:rPr>
          <w:spacing w:val="-118"/>
        </w:rPr>
      </w:r>
      <w:r>
        <w:rPr/>
        <w:t>物联网技术，提高追溯数据采集的实效性和系统设备资产可视化监管水平，旨在帮助客户责 任部门实现运行管理落地、规范运行维护管理过程、沉淀运维知识，实现运行管理可控、服 务管理可视、辅助决策可量化的目标。</w:t>
      </w:r>
    </w:p>
    <w:p>
      <w:pPr>
        <w:pStyle w:val="BodyText"/>
        <w:spacing w:line="312" w:lineRule="exact"/>
        <w:ind w:left="594" w:right="0" w:hanging="60"/>
        <w:jc w:val="left"/>
      </w:pPr>
      <w:r>
        <w:rPr>
          <w:rFonts w:ascii="宋体" w:hAnsi="宋体" w:cs="宋体" w:eastAsia="宋体" w:hint="default"/>
          <w:b/>
          <w:bCs/>
        </w:rPr>
        <w:t>4</w:t>
      </w:r>
      <w:r>
        <w:rPr>
          <w:rFonts w:ascii="宋体" w:hAnsi="宋体" w:cs="宋体" w:eastAsia="宋体" w:hint="default"/>
          <w:b/>
          <w:bCs/>
        </w:rPr>
        <w:t>、追溯云公司</w:t>
      </w:r>
      <w:r>
        <w:rPr>
          <w:rFonts w:ascii="宋体" w:hAnsi="宋体" w:cs="宋体" w:eastAsia="宋体" w:hint="default"/>
          <w:b/>
          <w:bCs/>
          <w:w w:val="99"/>
        </w:rPr>
        <w:t> </w:t>
      </w:r>
      <w:r>
        <w:rPr/>
        <w:t>追溯云作为信息发展控股子公司，报告期内，紧紧围绕“成为最权威的食品安全第三方</w:t>
      </w:r>
    </w:p>
    <w:p>
      <w:pPr>
        <w:pStyle w:val="BodyText"/>
        <w:spacing w:line="312" w:lineRule="exact"/>
        <w:ind w:right="1130"/>
        <w:jc w:val="both"/>
      </w:pPr>
      <w:r>
        <w:rPr>
          <w:spacing w:val="-2"/>
        </w:rPr>
        <w:t>服务平台”这一愿景作为建设目标，取得了突破性进展，</w:t>
      </w:r>
      <w:r>
        <w:rPr>
          <w:rFonts w:ascii="宋体" w:hAnsi="宋体" w:cs="宋体" w:eastAsia="宋体" w:hint="default"/>
          <w:spacing w:val="-2"/>
        </w:rPr>
        <w:t>SaaS</w:t>
      </w:r>
      <w:r>
        <w:rPr>
          <w:spacing w:val="-2"/>
        </w:rPr>
        <w:t>入驻企业数量超过</w:t>
      </w:r>
      <w:r>
        <w:rPr>
          <w:rFonts w:ascii="宋体" w:hAnsi="宋体" w:cs="宋体" w:eastAsia="宋体" w:hint="default"/>
          <w:spacing w:val="-2"/>
        </w:rPr>
        <w:t>1000+</w:t>
      </w:r>
      <w:r>
        <w:rPr>
          <w:spacing w:val="-2"/>
        </w:rPr>
        <w:t>，追溯</w:t>
      </w:r>
      <w:r>
        <w:rPr>
          <w:spacing w:val="-113"/>
        </w:rPr>
        <w:t> </w:t>
      </w:r>
      <w:r>
        <w:rPr>
          <w:spacing w:val="-113"/>
        </w:rPr>
      </w:r>
      <w:r>
        <w:rPr/>
        <w:t>赋码数量突破</w:t>
      </w:r>
      <w:r>
        <w:rPr>
          <w:rFonts w:ascii="宋体" w:hAnsi="宋体" w:cs="宋体" w:eastAsia="宋体" w:hint="default"/>
        </w:rPr>
        <w:t>1000</w:t>
      </w:r>
      <w:r>
        <w:rPr/>
        <w:t>万。</w:t>
      </w:r>
    </w:p>
    <w:p>
      <w:pPr>
        <w:pStyle w:val="BodyText"/>
        <w:spacing w:line="283" w:lineRule="exact"/>
        <w:ind w:right="0" w:firstLine="480"/>
        <w:jc w:val="left"/>
      </w:pPr>
      <w:r>
        <w:rPr/>
        <w:t>在</w:t>
      </w:r>
      <w:r>
        <w:rPr>
          <w:rFonts w:ascii="宋体" w:hAnsi="宋体" w:cs="宋体" w:eastAsia="宋体" w:hint="default"/>
        </w:rPr>
        <w:t>SaaS</w:t>
      </w:r>
      <w:r>
        <w:rPr/>
        <w:t>服务方面：追溯云始终深耕商超质量管理与追溯信息化领域，通过</w:t>
      </w:r>
      <w:r>
        <w:rPr>
          <w:rFonts w:ascii="宋体" w:hAnsi="宋体" w:cs="宋体" w:eastAsia="宋体" w:hint="default"/>
        </w:rPr>
        <w:t>SaaS</w:t>
      </w:r>
      <w:r>
        <w:rPr/>
        <w:t>模式为超</w:t>
      </w:r>
    </w:p>
    <w:p>
      <w:pPr>
        <w:pStyle w:val="BodyText"/>
        <w:spacing w:line="312" w:lineRule="exact" w:before="30"/>
        <w:ind w:right="1138"/>
        <w:jc w:val="both"/>
      </w:pPr>
      <w:r>
        <w:rPr/>
        <w:t>市提供全面追溯管理以及质量咨询与评估，麦德龙、大润发、欧尚、奥乐齐、开市客、华润</w:t>
      </w:r>
      <w:r>
        <w:rPr>
          <w:spacing w:val="-116"/>
        </w:rPr>
        <w:t> </w:t>
      </w:r>
      <w:r>
        <w:rPr>
          <w:spacing w:val="-116"/>
        </w:rPr>
      </w:r>
      <w:r>
        <w:rPr/>
        <w:t>万家、盒马等国内外知名商超均陆续成为追溯云客户。</w:t>
      </w:r>
    </w:p>
    <w:p>
      <w:pPr>
        <w:pStyle w:val="BodyText"/>
        <w:spacing w:line="312" w:lineRule="exact"/>
        <w:ind w:right="1136" w:firstLine="480"/>
        <w:jc w:val="both"/>
      </w:pPr>
      <w:r>
        <w:rPr/>
        <w:t>在</w:t>
      </w:r>
      <w:r>
        <w:rPr>
          <w:rFonts w:ascii="宋体" w:hAnsi="宋体" w:cs="宋体" w:eastAsia="宋体" w:hint="default"/>
        </w:rPr>
        <w:t>Inside</w:t>
      </w:r>
      <w:r>
        <w:rPr/>
        <w:t>服务方面：在已有的</w:t>
      </w:r>
      <w:r>
        <w:rPr>
          <w:rFonts w:ascii="宋体" w:hAnsi="宋体" w:cs="宋体" w:eastAsia="宋体" w:hint="default"/>
        </w:rPr>
        <w:t>2B</w:t>
      </w:r>
      <w:r>
        <w:rPr/>
        <w:t>市场外，通过与细分领域龙头企业合作切入关键节点市 场，如石基集团的全面合作，依托石基在酒店、餐饮、零售信息化领域深耕已久的市场，发</w:t>
      </w:r>
    </w:p>
    <w:p>
      <w:pPr>
        <w:spacing w:after="0" w:line="312" w:lineRule="exact"/>
        <w:jc w:val="both"/>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312" w:lineRule="exact" w:before="56"/>
        <w:ind w:left="594" w:right="0" w:hanging="480"/>
        <w:jc w:val="left"/>
      </w:pPr>
      <w:r>
        <w:rPr/>
        <w:t>挥追溯云食品安全服务的专业优势。 在检测方面：公司通过布局以“安心检”为品牌的集中式专业快检实验中心，逐步打造</w:t>
      </w:r>
    </w:p>
    <w:p>
      <w:pPr>
        <w:pStyle w:val="BodyText"/>
        <w:spacing w:line="312" w:lineRule="exact"/>
        <w:ind w:right="0"/>
        <w:jc w:val="left"/>
      </w:pPr>
      <w:r>
        <w:rPr/>
        <w:t>实现专业的食品安全快速检测服务，主要对蔬菜、生猪等消费量大、保质期短、食品安全风 险相对较高的食品和食用农产品开展检测，检测项目包括不限于：农药残留、孔雀石绿、吊</w:t>
      </w:r>
    </w:p>
    <w:p>
      <w:pPr>
        <w:pStyle w:val="BodyText"/>
        <w:spacing w:line="312" w:lineRule="exact"/>
        <w:ind w:right="0"/>
        <w:jc w:val="left"/>
      </w:pPr>
      <w:r>
        <w:rPr/>
        <w:t>白块、甲醛、盐酸克仑特罗、莱克多巴胺和食品添加剂等。“安心检”目前已经覆盖上海</w:t>
      </w:r>
      <w:r>
        <w:rPr>
          <w:rFonts w:ascii="宋体" w:hAnsi="宋体" w:cs="宋体" w:eastAsia="宋体" w:hint="default"/>
        </w:rPr>
        <w:t>35</w:t>
      </w:r>
      <w:r>
        <w:rPr>
          <w:rFonts w:ascii="宋体" w:hAnsi="宋体" w:cs="宋体" w:eastAsia="宋体" w:hint="default"/>
          <w:spacing w:val="-100"/>
        </w:rPr>
        <w:t> </w:t>
      </w:r>
      <w:r>
        <w:rPr/>
        <w:t>家菜市场，正在全力加速全市推广。</w:t>
      </w:r>
    </w:p>
    <w:p>
      <w:pPr>
        <w:pStyle w:val="BodyText"/>
        <w:spacing w:line="312" w:lineRule="exact"/>
        <w:ind w:right="1133" w:firstLine="480"/>
        <w:jc w:val="both"/>
      </w:pPr>
      <w:r>
        <w:rPr/>
        <w:t>在咨询与评估方面：公司响应全球</w:t>
      </w:r>
      <w:r>
        <w:rPr>
          <w:rFonts w:ascii="宋体" w:hAnsi="宋体" w:cs="宋体" w:eastAsia="宋体" w:hint="default"/>
        </w:rPr>
        <w:t>GFSI</w:t>
      </w:r>
      <w:r>
        <w:rPr/>
        <w:t>全球食品安全倡议，在其框架下，引用国际食品 </w:t>
      </w:r>
      <w:r>
        <w:rPr>
          <w:spacing w:val="-3"/>
        </w:rPr>
        <w:t>标准（</w:t>
      </w:r>
      <w:r>
        <w:rPr>
          <w:rFonts w:ascii="宋体" w:hAnsi="宋体" w:cs="宋体" w:eastAsia="宋体" w:hint="default"/>
          <w:spacing w:val="-3"/>
        </w:rPr>
        <w:t>IFS/BRC/GAP</w:t>
      </w:r>
      <w:r>
        <w:rPr>
          <w:spacing w:val="-3"/>
        </w:rPr>
        <w:t>），开发了一系列的规范生产管理的服务，主要有食品安全审核服务、食</w:t>
      </w:r>
      <w:r>
        <w:rPr>
          <w:spacing w:val="-95"/>
        </w:rPr>
        <w:t> </w:t>
      </w:r>
      <w:r>
        <w:rPr>
          <w:spacing w:val="-95"/>
        </w:rPr>
      </w:r>
      <w:r>
        <w:rPr/>
        <w:t>品安全培训服务、新标准制定服务等。该系列服务遵守</w:t>
      </w:r>
      <w:r>
        <w:rPr>
          <w:rFonts w:ascii="宋体" w:hAnsi="宋体" w:cs="宋体" w:eastAsia="宋体" w:hint="default"/>
        </w:rPr>
        <w:t>PDCA</w:t>
      </w:r>
      <w:r>
        <w:rPr/>
        <w:t>持续改进的基本逻辑，通过审核</w:t>
      </w:r>
      <w:r>
        <w:rPr>
          <w:spacing w:val="-113"/>
        </w:rPr>
        <w:t> </w:t>
      </w:r>
      <w:r>
        <w:rPr>
          <w:spacing w:val="-113"/>
        </w:rPr>
      </w:r>
      <w:r>
        <w:rPr/>
        <w:t>发现问题、进而制定纠偏措施，并通过培训的手段，落实纠偏措施，结合飞行检查监督，形 成食品安全的闭环，持续改进食品安全管理体系，提升企业食品安全管理水平，守护市民餐</w:t>
      </w:r>
      <w:r>
        <w:rPr>
          <w:spacing w:val="-117"/>
        </w:rPr>
        <w:t> </w:t>
      </w:r>
      <w:r>
        <w:rPr>
          <w:spacing w:val="-117"/>
        </w:rPr>
      </w:r>
      <w:r>
        <w:rPr/>
        <w:t>桌安全。</w:t>
      </w:r>
    </w:p>
    <w:p>
      <w:pPr>
        <w:pStyle w:val="BodyText"/>
        <w:spacing w:line="312" w:lineRule="exact"/>
        <w:ind w:right="1139" w:firstLine="480"/>
        <w:jc w:val="both"/>
      </w:pPr>
      <w:r>
        <w:rPr/>
        <w:t>在大数据与信用方面：追溯云与上海市社会信用促进中心正在共同推进上海市市场信用 信息公共服务食品安全信用子平台建设，充分利用已有的食品安全追溯、检测、评估审核等 食品安全业务优势，协调社会各方共同参与食品安全信用建设，推进建立健全食品安全信用 数据中心和食安信用评价体系。</w:t>
      </w:r>
    </w:p>
    <w:p>
      <w:pPr>
        <w:spacing w:line="240" w:lineRule="auto" w:before="11"/>
        <w:rPr>
          <w:rFonts w:ascii="宋体" w:hAnsi="宋体" w:cs="宋体" w:eastAsia="宋体" w:hint="default"/>
          <w:sz w:val="23"/>
          <w:szCs w:val="23"/>
        </w:rPr>
      </w:pPr>
    </w:p>
    <w:p>
      <w:pPr>
        <w:spacing w:line="312" w:lineRule="exact" w:before="0"/>
        <w:ind w:left="534" w:right="0" w:firstLine="0"/>
        <w:jc w:val="left"/>
        <w:rPr>
          <w:rFonts w:ascii="宋体" w:hAnsi="宋体" w:cs="宋体" w:eastAsia="宋体" w:hint="default"/>
          <w:sz w:val="24"/>
          <w:szCs w:val="24"/>
        </w:rPr>
      </w:pPr>
      <w:r>
        <w:rPr>
          <w:rFonts w:ascii="宋体" w:hAnsi="宋体" w:cs="宋体" w:eastAsia="宋体" w:hint="default"/>
          <w:b/>
          <w:bCs/>
          <w:sz w:val="24"/>
          <w:szCs w:val="24"/>
        </w:rPr>
        <w:t>（三）智慧档案业务概要</w:t>
      </w:r>
      <w:r>
        <w:rPr>
          <w:rFonts w:ascii="宋体" w:hAnsi="宋体" w:cs="宋体" w:eastAsia="宋体" w:hint="default"/>
          <w:b/>
          <w:bCs/>
          <w:w w:val="99"/>
          <w:sz w:val="24"/>
          <w:szCs w:val="24"/>
        </w:rPr>
        <w:t> </w:t>
      </w:r>
      <w:r>
        <w:rPr>
          <w:rFonts w:ascii="宋体" w:hAnsi="宋体" w:cs="宋体" w:eastAsia="宋体" w:hint="default"/>
          <w:spacing w:val="-1"/>
          <w:sz w:val="24"/>
          <w:szCs w:val="24"/>
        </w:rPr>
        <w:t>智慧档案业务沿袭保护历史档案，对文化传承负责的使命，紧跟信息发展</w:t>
      </w:r>
      <w:r>
        <w:rPr>
          <w:rFonts w:ascii="宋体" w:hAnsi="宋体" w:cs="宋体" w:eastAsia="宋体" w:hint="default"/>
          <w:spacing w:val="-1"/>
          <w:sz w:val="24"/>
          <w:szCs w:val="24"/>
        </w:rPr>
        <w:t>2.0</w:t>
      </w:r>
      <w:r>
        <w:rPr>
          <w:rFonts w:ascii="宋体" w:hAnsi="宋体" w:cs="宋体" w:eastAsia="宋体" w:hint="default"/>
          <w:spacing w:val="-1"/>
          <w:sz w:val="24"/>
          <w:szCs w:val="24"/>
        </w:rPr>
        <w:t>战略发展步</w:t>
      </w:r>
    </w:p>
    <w:p>
      <w:pPr>
        <w:pStyle w:val="BodyText"/>
        <w:spacing w:line="312" w:lineRule="exact"/>
        <w:ind w:right="1129"/>
        <w:jc w:val="both"/>
      </w:pPr>
      <w:r>
        <w:rPr>
          <w:spacing w:val="-5"/>
        </w:rPr>
        <w:t>伐，在为各级档案局（馆）、政府机关单位、公检法司部门、公共事业部门、企业集团提供咨</w:t>
      </w:r>
      <w:r>
        <w:rPr/>
        <w:t> 询规划服务、软件技术开发服务、系统集成工程服务、数据处理服务、寄存托管服务等全方 位信息化服务的基础上，积极利用云计算、大数据、人工智能等先进技术，不断完善档案信</w:t>
      </w:r>
    </w:p>
    <w:p>
      <w:pPr>
        <w:pStyle w:val="BodyText"/>
        <w:spacing w:line="312" w:lineRule="exact"/>
        <w:ind w:right="1114"/>
        <w:jc w:val="left"/>
      </w:pPr>
      <w:r>
        <w:rPr>
          <w:spacing w:val="-2"/>
        </w:rPr>
        <w:t>息化综合解决方案，为客户提供量身定制的档案行业专有云和档案大数据服务，构建互联网</w:t>
      </w:r>
      <w:r>
        <w:rPr>
          <w:rFonts w:ascii="宋体" w:hAnsi="宋体" w:cs="宋体" w:eastAsia="宋体" w:hint="default"/>
          <w:spacing w:val="-2"/>
        </w:rPr>
        <w:t>+</w:t>
      </w:r>
      <w:r>
        <w:rPr>
          <w:rFonts w:ascii="宋体" w:hAnsi="宋体" w:cs="宋体" w:eastAsia="宋体" w:hint="default"/>
        </w:rPr>
        <w:t> </w:t>
      </w:r>
      <w:r>
        <w:rPr/>
        <w:t>时代的智慧档案生态圈。</w:t>
      </w:r>
    </w:p>
    <w:p>
      <w:pPr>
        <w:pStyle w:val="Heading4"/>
        <w:spacing w:line="282" w:lineRule="exact"/>
        <w:ind w:left="534" w:right="0"/>
        <w:jc w:val="left"/>
        <w:rPr>
          <w:b w:val="0"/>
          <w:bCs w:val="0"/>
        </w:rPr>
      </w:pPr>
      <w:r>
        <w:rPr>
          <w:rFonts w:ascii="宋体" w:hAnsi="宋体" w:cs="宋体" w:eastAsia="宋体" w:hint="default"/>
        </w:rPr>
        <w:t>1</w:t>
      </w:r>
      <w:r>
        <w:rPr/>
        <w:t>、产品业务</w:t>
      </w:r>
      <w:r>
        <w:rPr>
          <w:b w:val="0"/>
          <w:bCs w:val="0"/>
        </w:rPr>
      </w:r>
    </w:p>
    <w:p>
      <w:pPr>
        <w:spacing w:line="312" w:lineRule="exact" w:before="29"/>
        <w:ind w:left="534" w:right="113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1</w:t>
      </w:r>
      <w:r>
        <w:rPr>
          <w:rFonts w:ascii="宋体" w:hAnsi="宋体" w:cs="宋体" w:eastAsia="宋体" w:hint="default"/>
          <w:b/>
          <w:bCs/>
          <w:sz w:val="24"/>
          <w:szCs w:val="24"/>
        </w:rPr>
        <w:t>）海量电子档案安全保存一体机</w:t>
      </w:r>
      <w:r>
        <w:rPr>
          <w:rFonts w:ascii="宋体" w:hAnsi="宋体" w:cs="宋体" w:eastAsia="宋体" w:hint="default"/>
          <w:b/>
          <w:bCs/>
          <w:w w:val="99"/>
          <w:sz w:val="24"/>
          <w:szCs w:val="24"/>
        </w:rPr>
        <w:t> </w:t>
      </w:r>
      <w:r>
        <w:rPr>
          <w:rFonts w:ascii="宋体" w:hAnsi="宋体" w:cs="宋体" w:eastAsia="宋体" w:hint="default"/>
          <w:spacing w:val="2"/>
          <w:sz w:val="24"/>
          <w:szCs w:val="24"/>
        </w:rPr>
        <w:t>针对客户对于档案保存管理的不同需求，信息发展海量电子档案安全保存一体机提供多</w:t>
      </w:r>
    </w:p>
    <w:p>
      <w:pPr>
        <w:pStyle w:val="BodyText"/>
        <w:spacing w:line="312" w:lineRule="exact"/>
        <w:ind w:right="0"/>
        <w:jc w:val="left"/>
      </w:pPr>
      <w:r>
        <w:rPr/>
        <w:t>种档案存储组合方式，创新地综合运用磁盘、磁带和光盘等多种存储介质，采用</w:t>
      </w:r>
      <w:r>
        <w:rPr>
          <w:rFonts w:ascii="宋体" w:hAnsi="宋体" w:cs="宋体" w:eastAsia="宋体" w:hint="default"/>
        </w:rPr>
        <w:t>321</w:t>
      </w:r>
      <w:r>
        <w:rPr/>
        <w:t>存储备份 </w:t>
      </w:r>
      <w:r>
        <w:rPr>
          <w:spacing w:val="-3"/>
        </w:rPr>
        <w:t>机制，磁光电融合存储方案，集智能监控、多级存储设备管理于一体，为用户提供自动备份、</w:t>
      </w:r>
      <w:r>
        <w:rPr>
          <w:spacing w:val="-81"/>
        </w:rPr>
        <w:t> </w:t>
      </w:r>
      <w:r>
        <w:rPr>
          <w:spacing w:val="-81"/>
        </w:rPr>
      </w:r>
      <w:r>
        <w:rPr/>
        <w:t>定期检测、智能恢复、问题追踪及处理等功能。</w:t>
      </w:r>
    </w:p>
    <w:p>
      <w:pPr>
        <w:spacing w:line="312" w:lineRule="exact" w:before="0"/>
        <w:ind w:left="534" w:right="113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2</w:t>
      </w:r>
      <w:r>
        <w:rPr>
          <w:rFonts w:ascii="宋体" w:hAnsi="宋体" w:cs="宋体" w:eastAsia="宋体" w:hint="default"/>
          <w:b/>
          <w:bCs/>
          <w:sz w:val="24"/>
          <w:szCs w:val="24"/>
        </w:rPr>
        <w:t>）光典档案信息资源管理软件</w:t>
      </w:r>
      <w:r>
        <w:rPr>
          <w:rFonts w:ascii="宋体" w:hAnsi="宋体" w:cs="宋体" w:eastAsia="宋体" w:hint="default"/>
          <w:b/>
          <w:bCs/>
          <w:w w:val="99"/>
          <w:sz w:val="24"/>
          <w:szCs w:val="24"/>
        </w:rPr>
        <w:t> </w:t>
      </w:r>
      <w:r>
        <w:rPr>
          <w:rFonts w:ascii="宋体" w:hAnsi="宋体" w:cs="宋体" w:eastAsia="宋体" w:hint="default"/>
          <w:spacing w:val="2"/>
          <w:sz w:val="24"/>
          <w:szCs w:val="24"/>
        </w:rPr>
        <w:t>适用于政府机关、企事业单位、企业集团、金融行业等客户群体，提供方便快捷的文件</w:t>
      </w:r>
    </w:p>
    <w:p>
      <w:pPr>
        <w:pStyle w:val="BodyText"/>
        <w:spacing w:line="312" w:lineRule="exact"/>
        <w:ind w:right="994"/>
        <w:jc w:val="left"/>
      </w:pPr>
      <w:r>
        <w:rPr>
          <w:spacing w:val="-2"/>
        </w:rPr>
        <w:t>资料管理服务，满足日益增长的数据安全性和存储海量化的需求，同时系统支持国产化环境，</w:t>
      </w:r>
      <w:r>
        <w:rPr/>
        <w:t> 满足“安可”要求，实现档案的全生命周期管理。可以对电子文件进行真实性、完整性、安</w:t>
      </w:r>
      <w:r>
        <w:rPr>
          <w:spacing w:val="-115"/>
        </w:rPr>
        <w:t> </w:t>
      </w:r>
      <w:r>
        <w:rPr>
          <w:spacing w:val="-115"/>
        </w:rPr>
      </w:r>
      <w:r>
        <w:rPr/>
        <w:t>全性、可用性检测并支持电子文件单套制管理。</w:t>
      </w:r>
    </w:p>
    <w:p>
      <w:pPr>
        <w:spacing w:line="312" w:lineRule="exact" w:before="0"/>
        <w:ind w:left="534" w:right="0"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3</w:t>
      </w:r>
      <w:r>
        <w:rPr>
          <w:rFonts w:ascii="宋体" w:hAnsi="宋体" w:cs="宋体" w:eastAsia="宋体" w:hint="default"/>
          <w:b/>
          <w:bCs/>
          <w:sz w:val="24"/>
          <w:szCs w:val="24"/>
        </w:rPr>
        <w:t>）数字档案馆一体化平台</w:t>
      </w:r>
      <w:r>
        <w:rPr>
          <w:rFonts w:ascii="宋体" w:hAnsi="宋体" w:cs="宋体" w:eastAsia="宋体" w:hint="default"/>
          <w:b/>
          <w:bCs/>
          <w:w w:val="99"/>
          <w:sz w:val="24"/>
          <w:szCs w:val="24"/>
        </w:rPr>
        <w:t> </w:t>
      </w:r>
      <w:r>
        <w:rPr>
          <w:rFonts w:ascii="宋体" w:hAnsi="宋体" w:cs="宋体" w:eastAsia="宋体" w:hint="default"/>
          <w:spacing w:val="-10"/>
          <w:sz w:val="24"/>
          <w:szCs w:val="24"/>
        </w:rPr>
        <w:t>融合从档案收集管理到查询利用全流程服务系统，根据客户的不同需求，以“标准”、“量</w:t>
      </w:r>
    </w:p>
    <w:p>
      <w:pPr>
        <w:pStyle w:val="BodyText"/>
        <w:spacing w:line="312" w:lineRule="exact"/>
        <w:ind w:right="1133"/>
        <w:jc w:val="both"/>
      </w:pPr>
      <w:r>
        <w:rPr>
          <w:spacing w:val="-6"/>
        </w:rPr>
        <w:t>身”、“安全”和“发展”为应用价值出发点，基于软件工厂的设计思想，为国家各级综合档</w:t>
      </w:r>
      <w:r>
        <w:rPr>
          <w:spacing w:val="-104"/>
        </w:rPr>
        <w:t> </w:t>
      </w:r>
      <w:r>
        <w:rPr>
          <w:spacing w:val="-104"/>
        </w:rPr>
      </w:r>
      <w:r>
        <w:rPr>
          <w:spacing w:val="-5"/>
        </w:rPr>
        <w:t>案局（馆）、专业专门档案馆、大型企业集团、高校等客户提供平台化、无插件、易交互、高</w:t>
      </w:r>
      <w:r>
        <w:rPr>
          <w:spacing w:val="-118"/>
        </w:rPr>
        <w:t> </w:t>
      </w:r>
      <w:r>
        <w:rPr>
          <w:spacing w:val="-118"/>
        </w:rPr>
      </w:r>
      <w:r>
        <w:rPr/>
        <w:t>性能的数字档案馆管理系统。</w:t>
      </w:r>
    </w:p>
    <w:p>
      <w:pPr>
        <w:spacing w:line="312" w:lineRule="exact" w:before="0"/>
        <w:ind w:left="534" w:right="113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4</w:t>
      </w:r>
      <w:r>
        <w:rPr>
          <w:rFonts w:ascii="宋体" w:hAnsi="宋体" w:cs="宋体" w:eastAsia="宋体" w:hint="default"/>
          <w:b/>
          <w:bCs/>
          <w:sz w:val="24"/>
          <w:szCs w:val="24"/>
        </w:rPr>
        <w:t>）自助查档一体机</w:t>
      </w:r>
      <w:r>
        <w:rPr>
          <w:rFonts w:ascii="宋体" w:hAnsi="宋体" w:cs="宋体" w:eastAsia="宋体" w:hint="default"/>
          <w:b/>
          <w:bCs/>
          <w:w w:val="99"/>
          <w:sz w:val="24"/>
          <w:szCs w:val="24"/>
        </w:rPr>
        <w:t> </w:t>
      </w:r>
      <w:r>
        <w:rPr>
          <w:rFonts w:ascii="宋体" w:hAnsi="宋体" w:cs="宋体" w:eastAsia="宋体" w:hint="default"/>
          <w:spacing w:val="2"/>
          <w:sz w:val="24"/>
          <w:szCs w:val="24"/>
        </w:rPr>
        <w:t>自助查档一体机是一套软件与硬件集成的智能终端，依靠性能稳定的硬件终端与便捷友</w:t>
      </w:r>
    </w:p>
    <w:p>
      <w:pPr>
        <w:pStyle w:val="BodyText"/>
        <w:spacing w:line="312" w:lineRule="exact"/>
        <w:ind w:right="0"/>
        <w:jc w:val="left"/>
      </w:pPr>
      <w:r>
        <w:rPr/>
        <w:t>好的前端软件实现个人身份的识别与登记，融入先进的人脸识别、人证对比技术，将查档业 务转换为自助式办理，从而推进档案的资源的开放利用工作，响应“让群众少跑腿，数据多</w:t>
      </w:r>
    </w:p>
    <w:p>
      <w:pPr>
        <w:spacing w:after="0" w:line="312" w:lineRule="exact"/>
        <w:jc w:val="left"/>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313" w:lineRule="exact" w:before="26"/>
        <w:ind w:right="0"/>
        <w:jc w:val="left"/>
      </w:pPr>
      <w:r>
        <w:rPr/>
        <w:t>跑路”的号召，让用户查档、用档更便捷高效。</w:t>
      </w:r>
    </w:p>
    <w:p>
      <w:pPr>
        <w:spacing w:line="312" w:lineRule="exact" w:before="29"/>
        <w:ind w:left="534" w:right="0"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5</w:t>
      </w:r>
      <w:r>
        <w:rPr>
          <w:rFonts w:ascii="宋体" w:hAnsi="宋体" w:cs="宋体" w:eastAsia="宋体" w:hint="default"/>
          <w:b/>
          <w:bCs/>
          <w:sz w:val="24"/>
          <w:szCs w:val="24"/>
        </w:rPr>
        <w:t>）电子档案单套制管理系统</w:t>
      </w:r>
      <w:r>
        <w:rPr>
          <w:rFonts w:ascii="宋体" w:hAnsi="宋体" w:cs="宋体" w:eastAsia="宋体" w:hint="default"/>
          <w:b/>
          <w:bCs/>
          <w:w w:val="99"/>
          <w:sz w:val="24"/>
          <w:szCs w:val="24"/>
        </w:rPr>
        <w:t> </w:t>
      </w:r>
      <w:r>
        <w:rPr>
          <w:rFonts w:ascii="宋体" w:hAnsi="宋体" w:cs="宋体" w:eastAsia="宋体" w:hint="default"/>
          <w:spacing w:val="2"/>
          <w:sz w:val="24"/>
          <w:szCs w:val="24"/>
        </w:rPr>
        <w:t>电子文件归档和电子档案“单套制”管理是相对于纸质、电子“双套制”归档模式而言</w:t>
      </w:r>
    </w:p>
    <w:p>
      <w:pPr>
        <w:pStyle w:val="BodyText"/>
        <w:spacing w:line="283" w:lineRule="exact"/>
        <w:ind w:right="0"/>
        <w:jc w:val="left"/>
      </w:pPr>
      <w:r>
        <w:rPr/>
        <w:t>的一种制度创新。它颠覆性地改变了传统的文件收集、整理和归档方式，将电子文件管理嵌</w:t>
      </w:r>
    </w:p>
    <w:p>
      <w:pPr>
        <w:pStyle w:val="BodyText"/>
        <w:spacing w:line="312" w:lineRule="exact" w:before="30"/>
        <w:ind w:right="0"/>
        <w:jc w:val="left"/>
      </w:pPr>
      <w:r>
        <w:rPr/>
        <w:t>入文件形成、运转、管理、利用的源头和全生命周期，从而实现电子档案的全程化、专业化 管理，有助于解决党政机关、企事业单位电子文件和电子档案管理的共性问题和难点问题。</w:t>
      </w:r>
    </w:p>
    <w:p>
      <w:pPr>
        <w:pStyle w:val="Heading4"/>
        <w:spacing w:line="282" w:lineRule="exact"/>
        <w:ind w:left="534" w:right="0"/>
        <w:jc w:val="left"/>
        <w:rPr>
          <w:b w:val="0"/>
          <w:bCs w:val="0"/>
        </w:rPr>
      </w:pPr>
      <w:r>
        <w:rPr>
          <w:rFonts w:ascii="宋体" w:hAnsi="宋体" w:cs="宋体" w:eastAsia="宋体" w:hint="default"/>
        </w:rPr>
        <w:t>2</w:t>
      </w:r>
      <w:r>
        <w:rPr/>
        <w:t>、解决方案业务</w:t>
      </w:r>
      <w:r>
        <w:rPr>
          <w:b w:val="0"/>
          <w:bCs w:val="0"/>
        </w:rPr>
      </w:r>
    </w:p>
    <w:p>
      <w:pPr>
        <w:spacing w:line="312" w:lineRule="exact" w:before="29"/>
        <w:ind w:left="534" w:right="0"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1</w:t>
      </w:r>
      <w:r>
        <w:rPr>
          <w:rFonts w:ascii="宋体" w:hAnsi="宋体" w:cs="宋体" w:eastAsia="宋体" w:hint="default"/>
          <w:b/>
          <w:bCs/>
          <w:sz w:val="24"/>
          <w:szCs w:val="24"/>
        </w:rPr>
        <w:t>）数字档案馆解决方案</w:t>
      </w:r>
      <w:r>
        <w:rPr>
          <w:rFonts w:ascii="宋体" w:hAnsi="宋体" w:cs="宋体" w:eastAsia="宋体" w:hint="default"/>
          <w:b/>
          <w:bCs/>
          <w:w w:val="99"/>
          <w:sz w:val="24"/>
          <w:szCs w:val="24"/>
        </w:rPr>
        <w:t> </w:t>
      </w:r>
      <w:r>
        <w:rPr>
          <w:rFonts w:ascii="宋体" w:hAnsi="宋体" w:cs="宋体" w:eastAsia="宋体" w:hint="default"/>
          <w:spacing w:val="-5"/>
          <w:sz w:val="24"/>
          <w:szCs w:val="24"/>
        </w:rPr>
        <w:t>数字档案馆解决方案：数字档案馆解决方案遵循国家《数字档案馆建设指南》、《数字档</w:t>
      </w:r>
    </w:p>
    <w:p>
      <w:pPr>
        <w:pStyle w:val="BodyText"/>
        <w:spacing w:line="312" w:lineRule="exact"/>
        <w:ind w:right="1134"/>
        <w:jc w:val="both"/>
      </w:pPr>
      <w:r>
        <w:rPr/>
        <w:t>案馆系统测试办法》等标准规范要求，结合我司多年数字档案馆建设成功经验，面向全国各</w:t>
      </w:r>
      <w:r>
        <w:rPr>
          <w:spacing w:val="-114"/>
        </w:rPr>
        <w:t> </w:t>
      </w:r>
      <w:r>
        <w:rPr>
          <w:spacing w:val="-114"/>
        </w:rPr>
      </w:r>
      <w:r>
        <w:rPr/>
        <w:t>级各类档案馆信息化建设，通过融合先进的信息技术和全新的发展思路，提供全产业链的档 案信息化服务，建立电子档案的收集、加工、管理、保存、利用的信息化过程体系，建设立 </w:t>
      </w:r>
      <w:r>
        <w:rPr>
          <w:spacing w:val="-6"/>
        </w:rPr>
        <w:t>档单位、区（县）、地（市）、省（市）多级的档案数据库，最终构建覆盖局域网、政务网、</w:t>
      </w:r>
      <w:r>
        <w:rPr>
          <w:spacing w:val="-112"/>
        </w:rPr>
        <w:t> </w:t>
      </w:r>
      <w:r>
        <w:rPr>
          <w:spacing w:val="-112"/>
        </w:rPr>
      </w:r>
      <w:r>
        <w:rPr/>
        <w:t>互联网三网平台的档案信息资源共享总库，不断满足档案利用者和档案管理者的需求。</w:t>
      </w:r>
    </w:p>
    <w:p>
      <w:pPr>
        <w:spacing w:line="312" w:lineRule="exact" w:before="0"/>
        <w:ind w:left="534" w:right="0"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2</w:t>
      </w:r>
      <w:r>
        <w:rPr>
          <w:rFonts w:ascii="宋体" w:hAnsi="宋体" w:cs="宋体" w:eastAsia="宋体" w:hint="default"/>
          <w:b/>
          <w:bCs/>
          <w:sz w:val="24"/>
          <w:szCs w:val="24"/>
        </w:rPr>
        <w:t>）数字档案室解决方案</w:t>
      </w:r>
      <w:r>
        <w:rPr>
          <w:rFonts w:ascii="宋体" w:hAnsi="宋体" w:cs="宋体" w:eastAsia="宋体" w:hint="default"/>
          <w:b/>
          <w:bCs/>
          <w:w w:val="99"/>
          <w:sz w:val="24"/>
          <w:szCs w:val="24"/>
        </w:rPr>
        <w:t> </w:t>
      </w:r>
      <w:r>
        <w:rPr>
          <w:rFonts w:ascii="宋体" w:hAnsi="宋体" w:cs="宋体" w:eastAsia="宋体" w:hint="default"/>
          <w:spacing w:val="2"/>
          <w:sz w:val="24"/>
          <w:szCs w:val="24"/>
        </w:rPr>
        <w:t>数字档案室整体方案：在《全国档案事业发展“十三五”规划纲要》指导下，基于《数</w:t>
      </w:r>
    </w:p>
    <w:p>
      <w:pPr>
        <w:pStyle w:val="BodyText"/>
        <w:spacing w:line="312" w:lineRule="exact"/>
        <w:ind w:right="0"/>
        <w:jc w:val="left"/>
      </w:pPr>
      <w:r>
        <w:rPr>
          <w:spacing w:val="-11"/>
        </w:rPr>
        <w:t>字档案室建设指南》、国家档案局第</w:t>
      </w:r>
      <w:r>
        <w:rPr>
          <w:rFonts w:ascii="宋体" w:hAnsi="宋体" w:cs="宋体" w:eastAsia="宋体" w:hint="default"/>
          <w:spacing w:val="-11"/>
        </w:rPr>
        <w:t>8</w:t>
      </w:r>
      <w:r>
        <w:rPr>
          <w:spacing w:val="-11"/>
        </w:rPr>
        <w:t>号令《机关文件材料归档范围和文书档案保管期限规定》、</w:t>
      </w:r>
      <w:r>
        <w:rPr>
          <w:spacing w:val="-89"/>
        </w:rPr>
        <w:t> </w:t>
      </w:r>
      <w:r>
        <w:rPr>
          <w:spacing w:val="-89"/>
        </w:rPr>
      </w:r>
      <w:r>
        <w:rPr/>
        <w:t>国家档案局第</w:t>
      </w:r>
      <w:r>
        <w:rPr>
          <w:rFonts w:ascii="宋体" w:hAnsi="宋体" w:cs="宋体" w:eastAsia="宋体" w:hint="default"/>
        </w:rPr>
        <w:t>10</w:t>
      </w:r>
      <w:r>
        <w:rPr/>
        <w:t>号令《企业文件材料归档范围和档案保管期限规定》以及《数字档案室建设</w:t>
      </w:r>
      <w:r>
        <w:rPr>
          <w:spacing w:val="-117"/>
        </w:rPr>
        <w:t> </w:t>
      </w:r>
      <w:r>
        <w:rPr/>
        <w:t>评价办法》等相关标准规范指引，以“泛档案、大数据、重利用”为理念，面向机关、企事</w:t>
      </w:r>
      <w:r>
        <w:rPr>
          <w:spacing w:val="-112"/>
        </w:rPr>
        <w:t> </w:t>
      </w:r>
      <w:r>
        <w:rPr>
          <w:spacing w:val="-112"/>
        </w:rPr>
      </w:r>
      <w:r>
        <w:rPr/>
        <w:t>业单位、公检法司、金融、教育、建工、制造业等多行业进行档案信息化建设的整体解决方 案，全面实现档案资源数字化、档案管理信息化、档案服务知识化。</w:t>
      </w:r>
    </w:p>
    <w:p>
      <w:pPr>
        <w:pStyle w:val="Heading4"/>
        <w:spacing w:line="283" w:lineRule="exact"/>
        <w:ind w:left="534" w:right="0"/>
        <w:jc w:val="left"/>
        <w:rPr>
          <w:b w:val="0"/>
          <w:bCs w:val="0"/>
        </w:rPr>
      </w:pPr>
      <w:r>
        <w:rPr/>
        <w:t>（</w:t>
      </w:r>
      <w:r>
        <w:rPr>
          <w:rFonts w:ascii="宋体" w:hAnsi="宋体" w:cs="宋体" w:eastAsia="宋体" w:hint="default"/>
        </w:rPr>
        <w:t>3</w:t>
      </w:r>
      <w:r>
        <w:rPr/>
        <w:t>）智慧档案馆解决方案</w:t>
      </w:r>
      <w:r>
        <w:rPr>
          <w:b w:val="0"/>
          <w:bCs w:val="0"/>
        </w:rPr>
      </w:r>
    </w:p>
    <w:p>
      <w:pPr>
        <w:pStyle w:val="BodyText"/>
        <w:spacing w:line="237" w:lineRule="auto" w:before="42"/>
        <w:ind w:right="1129" w:firstLine="480"/>
        <w:jc w:val="both"/>
      </w:pPr>
      <w:r>
        <w:rPr/>
        <w:t>智慧档案馆解决方案：智慧档案馆是档案业务信息化的高级形态，它是在现有的数字档 案馆建设成果的基础上，为了跟进和融入当前我国智慧城市和智慧中国建设的大趋势，通过</w:t>
      </w:r>
      <w:r>
        <w:rPr>
          <w:spacing w:val="-109"/>
        </w:rPr>
        <w:t> </w:t>
      </w:r>
      <w:r>
        <w:rPr>
          <w:spacing w:val="-109"/>
        </w:rPr>
      </w:r>
      <w:r>
        <w:rPr>
          <w:spacing w:val="-16"/>
        </w:rPr>
        <w:t>“模式创新”、“技术创新”、“理念创新”，对传统数字档案馆进行了继承、延展和提升，将档</w:t>
      </w:r>
      <w:r>
        <w:rPr>
          <w:spacing w:val="-117"/>
        </w:rPr>
        <w:t> </w:t>
      </w:r>
      <w:r>
        <w:rPr>
          <w:spacing w:val="-117"/>
        </w:rPr>
      </w:r>
      <w:r>
        <w:rPr/>
        <w:t>案信息化水平推向新的阶段。它以新一代信息技术为支撑，结合云计算、大数据、区块链、 物联网、人工智能以及移动应用等最新理念，以全面透彻的感知、互动协同的互联、智能融 合的应用以及以人为本的可持续创新为主要建设内容，提高对档案实体、档案内容、档案服 务和档案管理信息感知、处置能力，实现档案资源的高度智能化管理和泛在化的开发利用。</w:t>
      </w:r>
    </w:p>
    <w:p>
      <w:pPr>
        <w:spacing w:line="312" w:lineRule="exact" w:before="68"/>
        <w:ind w:left="534" w:right="0"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4</w:t>
      </w:r>
      <w:r>
        <w:rPr>
          <w:rFonts w:ascii="宋体" w:hAnsi="宋体" w:cs="宋体" w:eastAsia="宋体" w:hint="default"/>
          <w:b/>
          <w:bCs/>
          <w:sz w:val="24"/>
          <w:szCs w:val="24"/>
        </w:rPr>
        <w:t>）档案资源共建共享解决方案</w:t>
      </w:r>
      <w:r>
        <w:rPr>
          <w:rFonts w:ascii="宋体" w:hAnsi="宋体" w:cs="宋体" w:eastAsia="宋体" w:hint="default"/>
          <w:b/>
          <w:bCs/>
          <w:w w:val="99"/>
          <w:sz w:val="24"/>
          <w:szCs w:val="24"/>
        </w:rPr>
        <w:t> </w:t>
      </w:r>
      <w:r>
        <w:rPr>
          <w:rFonts w:ascii="宋体" w:hAnsi="宋体" w:cs="宋体" w:eastAsia="宋体" w:hint="default"/>
          <w:spacing w:val="2"/>
          <w:sz w:val="24"/>
          <w:szCs w:val="24"/>
        </w:rPr>
        <w:t>档案资源共建共享解决方案：依托各省市网络环境，整合分布式异构电子文件（档案）</w:t>
      </w:r>
    </w:p>
    <w:p>
      <w:pPr>
        <w:pStyle w:val="BodyText"/>
        <w:spacing w:line="312" w:lineRule="exact"/>
        <w:ind w:right="1011"/>
        <w:jc w:val="left"/>
      </w:pPr>
      <w:r>
        <w:rPr>
          <w:spacing w:val="-3"/>
        </w:rPr>
        <w:t>资源，实现全省范围跨馆电子文件（档案）的网上申请、到馆取件、快递送达的“一网查档，</w:t>
      </w:r>
      <w:r>
        <w:rPr>
          <w:spacing w:val="-81"/>
        </w:rPr>
        <w:t> </w:t>
      </w:r>
      <w:r>
        <w:rPr>
          <w:spacing w:val="-81"/>
        </w:rPr>
      </w:r>
      <w:r>
        <w:rPr/>
        <w:t>百馆联动”的省域远程查档利用新模式，以及地市县民生档案跨馆、跨区、跨行业的远程出</w:t>
      </w:r>
      <w:r>
        <w:rPr>
          <w:spacing w:val="-116"/>
        </w:rPr>
        <w:t> </w:t>
      </w:r>
      <w:r>
        <w:rPr>
          <w:spacing w:val="-116"/>
        </w:rPr>
      </w:r>
      <w:r>
        <w:rPr/>
        <w:t>证便民服务。支持移动端通过微信公众号、微信小程序、支付宝生活号、支付宝小程序、各 类政务服务类</w:t>
      </w:r>
      <w:r>
        <w:rPr>
          <w:rFonts w:ascii="Times New Roman" w:hAnsi="Times New Roman" w:cs="Times New Roman" w:eastAsia="Times New Roman" w:hint="default"/>
        </w:rPr>
        <w:t>APP</w:t>
      </w:r>
      <w:r>
        <w:rPr/>
        <w:t>应用嵌入以及手机短信等，进行“矩阵式”档案利用服务多途径拓展、延</w:t>
      </w:r>
      <w:r>
        <w:rPr>
          <w:spacing w:val="-61"/>
        </w:rPr>
        <w:t> </w:t>
      </w:r>
      <w:r>
        <w:rPr>
          <w:spacing w:val="-61"/>
        </w:rPr>
      </w:r>
      <w:r>
        <w:rPr/>
        <w:t>伸。</w:t>
      </w:r>
    </w:p>
    <w:p>
      <w:pPr>
        <w:spacing w:line="268" w:lineRule="auto" w:before="10"/>
        <w:ind w:left="534" w:right="1212"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5</w:t>
      </w:r>
      <w:r>
        <w:rPr>
          <w:rFonts w:ascii="宋体" w:hAnsi="宋体" w:cs="宋体" w:eastAsia="宋体" w:hint="default"/>
          <w:b/>
          <w:bCs/>
          <w:sz w:val="24"/>
          <w:szCs w:val="24"/>
        </w:rPr>
        <w:t>）档案数据安全存储解决方案</w:t>
      </w:r>
      <w:r>
        <w:rPr>
          <w:rFonts w:ascii="宋体" w:hAnsi="宋体" w:cs="宋体" w:eastAsia="宋体" w:hint="default"/>
          <w:b/>
          <w:bCs/>
          <w:w w:val="99"/>
          <w:sz w:val="24"/>
          <w:szCs w:val="24"/>
        </w:rPr>
        <w:t> </w:t>
      </w:r>
      <w:r>
        <w:rPr>
          <w:rFonts w:ascii="宋体" w:hAnsi="宋体" w:cs="宋体" w:eastAsia="宋体" w:hint="default"/>
          <w:sz w:val="24"/>
          <w:szCs w:val="24"/>
        </w:rPr>
        <w:t>海量档案数据安全存储解决方案是我司基于多年档案信息化业务经验和技术积累，面向</w:t>
      </w:r>
    </w:p>
    <w:p>
      <w:pPr>
        <w:pStyle w:val="BodyText"/>
        <w:spacing w:line="312" w:lineRule="exact"/>
        <w:ind w:right="1116"/>
        <w:jc w:val="left"/>
      </w:pPr>
      <w:r>
        <w:rPr/>
        <w:t>电子档案长久安全保存需求推出的解决方案。它创新地综合运用磁盘、磁带和光盘等多种存 </w:t>
      </w:r>
      <w:r>
        <w:rPr>
          <w:spacing w:val="-2"/>
        </w:rPr>
        <w:t>储介质，以海量电子档案安全保存一体机为支撑，采用</w:t>
      </w:r>
      <w:r>
        <w:rPr>
          <w:rFonts w:ascii="Times New Roman" w:hAnsi="Times New Roman" w:cs="Times New Roman" w:eastAsia="Times New Roman" w:hint="default"/>
          <w:spacing w:val="-2"/>
        </w:rPr>
        <w:t>321</w:t>
      </w:r>
      <w:r>
        <w:rPr>
          <w:spacing w:val="-2"/>
        </w:rPr>
        <w:t>存储备份机制，磁光电融合存储方</w:t>
      </w:r>
    </w:p>
    <w:p>
      <w:pPr>
        <w:pStyle w:val="BodyText"/>
        <w:spacing w:line="312" w:lineRule="exact"/>
        <w:ind w:right="1152"/>
        <w:jc w:val="left"/>
      </w:pPr>
      <w:r>
        <w:rPr/>
        <w:t>案，集智能监控、多级存储设备管理于一体，为用户提供自动备份、定期检测、智能恢复、 问题追踪及处理等功能，保障电子档案数据在长久保存过程中的安全、可靠。</w:t>
      </w:r>
    </w:p>
    <w:p>
      <w:pPr>
        <w:spacing w:line="312" w:lineRule="exact" w:before="0"/>
        <w:ind w:left="534" w:right="113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6</w:t>
      </w:r>
      <w:r>
        <w:rPr>
          <w:rFonts w:ascii="宋体" w:hAnsi="宋体" w:cs="宋体" w:eastAsia="宋体" w:hint="default"/>
          <w:b/>
          <w:bCs/>
          <w:sz w:val="24"/>
          <w:szCs w:val="24"/>
        </w:rPr>
        <w:t>）档案馆舍智能化系统解决方案</w:t>
      </w:r>
      <w:r>
        <w:rPr>
          <w:rFonts w:ascii="宋体" w:hAnsi="宋体" w:cs="宋体" w:eastAsia="宋体" w:hint="default"/>
          <w:b/>
          <w:bCs/>
          <w:w w:val="99"/>
          <w:sz w:val="24"/>
          <w:szCs w:val="24"/>
        </w:rPr>
        <w:t> </w:t>
      </w:r>
      <w:r>
        <w:rPr>
          <w:rFonts w:ascii="宋体" w:hAnsi="宋体" w:cs="宋体" w:eastAsia="宋体" w:hint="default"/>
          <w:spacing w:val="2"/>
          <w:sz w:val="24"/>
          <w:szCs w:val="24"/>
        </w:rPr>
        <w:t>档案馆舍智能化系统解决方案以档案馆建筑物为平台，综合运用计算机技术、通信网络</w:t>
      </w:r>
    </w:p>
    <w:p>
      <w:pPr>
        <w:spacing w:after="0" w:line="312" w:lineRule="exact"/>
        <w:jc w:val="left"/>
        <w:rPr>
          <w:rFonts w:ascii="宋体" w:hAnsi="宋体" w:cs="宋体" w:eastAsia="宋体" w:hint="default"/>
          <w:sz w:val="24"/>
          <w:szCs w:val="24"/>
        </w:rPr>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237" w:lineRule="auto" w:before="28"/>
        <w:ind w:right="0"/>
        <w:jc w:val="left"/>
      </w:pPr>
      <w:r>
        <w:rPr/>
        <w:t>技术、智能楼宇技术、物联网技术、传感与监测技术、虚拟现实技术等先进技术，通过将档 案馆内的智能密集架、环境控制、安防消防、门禁监控、声控灯控、信息发布等智能设备的</w:t>
      </w:r>
      <w:r>
        <w:rPr>
          <w:spacing w:val="-108"/>
        </w:rPr>
        <w:t> </w:t>
      </w:r>
      <w:r>
        <w:rPr>
          <w:spacing w:val="-108"/>
        </w:rPr>
      </w:r>
      <w:r>
        <w:rPr/>
        <w:t>集成，建设一个规划合理、功能完善、技术先进的智能化管理系统，使档案馆舍具有感知、</w:t>
      </w:r>
      <w:r>
        <w:rPr/>
        <w:t> </w:t>
      </w:r>
      <w:r>
        <w:rPr>
          <w:spacing w:val="-3"/>
        </w:rPr>
        <w:t>传输、记忆、推理、判断和决策的能力，满足档案馆建筑设计安全、绿色、节能环保的要求，</w:t>
      </w:r>
      <w:r>
        <w:rPr>
          <w:spacing w:val="-83"/>
        </w:rPr>
        <w:t> </w:t>
      </w:r>
      <w:r>
        <w:rPr>
          <w:spacing w:val="-83"/>
        </w:rPr>
      </w:r>
      <w:r>
        <w:rPr/>
        <w:t>以及档案馆“五位一体”建设要求。</w:t>
      </w:r>
    </w:p>
    <w:p>
      <w:pPr>
        <w:spacing w:line="240" w:lineRule="auto" w:before="1"/>
        <w:rPr>
          <w:rFonts w:ascii="宋体" w:hAnsi="宋体" w:cs="宋体" w:eastAsia="宋体" w:hint="default"/>
          <w:sz w:val="26"/>
          <w:szCs w:val="26"/>
        </w:rPr>
      </w:pPr>
    </w:p>
    <w:p>
      <w:pPr>
        <w:spacing w:line="312" w:lineRule="exact" w:before="0"/>
        <w:ind w:left="534" w:right="1011" w:firstLine="0"/>
        <w:jc w:val="left"/>
        <w:rPr>
          <w:rFonts w:ascii="宋体" w:hAnsi="宋体" w:cs="宋体" w:eastAsia="宋体" w:hint="default"/>
          <w:sz w:val="24"/>
          <w:szCs w:val="24"/>
        </w:rPr>
      </w:pPr>
      <w:r>
        <w:rPr>
          <w:rFonts w:ascii="宋体" w:hAnsi="宋体" w:cs="宋体" w:eastAsia="宋体" w:hint="default"/>
          <w:b/>
          <w:bCs/>
          <w:sz w:val="24"/>
          <w:szCs w:val="24"/>
        </w:rPr>
        <w:t>（四）智慧司法业务概要</w:t>
      </w:r>
      <w:r>
        <w:rPr>
          <w:rFonts w:ascii="宋体" w:hAnsi="宋体" w:cs="宋体" w:eastAsia="宋体" w:hint="default"/>
          <w:b/>
          <w:bCs/>
          <w:w w:val="99"/>
          <w:sz w:val="24"/>
          <w:szCs w:val="24"/>
        </w:rPr>
        <w:t> </w:t>
      </w:r>
      <w:r>
        <w:rPr>
          <w:rFonts w:ascii="宋体" w:hAnsi="宋体" w:cs="宋体" w:eastAsia="宋体" w:hint="default"/>
          <w:spacing w:val="-1"/>
          <w:sz w:val="24"/>
          <w:szCs w:val="24"/>
        </w:rPr>
        <w:t>智慧司法业务本着提高司法效率、确保司法公正、推进司法公开的理念，为“依法治国”</w:t>
      </w:r>
    </w:p>
    <w:p>
      <w:pPr>
        <w:pStyle w:val="BodyText"/>
        <w:spacing w:line="312" w:lineRule="exact"/>
        <w:ind w:right="1011"/>
        <w:jc w:val="left"/>
      </w:pPr>
      <w:r>
        <w:rPr>
          <w:spacing w:val="-3"/>
        </w:rPr>
        <w:t>服务。在司法业务领域实行聚焦战略，以监狱业务为主线，运用云计算、大数据、人工智能、</w:t>
      </w:r>
      <w:r>
        <w:rPr>
          <w:spacing w:val="-82"/>
        </w:rPr>
        <w:t> </w:t>
      </w:r>
      <w:r>
        <w:rPr>
          <w:spacing w:val="-82"/>
        </w:rPr>
      </w:r>
      <w:r>
        <w:rPr/>
        <w:t>区块链等新技术快速形成卡位优势，从产品与项目并重，逐步向产品研发为主转型，快速抢 占市场；积极创新产品，面向特殊群体提供全产业链服务，力争未来成为司法信息化龙头企</w:t>
      </w:r>
      <w:r>
        <w:rPr>
          <w:spacing w:val="-115"/>
        </w:rPr>
        <w:t> </w:t>
      </w:r>
      <w:r>
        <w:rPr>
          <w:spacing w:val="-115"/>
        </w:rPr>
      </w:r>
      <w:r>
        <w:rPr/>
        <w:t>业。</w:t>
      </w:r>
    </w:p>
    <w:p>
      <w:pPr>
        <w:pStyle w:val="Heading4"/>
        <w:spacing w:line="282" w:lineRule="exact"/>
        <w:ind w:left="534" w:right="0"/>
        <w:jc w:val="left"/>
        <w:rPr>
          <w:b w:val="0"/>
          <w:bCs w:val="0"/>
        </w:rPr>
      </w:pPr>
      <w:r>
        <w:rPr>
          <w:rFonts w:ascii="宋体" w:hAnsi="宋体" w:cs="宋体" w:eastAsia="宋体" w:hint="default"/>
        </w:rPr>
        <w:t>1</w:t>
      </w:r>
      <w:r>
        <w:rPr/>
        <w:t>、产品业务</w:t>
      </w:r>
      <w:r>
        <w:rPr>
          <w:b w:val="0"/>
          <w:bCs w:val="0"/>
        </w:rPr>
      </w:r>
    </w:p>
    <w:p>
      <w:pPr>
        <w:spacing w:line="312" w:lineRule="exact" w:before="29"/>
        <w:ind w:left="534" w:right="113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1</w:t>
      </w:r>
      <w:r>
        <w:rPr>
          <w:rFonts w:ascii="宋体" w:hAnsi="宋体" w:cs="宋体" w:eastAsia="宋体" w:hint="default"/>
          <w:b/>
          <w:bCs/>
          <w:sz w:val="24"/>
          <w:szCs w:val="24"/>
        </w:rPr>
        <w:t>）智慧监狱大平台</w:t>
      </w:r>
      <w:r>
        <w:rPr>
          <w:rFonts w:ascii="宋体" w:hAnsi="宋体" w:cs="宋体" w:eastAsia="宋体" w:hint="default"/>
          <w:b/>
          <w:bCs/>
          <w:w w:val="99"/>
          <w:sz w:val="24"/>
          <w:szCs w:val="24"/>
        </w:rPr>
        <w:t> </w:t>
      </w:r>
      <w:r>
        <w:rPr>
          <w:rFonts w:ascii="宋体" w:hAnsi="宋体" w:cs="宋体" w:eastAsia="宋体" w:hint="default"/>
          <w:spacing w:val="2"/>
          <w:sz w:val="24"/>
          <w:szCs w:val="24"/>
        </w:rPr>
        <w:t>智慧监狱大平台紧扣司法部智慧监狱建设标准，以省级监狱管理局统一管理要求及智慧</w:t>
      </w:r>
    </w:p>
    <w:p>
      <w:pPr>
        <w:pStyle w:val="BodyText"/>
        <w:spacing w:line="312" w:lineRule="exact"/>
        <w:ind w:right="1011"/>
        <w:jc w:val="left"/>
      </w:pPr>
      <w:r>
        <w:rPr/>
        <w:t>监狱顶层设计为指导，以“集约高效、共享开放、安全可靠、按需服务”为设计原则，充分</w:t>
      </w:r>
      <w:r>
        <w:rPr>
          <w:spacing w:val="-110"/>
        </w:rPr>
        <w:t> </w:t>
      </w:r>
      <w:r>
        <w:rPr>
          <w:spacing w:val="-110"/>
        </w:rPr>
      </w:r>
      <w:r>
        <w:rPr>
          <w:spacing w:val="-3"/>
        </w:rPr>
        <w:t>体现当前监狱信息化建设“大数据、高共享、智能化、超融合”智慧特征。以综合业务管理、</w:t>
      </w:r>
      <w:r>
        <w:rPr>
          <w:spacing w:val="-81"/>
        </w:rPr>
        <w:t> </w:t>
      </w:r>
      <w:r>
        <w:rPr>
          <w:spacing w:val="-81"/>
        </w:rPr>
      </w:r>
      <w:r>
        <w:rPr>
          <w:spacing w:val="-3"/>
        </w:rPr>
        <w:t>指挥调度、安全防范、数据分析研判、数据交换共享为核心内容，建设的数据信息全面准确、</w:t>
      </w:r>
      <w:r>
        <w:rPr>
          <w:spacing w:val="-81"/>
        </w:rPr>
        <w:t> </w:t>
      </w:r>
      <w:r>
        <w:rPr>
          <w:spacing w:val="-81"/>
        </w:rPr>
      </w:r>
      <w:r>
        <w:rPr/>
        <w:t>业务应用灵活普及、分析运维智慧高效、规范标准科学统一的智慧监狱云平台，为监狱管理 和公共服务提供有力支持，充分强化监狱安防能力，提升监狱整体管理水平，打造高效的警</w:t>
      </w:r>
      <w:r>
        <w:rPr>
          <w:spacing w:val="-116"/>
        </w:rPr>
        <w:t> </w:t>
      </w:r>
      <w:r>
        <w:rPr>
          <w:spacing w:val="-116"/>
        </w:rPr>
      </w:r>
      <w:r>
        <w:rPr/>
        <w:t>务运行机制，提升了监狱现代治理能力，全面贯彻落实司法部“数字法治、智慧司法”战略</w:t>
      </w:r>
      <w:r>
        <w:rPr>
          <w:spacing w:val="-107"/>
        </w:rPr>
        <w:t> </w:t>
      </w:r>
      <w:r>
        <w:rPr>
          <w:spacing w:val="-107"/>
        </w:rPr>
      </w:r>
      <w:r>
        <w:rPr/>
        <w:t>部署。</w:t>
      </w:r>
    </w:p>
    <w:p>
      <w:pPr>
        <w:spacing w:line="312" w:lineRule="exact" w:before="0"/>
        <w:ind w:left="534" w:right="113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2</w:t>
      </w:r>
      <w:r>
        <w:rPr>
          <w:rFonts w:ascii="宋体" w:hAnsi="宋体" w:cs="宋体" w:eastAsia="宋体" w:hint="default"/>
          <w:b/>
          <w:bCs/>
          <w:sz w:val="24"/>
          <w:szCs w:val="24"/>
        </w:rPr>
        <w:t>）社区矫正监管平台</w:t>
      </w:r>
      <w:r>
        <w:rPr>
          <w:rFonts w:ascii="宋体" w:hAnsi="宋体" w:cs="宋体" w:eastAsia="宋体" w:hint="default"/>
          <w:b/>
          <w:bCs/>
          <w:w w:val="99"/>
          <w:sz w:val="24"/>
          <w:szCs w:val="24"/>
        </w:rPr>
        <w:t> </w:t>
      </w:r>
      <w:r>
        <w:rPr>
          <w:rFonts w:ascii="宋体" w:hAnsi="宋体" w:cs="宋体" w:eastAsia="宋体" w:hint="default"/>
          <w:spacing w:val="2"/>
          <w:sz w:val="24"/>
          <w:szCs w:val="24"/>
        </w:rPr>
        <w:t>社区矫正智慧监管平台按照先进、可靠、保密性强，可长远发展的设计原则，建设一个</w:t>
      </w:r>
    </w:p>
    <w:p>
      <w:pPr>
        <w:pStyle w:val="BodyText"/>
        <w:spacing w:line="312" w:lineRule="exact"/>
        <w:ind w:right="0"/>
        <w:jc w:val="left"/>
      </w:pPr>
      <w:r>
        <w:rPr/>
        <w:t>高度统一、高度信息化、自动化的监管服务网络平台。社区矫正智慧监管平台主要包括定位 </w:t>
      </w:r>
      <w:r>
        <w:rPr>
          <w:spacing w:val="-3"/>
        </w:rPr>
        <w:t>监控平台、矫正管理平台、司法办公平台、统计分析平台、系统管理中心等的应用体系建设；</w:t>
      </w:r>
      <w:r>
        <w:rPr>
          <w:spacing w:val="-81"/>
        </w:rPr>
        <w:t> </w:t>
      </w:r>
      <w:r>
        <w:rPr>
          <w:spacing w:val="-81"/>
        </w:rPr>
      </w:r>
      <w:r>
        <w:rPr/>
        <w:t>贯穿社区矫正工作全生命周期，提高教育改造工作质量，提升社区矫正工作效率，全面落实 国家总体安全观。</w:t>
      </w:r>
    </w:p>
    <w:p>
      <w:pPr>
        <w:spacing w:line="312" w:lineRule="exact" w:before="0"/>
        <w:ind w:left="534" w:right="1136"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3</w:t>
      </w:r>
      <w:r>
        <w:rPr>
          <w:rFonts w:ascii="宋体" w:hAnsi="宋体" w:cs="宋体" w:eastAsia="宋体" w:hint="default"/>
          <w:b/>
          <w:bCs/>
          <w:sz w:val="24"/>
          <w:szCs w:val="24"/>
        </w:rPr>
        <w:t>）监所智能化产品</w:t>
      </w:r>
      <w:r>
        <w:rPr>
          <w:rFonts w:ascii="宋体" w:hAnsi="宋体" w:cs="宋体" w:eastAsia="宋体" w:hint="default"/>
          <w:b/>
          <w:bCs/>
          <w:spacing w:val="1"/>
          <w:w w:val="99"/>
          <w:sz w:val="24"/>
          <w:szCs w:val="24"/>
        </w:rPr>
        <w:t> </w:t>
      </w:r>
      <w:r>
        <w:rPr>
          <w:rFonts w:ascii="宋体" w:hAnsi="宋体" w:cs="宋体" w:eastAsia="宋体" w:hint="default"/>
          <w:spacing w:val="2"/>
          <w:sz w:val="24"/>
          <w:szCs w:val="24"/>
        </w:rPr>
        <w:t>公司通过在司法领域近二十年的深耕，利用物联网、人工智能、大数据等技术，研发了</w:t>
      </w:r>
    </w:p>
    <w:p>
      <w:pPr>
        <w:pStyle w:val="BodyText"/>
        <w:spacing w:line="312" w:lineRule="exact"/>
        <w:ind w:right="1139"/>
        <w:jc w:val="both"/>
      </w:pPr>
      <w:r>
        <w:rPr/>
        <w:t>监所智能化产品体系。通过对监狱安防设施建设、监狱人员信息、地理信息、物品信息的深 入理解和标准化、结合公司应用支撑平台的强大支撑，打造了监所管控系列产品、警务行政 类产品、针对服刑人员的产品以及对外服务的系列产品四大支柱类产品。具体产品包括监舍 一体机、监狱释放人员身份识别智能机、警务通、金融通、亲情通等，为监所行业提供完善 的技术及产品支持服务。</w:t>
      </w:r>
    </w:p>
    <w:p>
      <w:pPr>
        <w:pStyle w:val="Heading4"/>
        <w:spacing w:line="282" w:lineRule="exact"/>
        <w:ind w:left="534" w:right="0"/>
        <w:jc w:val="left"/>
        <w:rPr>
          <w:b w:val="0"/>
          <w:bCs w:val="0"/>
        </w:rPr>
      </w:pPr>
      <w:r>
        <w:rPr>
          <w:rFonts w:ascii="宋体" w:hAnsi="宋体" w:cs="宋体" w:eastAsia="宋体" w:hint="default"/>
        </w:rPr>
        <w:t>2</w:t>
      </w:r>
      <w:r>
        <w:rPr/>
        <w:t>、解决方案业务</w:t>
      </w:r>
      <w:r>
        <w:rPr>
          <w:b w:val="0"/>
          <w:bCs w:val="0"/>
        </w:rPr>
      </w:r>
    </w:p>
    <w:p>
      <w:pPr>
        <w:pStyle w:val="Heading4"/>
        <w:spacing w:line="312" w:lineRule="exact"/>
        <w:ind w:left="534" w:right="0"/>
        <w:jc w:val="left"/>
        <w:rPr>
          <w:b w:val="0"/>
          <w:bCs w:val="0"/>
        </w:rPr>
      </w:pPr>
      <w:r>
        <w:rPr/>
        <w:t>（</w:t>
      </w:r>
      <w:r>
        <w:rPr>
          <w:rFonts w:ascii="宋体" w:hAnsi="宋体" w:cs="宋体" w:eastAsia="宋体" w:hint="default"/>
        </w:rPr>
        <w:t>1</w:t>
      </w:r>
      <w:r>
        <w:rPr/>
        <w:t>）智慧监狱解决方案</w:t>
      </w:r>
      <w:r>
        <w:rPr>
          <w:b w:val="0"/>
          <w:bCs w:val="0"/>
        </w:rPr>
      </w:r>
    </w:p>
    <w:p>
      <w:pPr>
        <w:pStyle w:val="BodyText"/>
        <w:spacing w:line="237" w:lineRule="auto" w:before="1"/>
        <w:ind w:right="1011" w:firstLine="420"/>
        <w:jc w:val="left"/>
      </w:pPr>
      <w:r>
        <w:rPr/>
        <w:t>该解决方案为监狱信息化提供服务，</w:t>
      </w:r>
      <w:r>
        <w:rPr>
          <w:spacing w:val="-21"/>
        </w:rPr>
        <w:t> </w:t>
      </w:r>
      <w:r>
        <w:rPr/>
        <w:t>帮助监狱最大限度地汇集整合监管改造信息资源和</w:t>
      </w:r>
      <w:r>
        <w:rPr/>
        <w:t> 社会信息资源，全面推动各类数据的集成应用，充分运用大数据技术，开展罪犯危险程度评 估，有效防范罪犯暴力袭警、越狱脱逃、强行冲监、非正常伤残死亡等监管安防事件；充分 </w:t>
      </w:r>
      <w:r>
        <w:rPr>
          <w:spacing w:val="-3"/>
        </w:rPr>
        <w:t>运用物联网及网络安全技术等，实现对监所全方位的智能监管，全面提升人防、物防、技防、</w:t>
      </w:r>
      <w:r>
        <w:rPr>
          <w:spacing w:val="-81"/>
        </w:rPr>
        <w:t> </w:t>
      </w:r>
      <w:r>
        <w:rPr>
          <w:spacing w:val="-81"/>
        </w:rPr>
      </w:r>
      <w:r>
        <w:rPr/>
        <w:t>联防一体化水平，各个应用系统相互之间实现融合贯通、信息共享，为社会的繁荣稳定保驾 护航。</w:t>
      </w:r>
    </w:p>
    <w:p>
      <w:pPr>
        <w:pStyle w:val="Heading4"/>
        <w:spacing w:line="312" w:lineRule="exact"/>
        <w:ind w:left="534" w:right="0"/>
        <w:jc w:val="left"/>
        <w:rPr>
          <w:b w:val="0"/>
          <w:bCs w:val="0"/>
        </w:rPr>
      </w:pPr>
      <w:r>
        <w:rPr/>
        <w:t>（</w:t>
      </w:r>
      <w:r>
        <w:rPr>
          <w:rFonts w:ascii="宋体" w:hAnsi="宋体" w:cs="宋体" w:eastAsia="宋体" w:hint="default"/>
        </w:rPr>
        <w:t>2</w:t>
      </w:r>
      <w:r>
        <w:rPr/>
        <w:t>）监狱行业专有云解决方案</w:t>
      </w:r>
      <w:r>
        <w:rPr>
          <w:b w:val="0"/>
          <w:bCs w:val="0"/>
        </w:rPr>
      </w:r>
    </w:p>
    <w:p>
      <w:pPr>
        <w:spacing w:after="0" w:line="312" w:lineRule="exact"/>
        <w:jc w:val="left"/>
        <w:sectPr>
          <w:pgSz w:w="11910" w:h="16840"/>
          <w:pgMar w:header="822" w:footer="1019" w:top="1140" w:bottom="1200" w:left="1020" w:right="0"/>
        </w:sectPr>
      </w:pPr>
    </w:p>
    <w:p>
      <w:pPr>
        <w:spacing w:line="240" w:lineRule="auto" w:before="10"/>
        <w:rPr>
          <w:rFonts w:ascii="宋体" w:hAnsi="宋体" w:cs="宋体" w:eastAsia="宋体" w:hint="default"/>
          <w:b/>
          <w:bCs/>
          <w:sz w:val="17"/>
          <w:szCs w:val="17"/>
        </w:rPr>
      </w:pPr>
    </w:p>
    <w:p>
      <w:pPr>
        <w:pStyle w:val="BodyText"/>
        <w:spacing w:line="237" w:lineRule="auto" w:before="28"/>
        <w:ind w:right="1011" w:firstLine="420"/>
        <w:jc w:val="left"/>
      </w:pPr>
      <w:r>
        <w:rPr>
          <w:spacing w:val="-1"/>
        </w:rPr>
        <w:t>该解决方案基于物联网、大数据、虚拟现实、人工智能、语音识别等新技术的创新应用，</w:t>
      </w:r>
      <w:r>
        <w:rPr/>
        <w:t> 建设了监狱行业专有云。基于云计算架构功能完善与升级改造实现业务、可用、性能、安全</w:t>
      </w:r>
      <w:r>
        <w:rPr>
          <w:spacing w:val="-116"/>
        </w:rPr>
        <w:t> </w:t>
      </w:r>
      <w:r>
        <w:rPr>
          <w:spacing w:val="-116"/>
        </w:rPr>
      </w:r>
      <w:r>
        <w:rPr/>
        <w:t>可控及覆盖范围的提升，解决平台与数据孤岛、防篡溯源，提升海量数据安全，帮助监狱行 业实现各业务系统数据汇聚共享，相互调用，相互印证，为各类业务应用创新提供云资源和 云服务支撑，保障系统和数据安全、稳定、可靠运行。</w:t>
      </w:r>
    </w:p>
    <w:p>
      <w:pPr>
        <w:spacing w:line="312" w:lineRule="exact" w:before="29"/>
        <w:ind w:left="534" w:right="0"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3</w:t>
      </w:r>
      <w:r>
        <w:rPr>
          <w:rFonts w:ascii="宋体" w:hAnsi="宋体" w:cs="宋体" w:eastAsia="宋体" w:hint="default"/>
          <w:b/>
          <w:bCs/>
          <w:sz w:val="24"/>
          <w:szCs w:val="24"/>
        </w:rPr>
        <w:t>）司法大数据解决方案</w:t>
      </w:r>
      <w:r>
        <w:rPr>
          <w:rFonts w:ascii="宋体" w:hAnsi="宋体" w:cs="宋体" w:eastAsia="宋体" w:hint="default"/>
          <w:b/>
          <w:bCs/>
          <w:w w:val="99"/>
          <w:sz w:val="24"/>
          <w:szCs w:val="24"/>
        </w:rPr>
        <w:t> </w:t>
      </w:r>
      <w:r>
        <w:rPr>
          <w:rFonts w:ascii="宋体" w:hAnsi="宋体" w:cs="宋体" w:eastAsia="宋体" w:hint="default"/>
          <w:spacing w:val="-4"/>
          <w:sz w:val="24"/>
          <w:szCs w:val="24"/>
        </w:rPr>
        <w:t>公司认真贯彻落实国务院《促进大数据发展行动纲要》，围绕大系统、大平台、大数据、</w:t>
      </w:r>
    </w:p>
    <w:p>
      <w:pPr>
        <w:pStyle w:val="BodyText"/>
        <w:spacing w:line="312" w:lineRule="exact"/>
        <w:ind w:right="1130"/>
        <w:jc w:val="both"/>
      </w:pPr>
      <w:r>
        <w:rPr/>
        <w:t>大支撑体系的建设方向，构建平台互通、信息共享、全面感知、迅捷精准的新型司法大数据 安全平台架构体系。加强大数据研究分析，深化大数据在司法行政各业务系统应用，形成大</w:t>
      </w:r>
      <w:r>
        <w:rPr>
          <w:spacing w:val="-111"/>
        </w:rPr>
        <w:t> </w:t>
      </w:r>
      <w:r>
        <w:rPr>
          <w:spacing w:val="-111"/>
        </w:rPr>
      </w:r>
      <w:r>
        <w:rPr/>
        <w:t>数据治理应用体系；运用大数据技术进行数据收集，统一分析各类数据，为司法行业高效管 理，工作创新提供数据研判，全面提升司法大数据的管理服务能力和利用水平。</w:t>
      </w:r>
    </w:p>
    <w:p>
      <w:pPr>
        <w:spacing w:line="240" w:lineRule="auto" w:before="11"/>
        <w:rPr>
          <w:rFonts w:ascii="宋体" w:hAnsi="宋体" w:cs="宋体" w:eastAsia="宋体" w:hint="default"/>
          <w:sz w:val="23"/>
          <w:szCs w:val="23"/>
        </w:rPr>
      </w:pPr>
    </w:p>
    <w:p>
      <w:pPr>
        <w:pStyle w:val="BodyText"/>
        <w:spacing w:line="312" w:lineRule="exact"/>
        <w:ind w:left="534" w:right="1212"/>
        <w:jc w:val="left"/>
      </w:pPr>
      <w:r>
        <w:rPr>
          <w:rFonts w:ascii="宋体" w:hAnsi="宋体" w:cs="宋体" w:eastAsia="宋体" w:hint="default"/>
          <w:b/>
          <w:bCs/>
        </w:rPr>
        <w:t>（五）创新中心</w:t>
      </w:r>
      <w:r>
        <w:rPr>
          <w:rFonts w:ascii="宋体" w:hAnsi="宋体" w:cs="宋体" w:eastAsia="宋体" w:hint="default"/>
          <w:b/>
          <w:bCs/>
          <w:w w:val="99"/>
        </w:rPr>
        <w:t> </w:t>
      </w:r>
      <w:r>
        <w:rPr/>
        <w:t>公司在报告期内成立了大数据智能创新中心及区块链创新中心，两大中心将主要为公司</w:t>
      </w:r>
    </w:p>
    <w:p>
      <w:pPr>
        <w:spacing w:line="312" w:lineRule="exact" w:before="0"/>
        <w:ind w:left="534" w:right="7692" w:hanging="420"/>
        <w:jc w:val="left"/>
        <w:rPr>
          <w:rFonts w:ascii="宋体" w:hAnsi="宋体" w:cs="宋体" w:eastAsia="宋体" w:hint="default"/>
          <w:sz w:val="24"/>
          <w:szCs w:val="24"/>
        </w:rPr>
      </w:pPr>
      <w:r>
        <w:rPr>
          <w:rFonts w:ascii="宋体" w:hAnsi="宋体" w:cs="宋体" w:eastAsia="宋体" w:hint="default"/>
          <w:sz w:val="24"/>
          <w:szCs w:val="24"/>
        </w:rPr>
        <w:t>三大行业赋能。 </w:t>
      </w:r>
      <w:r>
        <w:rPr>
          <w:rFonts w:ascii="宋体" w:hAnsi="宋体" w:cs="宋体" w:eastAsia="宋体" w:hint="default"/>
          <w:b/>
          <w:bCs/>
          <w:w w:val="95"/>
          <w:sz w:val="24"/>
          <w:szCs w:val="24"/>
        </w:rPr>
        <w:t>1</w:t>
      </w:r>
      <w:r>
        <w:rPr>
          <w:rFonts w:ascii="宋体" w:hAnsi="宋体" w:cs="宋体" w:eastAsia="宋体" w:hint="default"/>
          <w:b/>
          <w:bCs/>
          <w:w w:val="95"/>
          <w:sz w:val="24"/>
          <w:szCs w:val="24"/>
        </w:rPr>
        <w:t>、大数据智能创新中心</w:t>
      </w:r>
      <w:r>
        <w:rPr>
          <w:rFonts w:ascii="宋体" w:hAnsi="宋体" w:cs="宋体" w:eastAsia="宋体" w:hint="default"/>
          <w:sz w:val="24"/>
          <w:szCs w:val="24"/>
        </w:rPr>
      </w:r>
    </w:p>
    <w:p>
      <w:pPr>
        <w:pStyle w:val="BodyText"/>
        <w:spacing w:line="312" w:lineRule="exact"/>
        <w:ind w:right="1050" w:firstLine="420"/>
        <w:jc w:val="both"/>
      </w:pPr>
      <w:r>
        <w:rPr>
          <w:spacing w:val="2"/>
        </w:rPr>
        <w:t>大数据智能创新中心基于公司在主营三大业务领域多年行业经验和技术积累，加强大数</w:t>
      </w:r>
      <w:r>
        <w:rPr/>
        <w:t> 据人才队伍建设和产品研发投入，研发面向数据治理和数据应用的基础平台和基础工具，全 力赋能公司核心业务。目前已经围绕数据管理全生命周期（包括数据整理编目、数据质量稽</w:t>
      </w:r>
      <w:r>
        <w:rPr>
          <w:spacing w:val="-112"/>
        </w:rPr>
        <w:t> </w:t>
      </w:r>
      <w:r>
        <w:rPr>
          <w:spacing w:val="-112"/>
        </w:rPr>
      </w:r>
      <w:r>
        <w:rPr>
          <w:spacing w:val="-5"/>
        </w:rPr>
        <w:t>核、数据清洗治理等核心环节），形成了大数据治理综合解决方案。</w:t>
      </w:r>
      <w:r>
        <w:rPr>
          <w:rFonts w:ascii="宋体" w:hAnsi="宋体" w:cs="宋体" w:eastAsia="宋体" w:hint="default"/>
          <w:spacing w:val="-5"/>
        </w:rPr>
        <w:t>2018</w:t>
      </w:r>
      <w:r>
        <w:rPr>
          <w:spacing w:val="-5"/>
        </w:rPr>
        <w:t>年起，承建上海市数</w:t>
      </w:r>
      <w:r>
        <w:rPr>
          <w:spacing w:val="-108"/>
        </w:rPr>
        <w:t> </w:t>
      </w:r>
      <w:r>
        <w:rPr>
          <w:spacing w:val="-108"/>
        </w:rPr>
      </w:r>
      <w:r>
        <w:rPr/>
        <w:t>据共享交换平台数据质量监管及支撑子系统建设，对上海公共数据进行数据质量智能监控。 同时，积极赋能智慧食安、智慧档案、智慧司法，成功参与了上海市农业农村委、广州市商</w:t>
      </w:r>
    </w:p>
    <w:p>
      <w:pPr>
        <w:pStyle w:val="BodyText"/>
        <w:spacing w:line="312" w:lineRule="exact"/>
        <w:ind w:left="534" w:right="1035" w:hanging="420"/>
        <w:jc w:val="left"/>
        <w:rPr>
          <w:rFonts w:ascii="宋体" w:hAnsi="宋体" w:cs="宋体" w:eastAsia="宋体" w:hint="default"/>
        </w:rPr>
      </w:pPr>
      <w:r>
        <w:rPr>
          <w:spacing w:val="-3"/>
        </w:rPr>
        <w:t>务委、浦东新区档案局（馆）、北京市监狱管理局、陕西齐峰果业等政府及企业大数据项目。</w:t>
      </w:r>
      <w:r>
        <w:rPr>
          <w:spacing w:val="-117"/>
        </w:rPr>
        <w:t> </w:t>
      </w:r>
      <w:r>
        <w:rPr>
          <w:spacing w:val="-117"/>
        </w:rPr>
      </w:r>
      <w:r>
        <w:rPr>
          <w:rFonts w:ascii="宋体" w:hAnsi="宋体" w:cs="宋体" w:eastAsia="宋体" w:hint="default"/>
          <w:b/>
          <w:bCs/>
        </w:rPr>
        <w:t>2</w:t>
      </w:r>
      <w:r>
        <w:rPr>
          <w:rFonts w:ascii="宋体" w:hAnsi="宋体" w:cs="宋体" w:eastAsia="宋体" w:hint="default"/>
          <w:b/>
          <w:bCs/>
        </w:rPr>
        <w:t>、区块链创新中心</w:t>
      </w:r>
      <w:r>
        <w:rPr>
          <w:rFonts w:ascii="宋体" w:hAnsi="宋体" w:cs="宋体" w:eastAsia="宋体" w:hint="default"/>
        </w:rPr>
      </w:r>
    </w:p>
    <w:p>
      <w:pPr>
        <w:pStyle w:val="BodyText"/>
        <w:spacing w:line="237" w:lineRule="auto" w:before="13"/>
        <w:ind w:right="1130" w:firstLine="480"/>
        <w:jc w:val="both"/>
      </w:pPr>
      <w:r>
        <w:rPr/>
        <w:t>区块链创新中心依托信息发展研究院强大的技术研发实力，集中优秀技术创新人才，着 </w:t>
      </w:r>
      <w:r>
        <w:rPr>
          <w:spacing w:val="-3"/>
        </w:rPr>
        <w:t>力研发区块链基础平台以及“区块链网关”等配套工具，已成功申请区块链发明专利</w:t>
      </w:r>
      <w:r>
        <w:rPr>
          <w:rFonts w:ascii="宋体" w:hAnsi="宋体" w:cs="宋体" w:eastAsia="宋体" w:hint="default"/>
          <w:spacing w:val="-3"/>
        </w:rPr>
        <w:t>5</w:t>
      </w:r>
      <w:r>
        <w:rPr>
          <w:spacing w:val="-3"/>
        </w:rPr>
        <w:t>项，全</w:t>
      </w:r>
      <w:r>
        <w:rPr>
          <w:spacing w:val="-80"/>
        </w:rPr>
        <w:t> </w:t>
      </w:r>
      <w:r>
        <w:rPr>
          <w:spacing w:val="-80"/>
        </w:rPr>
      </w:r>
      <w:r>
        <w:rPr/>
        <w:t>力打造上海乃至国内领先的“信发链”品牌。对内以智慧食安供应链生态圈区块链应用为重</w:t>
      </w:r>
      <w:r>
        <w:rPr>
          <w:spacing w:val="-115"/>
        </w:rPr>
        <w:t> </w:t>
      </w:r>
      <w:r>
        <w:rPr>
          <w:spacing w:val="-115"/>
        </w:rPr>
      </w:r>
      <w:r>
        <w:rPr/>
        <w:t>点，兼顾对智慧档案、智慧司法业务的赋能；对外拓展电子存证、药品溯源、供应链管理等 业务领域，实现“信发链”在各行各业的应用落地。报告期内“信发链”已为云南重要产品</w:t>
      </w:r>
      <w:r>
        <w:rPr>
          <w:spacing w:val="-109"/>
        </w:rPr>
        <w:t> </w:t>
      </w:r>
      <w:r>
        <w:rPr>
          <w:spacing w:val="-109"/>
        </w:rPr>
      </w:r>
      <w:r>
        <w:rPr>
          <w:spacing w:val="-5"/>
        </w:rPr>
        <w:t>追溯平台（国内率先应用区块链的省级重要产品追溯体系平台）、盱眙龙虾质量追溯平台、土</w:t>
      </w:r>
      <w:r>
        <w:rPr/>
        <w:t> </w:t>
      </w:r>
      <w:r>
        <w:rPr>
          <w:spacing w:val="-5"/>
        </w:rPr>
        <w:t>山土水农产品追溯系统等赋能，特别是首届中国国际进口博览会期间，“信发链”赋能进博会</w:t>
      </w:r>
      <w:r>
        <w:rPr>
          <w:spacing w:val="-118"/>
        </w:rPr>
        <w:t> </w:t>
      </w:r>
      <w:r>
        <w:rPr>
          <w:spacing w:val="-118"/>
        </w:rPr>
      </w:r>
      <w:r>
        <w:rPr/>
        <w:t>的食品安全追溯，取得了不错的市场影响力和社会效益。</w:t>
      </w:r>
    </w:p>
    <w:p>
      <w:pPr>
        <w:pStyle w:val="BodyText"/>
        <w:spacing w:line="237" w:lineRule="auto" w:before="40"/>
        <w:ind w:right="998" w:firstLine="480"/>
        <w:jc w:val="left"/>
      </w:pPr>
      <w:r>
        <w:rPr>
          <w:rFonts w:ascii="宋体" w:hAnsi="宋体" w:cs="宋体" w:eastAsia="宋体" w:hint="default"/>
          <w:spacing w:val="-2"/>
        </w:rPr>
        <w:t>2018</w:t>
      </w:r>
      <w:r>
        <w:rPr>
          <w:spacing w:val="-2"/>
        </w:rPr>
        <w:t>年</w:t>
      </w:r>
      <w:r>
        <w:rPr>
          <w:rFonts w:ascii="宋体" w:hAnsi="宋体" w:cs="宋体" w:eastAsia="宋体" w:hint="default"/>
          <w:spacing w:val="-2"/>
        </w:rPr>
        <w:t>11</w:t>
      </w:r>
      <w:r>
        <w:rPr>
          <w:spacing w:val="-2"/>
        </w:rPr>
        <w:t>月</w:t>
      </w:r>
      <w:r>
        <w:rPr>
          <w:rFonts w:ascii="宋体" w:hAnsi="宋体" w:cs="宋体" w:eastAsia="宋体" w:hint="default"/>
          <w:spacing w:val="-2"/>
        </w:rPr>
        <w:t>16</w:t>
      </w:r>
      <w:r>
        <w:rPr>
          <w:spacing w:val="-2"/>
        </w:rPr>
        <w:t>日，在商务部、上海、江苏、浙江、安徽等三省一市商务主管部门指导下，</w:t>
      </w:r>
      <w:r>
        <w:rPr/>
        <w:t> 长三角重要产品追溯联盟暨长三角区块链追溯联盟正式成立，公司作为联盟理事长单位，将 </w:t>
      </w:r>
      <w:r>
        <w:rPr>
          <w:spacing w:val="-3"/>
        </w:rPr>
        <w:t>与联盟成员单位一起推动以企业为主体，搭建江、浙、沪、皖三省一市重要产品追溯的平台，</w:t>
      </w:r>
      <w:r>
        <w:rPr>
          <w:spacing w:val="-81"/>
        </w:rPr>
        <w:t> </w:t>
      </w:r>
      <w:r>
        <w:rPr>
          <w:spacing w:val="-81"/>
        </w:rPr>
      </w:r>
      <w:r>
        <w:rPr/>
        <w:t>利用区块链技术打造“源头可溯，环节可控，去向可查，人员可管，风险可防，安全可靠”</w:t>
      </w:r>
      <w:r>
        <w:rPr>
          <w:spacing w:val="-110"/>
        </w:rPr>
        <w:t> </w:t>
      </w:r>
      <w:r>
        <w:rPr>
          <w:spacing w:val="-110"/>
        </w:rPr>
      </w:r>
      <w:r>
        <w:rPr/>
        <w:t>的重要产品追溯体系。实现跨区域、跨部门追溯信息互联、互通、互认、互查，增加重要产 品信息追溯产业影响力，保障食品安全。</w:t>
      </w:r>
    </w:p>
    <w:p>
      <w:pPr>
        <w:spacing w:line="240" w:lineRule="auto" w:before="10"/>
        <w:rPr>
          <w:rFonts w:ascii="宋体" w:hAnsi="宋体" w:cs="宋体" w:eastAsia="宋体" w:hint="default"/>
          <w:sz w:val="22"/>
          <w:szCs w:val="22"/>
        </w:rPr>
      </w:pPr>
    </w:p>
    <w:p>
      <w:pPr>
        <w:pStyle w:val="Heading4"/>
        <w:spacing w:line="240" w:lineRule="auto"/>
        <w:ind w:right="0"/>
        <w:jc w:val="left"/>
        <w:rPr>
          <w:b w:val="0"/>
          <w:bCs w:val="0"/>
        </w:rPr>
      </w:pPr>
      <w:bookmarkStart w:name="二、主要资产重大变化情况" w:id="17"/>
      <w:bookmarkEnd w:id="17"/>
      <w:r>
        <w:rPr>
          <w:b w:val="0"/>
          <w:bCs w:val="0"/>
        </w:rPr>
      </w:r>
      <w:r>
        <w:rPr/>
        <w:t>二、主要资产重大变化情况</w:t>
      </w:r>
      <w:r>
        <w:rPr>
          <w:b w:val="0"/>
          <w:bCs w:val="0"/>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主要资产重大变化情况" w:id="18"/>
      <w:bookmarkEnd w:id="18"/>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、主要资产重大变化情况</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052"/>
        <w:gridCol w:w="6517"/>
      </w:tblGrid>
      <w:tr>
        <w:trPr>
          <w:trHeight w:val="36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主要资产</w:t>
            </w:r>
          </w:p>
        </w:tc>
        <w:tc>
          <w:tcPr>
            <w:tcW w:w="65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重大变化说明</w:t>
            </w:r>
          </w:p>
        </w:tc>
      </w:tr>
    </w:tbl>
    <w:p>
      <w:pPr>
        <w:spacing w:after="0" w:line="240" w:lineRule="auto"/>
        <w:jc w:val="center"/>
        <w:rPr>
          <w:rFonts w:ascii="宋体" w:hAnsi="宋体" w:cs="宋体" w:eastAsia="宋体" w:hint="default"/>
          <w:sz w:val="18"/>
          <w:szCs w:val="18"/>
        </w:rPr>
        <w:sectPr>
          <w:pgSz w:w="11910" w:h="16840"/>
          <w:pgMar w:header="822" w:footer="1019" w:top="1140" w:bottom="1200" w:left="1020" w:right="0"/>
        </w:sectPr>
      </w:pPr>
    </w:p>
    <w:p>
      <w:pPr>
        <w:spacing w:line="240" w:lineRule="auto" w:before="9"/>
        <w:rPr>
          <w:rFonts w:ascii="宋体" w:hAnsi="宋体" w:cs="宋体" w:eastAsia="宋体" w:hint="default"/>
          <w:b/>
          <w:bCs/>
          <w:sz w:val="22"/>
          <w:szCs w:val="22"/>
        </w:rPr>
      </w:pPr>
    </w:p>
    <w:tbl>
      <w:tblPr>
        <w:tblW w:w="0" w:type="auto"/>
        <w:jc w:val="left"/>
        <w:tblInd w:w="109" w:type="dxa"/>
        <w:tblLayout w:type="fixed"/>
        <w:tblCellMar>
          <w:top w:w="0" w:type="dxa"/>
          <w:left w:w="0" w:type="dxa"/>
          <w:bottom w:w="0" w:type="dxa"/>
          <w:right w:w="0" w:type="dxa"/>
        </w:tblCellMar>
        <w:tblLook w:val="01E0"/>
      </w:tblPr>
      <w:tblGrid>
        <w:gridCol w:w="3052"/>
        <w:gridCol w:w="6517"/>
      </w:tblGrid>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517"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股权资产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无重大变化</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期末较期初增长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336.32%</w:t>
            </w:r>
            <w:r>
              <w:rPr>
                <w:rFonts w:ascii="宋体" w:hAnsi="宋体" w:cs="宋体" w:eastAsia="宋体" w:hint="default"/>
                <w:sz w:val="18"/>
                <w:szCs w:val="18"/>
              </w:rPr>
              <w:t>，系在建项目材料采购的预付款增加</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期末较期初增长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31.43%</w:t>
            </w:r>
            <w:r>
              <w:rPr>
                <w:rFonts w:ascii="宋体" w:hAnsi="宋体" w:cs="宋体" w:eastAsia="宋体" w:hint="default"/>
                <w:sz w:val="18"/>
                <w:szCs w:val="18"/>
              </w:rPr>
              <w:t>，系支付易批生鲜信息发展股份有限公司投资款</w:t>
            </w:r>
          </w:p>
        </w:tc>
      </w:tr>
      <w:tr>
        <w:trPr>
          <w:trHeight w:val="402"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宋体" w:hAnsi="宋体" w:cs="宋体" w:eastAsia="宋体" w:hint="default"/>
                <w:sz w:val="18"/>
                <w:szCs w:val="18"/>
              </w:rPr>
              <w:t>期末较期初增长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100.00%</w:t>
            </w:r>
            <w:r>
              <w:rPr>
                <w:rFonts w:ascii="宋体" w:hAnsi="宋体" w:cs="宋体" w:eastAsia="宋体" w:hint="default"/>
                <w:sz w:val="18"/>
                <w:szCs w:val="18"/>
              </w:rPr>
              <w:t>，系本期新增采用分期收款形式项目的应收款项</w:t>
            </w:r>
          </w:p>
        </w:tc>
      </w:tr>
      <w:tr>
        <w:trPr>
          <w:trHeight w:val="714" w:hRule="exact"/>
        </w:trPr>
        <w:tc>
          <w:tcPr>
            <w:tcW w:w="30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6517"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101" w:right="132"/>
              <w:jc w:val="left"/>
              <w:rPr>
                <w:rFonts w:ascii="宋体" w:hAnsi="宋体" w:cs="宋体" w:eastAsia="宋体" w:hint="default"/>
                <w:sz w:val="18"/>
                <w:szCs w:val="18"/>
              </w:rPr>
            </w:pPr>
            <w:r>
              <w:rPr>
                <w:rFonts w:ascii="宋体" w:hAnsi="宋体" w:cs="宋体" w:eastAsia="宋体" w:hint="default"/>
                <w:sz w:val="18"/>
                <w:szCs w:val="18"/>
              </w:rPr>
              <w:t>期末较期初增长</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100.00%</w:t>
            </w:r>
            <w:r>
              <w:rPr>
                <w:rFonts w:ascii="宋体" w:hAnsi="宋体" w:cs="宋体" w:eastAsia="宋体" w:hint="default"/>
                <w:sz w:val="18"/>
                <w:szCs w:val="18"/>
              </w:rPr>
              <w:t>，系本期新增采用分期收款形式项目的一年内到期的应 收款项</w:t>
            </w:r>
          </w:p>
        </w:tc>
      </w:tr>
    </w:tbl>
    <w:p>
      <w:pPr>
        <w:spacing w:line="240" w:lineRule="auto" w:before="2"/>
        <w:rPr>
          <w:rFonts w:ascii="宋体" w:hAnsi="宋体" w:cs="宋体" w:eastAsia="宋体" w:hint="default"/>
          <w:b/>
          <w:bCs/>
          <w:sz w:val="19"/>
          <w:szCs w:val="19"/>
        </w:rPr>
      </w:pPr>
    </w:p>
    <w:p>
      <w:pPr>
        <w:spacing w:before="35"/>
        <w:ind w:left="114" w:right="0" w:firstLine="0"/>
        <w:jc w:val="left"/>
        <w:rPr>
          <w:rFonts w:ascii="宋体" w:hAnsi="宋体" w:cs="宋体" w:eastAsia="宋体" w:hint="default"/>
          <w:sz w:val="21"/>
          <w:szCs w:val="21"/>
        </w:rPr>
      </w:pPr>
      <w:bookmarkStart w:name="2、主要境外资产情况" w:id="19"/>
      <w:bookmarkEnd w:id="19"/>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、主要境外资产情况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4"/>
        <w:spacing w:line="240" w:lineRule="auto"/>
        <w:ind w:right="0"/>
        <w:jc w:val="left"/>
        <w:rPr>
          <w:b w:val="0"/>
          <w:bCs w:val="0"/>
        </w:rPr>
      </w:pPr>
      <w:bookmarkStart w:name="三、核心竞争力分析" w:id="20"/>
      <w:bookmarkEnd w:id="20"/>
      <w:r>
        <w:rPr>
          <w:b w:val="0"/>
          <w:bCs w:val="0"/>
        </w:rPr>
      </w:r>
      <w:r>
        <w:rPr/>
        <w:t>三、核心竞争力分析</w:t>
      </w:r>
      <w:r>
        <w:rPr>
          <w:b w:val="0"/>
          <w:bCs w:val="0"/>
        </w:rPr>
      </w:r>
    </w:p>
    <w:p>
      <w:pPr>
        <w:spacing w:line="240" w:lineRule="auto" w:before="7"/>
        <w:rPr>
          <w:rFonts w:ascii="宋体" w:hAnsi="宋体" w:cs="宋体" w:eastAsia="宋体" w:hint="default"/>
          <w:b/>
          <w:bCs/>
          <w:sz w:val="26"/>
          <w:szCs w:val="26"/>
        </w:rPr>
      </w:pPr>
    </w:p>
    <w:p>
      <w:pPr>
        <w:spacing w:line="360" w:lineRule="auto" w:before="0"/>
        <w:ind w:left="11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6"/>
        <w:ind w:left="114" w:right="0" w:firstLine="0"/>
        <w:jc w:val="left"/>
        <w:rPr>
          <w:rFonts w:ascii="宋体" w:hAnsi="宋体" w:cs="宋体" w:eastAsia="宋体" w:hint="default"/>
          <w:sz w:val="18"/>
          <w:szCs w:val="18"/>
        </w:rPr>
      </w:pPr>
      <w:r>
        <w:rPr>
          <w:rFonts w:ascii="宋体" w:hAnsi="宋体" w:cs="宋体" w:eastAsia="宋体" w:hint="default"/>
          <w:sz w:val="18"/>
          <w:szCs w:val="18"/>
        </w:rPr>
        <w:t>软件与信息技术服务业</w:t>
      </w:r>
    </w:p>
    <w:p>
      <w:pPr>
        <w:spacing w:line="312" w:lineRule="exact" w:before="96"/>
        <w:ind w:left="594" w:right="1152" w:firstLine="2"/>
        <w:jc w:val="left"/>
        <w:rPr>
          <w:rFonts w:ascii="宋体" w:hAnsi="宋体" w:cs="宋体" w:eastAsia="宋体" w:hint="default"/>
          <w:sz w:val="24"/>
          <w:szCs w:val="24"/>
        </w:rPr>
      </w:pPr>
      <w:r>
        <w:rPr>
          <w:rFonts w:ascii="宋体" w:hAnsi="宋体" w:cs="宋体" w:eastAsia="宋体" w:hint="default"/>
          <w:b/>
          <w:bCs/>
          <w:sz w:val="24"/>
          <w:szCs w:val="24"/>
        </w:rPr>
        <w:t>1</w:t>
      </w:r>
      <w:r>
        <w:rPr>
          <w:rFonts w:ascii="宋体" w:hAnsi="宋体" w:cs="宋体" w:eastAsia="宋体" w:hint="default"/>
          <w:b/>
          <w:bCs/>
          <w:sz w:val="24"/>
          <w:szCs w:val="24"/>
        </w:rPr>
        <w:t>、技术及研发优势</w:t>
      </w:r>
      <w:r>
        <w:rPr>
          <w:rFonts w:ascii="宋体" w:hAnsi="宋体" w:cs="宋体" w:eastAsia="宋体" w:hint="default"/>
          <w:b/>
          <w:bCs/>
          <w:w w:val="99"/>
          <w:sz w:val="24"/>
          <w:szCs w:val="24"/>
        </w:rPr>
        <w:t> </w:t>
      </w:r>
      <w:r>
        <w:rPr>
          <w:rFonts w:ascii="宋体" w:hAnsi="宋体" w:cs="宋体" w:eastAsia="宋体" w:hint="default"/>
          <w:sz w:val="24"/>
          <w:szCs w:val="24"/>
        </w:rPr>
        <w:t>公司高度重视企业自主创新，建立了完备的产品研发体系，具有领先的研发创新能力。</w:t>
      </w:r>
    </w:p>
    <w:p>
      <w:pPr>
        <w:pStyle w:val="BodyText"/>
        <w:spacing w:line="282" w:lineRule="exact"/>
        <w:ind w:right="0"/>
        <w:jc w:val="left"/>
      </w:pPr>
      <w:r>
        <w:rPr/>
        <w:t>公司逐年加大科研经费的投入，加强研发队伍的建设。</w:t>
      </w:r>
    </w:p>
    <w:p>
      <w:pPr>
        <w:spacing w:line="312" w:lineRule="exact" w:before="29"/>
        <w:ind w:left="594" w:right="0" w:firstLine="0"/>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1</w:t>
      </w:r>
      <w:r>
        <w:rPr>
          <w:rFonts w:ascii="宋体" w:hAnsi="宋体" w:cs="宋体" w:eastAsia="宋体" w:hint="default"/>
          <w:b/>
          <w:bCs/>
          <w:sz w:val="24"/>
          <w:szCs w:val="24"/>
        </w:rPr>
        <w:t>）公司具有如下技术优势：</w:t>
      </w:r>
      <w:r>
        <w:rPr>
          <w:rFonts w:ascii="宋体" w:hAnsi="宋体" w:cs="宋体" w:eastAsia="宋体" w:hint="default"/>
          <w:b/>
          <w:bCs/>
          <w:w w:val="99"/>
          <w:sz w:val="24"/>
          <w:szCs w:val="24"/>
        </w:rPr>
        <w:t> </w:t>
      </w:r>
      <w:r>
        <w:rPr>
          <w:rFonts w:ascii="宋体" w:hAnsi="宋体" w:cs="宋体" w:eastAsia="宋体" w:hint="default"/>
          <w:spacing w:val="-6"/>
          <w:sz w:val="24"/>
          <w:szCs w:val="24"/>
        </w:rPr>
        <w:t>1</w:t>
      </w:r>
      <w:r>
        <w:rPr>
          <w:rFonts w:ascii="宋体" w:hAnsi="宋体" w:cs="宋体" w:eastAsia="宋体" w:hint="default"/>
          <w:spacing w:val="-6"/>
          <w:sz w:val="24"/>
          <w:szCs w:val="24"/>
        </w:rPr>
        <w:t>）公司设立了专职从事科技创新研发的机构——信息发展研究院。研究院以科研为基础，</w:t>
      </w:r>
    </w:p>
    <w:p>
      <w:pPr>
        <w:pStyle w:val="BodyText"/>
        <w:spacing w:line="312" w:lineRule="exact"/>
        <w:ind w:right="1170"/>
        <w:jc w:val="both"/>
      </w:pPr>
      <w:r>
        <w:rPr/>
        <w:t>以人才为根本，以市场为导向，以创新为手段，通过开展市场研究、业务研究、技术研究和 产品研发，大力实施科技成果产业化，为企业的发展提供源动力，为我国食品安全、档案、 司法行业科技水平的提升做出应有的贡献。</w:t>
      </w:r>
    </w:p>
    <w:p>
      <w:pPr>
        <w:pStyle w:val="BodyText"/>
        <w:spacing w:line="312" w:lineRule="exact"/>
        <w:ind w:right="1132" w:firstLine="480"/>
        <w:jc w:val="both"/>
      </w:pPr>
      <w:r>
        <w:rPr>
          <w:rFonts w:ascii="宋体" w:hAnsi="宋体" w:cs="宋体" w:eastAsia="宋体" w:hint="default"/>
          <w:spacing w:val="-4"/>
        </w:rPr>
        <w:t>2</w:t>
      </w:r>
      <w:r>
        <w:rPr>
          <w:spacing w:val="-4"/>
        </w:rPr>
        <w:t>）报告期内，公司在信息发展研究院中设立了“光曜”实验室。“光曜”实验室集中了</w:t>
      </w:r>
      <w:r>
        <w:rPr/>
        <w:t> 公司最优秀的系统架构师</w:t>
      </w:r>
      <w:r>
        <w:rPr>
          <w:rFonts w:ascii="宋体" w:hAnsi="宋体" w:cs="宋体" w:eastAsia="宋体" w:hint="default"/>
        </w:rPr>
        <w:t>20</w:t>
      </w:r>
      <w:r>
        <w:rPr/>
        <w:t>余名，定位于公司所需新技术的研究，该实验室不研发独立的产 品，而是着力于前沿技术的研究，分享研究成果，提升产品技术含量，为公司各业务部门提 </w:t>
      </w:r>
      <w:r>
        <w:rPr>
          <w:spacing w:val="-5"/>
        </w:rPr>
        <w:t>供创新动力。“光曜”实验室作为一个实体部门，平时对“云数物智链”等创新技术方向展开</w:t>
      </w:r>
      <w:r>
        <w:rPr/>
        <w:t> 研究，将研究成果尽快应用于相关项目和产品；战时迅速组建由系统架构师牵头的跨部门技 术攻坚团队，力争短期内解决技术难题。</w:t>
      </w:r>
    </w:p>
    <w:p>
      <w:pPr>
        <w:pStyle w:val="BodyText"/>
        <w:spacing w:line="312" w:lineRule="exact"/>
        <w:ind w:right="1132" w:firstLine="480"/>
        <w:jc w:val="both"/>
      </w:pPr>
      <w:r>
        <w:rPr>
          <w:rFonts w:ascii="宋体" w:hAnsi="宋体" w:cs="宋体" w:eastAsia="宋体" w:hint="default"/>
          <w:spacing w:val="-3"/>
        </w:rPr>
        <w:t>3</w:t>
      </w:r>
      <w:r>
        <w:rPr>
          <w:spacing w:val="-3"/>
        </w:rPr>
        <w:t>）报告期内，公司与霍尼韦尔签订合作谅解备忘录，落实区块链技术在农产品质量安全</w:t>
      </w:r>
      <w:r>
        <w:rPr/>
        <w:t> 追溯中的应用、生物芯片在农残快检设备的研制与推广两个研究方向，相关成果得到双方董 事会的一致认同。信息发展与霍尼韦尔在食品安全领域各自发挥自己的优势，信息发展的行</w:t>
      </w:r>
    </w:p>
    <w:p>
      <w:pPr>
        <w:pStyle w:val="BodyText"/>
        <w:spacing w:line="312" w:lineRule="exact"/>
        <w:ind w:right="1032"/>
        <w:jc w:val="left"/>
      </w:pPr>
      <w:r>
        <w:rPr/>
        <w:t>业经验和技术储备结合霍尼韦尔在加密技术、安全认证、快检设备等领域的技术优势，将推 动食品安全供应链领域的技术发展。</w:t>
      </w:r>
      <w:r>
        <w:rPr>
          <w:rFonts w:ascii="宋体" w:hAnsi="宋体" w:cs="宋体" w:eastAsia="宋体" w:hint="default"/>
        </w:rPr>
        <w:t>2018</w:t>
      </w:r>
      <w:r>
        <w:rPr/>
        <w:t>年</w:t>
      </w:r>
      <w:r>
        <w:rPr>
          <w:rFonts w:ascii="宋体" w:hAnsi="宋体" w:cs="宋体" w:eastAsia="宋体" w:hint="default"/>
        </w:rPr>
        <w:t>11</w:t>
      </w:r>
      <w:r>
        <w:rPr/>
        <w:t>月</w:t>
      </w:r>
      <w:r>
        <w:rPr>
          <w:rFonts w:ascii="宋体" w:hAnsi="宋体" w:cs="宋体" w:eastAsia="宋体" w:hint="default"/>
        </w:rPr>
        <w:t>1</w:t>
      </w:r>
      <w:r>
        <w:rPr/>
        <w:t>日，公司与霍尼韦尔成立联合创新实验室， 进一步推进基于区块链的农产品质量安全追溯系统以及基于生物芯片的农残快检设备两个项 目的研发。</w:t>
      </w:r>
    </w:p>
    <w:p>
      <w:pPr>
        <w:spacing w:after="0" w:line="312" w:lineRule="exact"/>
        <w:jc w:val="left"/>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237" w:lineRule="auto" w:before="28"/>
        <w:ind w:right="1131" w:firstLine="480"/>
        <w:jc w:val="both"/>
      </w:pPr>
      <w:r>
        <w:rPr>
          <w:rFonts w:ascii="宋体" w:hAnsi="宋体" w:cs="宋体" w:eastAsia="宋体" w:hint="default"/>
          <w:spacing w:val="-3"/>
        </w:rPr>
        <w:t>4</w:t>
      </w:r>
      <w:r>
        <w:rPr>
          <w:spacing w:val="-3"/>
        </w:rPr>
        <w:t>）报告期内，公司与阿里巴巴（中国）有限公司签订合作框架协议达成在人工智能领域</w:t>
      </w:r>
      <w:r>
        <w:rPr/>
        <w:t> 广泛合作，将充分发挥各自优势，确定人工智能在智慧食安、智慧档案、智慧政法、智慧农 业等领域的潜在合作机会，联合推出 </w:t>
      </w:r>
      <w:r>
        <w:rPr>
          <w:rFonts w:ascii="宋体" w:hAnsi="宋体" w:cs="宋体" w:eastAsia="宋体" w:hint="default"/>
        </w:rPr>
        <w:t>AI+</w:t>
      </w:r>
      <w:r>
        <w:rPr/>
        <w:t>行业解决方案。信息发展结合自身在食安、档案、 政法、农业信息化领域的行业知识积淀，借助阿里巴巴在人工智能领域的强大技术实力，实 现对智慧食安、智慧档案、智慧政法、智慧农业领域的 </w:t>
      </w:r>
      <w:r>
        <w:rPr>
          <w:rFonts w:ascii="宋体" w:hAnsi="宋体" w:cs="宋体" w:eastAsia="宋体" w:hint="default"/>
        </w:rPr>
        <w:t>AI </w:t>
      </w:r>
      <w:r>
        <w:rPr/>
        <w:t>赋能，以期实现对信息发展现有 产品和解决方案“智慧化程度”的大幅度提升。双方将以务实的态度推动上述行业的技术创 新、模式创新、业务创新和应用创新，共同开拓行业智慧应用市场。</w:t>
      </w:r>
    </w:p>
    <w:p>
      <w:pPr>
        <w:pStyle w:val="BodyText"/>
        <w:spacing w:line="312" w:lineRule="exact" w:before="29"/>
        <w:ind w:right="1169" w:firstLine="480"/>
        <w:jc w:val="both"/>
      </w:pPr>
      <w:r>
        <w:rPr>
          <w:rFonts w:ascii="宋体" w:hAnsi="宋体" w:cs="宋体" w:eastAsia="宋体" w:hint="default"/>
        </w:rPr>
        <w:t>5</w:t>
      </w:r>
      <w:r>
        <w:rPr/>
        <w:t>）报告期内，公司与挪威</w:t>
      </w:r>
      <w:r>
        <w:rPr>
          <w:rFonts w:ascii="宋体" w:hAnsi="宋体" w:cs="宋体" w:eastAsia="宋体" w:hint="default"/>
        </w:rPr>
        <w:t>Piql AS</w:t>
      </w:r>
      <w:r>
        <w:rPr/>
        <w:t>签订战略合作意向书，就数字时代感光胶片的制作、 保存保管、读写利用等技术签订合作意向协议，将先进的数字胶片技术引入中国市场，填补 市场空白，为现有和新客户提供数字信息长期保存服务，满足客户安全数据存储或长期数字 保存的需求。</w:t>
      </w:r>
    </w:p>
    <w:p>
      <w:pPr>
        <w:pStyle w:val="BodyText"/>
        <w:spacing w:line="312" w:lineRule="exact"/>
        <w:ind w:right="1130" w:firstLine="480"/>
        <w:jc w:val="both"/>
      </w:pPr>
      <w:r>
        <w:rPr>
          <w:rFonts w:ascii="宋体" w:hAnsi="宋体" w:cs="宋体" w:eastAsia="宋体" w:hint="default"/>
        </w:rPr>
        <w:t>6</w:t>
      </w:r>
      <w:r>
        <w:rPr/>
        <w:t>）</w:t>
      </w:r>
      <w:r>
        <w:rPr>
          <w:rFonts w:ascii="宋体" w:hAnsi="宋体" w:cs="宋体" w:eastAsia="宋体" w:hint="default"/>
        </w:rPr>
        <w:t>2018</w:t>
      </w:r>
      <w:r>
        <w:rPr/>
        <w:t>年</w:t>
      </w:r>
      <w:r>
        <w:rPr>
          <w:rFonts w:ascii="宋体" w:hAnsi="宋体" w:cs="宋体" w:eastAsia="宋体" w:hint="default"/>
        </w:rPr>
        <w:t>4</w:t>
      </w:r>
      <w:r>
        <w:rPr/>
        <w:t>月以我司为第一署名人的国家档案行业标准</w:t>
      </w:r>
      <w:r>
        <w:rPr>
          <w:rFonts w:ascii="宋体" w:hAnsi="宋体" w:cs="宋体" w:eastAsia="宋体" w:hint="default"/>
        </w:rPr>
        <w:t>DA/T</w:t>
      </w:r>
      <w:r>
        <w:rPr>
          <w:rFonts w:ascii="宋体" w:hAnsi="宋体" w:cs="宋体" w:eastAsia="宋体" w:hint="default"/>
          <w:spacing w:val="-80"/>
        </w:rPr>
        <w:t> </w:t>
      </w:r>
      <w:r>
        <w:rPr>
          <w:rFonts w:ascii="宋体" w:hAnsi="宋体" w:cs="宋体" w:eastAsia="宋体" w:hint="default"/>
        </w:rPr>
        <w:t>70</w:t>
      </w:r>
      <w:r>
        <w:rPr/>
        <w:t>《文书类电子档案检测一 般要求》正式发布，并于</w:t>
      </w:r>
      <w:r>
        <w:rPr>
          <w:rFonts w:ascii="宋体" w:hAnsi="宋体" w:cs="宋体" w:eastAsia="宋体" w:hint="default"/>
        </w:rPr>
        <w:t>2018</w:t>
      </w:r>
      <w:r>
        <w:rPr/>
        <w:t>年</w:t>
      </w:r>
      <w:r>
        <w:rPr>
          <w:rFonts w:ascii="宋体" w:hAnsi="宋体" w:cs="宋体" w:eastAsia="宋体" w:hint="default"/>
        </w:rPr>
        <w:t>10</w:t>
      </w:r>
      <w:r>
        <w:rPr/>
        <w:t>月正式实施。截止报告期末，公司共参与制定正式发布的 国家标准</w:t>
      </w:r>
      <w:r>
        <w:rPr>
          <w:rFonts w:ascii="宋体" w:hAnsi="宋体" w:cs="宋体" w:eastAsia="宋体" w:hint="default"/>
        </w:rPr>
        <w:t>1</w:t>
      </w:r>
      <w:r>
        <w:rPr/>
        <w:t>项，行业标准</w:t>
      </w:r>
      <w:r>
        <w:rPr>
          <w:rFonts w:ascii="宋体" w:hAnsi="宋体" w:cs="宋体" w:eastAsia="宋体" w:hint="default"/>
        </w:rPr>
        <w:t>3</w:t>
      </w:r>
      <w:r>
        <w:rPr/>
        <w:t>项，地方标准</w:t>
      </w:r>
      <w:r>
        <w:rPr>
          <w:rFonts w:ascii="宋体" w:hAnsi="宋体" w:cs="宋体" w:eastAsia="宋体" w:hint="default"/>
        </w:rPr>
        <w:t>9</w:t>
      </w:r>
      <w:r>
        <w:rPr/>
        <w:t>项。</w:t>
      </w:r>
    </w:p>
    <w:p>
      <w:pPr>
        <w:pStyle w:val="BodyText"/>
        <w:spacing w:line="312" w:lineRule="exact"/>
        <w:ind w:right="1132" w:firstLine="480"/>
        <w:jc w:val="both"/>
      </w:pPr>
      <w:r>
        <w:rPr>
          <w:rFonts w:ascii="宋体" w:hAnsi="宋体" w:cs="宋体" w:eastAsia="宋体" w:hint="default"/>
          <w:spacing w:val="-3"/>
        </w:rPr>
        <w:t>7</w:t>
      </w:r>
      <w:r>
        <w:rPr>
          <w:spacing w:val="-3"/>
        </w:rPr>
        <w:t>）报告期内，公司申报并获得受理发明专利</w:t>
      </w:r>
      <w:r>
        <w:rPr>
          <w:rFonts w:ascii="宋体" w:hAnsi="宋体" w:cs="宋体" w:eastAsia="宋体" w:hint="default"/>
          <w:spacing w:val="-3"/>
        </w:rPr>
        <w:t>17</w:t>
      </w:r>
      <w:r>
        <w:rPr>
          <w:spacing w:val="-3"/>
        </w:rPr>
        <w:t>项。截止报告期末，公司及全资、控股子</w:t>
      </w:r>
      <w:r>
        <w:rPr/>
        <w:t> 公司共取得国家知识产权局专利授权</w:t>
      </w:r>
      <w:r>
        <w:rPr>
          <w:rFonts w:ascii="宋体" w:hAnsi="宋体" w:cs="宋体" w:eastAsia="宋体" w:hint="default"/>
        </w:rPr>
        <w:t>17</w:t>
      </w:r>
      <w:r>
        <w:rPr/>
        <w:t>项，计算机软件著作权</w:t>
      </w:r>
      <w:r>
        <w:rPr>
          <w:rFonts w:ascii="宋体" w:hAnsi="宋体" w:cs="宋体" w:eastAsia="宋体" w:hint="default"/>
        </w:rPr>
        <w:t>409</w:t>
      </w:r>
      <w:r>
        <w:rPr/>
        <w:t>项，软件产品登记证书</w:t>
      </w:r>
      <w:r>
        <w:rPr>
          <w:rFonts w:ascii="宋体" w:hAnsi="宋体" w:cs="宋体" w:eastAsia="宋体" w:hint="default"/>
        </w:rPr>
        <w:t>279 </w:t>
      </w:r>
      <w:r>
        <w:rPr/>
        <w:t>项，高新成果转化</w:t>
      </w:r>
      <w:r>
        <w:rPr>
          <w:rFonts w:ascii="宋体" w:hAnsi="宋体" w:cs="宋体" w:eastAsia="宋体" w:hint="default"/>
        </w:rPr>
        <w:t>20</w:t>
      </w:r>
      <w:r>
        <w:rPr/>
        <w:t>项。</w:t>
      </w:r>
    </w:p>
    <w:p>
      <w:pPr>
        <w:spacing w:line="240" w:lineRule="auto" w:before="6"/>
        <w:rPr>
          <w:rFonts w:ascii="宋体" w:hAnsi="宋体" w:cs="宋体" w:eastAsia="宋体" w:hint="default"/>
          <w:sz w:val="21"/>
          <w:szCs w:val="21"/>
        </w:rPr>
      </w:pPr>
    </w:p>
    <w:p>
      <w:pPr>
        <w:pStyle w:val="Heading4"/>
        <w:spacing w:line="313" w:lineRule="exact"/>
        <w:ind w:left="594" w:right="0"/>
        <w:jc w:val="left"/>
        <w:rPr>
          <w:b w:val="0"/>
          <w:bCs w:val="0"/>
        </w:rPr>
      </w:pPr>
      <w:r>
        <w:rPr/>
        <w:t>（</w:t>
      </w:r>
      <w:r>
        <w:rPr>
          <w:rFonts w:ascii="宋体" w:hAnsi="宋体" w:cs="宋体" w:eastAsia="宋体" w:hint="default"/>
        </w:rPr>
        <w:t>2</w:t>
      </w:r>
      <w:r>
        <w:rPr/>
        <w:t>）公司具有如下研发优势：</w:t>
      </w:r>
      <w:r>
        <w:rPr>
          <w:b w:val="0"/>
          <w:bCs w:val="0"/>
        </w:rPr>
      </w:r>
    </w:p>
    <w:p>
      <w:pPr>
        <w:pStyle w:val="BodyText"/>
        <w:spacing w:line="312" w:lineRule="exact" w:before="29"/>
        <w:ind w:right="1132" w:firstLine="480"/>
        <w:jc w:val="both"/>
      </w:pPr>
      <w:r>
        <w:rPr>
          <w:rFonts w:ascii="宋体" w:hAnsi="宋体" w:cs="宋体" w:eastAsia="宋体" w:hint="default"/>
          <w:spacing w:val="-2"/>
        </w:rPr>
        <w:t>1</w:t>
      </w:r>
      <w:r>
        <w:rPr>
          <w:spacing w:val="-2"/>
        </w:rPr>
        <w:t>）公司十分注重自主创新研发能力的建设，以</w:t>
      </w:r>
      <w:r>
        <w:rPr>
          <w:rFonts w:ascii="宋体" w:hAnsi="宋体" w:cs="宋体" w:eastAsia="宋体" w:hint="default"/>
          <w:spacing w:val="-2"/>
        </w:rPr>
        <w:t>CMMI-L5</w:t>
      </w:r>
      <w:r>
        <w:rPr>
          <w:spacing w:val="-2"/>
        </w:rPr>
        <w:t>以及</w:t>
      </w:r>
      <w:r>
        <w:rPr>
          <w:rFonts w:ascii="宋体" w:hAnsi="宋体" w:cs="宋体" w:eastAsia="宋体" w:hint="default"/>
          <w:spacing w:val="-2"/>
        </w:rPr>
        <w:t>IPD</w:t>
      </w:r>
      <w:r>
        <w:rPr>
          <w:spacing w:val="-2"/>
        </w:rPr>
        <w:t>研发体系为指导，把自主</w:t>
      </w:r>
      <w:r>
        <w:rPr/>
        <w:t> 创新研发作为立足市场不败之地的法宝，为此公司推出了“产品花园模型”和“软件工厂模 型”两大先进的研发理念，提高产品研发效率，提升公司的创新能力及核心竞争力。</w:t>
      </w:r>
    </w:p>
    <w:p>
      <w:pPr>
        <w:pStyle w:val="BodyText"/>
        <w:spacing w:line="312" w:lineRule="exact"/>
        <w:ind w:right="1008" w:firstLine="480"/>
        <w:jc w:val="left"/>
      </w:pPr>
      <w:r>
        <w:rPr>
          <w:rFonts w:ascii="宋体" w:hAnsi="宋体" w:cs="宋体" w:eastAsia="宋体" w:hint="default"/>
          <w:spacing w:val="-3"/>
        </w:rPr>
        <w:t>2</w:t>
      </w:r>
      <w:r>
        <w:rPr>
          <w:spacing w:val="-3"/>
        </w:rPr>
        <w:t>）公司在智慧食安、智慧档案、智慧司法领域建立了六大应用产品线，在各个领域中不</w:t>
      </w:r>
      <w:r>
        <w:rPr/>
        <w:t> </w:t>
      </w:r>
      <w:r>
        <w:rPr>
          <w:spacing w:val="-8"/>
        </w:rPr>
        <w:t>断推陈出新具有自主知识产权的软件产品和整体解决方案，实现应用产品树上的“繁茂枝叶”。</w:t>
      </w:r>
      <w:r>
        <w:rPr>
          <w:spacing w:val="-106"/>
        </w:rPr>
        <w:t> </w:t>
      </w:r>
      <w:r>
        <w:rPr>
          <w:spacing w:val="-106"/>
        </w:rPr>
      </w:r>
      <w:r>
        <w:rPr>
          <w:spacing w:val="-6"/>
        </w:rPr>
        <w:t>公司的“云基”平台软件系列（包括系统管理平台、基础组件平台、智能监控平台等）、“灵</w:t>
      </w:r>
      <w:r>
        <w:rPr>
          <w:spacing w:val="-114"/>
        </w:rPr>
        <w:t> </w:t>
      </w:r>
      <w:r>
        <w:rPr>
          <w:spacing w:val="-114"/>
        </w:rPr>
      </w:r>
      <w:r>
        <w:rPr>
          <w:spacing w:val="-6"/>
        </w:rPr>
        <w:t>器”工具软件系列（包括文件格式转换工具、通用文件浏览器等）、“光曜”实验室技术创新</w:t>
      </w:r>
      <w:r>
        <w:rPr>
          <w:spacing w:val="-114"/>
        </w:rPr>
        <w:t> </w:t>
      </w:r>
      <w:r>
        <w:rPr>
          <w:spacing w:val="-114"/>
        </w:rPr>
      </w:r>
      <w:r>
        <w:rPr/>
        <w:t>为应用软件产品提供了基础和保障，正如肥沃的土壤、灵巧的工具、充沛的阳光滋润、保护 和照耀着我们的产品树茁壮成长。</w:t>
      </w:r>
    </w:p>
    <w:p>
      <w:pPr>
        <w:pStyle w:val="BodyText"/>
        <w:spacing w:line="312" w:lineRule="exact"/>
        <w:ind w:right="1169" w:firstLine="480"/>
        <w:jc w:val="both"/>
      </w:pPr>
      <w:r>
        <w:rPr>
          <w:rFonts w:ascii="宋体" w:hAnsi="宋体" w:cs="宋体" w:eastAsia="宋体" w:hint="default"/>
        </w:rPr>
        <w:t>3</w:t>
      </w:r>
      <w:r>
        <w:rPr/>
        <w:t>）公司着力于建立一个类似于工业化工厂运行模式的“应用软件工厂</w:t>
      </w:r>
      <w:r>
        <w:rPr>
          <w:spacing w:val="-120"/>
        </w:rPr>
        <w:t>”</w:t>
      </w:r>
      <w:r>
        <w:rPr/>
        <w:t>，全面优化应用</w:t>
      </w:r>
      <w:r>
        <w:rPr/>
        <w:t> 软件“加工流水线”和“产品装配线</w:t>
      </w:r>
      <w:r>
        <w:rPr>
          <w:spacing w:val="-120"/>
        </w:rPr>
        <w:t>”</w:t>
      </w:r>
      <w:r>
        <w:rPr/>
        <w:t>，提升“管控系统”的有效性，更新“零部件</w:t>
      </w:r>
      <w:r>
        <w:rPr>
          <w:spacing w:val="-120"/>
        </w:rPr>
        <w:t>”</w:t>
      </w:r>
      <w:r>
        <w:rPr/>
        <w:t>，升级</w:t>
      </w:r>
      <w:r>
        <w:rPr/>
        <w:t> “各类工具</w:t>
      </w:r>
      <w:r>
        <w:rPr>
          <w:spacing w:val="-120"/>
        </w:rPr>
        <w:t>”</w:t>
      </w:r>
      <w:r>
        <w:rPr/>
        <w:t>，让业务构件充满“成品仓库</w:t>
      </w:r>
      <w:r>
        <w:rPr>
          <w:spacing w:val="-120"/>
        </w:rPr>
        <w:t>”</w:t>
      </w:r>
      <w:r>
        <w:rPr/>
        <w:t>，在此基础上，科学合理地设计制定“工艺操作</w:t>
      </w:r>
      <w:r>
        <w:rPr/>
        <w:t> 计划、流程和指导书</w:t>
      </w:r>
      <w:r>
        <w:rPr>
          <w:spacing w:val="-120"/>
        </w:rPr>
        <w:t>”</w:t>
      </w:r>
      <w:r>
        <w:rPr/>
        <w:t>，最终实现交付产品性能和用户满意度的进一步提高。</w:t>
      </w:r>
    </w:p>
    <w:p>
      <w:pPr>
        <w:spacing w:line="240" w:lineRule="auto" w:before="11"/>
        <w:rPr>
          <w:rFonts w:ascii="宋体" w:hAnsi="宋体" w:cs="宋体" w:eastAsia="宋体" w:hint="default"/>
          <w:sz w:val="23"/>
          <w:szCs w:val="23"/>
        </w:rPr>
      </w:pPr>
    </w:p>
    <w:p>
      <w:pPr>
        <w:pStyle w:val="BodyText"/>
        <w:spacing w:line="312" w:lineRule="exact"/>
        <w:ind w:left="594" w:right="1152" w:firstLine="2"/>
        <w:jc w:val="left"/>
      </w:pPr>
      <w:r>
        <w:rPr>
          <w:rFonts w:ascii="宋体" w:hAnsi="宋体" w:cs="宋体" w:eastAsia="宋体" w:hint="default"/>
          <w:b/>
          <w:bCs/>
        </w:rPr>
        <w:t>2</w:t>
      </w:r>
      <w:r>
        <w:rPr>
          <w:rFonts w:ascii="宋体" w:hAnsi="宋体" w:cs="宋体" w:eastAsia="宋体" w:hint="default"/>
          <w:b/>
          <w:bCs/>
        </w:rPr>
        <w:t>、人才优势</w:t>
      </w:r>
      <w:r>
        <w:rPr>
          <w:rFonts w:ascii="宋体" w:hAnsi="宋体" w:cs="宋体" w:eastAsia="宋体" w:hint="default"/>
          <w:b/>
          <w:bCs/>
          <w:w w:val="99"/>
        </w:rPr>
        <w:t> </w:t>
      </w:r>
      <w:r>
        <w:rPr/>
        <w:t>在多年的经营中，公司拥有一支既有丰富现代管理水平、又精通行业业务知识和经验，</w:t>
      </w:r>
    </w:p>
    <w:p>
      <w:pPr>
        <w:pStyle w:val="BodyText"/>
        <w:spacing w:line="312" w:lineRule="exact"/>
        <w:ind w:right="1169"/>
        <w:jc w:val="both"/>
      </w:pPr>
      <w:r>
        <w:rPr/>
        <w:t>并且结构合理的高素质人才队伍。公司深知人才是公司核心竞争力之一，因此，设有专门的 企业内部培训机构——信息发展鹰学院。不定期聘请外部资深行业专家和信息化专家等担任 讲师授课，并且实施系统性的人才培养体系，制定了人才考核制度，因材施教，建立系统性 的企业人才培育策略和计划，为公司长期稳定的发展与积极创新的活力提供了人才资源的保 障。</w:t>
      </w:r>
    </w:p>
    <w:p>
      <w:pPr>
        <w:pStyle w:val="BodyText"/>
        <w:spacing w:line="312" w:lineRule="exact"/>
        <w:ind w:right="1169" w:firstLine="480"/>
        <w:jc w:val="both"/>
      </w:pPr>
      <w:r>
        <w:rPr/>
        <w:t>报告期内，公司聘任原腾讯云副总裁黄海清先生为公司总裁，其将全面负责公司业务， 积极推动公司信息发展</w:t>
      </w:r>
      <w:r>
        <w:rPr>
          <w:rFonts w:ascii="宋体" w:hAnsi="宋体" w:cs="宋体" w:eastAsia="宋体" w:hint="default"/>
        </w:rPr>
        <w:t>2.0</w:t>
      </w:r>
      <w:r>
        <w:rPr/>
        <w:t>战略发展。同时公司也引进了符合信息发展</w:t>
      </w:r>
      <w:r>
        <w:rPr>
          <w:rFonts w:ascii="宋体" w:hAnsi="宋体" w:cs="宋体" w:eastAsia="宋体" w:hint="default"/>
        </w:rPr>
        <w:t>2.0</w:t>
      </w:r>
      <w:r>
        <w:rPr/>
        <w:t>战略的专业人才， 加速推进公司业务的发展。</w:t>
      </w:r>
    </w:p>
    <w:p>
      <w:pPr>
        <w:spacing w:after="0" w:line="312" w:lineRule="exact"/>
        <w:jc w:val="both"/>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312" w:lineRule="exact" w:before="56"/>
        <w:ind w:left="594" w:right="0" w:firstLine="2"/>
        <w:jc w:val="left"/>
      </w:pPr>
      <w:r>
        <w:rPr>
          <w:rFonts w:ascii="宋体" w:hAnsi="宋体" w:cs="宋体" w:eastAsia="宋体" w:hint="default"/>
          <w:b/>
          <w:bCs/>
        </w:rPr>
        <w:t>3</w:t>
      </w:r>
      <w:r>
        <w:rPr>
          <w:rFonts w:ascii="宋体" w:hAnsi="宋体" w:cs="宋体" w:eastAsia="宋体" w:hint="default"/>
          <w:b/>
          <w:bCs/>
        </w:rPr>
        <w:t>、营销优势</w:t>
      </w:r>
      <w:r>
        <w:rPr>
          <w:rFonts w:ascii="宋体" w:hAnsi="宋体" w:cs="宋体" w:eastAsia="宋体" w:hint="default"/>
          <w:b/>
          <w:bCs/>
          <w:w w:val="99"/>
        </w:rPr>
        <w:t> </w:t>
      </w:r>
      <w:r>
        <w:rPr>
          <w:spacing w:val="-3"/>
        </w:rPr>
        <w:t>信息发展在核心技术基础上将技术优势转化为行业市场优势和用户优势，已在智慧食安、</w:t>
      </w:r>
    </w:p>
    <w:p>
      <w:pPr>
        <w:pStyle w:val="BodyText"/>
        <w:spacing w:line="312" w:lineRule="exact"/>
        <w:ind w:right="1169"/>
        <w:jc w:val="both"/>
      </w:pPr>
      <w:r>
        <w:rPr/>
        <w:t>智慧档案、智慧司法领域及大数据、区块链创新中心的全面布局，公司建立了覆盖全国的营 销渠道和服务网络，设有</w:t>
      </w:r>
      <w:r>
        <w:rPr>
          <w:rFonts w:ascii="宋体" w:hAnsi="宋体" w:cs="宋体" w:eastAsia="宋体" w:hint="default"/>
        </w:rPr>
        <w:t>5</w:t>
      </w:r>
      <w:r>
        <w:rPr/>
        <w:t>个营销大区、</w:t>
      </w:r>
      <w:r>
        <w:rPr>
          <w:rFonts w:ascii="宋体" w:hAnsi="宋体" w:cs="宋体" w:eastAsia="宋体" w:hint="default"/>
        </w:rPr>
        <w:t>2</w:t>
      </w:r>
      <w:r>
        <w:rPr/>
        <w:t>个全资子公司、</w:t>
      </w:r>
      <w:r>
        <w:rPr>
          <w:rFonts w:ascii="宋体" w:hAnsi="宋体" w:cs="宋体" w:eastAsia="宋体" w:hint="default"/>
        </w:rPr>
        <w:t>4</w:t>
      </w:r>
      <w:r>
        <w:rPr/>
        <w:t>个控股子公司，</w:t>
      </w:r>
      <w:r>
        <w:rPr>
          <w:rFonts w:ascii="宋体" w:hAnsi="宋体" w:cs="宋体" w:eastAsia="宋体" w:hint="default"/>
        </w:rPr>
        <w:t>3</w:t>
      </w:r>
      <w:r>
        <w:rPr/>
        <w:t>个参股子公司。</w:t>
      </w:r>
    </w:p>
    <w:p>
      <w:pPr>
        <w:pStyle w:val="BodyText"/>
        <w:spacing w:line="312" w:lineRule="exact"/>
        <w:ind w:right="1169"/>
        <w:jc w:val="both"/>
      </w:pPr>
      <w:r>
        <w:rPr/>
        <w:t>公司组建了成熟稳定的营销团队，积极完善激励和培训机制，建成了可以适应区域文化、熟 悉行业特点、具备较强战斗力的营销队伍，从而推动</w:t>
      </w:r>
      <w:r>
        <w:rPr>
          <w:rFonts w:ascii="宋体" w:hAnsi="宋体" w:cs="宋体" w:eastAsia="宋体" w:hint="default"/>
        </w:rPr>
        <w:t>SaaS</w:t>
      </w:r>
      <w:r>
        <w:rPr/>
        <w:t>服务与产品销售的市场开拓力度。 通过在产业互联网新生态下的不断创新，实现信息发展</w:t>
      </w:r>
      <w:r>
        <w:rPr>
          <w:rFonts w:ascii="宋体" w:hAnsi="宋体" w:cs="宋体" w:eastAsia="宋体" w:hint="default"/>
        </w:rPr>
        <w:t>2.0</w:t>
      </w:r>
      <w:r>
        <w:rPr/>
        <w:t>新飞跃。</w:t>
      </w:r>
    </w:p>
    <w:p>
      <w:pPr>
        <w:spacing w:line="240" w:lineRule="auto" w:before="11"/>
        <w:rPr>
          <w:rFonts w:ascii="宋体" w:hAnsi="宋体" w:cs="宋体" w:eastAsia="宋体" w:hint="default"/>
          <w:sz w:val="23"/>
          <w:szCs w:val="23"/>
        </w:rPr>
      </w:pPr>
    </w:p>
    <w:p>
      <w:pPr>
        <w:pStyle w:val="BodyText"/>
        <w:spacing w:line="312" w:lineRule="exact"/>
        <w:ind w:left="594" w:right="1152" w:firstLine="2"/>
        <w:jc w:val="left"/>
      </w:pPr>
      <w:r>
        <w:rPr>
          <w:rFonts w:ascii="宋体" w:hAnsi="宋体" w:cs="宋体" w:eastAsia="宋体" w:hint="default"/>
          <w:b/>
          <w:bCs/>
        </w:rPr>
        <w:t>4</w:t>
      </w:r>
      <w:r>
        <w:rPr>
          <w:rFonts w:ascii="宋体" w:hAnsi="宋体" w:cs="宋体" w:eastAsia="宋体" w:hint="default"/>
          <w:b/>
          <w:bCs/>
        </w:rPr>
        <w:t>、品牌优势</w:t>
      </w:r>
      <w:r>
        <w:rPr>
          <w:rFonts w:ascii="宋体" w:hAnsi="宋体" w:cs="宋体" w:eastAsia="宋体" w:hint="default"/>
          <w:b/>
          <w:bCs/>
          <w:w w:val="99"/>
        </w:rPr>
        <w:t> </w:t>
      </w:r>
      <w:r>
        <w:rPr/>
        <w:t>从</w:t>
      </w:r>
      <w:r>
        <w:rPr>
          <w:rFonts w:ascii="宋体" w:hAnsi="宋体" w:cs="宋体" w:eastAsia="宋体" w:hint="default"/>
        </w:rPr>
        <w:t>1997</w:t>
      </w:r>
      <w:r>
        <w:rPr/>
        <w:t>年成立以来，公司本着“诚信为先、以人为本、同舟共济、追求卓越”的核心价</w:t>
      </w:r>
    </w:p>
    <w:p>
      <w:pPr>
        <w:pStyle w:val="BodyText"/>
        <w:spacing w:line="312" w:lineRule="exact"/>
        <w:ind w:right="1169"/>
        <w:jc w:val="both"/>
      </w:pPr>
      <w:r>
        <w:rPr/>
        <w:t>值观，不断进取，为中国信息化社会建设提供高效信息资源管理服务，致力于利用信息服务 推动社会传承与进步，以产品、服务、质量来赢得客户。截止到</w:t>
      </w:r>
      <w:r>
        <w:rPr>
          <w:rFonts w:ascii="宋体" w:hAnsi="宋体" w:cs="宋体" w:eastAsia="宋体" w:hint="default"/>
        </w:rPr>
        <w:t>2018</w:t>
      </w:r>
      <w:r>
        <w:rPr/>
        <w:t>年</w:t>
      </w:r>
      <w:r>
        <w:rPr>
          <w:rFonts w:ascii="宋体" w:hAnsi="宋体" w:cs="宋体" w:eastAsia="宋体" w:hint="default"/>
        </w:rPr>
        <w:t>10</w:t>
      </w:r>
      <w:r>
        <w:rPr/>
        <w:t>月</w:t>
      </w:r>
      <w:r>
        <w:rPr>
          <w:rFonts w:ascii="宋体" w:hAnsi="宋体" w:cs="宋体" w:eastAsia="宋体" w:hint="default"/>
        </w:rPr>
        <w:t>29</w:t>
      </w:r>
      <w:r>
        <w:rPr/>
        <w:t>日，公司已成 </w:t>
      </w:r>
      <w:r>
        <w:rPr>
          <w:spacing w:val="-6"/>
        </w:rPr>
        <w:t>立</w:t>
      </w:r>
      <w:r>
        <w:rPr>
          <w:rFonts w:ascii="宋体" w:hAnsi="宋体" w:cs="宋体" w:eastAsia="宋体" w:hint="default"/>
          <w:spacing w:val="-6"/>
        </w:rPr>
        <w:t>21</w:t>
      </w:r>
      <w:r>
        <w:rPr>
          <w:spacing w:val="-6"/>
        </w:rPr>
        <w:t>年，目前已进入快速发展阶段，公司品牌“追溯云”、“光典”等也跟随</w:t>
      </w:r>
      <w:r>
        <w:rPr>
          <w:rFonts w:ascii="宋体" w:hAnsi="宋体" w:cs="宋体" w:eastAsia="宋体" w:hint="default"/>
          <w:spacing w:val="-6"/>
        </w:rPr>
        <w:t>20</w:t>
      </w:r>
      <w:r>
        <w:rPr>
          <w:spacing w:val="-6"/>
        </w:rPr>
        <w:t>年的革新与进</w:t>
      </w:r>
      <w:r>
        <w:rPr>
          <w:spacing w:val="-102"/>
        </w:rPr>
        <w:t> </w:t>
      </w:r>
      <w:r>
        <w:rPr/>
        <w:t>步实现了质的飞跃，在行业内树立了较高的市场知名度和美誉度。公司旗下光典产品在</w:t>
      </w:r>
    </w:p>
    <w:p>
      <w:pPr>
        <w:pStyle w:val="BodyText"/>
        <w:spacing w:line="312" w:lineRule="exact"/>
        <w:ind w:left="594" w:right="1289" w:hanging="480"/>
        <w:jc w:val="left"/>
        <w:rPr>
          <w:rFonts w:ascii="宋体" w:hAnsi="宋体" w:cs="宋体" w:eastAsia="宋体" w:hint="default"/>
        </w:rPr>
      </w:pPr>
      <w:r>
        <w:rPr>
          <w:rFonts w:ascii="宋体" w:hAnsi="宋体" w:cs="宋体" w:eastAsia="宋体" w:hint="default"/>
        </w:rPr>
        <w:t>2012-2014</w:t>
      </w:r>
      <w:r>
        <w:rPr/>
        <w:t>年先后获得上海市著名商标和“上海名牌”称号。 </w:t>
      </w:r>
      <w:r>
        <w:rPr>
          <w:spacing w:val="-6"/>
        </w:rPr>
        <w:t>报告期内，公司又荣获“</w:t>
      </w:r>
      <w:r>
        <w:rPr>
          <w:rFonts w:ascii="宋体" w:hAnsi="宋体" w:cs="宋体" w:eastAsia="宋体" w:hint="default"/>
          <w:spacing w:val="-6"/>
        </w:rPr>
        <w:t>2017</w:t>
      </w:r>
      <w:r>
        <w:rPr>
          <w:spacing w:val="-6"/>
        </w:rPr>
        <w:t>年度上海市网络与信息安全服务推荐单位”、“</w:t>
      </w:r>
      <w:r>
        <w:rPr>
          <w:rFonts w:ascii="宋体" w:hAnsi="宋体" w:cs="宋体" w:eastAsia="宋体" w:hint="default"/>
          <w:spacing w:val="-6"/>
        </w:rPr>
        <w:t>2015-2016</w:t>
      </w:r>
    </w:p>
    <w:p>
      <w:pPr>
        <w:pStyle w:val="BodyText"/>
        <w:spacing w:line="312" w:lineRule="exact"/>
        <w:ind w:right="1169"/>
        <w:jc w:val="both"/>
      </w:pPr>
      <w:r>
        <w:rPr/>
        <w:t>年度上海市文明单位</w:t>
      </w:r>
      <w:r>
        <w:rPr>
          <w:spacing w:val="-120"/>
        </w:rPr>
        <w:t>”、</w:t>
      </w:r>
      <w:r>
        <w:rPr/>
        <w:t>“</w:t>
      </w:r>
      <w:r>
        <w:rPr>
          <w:rFonts w:ascii="宋体" w:hAnsi="宋体" w:cs="宋体" w:eastAsia="宋体" w:hint="default"/>
        </w:rPr>
        <w:t>2016</w:t>
      </w:r>
      <w:r>
        <w:rPr/>
        <w:t>年度上海市计算机行业最具发展潜力科技型企业</w:t>
      </w:r>
      <w:r>
        <w:rPr>
          <w:spacing w:val="-120"/>
        </w:rPr>
        <w:t>”、</w:t>
      </w:r>
      <w:r>
        <w:rPr/>
        <w:t>“</w:t>
      </w:r>
      <w:r>
        <w:rPr>
          <w:rFonts w:ascii="宋体" w:hAnsi="宋体" w:cs="宋体" w:eastAsia="宋体" w:hint="default"/>
        </w:rPr>
        <w:t>2016</w:t>
      </w:r>
      <w:r>
        <w:rPr/>
        <w:t>年度 青浦区创新创业优秀人才团队奖</w:t>
      </w:r>
      <w:r>
        <w:rPr>
          <w:spacing w:val="-120"/>
        </w:rPr>
        <w:t>”、</w:t>
      </w:r>
      <w:r>
        <w:rPr/>
        <w:t>“</w:t>
      </w:r>
      <w:r>
        <w:rPr>
          <w:rFonts w:ascii="宋体" w:hAnsi="宋体" w:cs="宋体" w:eastAsia="宋体" w:hint="default"/>
        </w:rPr>
        <w:t>2017</w:t>
      </w:r>
      <w:r>
        <w:rPr/>
        <w:t>年上海民营服务企业</w:t>
      </w:r>
      <w:r>
        <w:rPr>
          <w:rFonts w:ascii="宋体" w:hAnsi="宋体" w:cs="宋体" w:eastAsia="宋体" w:hint="default"/>
        </w:rPr>
        <w:t>100</w:t>
      </w:r>
      <w:r>
        <w:rPr/>
        <w:t>强（第</w:t>
      </w:r>
      <w:r>
        <w:rPr>
          <w:rFonts w:ascii="宋体" w:hAnsi="宋体" w:cs="宋体" w:eastAsia="宋体" w:hint="default"/>
        </w:rPr>
        <w:t>75</w:t>
      </w:r>
      <w:r>
        <w:rPr/>
        <w:t>名</w:t>
      </w:r>
      <w:r>
        <w:rPr>
          <w:spacing w:val="-120"/>
        </w:rPr>
        <w:t>）”、</w:t>
      </w:r>
      <w:r>
        <w:rPr/>
        <w:t>“</w:t>
      </w:r>
      <w:r>
        <w:rPr>
          <w:rFonts w:ascii="宋体" w:hAnsi="宋体" w:cs="宋体" w:eastAsia="宋体" w:hint="default"/>
        </w:rPr>
        <w:t>2017</w:t>
      </w:r>
      <w:r>
        <w:rPr/>
        <w:t>中国 大数据产业最具创新力企业</w:t>
      </w:r>
      <w:r>
        <w:rPr>
          <w:spacing w:val="-120"/>
        </w:rPr>
        <w:t>”、</w:t>
      </w:r>
      <w:r>
        <w:rPr/>
        <w:t>“</w:t>
      </w:r>
      <w:r>
        <w:rPr>
          <w:rFonts w:ascii="宋体" w:hAnsi="宋体" w:cs="宋体" w:eastAsia="宋体" w:hint="default"/>
        </w:rPr>
        <w:t>2017</w:t>
      </w:r>
      <w:r>
        <w:rPr/>
        <w:t>年度全国农业农村信息化示范基地</w:t>
      </w:r>
      <w:r>
        <w:rPr>
          <w:spacing w:val="-120"/>
        </w:rPr>
        <w:t>”、</w:t>
      </w:r>
      <w:r>
        <w:rPr/>
        <w:t>“上海市物联网行</w:t>
      </w:r>
      <w:r>
        <w:rPr/>
        <w:t> 业协会会员</w:t>
      </w:r>
      <w:r>
        <w:rPr>
          <w:spacing w:val="-120"/>
        </w:rPr>
        <w:t>”、</w:t>
      </w:r>
      <w:r>
        <w:rPr/>
        <w:t>“</w:t>
      </w:r>
      <w:r>
        <w:rPr>
          <w:rFonts w:ascii="宋体" w:hAnsi="宋体" w:cs="宋体" w:eastAsia="宋体" w:hint="default"/>
        </w:rPr>
        <w:t>2018</w:t>
      </w:r>
      <w:r>
        <w:rPr/>
        <w:t>年上海民营服务业企业</w:t>
      </w:r>
      <w:r>
        <w:rPr>
          <w:rFonts w:ascii="宋体" w:hAnsi="宋体" w:cs="宋体" w:eastAsia="宋体" w:hint="default"/>
        </w:rPr>
        <w:t>100</w:t>
      </w:r>
      <w:r>
        <w:rPr/>
        <w:t>强（第</w:t>
      </w:r>
      <w:r>
        <w:rPr>
          <w:rFonts w:ascii="宋体" w:hAnsi="宋体" w:cs="宋体" w:eastAsia="宋体" w:hint="default"/>
        </w:rPr>
        <w:t>80</w:t>
      </w:r>
      <w:r>
        <w:rPr/>
        <w:t>名</w:t>
      </w:r>
      <w:r>
        <w:rPr>
          <w:spacing w:val="-120"/>
        </w:rPr>
        <w:t>）”、</w:t>
      </w:r>
      <w:r>
        <w:rPr/>
        <w:t>“上海市技术合同管理先进单</w:t>
      </w:r>
      <w:r>
        <w:rPr/>
        <w:t> 位</w:t>
      </w:r>
      <w:r>
        <w:rPr>
          <w:spacing w:val="-120"/>
        </w:rPr>
        <w:t>”、</w:t>
      </w:r>
      <w:r>
        <w:rPr/>
        <w:t>“</w:t>
      </w:r>
      <w:r>
        <w:rPr>
          <w:rFonts w:ascii="宋体" w:hAnsi="宋体" w:cs="宋体" w:eastAsia="宋体" w:hint="default"/>
        </w:rPr>
        <w:t>2018</w:t>
      </w:r>
      <w:r>
        <w:rPr/>
        <w:t>上海市软件企业核心竞争力评价（规模型</w:t>
      </w:r>
      <w:r>
        <w:rPr>
          <w:spacing w:val="-120"/>
        </w:rPr>
        <w:t>）”</w:t>
      </w:r>
      <w:r>
        <w:rPr/>
        <w:t>。</w:t>
      </w:r>
    </w:p>
    <w:p>
      <w:pPr>
        <w:spacing w:line="240" w:lineRule="auto" w:before="11"/>
        <w:rPr>
          <w:rFonts w:ascii="宋体" w:hAnsi="宋体" w:cs="宋体" w:eastAsia="宋体" w:hint="default"/>
          <w:sz w:val="23"/>
          <w:szCs w:val="23"/>
        </w:rPr>
      </w:pPr>
    </w:p>
    <w:p>
      <w:pPr>
        <w:pStyle w:val="BodyText"/>
        <w:spacing w:line="312" w:lineRule="exact"/>
        <w:ind w:left="594" w:right="1152" w:firstLine="2"/>
        <w:jc w:val="left"/>
      </w:pPr>
      <w:r>
        <w:rPr>
          <w:rFonts w:ascii="宋体" w:hAnsi="宋体" w:cs="宋体" w:eastAsia="宋体" w:hint="default"/>
          <w:b/>
          <w:bCs/>
        </w:rPr>
        <w:t>5</w:t>
      </w:r>
      <w:r>
        <w:rPr>
          <w:rFonts w:ascii="宋体" w:hAnsi="宋体" w:cs="宋体" w:eastAsia="宋体" w:hint="default"/>
          <w:b/>
          <w:bCs/>
        </w:rPr>
        <w:t>、服务优势</w:t>
      </w:r>
      <w:r>
        <w:rPr>
          <w:rFonts w:ascii="宋体" w:hAnsi="宋体" w:cs="宋体" w:eastAsia="宋体" w:hint="default"/>
          <w:b/>
          <w:bCs/>
          <w:w w:val="99"/>
        </w:rPr>
        <w:t> </w:t>
      </w:r>
      <w:r>
        <w:rPr/>
        <w:t>“</w:t>
      </w:r>
      <w:r>
        <w:rPr>
          <w:rFonts w:ascii="宋体" w:hAnsi="宋体" w:cs="宋体" w:eastAsia="宋体" w:hint="default"/>
        </w:rPr>
        <w:t>S1</w:t>
      </w:r>
      <w:r>
        <w:rPr/>
        <w:t>服务”是公司于</w:t>
      </w:r>
      <w:r>
        <w:rPr>
          <w:rFonts w:ascii="宋体" w:hAnsi="宋体" w:cs="宋体" w:eastAsia="宋体" w:hint="default"/>
        </w:rPr>
        <w:t>2004</w:t>
      </w:r>
      <w:r>
        <w:rPr/>
        <w:t>年创立的服务品牌（即服务</w:t>
      </w:r>
      <w:r>
        <w:rPr>
          <w:rFonts w:ascii="宋体" w:hAnsi="宋体" w:cs="宋体" w:eastAsia="宋体" w:hint="default"/>
        </w:rPr>
        <w:t>Service</w:t>
      </w:r>
      <w:r>
        <w:rPr/>
        <w:t>第一、速度</w:t>
      </w:r>
      <w:r>
        <w:rPr>
          <w:rFonts w:ascii="宋体" w:hAnsi="宋体" w:cs="宋体" w:eastAsia="宋体" w:hint="default"/>
        </w:rPr>
        <w:t>Speed</w:t>
      </w:r>
      <w:r>
        <w:rPr/>
        <w:t>第一、安</w:t>
      </w:r>
    </w:p>
    <w:p>
      <w:pPr>
        <w:pStyle w:val="BodyText"/>
        <w:spacing w:line="312" w:lineRule="exact"/>
        <w:ind w:right="994"/>
        <w:jc w:val="left"/>
      </w:pPr>
      <w:r>
        <w:rPr>
          <w:spacing w:val="-3"/>
        </w:rPr>
        <w:t>全</w:t>
      </w:r>
      <w:r>
        <w:rPr>
          <w:rFonts w:ascii="宋体" w:hAnsi="宋体" w:cs="宋体" w:eastAsia="宋体" w:hint="default"/>
          <w:spacing w:val="-3"/>
        </w:rPr>
        <w:t>Security</w:t>
      </w:r>
      <w:r>
        <w:rPr>
          <w:spacing w:val="-3"/>
        </w:rPr>
        <w:t>第一、态度</w:t>
      </w:r>
      <w:r>
        <w:rPr>
          <w:rFonts w:ascii="宋体" w:hAnsi="宋体" w:cs="宋体" w:eastAsia="宋体" w:hint="default"/>
          <w:spacing w:val="-3"/>
        </w:rPr>
        <w:t>Smile</w:t>
      </w:r>
      <w:r>
        <w:rPr>
          <w:spacing w:val="-3"/>
        </w:rPr>
        <w:t>第一、规范</w:t>
      </w:r>
      <w:r>
        <w:rPr>
          <w:rFonts w:ascii="宋体" w:hAnsi="宋体" w:cs="宋体" w:eastAsia="宋体" w:hint="default"/>
          <w:spacing w:val="-3"/>
        </w:rPr>
        <w:t>Standard</w:t>
      </w:r>
      <w:r>
        <w:rPr>
          <w:spacing w:val="-3"/>
        </w:rPr>
        <w:t>第一、保障</w:t>
      </w:r>
      <w:r>
        <w:rPr>
          <w:rFonts w:ascii="宋体" w:hAnsi="宋体" w:cs="宋体" w:eastAsia="宋体" w:hint="default"/>
          <w:spacing w:val="-3"/>
        </w:rPr>
        <w:t>System</w:t>
      </w:r>
      <w:r>
        <w:rPr>
          <w:spacing w:val="-3"/>
        </w:rPr>
        <w:t>第一），致力于为客户提</w:t>
      </w:r>
      <w:r>
        <w:rPr>
          <w:spacing w:val="-78"/>
        </w:rPr>
        <w:t> </w:t>
      </w:r>
      <w:r>
        <w:rPr>
          <w:spacing w:val="-78"/>
        </w:rPr>
      </w:r>
      <w:r>
        <w:rPr>
          <w:spacing w:val="-2"/>
        </w:rPr>
        <w:t>供持续、高品质的信息服务。十余年来，公司基于</w:t>
      </w:r>
      <w:r>
        <w:rPr>
          <w:rFonts w:ascii="宋体" w:hAnsi="宋体" w:cs="宋体" w:eastAsia="宋体" w:hint="default"/>
          <w:spacing w:val="-2"/>
        </w:rPr>
        <w:t>ITIL</w:t>
      </w:r>
      <w:r>
        <w:rPr>
          <w:spacing w:val="-2"/>
        </w:rPr>
        <w:t>最佳实践及</w:t>
      </w:r>
      <w:r>
        <w:rPr>
          <w:rFonts w:ascii="宋体" w:hAnsi="宋体" w:cs="宋体" w:eastAsia="宋体" w:hint="default"/>
          <w:spacing w:val="-2"/>
        </w:rPr>
        <w:t>ITSS</w:t>
      </w:r>
      <w:r>
        <w:rPr>
          <w:spacing w:val="-2"/>
        </w:rPr>
        <w:t>、</w:t>
      </w:r>
      <w:r>
        <w:rPr>
          <w:rFonts w:ascii="宋体" w:hAnsi="宋体" w:cs="宋体" w:eastAsia="宋体" w:hint="default"/>
          <w:spacing w:val="-2"/>
        </w:rPr>
        <w:t>ISO20000</w:t>
      </w:r>
      <w:r>
        <w:rPr>
          <w:spacing w:val="-2"/>
        </w:rPr>
        <w:t>体系标准，</w:t>
      </w:r>
      <w:r>
        <w:rPr>
          <w:spacing w:val="-106"/>
        </w:rPr>
        <w:t> </w:t>
      </w:r>
      <w:r>
        <w:rPr/>
        <w:t>建设并持续改进服务体系，努力提升服务能力水平及客户体验，逐步建立了以各地分公司为 依托、覆盖全国的营销服务网络。报告期内，公司逐步设立华东区、华南区、华北区、西北 区、西南区</w:t>
      </w:r>
      <w:r>
        <w:rPr>
          <w:rFonts w:ascii="宋体" w:hAnsi="宋体" w:cs="宋体" w:eastAsia="宋体" w:hint="default"/>
        </w:rPr>
        <w:t>5</w:t>
      </w:r>
      <w:r>
        <w:rPr/>
        <w:t>大区域，在全国设有</w:t>
      </w:r>
      <w:r>
        <w:rPr>
          <w:rFonts w:ascii="宋体" w:hAnsi="宋体" w:cs="宋体" w:eastAsia="宋体" w:hint="default"/>
        </w:rPr>
        <w:t>27</w:t>
      </w:r>
      <w:r>
        <w:rPr/>
        <w:t>家分公司，能够及时响应客户需求，提供灵活便捷的本土 化服务。</w:t>
      </w:r>
    </w:p>
    <w:p>
      <w:pPr>
        <w:spacing w:after="0" w:line="312" w:lineRule="exact"/>
        <w:jc w:val="left"/>
        <w:sectPr>
          <w:pgSz w:w="11910" w:h="16840"/>
          <w:pgMar w:header="822" w:footer="1019" w:top="114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p>
      <w:pPr>
        <w:pStyle w:val="Heading1"/>
        <w:spacing w:line="240" w:lineRule="auto"/>
        <w:ind w:left="2926" w:right="0"/>
        <w:jc w:val="left"/>
        <w:rPr>
          <w:b w:val="0"/>
          <w:bCs w:val="0"/>
        </w:rPr>
      </w:pPr>
      <w:bookmarkStart w:name="第四节 经营情况讨论与分析" w:id="21"/>
      <w:bookmarkEnd w:id="21"/>
      <w:r>
        <w:rPr>
          <w:b w:val="0"/>
          <w:bCs w:val="0"/>
        </w:rPr>
      </w:r>
      <w:bookmarkStart w:name="_bookmark2" w:id="22"/>
      <w:bookmarkEnd w:id="22"/>
      <w:r>
        <w:rPr>
          <w:b w:val="0"/>
          <w:bCs w:val="0"/>
        </w:rPr>
      </w:r>
      <w:r>
        <w:rPr/>
        <w:t>第四节</w:t>
      </w:r>
      <w:r>
        <w:rPr>
          <w:spacing w:val="-10"/>
        </w:rPr>
        <w:t> </w:t>
      </w:r>
      <w:r>
        <w:rPr/>
        <w:t>经营情况讨论与分析</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4"/>
        <w:spacing w:line="240" w:lineRule="auto" w:before="26"/>
        <w:ind w:right="0"/>
        <w:jc w:val="left"/>
        <w:rPr>
          <w:b w:val="0"/>
          <w:bCs w:val="0"/>
        </w:rPr>
      </w:pPr>
      <w:bookmarkStart w:name="一、概述" w:id="23"/>
      <w:bookmarkEnd w:id="23"/>
      <w:r>
        <w:rPr>
          <w:b w:val="0"/>
          <w:bCs w:val="0"/>
        </w:rPr>
      </w:r>
      <w:r>
        <w:rPr/>
        <w:t>一、概述</w:t>
      </w:r>
      <w:r>
        <w:rPr>
          <w:b w:val="0"/>
          <w:bCs w:val="0"/>
        </w:rPr>
      </w:r>
    </w:p>
    <w:p>
      <w:pPr>
        <w:spacing w:line="240" w:lineRule="auto" w:before="2"/>
        <w:rPr>
          <w:rFonts w:ascii="宋体" w:hAnsi="宋体" w:cs="宋体" w:eastAsia="宋体" w:hint="default"/>
          <w:b/>
          <w:bCs/>
          <w:sz w:val="25"/>
          <w:szCs w:val="25"/>
        </w:rPr>
      </w:pPr>
    </w:p>
    <w:p>
      <w:pPr>
        <w:pStyle w:val="BodyText"/>
        <w:spacing w:line="312" w:lineRule="exact"/>
        <w:ind w:right="1130" w:firstLine="480"/>
        <w:jc w:val="both"/>
      </w:pPr>
      <w:r>
        <w:rPr/>
        <w:t>习近平总书记在十九大报告中强调，中国特色社会主义进入新时代，我国社会主要矛盾 </w:t>
      </w:r>
      <w:r>
        <w:rPr>
          <w:spacing w:val="-5"/>
        </w:rPr>
        <w:t>已经转化为“人民日益增长的美好生活需要和不平衡不充分的发展之间的矛盾”，广大人民群</w:t>
      </w:r>
      <w:r>
        <w:rPr>
          <w:spacing w:val="-117"/>
        </w:rPr>
        <w:t> </w:t>
      </w:r>
      <w:r>
        <w:rPr>
          <w:spacing w:val="-117"/>
        </w:rPr>
      </w:r>
      <w:r>
        <w:rPr/>
        <w:t>众关心食品安全问题已经日益突出。特别是食品安全问题及疫苗安全问题等日益突出，标志 性的事件有成都七中、长生生物等。公司为了解决人民日益增长的美好生活需要和不平衡不 充分的发展之间的矛盾，使人人都能吃上放心安全的食品，未来将聚焦智慧食安领域。</w:t>
      </w:r>
    </w:p>
    <w:p>
      <w:pPr>
        <w:spacing w:line="240" w:lineRule="auto" w:before="11"/>
        <w:rPr>
          <w:rFonts w:ascii="宋体" w:hAnsi="宋体" w:cs="宋体" w:eastAsia="宋体" w:hint="default"/>
          <w:sz w:val="23"/>
          <w:szCs w:val="23"/>
        </w:rPr>
      </w:pPr>
    </w:p>
    <w:p>
      <w:pPr>
        <w:pStyle w:val="BodyText"/>
        <w:spacing w:line="312" w:lineRule="exact"/>
        <w:ind w:right="1120" w:firstLine="480"/>
        <w:jc w:val="left"/>
      </w:pPr>
      <w:r>
        <w:rPr>
          <w:spacing w:val="-2"/>
        </w:rPr>
        <w:t>本报告期，公司实现营业总收入</w:t>
      </w:r>
      <w:r>
        <w:rPr>
          <w:rFonts w:ascii="宋体" w:hAnsi="宋体" w:cs="宋体" w:eastAsia="宋体" w:hint="default"/>
          <w:spacing w:val="-2"/>
        </w:rPr>
        <w:t>70694</w:t>
      </w:r>
      <w:r>
        <w:rPr>
          <w:spacing w:val="-2"/>
        </w:rPr>
        <w:t>万元，较上年同期增长</w:t>
      </w:r>
      <w:r>
        <w:rPr>
          <w:rFonts w:ascii="宋体" w:hAnsi="宋体" w:cs="宋体" w:eastAsia="宋体" w:hint="default"/>
          <w:spacing w:val="-2"/>
        </w:rPr>
        <w:t>25.28%</w:t>
      </w:r>
      <w:r>
        <w:rPr>
          <w:spacing w:val="-2"/>
        </w:rPr>
        <w:t>；归属于上市公司股</w:t>
      </w:r>
      <w:r>
        <w:rPr/>
        <w:t> 东的净利润</w:t>
      </w:r>
      <w:r>
        <w:rPr>
          <w:rFonts w:ascii="宋体" w:hAnsi="宋体" w:cs="宋体" w:eastAsia="宋体" w:hint="default"/>
        </w:rPr>
        <w:t>4480</w:t>
      </w:r>
      <w:r>
        <w:rPr/>
        <w:t>万元，较上年同期增长</w:t>
      </w:r>
      <w:r>
        <w:rPr>
          <w:rFonts w:ascii="宋体" w:hAnsi="宋体" w:cs="宋体" w:eastAsia="宋体" w:hint="default"/>
        </w:rPr>
        <w:t>34.92%</w:t>
      </w:r>
      <w:r>
        <w:rPr/>
        <w:t>。基本每股收益为</w:t>
      </w:r>
      <w:r>
        <w:rPr>
          <w:rFonts w:ascii="宋体" w:hAnsi="宋体" w:cs="宋体" w:eastAsia="宋体" w:hint="default"/>
        </w:rPr>
        <w:t>0.37</w:t>
      </w:r>
      <w:r>
        <w:rPr/>
        <w:t>元，较上年同期增长 </w:t>
      </w:r>
      <w:r>
        <w:rPr>
          <w:rFonts w:ascii="宋体" w:hAnsi="宋体" w:cs="宋体" w:eastAsia="宋体" w:hint="default"/>
        </w:rPr>
        <w:t>35.53%</w:t>
      </w:r>
      <w:r>
        <w:rPr/>
        <w:t>。</w:t>
      </w:r>
    </w:p>
    <w:p>
      <w:pPr>
        <w:spacing w:line="240" w:lineRule="auto" w:before="11"/>
        <w:rPr>
          <w:rFonts w:ascii="宋体" w:hAnsi="宋体" w:cs="宋体" w:eastAsia="宋体" w:hint="default"/>
          <w:sz w:val="23"/>
          <w:szCs w:val="23"/>
        </w:rPr>
      </w:pPr>
    </w:p>
    <w:p>
      <w:pPr>
        <w:spacing w:line="312" w:lineRule="exact" w:before="0"/>
        <w:ind w:left="594" w:right="5952" w:firstLine="2"/>
        <w:jc w:val="left"/>
        <w:rPr>
          <w:rFonts w:ascii="宋体" w:hAnsi="宋体" w:cs="宋体" w:eastAsia="宋体" w:hint="default"/>
          <w:sz w:val="24"/>
          <w:szCs w:val="24"/>
        </w:rPr>
      </w:pPr>
      <w:r>
        <w:rPr>
          <w:rFonts w:ascii="宋体" w:hAnsi="宋体" w:cs="宋体" w:eastAsia="宋体" w:hint="default"/>
          <w:b/>
          <w:bCs/>
          <w:sz w:val="24"/>
          <w:szCs w:val="24"/>
        </w:rPr>
        <w:t>1</w:t>
      </w:r>
      <w:r>
        <w:rPr>
          <w:rFonts w:ascii="宋体" w:hAnsi="宋体" w:cs="宋体" w:eastAsia="宋体" w:hint="default"/>
          <w:b/>
          <w:bCs/>
          <w:sz w:val="24"/>
          <w:szCs w:val="24"/>
        </w:rPr>
        <w:t>、业务发展情况</w:t>
      </w:r>
      <w:r>
        <w:rPr>
          <w:rFonts w:ascii="宋体" w:hAnsi="宋体" w:cs="宋体" w:eastAsia="宋体" w:hint="default"/>
          <w:b/>
          <w:bCs/>
          <w:w w:val="99"/>
          <w:sz w:val="24"/>
          <w:szCs w:val="24"/>
        </w:rPr>
        <w:t> </w:t>
      </w:r>
      <w:r>
        <w:rPr>
          <w:rFonts w:ascii="宋体" w:hAnsi="宋体" w:cs="宋体" w:eastAsia="宋体" w:hint="default"/>
          <w:sz w:val="24"/>
          <w:szCs w:val="24"/>
        </w:rPr>
        <w:t>报告期内公司主要业务的发展情况如下：</w:t>
      </w:r>
    </w:p>
    <w:p>
      <w:pPr>
        <w:pStyle w:val="BodyText"/>
        <w:spacing w:line="312" w:lineRule="exact"/>
        <w:ind w:right="1130" w:firstLine="480"/>
        <w:jc w:val="both"/>
      </w:pPr>
      <w:r>
        <w:rPr>
          <w:rFonts w:ascii="宋体" w:hAnsi="宋体" w:cs="宋体" w:eastAsia="宋体" w:hint="default"/>
          <w:spacing w:val="-2"/>
        </w:rPr>
        <w:t>2018</w:t>
      </w:r>
      <w:r>
        <w:rPr>
          <w:spacing w:val="-2"/>
        </w:rPr>
        <w:t>年公司明确了信息发展</w:t>
      </w:r>
      <w:r>
        <w:rPr>
          <w:rFonts w:ascii="宋体" w:hAnsi="宋体" w:cs="宋体" w:eastAsia="宋体" w:hint="default"/>
          <w:spacing w:val="-2"/>
        </w:rPr>
        <w:t>2.0</w:t>
      </w:r>
      <w:r>
        <w:rPr>
          <w:spacing w:val="-2"/>
        </w:rPr>
        <w:t>战略，即信息发展是一家运用大数据和区块链等技术，面</w:t>
      </w:r>
      <w:r>
        <w:rPr/>
        <w:t> 向智慧食安、智慧档案、智慧司法等政府和企业，为数字中国提供行业专有云综合解决方案 </w:t>
      </w:r>
      <w:r>
        <w:rPr>
          <w:spacing w:val="-3"/>
        </w:rPr>
        <w:t>的服务运营商。信息发展</w:t>
      </w:r>
      <w:r>
        <w:rPr>
          <w:rFonts w:ascii="宋体" w:hAnsi="宋体" w:cs="宋体" w:eastAsia="宋体" w:hint="default"/>
          <w:spacing w:val="-3"/>
        </w:rPr>
        <w:t>2.0</w:t>
      </w:r>
      <w:r>
        <w:rPr>
          <w:spacing w:val="-3"/>
        </w:rPr>
        <w:t>战略可以概括为“一体两翼、数链驱动”：即以智慧食安为“一</w:t>
      </w:r>
      <w:r>
        <w:rPr>
          <w:spacing w:val="-104"/>
        </w:rPr>
        <w:t> </w:t>
      </w:r>
      <w:r>
        <w:rPr>
          <w:spacing w:val="-104"/>
        </w:rPr>
      </w:r>
      <w:r>
        <w:rPr>
          <w:spacing w:val="-6"/>
        </w:rPr>
        <w:t>体”，以智慧档案、智慧司法为“两翼”，以区块链创新中心和大数据智能创新中心为“技术</w:t>
      </w:r>
    </w:p>
    <w:p>
      <w:pPr>
        <w:pStyle w:val="BodyText"/>
        <w:spacing w:line="312" w:lineRule="exact"/>
        <w:ind w:left="594" w:right="1152" w:hanging="480"/>
        <w:jc w:val="left"/>
      </w:pPr>
      <w:r>
        <w:rPr>
          <w:spacing w:val="-10"/>
        </w:rPr>
        <w:t>引擎”，赋能公司三大行业。</w:t>
      </w:r>
      <w:r>
        <w:rPr>
          <w:spacing w:val="-110"/>
        </w:rPr>
        <w:t> </w:t>
      </w:r>
      <w:r>
        <w:rPr>
          <w:spacing w:val="-110"/>
        </w:rPr>
      </w:r>
      <w:r>
        <w:rPr/>
        <w:t>未来公司将更聚焦智慧食安领域，加快向产品型、服务型公司迈进，在保持政府客户基</w:t>
      </w:r>
    </w:p>
    <w:p>
      <w:pPr>
        <w:pStyle w:val="BodyText"/>
        <w:spacing w:line="312" w:lineRule="exact"/>
        <w:ind w:right="1152"/>
        <w:jc w:val="left"/>
      </w:pPr>
      <w:r>
        <w:rPr/>
        <w:t>数的前提下大力开拓企业客户，在全公司签约额稳步增长的情况下，全力加速推进</w:t>
      </w:r>
      <w:r>
        <w:rPr>
          <w:rFonts w:ascii="宋体" w:hAnsi="宋体" w:cs="宋体" w:eastAsia="宋体" w:hint="default"/>
        </w:rPr>
        <w:t>SaaS</w:t>
      </w:r>
      <w:r>
        <w:rPr/>
        <w:t>产品 研发、销售和服务，实现公司各项经济指标的不断提升。</w:t>
      </w:r>
    </w:p>
    <w:p>
      <w:pPr>
        <w:spacing w:line="240" w:lineRule="auto" w:before="11"/>
        <w:rPr>
          <w:rFonts w:ascii="宋体" w:hAnsi="宋体" w:cs="宋体" w:eastAsia="宋体" w:hint="default"/>
          <w:sz w:val="23"/>
          <w:szCs w:val="23"/>
        </w:rPr>
      </w:pPr>
    </w:p>
    <w:p>
      <w:pPr>
        <w:pStyle w:val="BodyText"/>
        <w:spacing w:line="312" w:lineRule="exact"/>
        <w:ind w:left="594" w:right="1152" w:firstLine="2"/>
        <w:jc w:val="left"/>
      </w:pPr>
      <w:r>
        <w:rPr>
          <w:rFonts w:ascii="宋体" w:hAnsi="宋体" w:cs="宋体" w:eastAsia="宋体" w:hint="default"/>
          <w:b/>
          <w:bCs/>
        </w:rPr>
        <w:t>（</w:t>
      </w:r>
      <w:r>
        <w:rPr>
          <w:rFonts w:ascii="宋体" w:hAnsi="宋体" w:cs="宋体" w:eastAsia="宋体" w:hint="default"/>
          <w:b/>
          <w:bCs/>
        </w:rPr>
        <w:t>1</w:t>
      </w:r>
      <w:r>
        <w:rPr>
          <w:rFonts w:ascii="宋体" w:hAnsi="宋体" w:cs="宋体" w:eastAsia="宋体" w:hint="default"/>
          <w:b/>
          <w:bCs/>
        </w:rPr>
        <w:t>）智慧食安领域</w:t>
      </w:r>
      <w:r>
        <w:rPr>
          <w:rFonts w:ascii="宋体" w:hAnsi="宋体" w:cs="宋体" w:eastAsia="宋体" w:hint="default"/>
          <w:b/>
          <w:bCs/>
          <w:w w:val="99"/>
        </w:rPr>
        <w:t> </w:t>
      </w:r>
      <w:r>
        <w:rPr/>
        <w:t>自</w:t>
      </w:r>
      <w:r>
        <w:rPr>
          <w:rFonts w:ascii="宋体" w:hAnsi="宋体" w:cs="宋体" w:eastAsia="宋体" w:hint="default"/>
        </w:rPr>
        <w:t>2008</w:t>
      </w:r>
      <w:r>
        <w:rPr/>
        <w:t>年来，我司在食品安全行业砥砺前行，凭借完整的解决方案、过硬的产品和优质</w:t>
      </w:r>
    </w:p>
    <w:p>
      <w:pPr>
        <w:pStyle w:val="BodyText"/>
        <w:spacing w:line="312" w:lineRule="exact"/>
        <w:ind w:right="1152"/>
        <w:jc w:val="left"/>
      </w:pPr>
      <w:r>
        <w:rPr/>
        <w:t>的服务，特别是</w:t>
      </w:r>
      <w:r>
        <w:rPr>
          <w:rFonts w:ascii="宋体" w:hAnsi="宋体" w:cs="宋体" w:eastAsia="宋体" w:hint="default"/>
        </w:rPr>
        <w:t>SaaS</w:t>
      </w:r>
      <w:r>
        <w:rPr/>
        <w:t>服务、区块链、大数据、物联网等技术的应用，在全国市场积极布局， 形成了良好的行业口碑和强劲的市场竞争力。</w:t>
      </w:r>
    </w:p>
    <w:p>
      <w:pPr>
        <w:pStyle w:val="Heading4"/>
        <w:spacing w:line="282" w:lineRule="exact"/>
        <w:ind w:right="0"/>
        <w:jc w:val="left"/>
        <w:rPr>
          <w:b w:val="0"/>
          <w:bCs w:val="0"/>
        </w:rPr>
      </w:pPr>
      <w:r>
        <w:rPr/>
        <w:t>行业标准方面</w:t>
      </w:r>
      <w:r>
        <w:rPr>
          <w:b w:val="0"/>
          <w:bCs w:val="0"/>
        </w:rPr>
      </w:r>
    </w:p>
    <w:p>
      <w:pPr>
        <w:pStyle w:val="BodyText"/>
        <w:spacing w:line="237" w:lineRule="auto" w:before="1"/>
        <w:ind w:left="474" w:right="1011" w:firstLine="480"/>
        <w:jc w:val="left"/>
      </w:pPr>
      <w:r>
        <w:rPr>
          <w:spacing w:val="-6"/>
        </w:rPr>
        <w:t>随着国务院办公厅正式印发的《关于加快推进重要产品追溯体系建设的意见》的提出，</w:t>
      </w:r>
      <w:r>
        <w:rPr/>
        <w:t> </w:t>
      </w:r>
      <w:r>
        <w:rPr>
          <w:spacing w:val="-3"/>
        </w:rPr>
        <w:t>全国有关部门和地区正在逐步加大重要产品追溯体系的建设力度。公司先后中标上海、安</w:t>
      </w:r>
      <w:r>
        <w:rPr>
          <w:spacing w:val="-85"/>
        </w:rPr>
        <w:t> </w:t>
      </w:r>
      <w:r>
        <w:rPr>
          <w:spacing w:val="-85"/>
        </w:rPr>
      </w:r>
      <w:r>
        <w:rPr>
          <w:spacing w:val="-3"/>
        </w:rPr>
        <w:t>徽、湖南、湖北、广西、广东、云南、重庆、陕西多个省级重要产品追溯项目，积极探索</w:t>
      </w:r>
      <w:r>
        <w:rPr>
          <w:spacing w:val="-88"/>
        </w:rPr>
        <w:t> </w:t>
      </w:r>
      <w:r>
        <w:rPr>
          <w:spacing w:val="-88"/>
        </w:rPr>
      </w:r>
      <w:r>
        <w:rPr>
          <w:spacing w:val="-3"/>
        </w:rPr>
        <w:t>政府与社会合作模式，辅助完善政府追溯数据统一共享交换标准机制，助力企业构建质量</w:t>
      </w:r>
      <w:r>
        <w:rPr>
          <w:spacing w:val="-85"/>
        </w:rPr>
        <w:t> </w:t>
      </w:r>
      <w:r>
        <w:rPr>
          <w:spacing w:val="-85"/>
        </w:rPr>
      </w:r>
      <w:r>
        <w:rPr>
          <w:spacing w:val="-3"/>
        </w:rPr>
        <w:t>管理与追溯体系，逐步实现有关部门、地区和企业追溯信息互通共享。一流的企业制定标</w:t>
      </w:r>
      <w:r>
        <w:rPr>
          <w:spacing w:val="-87"/>
        </w:rPr>
        <w:t> </w:t>
      </w:r>
      <w:r>
        <w:rPr>
          <w:spacing w:val="-87"/>
        </w:rPr>
      </w:r>
      <w:r>
        <w:rPr/>
        <w:t>准，在</w:t>
      </w:r>
      <w:r>
        <w:rPr>
          <w:rFonts w:ascii="宋体" w:hAnsi="宋体" w:cs="宋体" w:eastAsia="宋体" w:hint="default"/>
        </w:rPr>
        <w:t>2018</w:t>
      </w:r>
      <w:r>
        <w:rPr/>
        <w:t>年我司牵头并重点参与了</w:t>
      </w:r>
      <w:r>
        <w:rPr>
          <w:rFonts w:ascii="宋体" w:hAnsi="宋体" w:cs="宋体" w:eastAsia="宋体" w:hint="default"/>
        </w:rPr>
        <w:t>5</w:t>
      </w:r>
      <w:r>
        <w:rPr/>
        <w:t>项追溯领域国标及</w:t>
      </w:r>
      <w:r>
        <w:rPr>
          <w:rFonts w:ascii="宋体" w:hAnsi="宋体" w:cs="宋体" w:eastAsia="宋体" w:hint="default"/>
        </w:rPr>
        <w:t>3</w:t>
      </w:r>
      <w:r>
        <w:rPr/>
        <w:t>项行标的制定，成为食安行业的 </w:t>
      </w:r>
      <w:r>
        <w:rPr>
          <w:spacing w:val="-6"/>
        </w:rPr>
        <w:t>“领军企业”，其中公司是《重要产品追溯</w:t>
      </w:r>
      <w:r>
        <w:rPr>
          <w:rFonts w:ascii="宋体" w:hAnsi="宋体" w:cs="宋体" w:eastAsia="宋体" w:hint="default"/>
          <w:spacing w:val="-6"/>
        </w:rPr>
        <w:t>-</w:t>
      </w:r>
      <w:r>
        <w:rPr>
          <w:spacing w:val="-6"/>
        </w:rPr>
        <w:t>产品追溯系统基本要求》（</w:t>
      </w:r>
      <w:r>
        <w:rPr>
          <w:rFonts w:ascii="宋体" w:hAnsi="宋体" w:cs="宋体" w:eastAsia="宋体" w:hint="default"/>
          <w:spacing w:val="-6"/>
        </w:rPr>
        <w:t>20182194-T-424</w:t>
      </w:r>
      <w:r>
        <w:rPr>
          <w:spacing w:val="-6"/>
        </w:rPr>
        <w:t>）</w:t>
      </w:r>
      <w:r>
        <w:rPr>
          <w:spacing w:val="-78"/>
        </w:rPr>
        <w:t> </w:t>
      </w:r>
      <w:r>
        <w:rPr>
          <w:spacing w:val="-10"/>
        </w:rPr>
        <w:t>国家标准的“第一起草人”。</w:t>
      </w:r>
    </w:p>
    <w:p>
      <w:pPr>
        <w:pStyle w:val="BodyText"/>
        <w:spacing w:line="268" w:lineRule="auto" w:before="39"/>
        <w:ind w:left="594" w:right="0"/>
        <w:jc w:val="left"/>
      </w:pPr>
      <w:r>
        <w:rPr>
          <w:rFonts w:ascii="宋体" w:hAnsi="宋体" w:cs="宋体" w:eastAsia="宋体" w:hint="default"/>
          <w:b/>
          <w:bCs/>
        </w:rPr>
        <w:t>2</w:t>
      </w:r>
      <w:r>
        <w:rPr>
          <w:rFonts w:ascii="宋体" w:hAnsi="宋体" w:cs="宋体" w:eastAsia="宋体" w:hint="default"/>
          <w:b/>
          <w:bCs/>
        </w:rPr>
        <w:t>）产业布局方面</w:t>
      </w:r>
      <w:r>
        <w:rPr>
          <w:rFonts w:ascii="宋体" w:hAnsi="宋体" w:cs="宋体" w:eastAsia="宋体" w:hint="default"/>
          <w:b/>
          <w:bCs/>
          <w:w w:val="99"/>
        </w:rPr>
        <w:t> </w:t>
      </w:r>
      <w:r>
        <w:rPr>
          <w:spacing w:val="-3"/>
        </w:rPr>
        <w:t>公司在食安产业链中陆续成立了控股子公司追溯云、智秾和追索子公司，参股了淘菜猫、</w:t>
      </w:r>
    </w:p>
    <w:p>
      <w:pPr>
        <w:pStyle w:val="BodyText"/>
        <w:spacing w:line="283" w:lineRule="exact"/>
        <w:ind w:right="0"/>
        <w:jc w:val="left"/>
      </w:pPr>
      <w:r>
        <w:rPr/>
        <w:t>易批生鲜等公司</w:t>
      </w:r>
      <w:r>
        <w:rPr>
          <w:spacing w:val="-28"/>
        </w:rPr>
        <w:t>。</w:t>
      </w:r>
      <w:r>
        <w:rPr/>
        <w:t>整个食品安全全程追溯领域围绕一个核</w:t>
      </w:r>
      <w:r>
        <w:rPr>
          <w:spacing w:val="-28"/>
        </w:rPr>
        <w:t>心</w:t>
      </w:r>
      <w:r>
        <w:rPr/>
        <w:t>（追溯云</w:t>
      </w:r>
      <w:r>
        <w:rPr>
          <w:rFonts w:ascii="宋体" w:hAnsi="宋体" w:cs="宋体" w:eastAsia="宋体" w:hint="default"/>
        </w:rPr>
        <w:t>SaaS</w:t>
      </w:r>
      <w:r>
        <w:rPr/>
        <w:t>云平台</w:t>
      </w:r>
      <w:r>
        <w:rPr>
          <w:spacing w:val="-120"/>
        </w:rPr>
        <w:t>）</w:t>
      </w:r>
      <w:r>
        <w:rPr>
          <w:spacing w:val="-28"/>
        </w:rPr>
        <w:t>，</w:t>
      </w:r>
      <w:r>
        <w:rPr/>
        <w:t>持续构建</w:t>
      </w:r>
    </w:p>
    <w:p>
      <w:pPr>
        <w:spacing w:after="0" w:line="283" w:lineRule="exact"/>
        <w:jc w:val="left"/>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240" w:lineRule="auto" w:before="26"/>
        <w:ind w:right="1116"/>
        <w:jc w:val="left"/>
      </w:pPr>
      <w:r>
        <w:rPr/>
        <w:t>智慧农业云</w:t>
      </w:r>
      <w:r>
        <w:rPr>
          <w:spacing w:val="-14"/>
        </w:rPr>
        <w:t>、</w:t>
      </w:r>
      <w:r>
        <w:rPr/>
        <w:t>智慧农批云</w:t>
      </w:r>
      <w:r>
        <w:rPr>
          <w:spacing w:val="-14"/>
        </w:rPr>
        <w:t>、</w:t>
      </w:r>
      <w:r>
        <w:rPr/>
        <w:t>智慧零售云</w:t>
      </w:r>
      <w:r>
        <w:rPr>
          <w:spacing w:val="-14"/>
        </w:rPr>
        <w:t>、</w:t>
      </w:r>
      <w:r>
        <w:rPr/>
        <w:t>智慧冷链云等行业专有</w:t>
      </w:r>
      <w:r>
        <w:rPr>
          <w:spacing w:val="-14"/>
        </w:rPr>
        <w:t>云</w:t>
      </w:r>
      <w:r>
        <w:rPr>
          <w:spacing w:val="1"/>
        </w:rPr>
        <w:t>（</w:t>
      </w:r>
      <w:r>
        <w:rPr>
          <w:rFonts w:ascii="宋体" w:hAnsi="宋体" w:cs="宋体" w:eastAsia="宋体" w:hint="default"/>
        </w:rPr>
        <w:t>SaaS</w:t>
      </w:r>
      <w:r>
        <w:rPr>
          <w:spacing w:val="-120"/>
        </w:rPr>
        <w:t>）</w:t>
      </w:r>
      <w:r>
        <w:rPr>
          <w:spacing w:val="-14"/>
        </w:rPr>
        <w:t>，</w:t>
      </w:r>
      <w:r>
        <w:rPr/>
        <w:t>实现信息流</w:t>
      </w:r>
      <w:r>
        <w:rPr>
          <w:spacing w:val="-15"/>
        </w:rPr>
        <w:t>、</w:t>
      </w:r>
      <w:r>
        <w:rPr/>
        <w:t>资</w:t>
      </w:r>
      <w:r>
        <w:rPr/>
        <w:t> 金流、物流、商流的“四流合一</w:t>
      </w:r>
      <w:r>
        <w:rPr>
          <w:spacing w:val="-120"/>
        </w:rPr>
        <w:t>”</w:t>
      </w:r>
      <w:r>
        <w:rPr/>
        <w:t>。食安供应链生态圈已初具规模。</w:t>
      </w:r>
    </w:p>
    <w:p>
      <w:pPr>
        <w:pStyle w:val="BodyText"/>
        <w:spacing w:line="268" w:lineRule="auto" w:before="37"/>
        <w:ind w:left="594" w:right="0"/>
        <w:jc w:val="left"/>
      </w:pPr>
      <w:r>
        <w:rPr>
          <w:rFonts w:ascii="宋体" w:hAnsi="宋体" w:cs="宋体" w:eastAsia="宋体" w:hint="default"/>
          <w:b/>
          <w:bCs/>
        </w:rPr>
        <w:t>3</w:t>
      </w:r>
      <w:r>
        <w:rPr>
          <w:rFonts w:ascii="宋体" w:hAnsi="宋体" w:cs="宋体" w:eastAsia="宋体" w:hint="default"/>
          <w:b/>
          <w:bCs/>
        </w:rPr>
        <w:t>）市场拓展方面</w:t>
      </w:r>
      <w:r>
        <w:rPr>
          <w:rFonts w:ascii="宋体" w:hAnsi="宋体" w:cs="宋体" w:eastAsia="宋体" w:hint="default"/>
          <w:b/>
          <w:bCs/>
          <w:w w:val="99"/>
        </w:rPr>
        <w:t> </w:t>
      </w:r>
      <w:r>
        <w:rPr/>
        <w:t>目前智慧食安承接了国家商务部重要产品追溯体系示范工作中的上海、山东、宁夏、厦</w:t>
      </w:r>
    </w:p>
    <w:p>
      <w:pPr>
        <w:pStyle w:val="BodyText"/>
        <w:spacing w:line="312" w:lineRule="exact"/>
        <w:ind w:right="1132"/>
        <w:jc w:val="both"/>
      </w:pPr>
      <w:r>
        <w:rPr>
          <w:spacing w:val="-3"/>
        </w:rPr>
        <w:t>门三省一市的多个项目，以及上海、安徽、湖南、湖北、广西、广东、云南、重庆、陕西等</w:t>
      </w:r>
      <w:r>
        <w:rPr>
          <w:rFonts w:ascii="宋体" w:hAnsi="宋体" w:cs="宋体" w:eastAsia="宋体" w:hint="default"/>
          <w:spacing w:val="-3"/>
        </w:rPr>
        <w:t>9</w:t>
      </w:r>
      <w:r>
        <w:rPr>
          <w:rFonts w:ascii="宋体" w:hAnsi="宋体" w:cs="宋体" w:eastAsia="宋体" w:hint="default"/>
          <w:spacing w:val="-85"/>
        </w:rPr>
        <w:t> </w:t>
      </w:r>
      <w:r>
        <w:rPr>
          <w:spacing w:val="-2"/>
        </w:rPr>
        <w:t>个省级重要产品追溯平台；广州、铜川</w:t>
      </w:r>
      <w:r>
        <w:rPr>
          <w:rFonts w:ascii="宋体" w:hAnsi="宋体" w:cs="宋体" w:eastAsia="宋体" w:hint="default"/>
          <w:spacing w:val="-2"/>
        </w:rPr>
        <w:t>2</w:t>
      </w:r>
      <w:r>
        <w:rPr>
          <w:spacing w:val="-2"/>
        </w:rPr>
        <w:t>个肉菜省级试点城市；以及全国</w:t>
      </w:r>
      <w:r>
        <w:rPr>
          <w:rFonts w:ascii="宋体" w:hAnsi="宋体" w:cs="宋体" w:eastAsia="宋体" w:hint="default"/>
          <w:spacing w:val="-2"/>
        </w:rPr>
        <w:t>25</w:t>
      </w:r>
      <w:r>
        <w:rPr>
          <w:spacing w:val="-2"/>
        </w:rPr>
        <w:t>个城市的商务部肉</w:t>
      </w:r>
      <w:r>
        <w:rPr/>
        <w:t> 菜流通追溯试点城市的追溯体系建设项目，市场占有率高达</w:t>
      </w:r>
      <w:r>
        <w:rPr>
          <w:rFonts w:ascii="宋体" w:hAnsi="宋体" w:cs="宋体" w:eastAsia="宋体" w:hint="default"/>
        </w:rPr>
        <w:t>43%</w:t>
      </w:r>
      <w:r>
        <w:rPr/>
        <w:t>；宁夏、山东、青海、辽宁</w:t>
      </w:r>
      <w:r>
        <w:rPr>
          <w:rFonts w:ascii="宋体" w:hAnsi="宋体" w:cs="宋体" w:eastAsia="宋体" w:hint="default"/>
        </w:rPr>
        <w:t>4</w:t>
      </w:r>
      <w:r>
        <w:rPr>
          <w:rFonts w:ascii="宋体" w:hAnsi="宋体" w:cs="宋体" w:eastAsia="宋体" w:hint="default"/>
          <w:spacing w:val="-111"/>
        </w:rPr>
        <w:t> </w:t>
      </w:r>
      <w:r>
        <w:rPr>
          <w:spacing w:val="-2"/>
        </w:rPr>
        <w:t>个中药材流通追溯体系建设，覆盖百万人口以上城市近</w:t>
      </w:r>
      <w:r>
        <w:rPr>
          <w:rFonts w:ascii="宋体" w:hAnsi="宋体" w:cs="宋体" w:eastAsia="宋体" w:hint="default"/>
          <w:spacing w:val="-2"/>
        </w:rPr>
        <w:t>50</w:t>
      </w:r>
      <w:r>
        <w:rPr>
          <w:spacing w:val="-2"/>
        </w:rPr>
        <w:t>个城市、受益人口超</w:t>
      </w:r>
      <w:r>
        <w:rPr>
          <w:rFonts w:ascii="宋体" w:hAnsi="宋体" w:cs="宋体" w:eastAsia="宋体" w:hint="default"/>
          <w:spacing w:val="-2"/>
        </w:rPr>
        <w:t>3</w:t>
      </w:r>
      <w:r>
        <w:rPr>
          <w:spacing w:val="-2"/>
        </w:rPr>
        <w:t>亿。追溯的品</w:t>
      </w:r>
      <w:r>
        <w:rPr/>
        <w:t> 类上涵盖了牛羊肉、猪肉、蔬菜、禽类、水产、酒类和中药材等上百个品种。在该领域公司</w:t>
      </w:r>
    </w:p>
    <w:p>
      <w:pPr>
        <w:pStyle w:val="BodyText"/>
        <w:spacing w:line="285" w:lineRule="exact"/>
        <w:ind w:right="0"/>
        <w:jc w:val="left"/>
      </w:pPr>
      <w:r>
        <w:rPr/>
        <w:t>市场占有率遥遥领先。</w:t>
      </w:r>
    </w:p>
    <w:p>
      <w:pPr>
        <w:pStyle w:val="BodyText"/>
        <w:spacing w:line="237" w:lineRule="auto" w:before="39"/>
        <w:ind w:right="1008" w:firstLine="480"/>
        <w:jc w:val="left"/>
      </w:pPr>
      <w:r>
        <w:rPr>
          <w:rFonts w:ascii="宋体" w:hAnsi="宋体" w:cs="宋体" w:eastAsia="宋体" w:hint="default"/>
          <w:spacing w:val="3"/>
        </w:rPr>
        <w:t>2018</w:t>
      </w:r>
      <w:r>
        <w:rPr>
          <w:spacing w:val="3"/>
        </w:rPr>
        <w:t>年，公司先后中标上海、安徽、湖南、湖北、广西、广东、云南、重庆、陕西等</w:t>
      </w:r>
      <w:r>
        <w:rPr>
          <w:rFonts w:ascii="宋体" w:hAnsi="宋体" w:cs="宋体" w:eastAsia="宋体" w:hint="default"/>
          <w:spacing w:val="3"/>
        </w:rPr>
        <w:t>9</w:t>
      </w:r>
      <w:r>
        <w:rPr>
          <w:rFonts w:ascii="宋体" w:hAnsi="宋体" w:cs="宋体" w:eastAsia="宋体" w:hint="default"/>
        </w:rPr>
        <w:t> </w:t>
      </w:r>
      <w:r>
        <w:rPr/>
        <w:t>个省级重要产品追溯平台建设，并拓展了天津、北京肉菜流通追溯试点城市的追溯体系建设 项目，在供应链企业质量管理与追溯方面我司业务已经覆盖了全国农资门店</w:t>
      </w:r>
      <w:r>
        <w:rPr>
          <w:rFonts w:ascii="宋体" w:hAnsi="宋体" w:cs="宋体" w:eastAsia="宋体" w:hint="default"/>
        </w:rPr>
        <w:t>2000+</w:t>
      </w:r>
      <w:r>
        <w:rPr/>
        <w:t>、种养殖基 </w:t>
      </w:r>
      <w:r>
        <w:rPr>
          <w:spacing w:val="-4"/>
        </w:rPr>
        <w:t>地</w:t>
      </w:r>
      <w:r>
        <w:rPr>
          <w:rFonts w:ascii="宋体" w:hAnsi="宋体" w:cs="宋体" w:eastAsia="宋体" w:hint="default"/>
          <w:spacing w:val="-4"/>
        </w:rPr>
        <w:t>50+</w:t>
      </w:r>
      <w:r>
        <w:rPr>
          <w:spacing w:val="-4"/>
        </w:rPr>
        <w:t>、屠宰厂企业</w:t>
      </w:r>
      <w:r>
        <w:rPr>
          <w:rFonts w:ascii="宋体" w:hAnsi="宋体" w:cs="宋体" w:eastAsia="宋体" w:hint="default"/>
          <w:spacing w:val="-4"/>
        </w:rPr>
        <w:t>220+</w:t>
      </w:r>
      <w:r>
        <w:rPr>
          <w:spacing w:val="-4"/>
        </w:rPr>
        <w:t>、批发配送企业</w:t>
      </w:r>
      <w:r>
        <w:rPr>
          <w:rFonts w:ascii="宋体" w:hAnsi="宋体" w:cs="宋体" w:eastAsia="宋体" w:hint="default"/>
          <w:spacing w:val="-4"/>
        </w:rPr>
        <w:t>630+`</w:t>
      </w:r>
      <w:r>
        <w:rPr>
          <w:spacing w:val="-4"/>
        </w:rPr>
        <w:t>、生产加工企业</w:t>
      </w:r>
      <w:r>
        <w:rPr>
          <w:rFonts w:ascii="宋体" w:hAnsi="宋体" w:cs="宋体" w:eastAsia="宋体" w:hint="default"/>
          <w:spacing w:val="-4"/>
        </w:rPr>
        <w:t>30+</w:t>
      </w:r>
      <w:r>
        <w:rPr>
          <w:spacing w:val="-4"/>
        </w:rPr>
        <w:t>、菜市场</w:t>
      </w:r>
      <w:r>
        <w:rPr>
          <w:rFonts w:ascii="宋体" w:hAnsi="宋体" w:cs="宋体" w:eastAsia="宋体" w:hint="default"/>
          <w:spacing w:val="-4"/>
        </w:rPr>
        <w:t>1500+</w:t>
      </w:r>
      <w:r>
        <w:rPr>
          <w:spacing w:val="-4"/>
        </w:rPr>
        <w:t>、超市</w:t>
      </w:r>
      <w:r>
        <w:rPr>
          <w:rFonts w:ascii="宋体" w:hAnsi="宋体" w:cs="宋体" w:eastAsia="宋体" w:hint="default"/>
          <w:spacing w:val="-4"/>
        </w:rPr>
        <w:t>2800+</w:t>
      </w:r>
      <w:r>
        <w:rPr>
          <w:spacing w:val="-4"/>
        </w:rPr>
        <w:t>、</w:t>
      </w:r>
      <w:r>
        <w:rPr>
          <w:spacing w:val="-108"/>
        </w:rPr>
        <w:t> </w:t>
      </w:r>
      <w:r>
        <w:rPr/>
        <w:t>团体消费单位</w:t>
      </w:r>
      <w:r>
        <w:rPr>
          <w:rFonts w:ascii="宋体" w:hAnsi="宋体" w:cs="宋体" w:eastAsia="宋体" w:hint="default"/>
        </w:rPr>
        <w:t>1200+</w:t>
      </w:r>
      <w:r>
        <w:rPr/>
        <w:t>、直营店</w:t>
      </w:r>
      <w:r>
        <w:rPr>
          <w:rFonts w:ascii="宋体" w:hAnsi="宋体" w:cs="宋体" w:eastAsia="宋体" w:hint="default"/>
        </w:rPr>
        <w:t>1600+</w:t>
      </w:r>
      <w:r>
        <w:rPr/>
        <w:t>，</w:t>
      </w:r>
      <w:r>
        <w:rPr>
          <w:spacing w:val="-48"/>
        </w:rPr>
        <w:t> </w:t>
      </w:r>
      <w:r>
        <w:rPr/>
        <w:t>实现了食用农产品和食品从种养殖、生产加工、流通到</w:t>
      </w:r>
      <w:r>
        <w:rPr/>
        <w:t> </w:t>
      </w:r>
      <w:r>
        <w:rPr>
          <w:spacing w:val="-3"/>
        </w:rPr>
        <w:t>消费的全程追溯。知名企业客户包括：上蔬集团、夏商集团、光明渔业、齐峰果业、大润发、</w:t>
      </w:r>
      <w:r>
        <w:rPr>
          <w:spacing w:val="-83"/>
        </w:rPr>
        <w:t> </w:t>
      </w:r>
      <w:r>
        <w:rPr>
          <w:spacing w:val="-83"/>
        </w:rPr>
      </w:r>
      <w:r>
        <w:rPr/>
        <w:t>欧尚、麦德龙、奥乐齐、开市客、华润万家、盒马鲜生、美天、食行生鲜、三林熟食、艺杏 食品、高校后勤、重庆百货、新世纪百货、深农集团、新华百货、北京新发地、物美、人人 乐、百盛、王府井集团、雨润、双汇、中百集团、大商集团、武商集团、美宜佳等。</w:t>
      </w:r>
    </w:p>
    <w:p>
      <w:pPr>
        <w:pStyle w:val="Heading4"/>
        <w:spacing w:line="313" w:lineRule="exact" w:before="36"/>
        <w:ind w:left="594" w:right="0"/>
        <w:jc w:val="left"/>
        <w:rPr>
          <w:b w:val="0"/>
          <w:bCs w:val="0"/>
        </w:rPr>
      </w:pPr>
      <w:r>
        <w:rPr>
          <w:rFonts w:ascii="宋体" w:hAnsi="宋体" w:cs="宋体" w:eastAsia="宋体" w:hint="default"/>
        </w:rPr>
        <w:t>4</w:t>
      </w:r>
      <w:r>
        <w:rPr/>
        <w:t>）技术创新方面</w:t>
      </w:r>
      <w:r>
        <w:rPr>
          <w:b w:val="0"/>
          <w:bCs w:val="0"/>
        </w:rPr>
      </w:r>
    </w:p>
    <w:p>
      <w:pPr>
        <w:pStyle w:val="BodyText"/>
        <w:spacing w:line="237" w:lineRule="auto" w:before="1"/>
        <w:ind w:right="1130" w:firstLine="480"/>
        <w:jc w:val="both"/>
      </w:pPr>
      <w:r>
        <w:rPr>
          <w:rFonts w:ascii="宋体" w:hAnsi="宋体" w:cs="宋体" w:eastAsia="宋体" w:hint="default"/>
          <w:spacing w:val="-2"/>
        </w:rPr>
        <w:t>2018</w:t>
      </w:r>
      <w:r>
        <w:rPr>
          <w:spacing w:val="-2"/>
        </w:rPr>
        <w:t>年信息发展和霍尼韦尔达成战略合作，在上海共同组建信息发展</w:t>
      </w:r>
      <w:r>
        <w:rPr>
          <w:rFonts w:ascii="宋体" w:hAnsi="宋体" w:cs="宋体" w:eastAsia="宋体" w:hint="default"/>
          <w:spacing w:val="-2"/>
        </w:rPr>
        <w:t>-</w:t>
      </w:r>
      <w:r>
        <w:rPr>
          <w:spacing w:val="-2"/>
        </w:rPr>
        <w:t>霍尼韦尔联合创新</w:t>
      </w:r>
      <w:r>
        <w:rPr/>
        <w:t> </w:t>
      </w:r>
      <w:r>
        <w:rPr>
          <w:spacing w:val="-11"/>
        </w:rPr>
        <w:t>实验室，“区块链技术在农产品质量安全追溯中的应用”、“生物芯片在便携式农残快检设备的</w:t>
      </w:r>
      <w:r>
        <w:rPr>
          <w:spacing w:val="-100"/>
        </w:rPr>
        <w:t> </w:t>
      </w:r>
      <w:r>
        <w:rPr>
          <w:spacing w:val="-100"/>
        </w:rPr>
      </w:r>
      <w:r>
        <w:rPr/>
        <w:t>研制与推广”两个领域的新科技、新技术展开战略性、前瞻性研发。实验室的成立加快推进 了公司在食品安全领域的科技创新、模式创新、业务创新、应用创新，显著提升了核心竞争 力。</w:t>
      </w:r>
    </w:p>
    <w:p>
      <w:pPr>
        <w:pStyle w:val="BodyText"/>
        <w:spacing w:line="312" w:lineRule="exact" w:before="29"/>
        <w:ind w:left="594" w:right="1152"/>
        <w:jc w:val="left"/>
      </w:pPr>
      <w:r>
        <w:rPr>
          <w:rFonts w:ascii="宋体" w:hAnsi="宋体" w:cs="宋体" w:eastAsia="宋体" w:hint="default"/>
          <w:b/>
          <w:bCs/>
        </w:rPr>
        <w:t>5</w:t>
      </w:r>
      <w:r>
        <w:rPr>
          <w:rFonts w:ascii="宋体" w:hAnsi="宋体" w:cs="宋体" w:eastAsia="宋体" w:hint="default"/>
          <w:b/>
          <w:bCs/>
        </w:rPr>
        <w:t>）重大战略项目</w:t>
      </w:r>
      <w:r>
        <w:rPr>
          <w:rFonts w:ascii="宋体" w:hAnsi="宋体" w:cs="宋体" w:eastAsia="宋体" w:hint="default"/>
          <w:b/>
          <w:bCs/>
          <w:w w:val="99"/>
        </w:rPr>
        <w:t> </w:t>
      </w:r>
      <w:r>
        <w:rPr/>
        <w:t>在</w:t>
      </w:r>
      <w:r>
        <w:rPr>
          <w:rFonts w:ascii="宋体" w:hAnsi="宋体" w:cs="宋体" w:eastAsia="宋体" w:hint="default"/>
        </w:rPr>
        <w:t>2018</w:t>
      </w:r>
      <w:r>
        <w:rPr/>
        <w:t>首届中国国际进口博览会期间，公司圆满完成了“进博会餐饮食品供应物流配送</w:t>
      </w:r>
    </w:p>
    <w:p>
      <w:pPr>
        <w:pStyle w:val="BodyText"/>
        <w:spacing w:line="312" w:lineRule="exact"/>
        <w:ind w:right="1152"/>
        <w:jc w:val="left"/>
      </w:pPr>
      <w:r>
        <w:rPr/>
        <w:t>追溯系统”的建设任务，通过物联网、区块链、大数据等信息技术保障了进博会“供得上、 吃得好、吃得安”这一目标，获得了组委会和社会公众的高度认可。</w:t>
      </w:r>
    </w:p>
    <w:p>
      <w:pPr>
        <w:pStyle w:val="BodyText"/>
        <w:spacing w:line="312" w:lineRule="exact"/>
        <w:ind w:right="998" w:firstLine="480"/>
        <w:jc w:val="left"/>
      </w:pPr>
      <w:r>
        <w:rPr>
          <w:rFonts w:ascii="宋体" w:hAnsi="宋体" w:cs="宋体" w:eastAsia="宋体" w:hint="default"/>
          <w:spacing w:val="-2"/>
        </w:rPr>
        <w:t>2018</w:t>
      </w:r>
      <w:r>
        <w:rPr>
          <w:spacing w:val="-2"/>
        </w:rPr>
        <w:t>年</w:t>
      </w:r>
      <w:r>
        <w:rPr>
          <w:rFonts w:ascii="宋体" w:hAnsi="宋体" w:cs="宋体" w:eastAsia="宋体" w:hint="default"/>
          <w:spacing w:val="-2"/>
        </w:rPr>
        <w:t>11</w:t>
      </w:r>
      <w:r>
        <w:rPr>
          <w:spacing w:val="-2"/>
        </w:rPr>
        <w:t>月</w:t>
      </w:r>
      <w:r>
        <w:rPr>
          <w:rFonts w:ascii="宋体" w:hAnsi="宋体" w:cs="宋体" w:eastAsia="宋体" w:hint="default"/>
          <w:spacing w:val="-2"/>
        </w:rPr>
        <w:t>16</w:t>
      </w:r>
      <w:r>
        <w:rPr>
          <w:spacing w:val="-2"/>
        </w:rPr>
        <w:t>日，在商务部、上海、江苏、浙江、安徽等三省一市商务主管部门指导下，</w:t>
      </w:r>
      <w:r>
        <w:rPr/>
        <w:t> 长三角重要产品追溯联盟暨长三角区块链追溯联盟正式成立。该联盟将推动以企业为主体， 搭建江、浙、沪、皖三省一市重要产品追溯的平台，利用区块链技术打造“源头可溯，环节 可控，去向可查，人员可管，风险可防，安全可靠”的重要产品追溯体系。实现跨区域跨部 门追溯信息互联、互通、互认、互查，增加重要产品信息追溯产业影响力，保障食品安全。</w:t>
      </w:r>
    </w:p>
    <w:p>
      <w:pPr>
        <w:spacing w:line="240" w:lineRule="auto" w:before="11"/>
        <w:rPr>
          <w:rFonts w:ascii="宋体" w:hAnsi="宋体" w:cs="宋体" w:eastAsia="宋体" w:hint="default"/>
          <w:sz w:val="23"/>
          <w:szCs w:val="23"/>
        </w:rPr>
      </w:pPr>
    </w:p>
    <w:p>
      <w:pPr>
        <w:spacing w:line="312" w:lineRule="exact" w:before="0"/>
        <w:ind w:left="594" w:right="1152"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2</w:t>
      </w:r>
      <w:r>
        <w:rPr>
          <w:rFonts w:ascii="宋体" w:hAnsi="宋体" w:cs="宋体" w:eastAsia="宋体" w:hint="default"/>
          <w:b/>
          <w:bCs/>
          <w:sz w:val="24"/>
          <w:szCs w:val="24"/>
        </w:rPr>
        <w:t>）智慧档案领域</w:t>
      </w:r>
      <w:r>
        <w:rPr>
          <w:rFonts w:ascii="宋体" w:hAnsi="宋体" w:cs="宋体" w:eastAsia="宋体" w:hint="default"/>
          <w:b/>
          <w:bCs/>
          <w:w w:val="99"/>
          <w:sz w:val="24"/>
          <w:szCs w:val="24"/>
        </w:rPr>
        <w:t> </w:t>
      </w:r>
      <w:r>
        <w:rPr>
          <w:rFonts w:ascii="宋体" w:hAnsi="宋体" w:cs="宋体" w:eastAsia="宋体" w:hint="default"/>
          <w:sz w:val="24"/>
          <w:szCs w:val="24"/>
        </w:rPr>
        <w:t>在智慧档案领域，我司基于原有传统优势业务和客户积累，结合新技术新思路升级基础</w:t>
      </w:r>
    </w:p>
    <w:p>
      <w:pPr>
        <w:pStyle w:val="BodyText"/>
        <w:spacing w:line="312" w:lineRule="exact"/>
        <w:ind w:right="0"/>
        <w:jc w:val="left"/>
      </w:pPr>
      <w:r>
        <w:rPr/>
        <w:t>档案领域的信息化服务，面向各级、各类档案部门提供咨询规划服务、软件技术开发服务、 系统集成工程服务、数据处理服务、寄存托管服务等相关整体解决方案。响应政策要求，紧 </w:t>
      </w:r>
      <w:r>
        <w:rPr>
          <w:spacing w:val="-3"/>
        </w:rPr>
        <w:t>跟公司战略发展规划，事业群不断推陈出新，积极利用大数据、云计算、人工智能等新技术，</w:t>
      </w:r>
    </w:p>
    <w:p>
      <w:pPr>
        <w:pStyle w:val="BodyText"/>
        <w:spacing w:line="312" w:lineRule="exact"/>
        <w:ind w:left="594" w:right="0" w:hanging="480"/>
        <w:jc w:val="left"/>
      </w:pPr>
      <w:r>
        <w:rPr/>
        <w:t>打造档案行业专有云和档案大数据综合解决方案，构建互联网</w:t>
      </w:r>
      <w:r>
        <w:rPr>
          <w:rFonts w:ascii="宋体" w:hAnsi="宋体" w:cs="宋体" w:eastAsia="宋体" w:hint="default"/>
        </w:rPr>
        <w:t>+</w:t>
      </w:r>
      <w:r>
        <w:rPr/>
        <w:t>时代的智慧档案生态圈。 </w:t>
      </w:r>
      <w:r>
        <w:rPr>
          <w:spacing w:val="-3"/>
        </w:rPr>
        <w:t>报告期内，公司共计承接了</w:t>
      </w:r>
      <w:r>
        <w:rPr>
          <w:rFonts w:ascii="宋体" w:hAnsi="宋体" w:cs="宋体" w:eastAsia="宋体" w:hint="default"/>
          <w:spacing w:val="-3"/>
        </w:rPr>
        <w:t>38</w:t>
      </w:r>
      <w:r>
        <w:rPr>
          <w:spacing w:val="-3"/>
        </w:rPr>
        <w:t>家副省级以上档案局（馆）客户，市场覆盖率为</w:t>
      </w:r>
      <w:r>
        <w:rPr>
          <w:rFonts w:ascii="宋体" w:hAnsi="宋体" w:cs="宋体" w:eastAsia="宋体" w:hint="default"/>
          <w:spacing w:val="-3"/>
        </w:rPr>
        <w:t>76%</w:t>
      </w:r>
      <w:r>
        <w:rPr>
          <w:spacing w:val="-3"/>
        </w:rPr>
        <w:t>。在上</w:t>
      </w:r>
    </w:p>
    <w:p>
      <w:pPr>
        <w:pStyle w:val="BodyText"/>
        <w:spacing w:line="312" w:lineRule="exact"/>
        <w:ind w:right="1006"/>
        <w:jc w:val="left"/>
      </w:pPr>
      <w:r>
        <w:rPr/>
        <w:t>海市的档案局（馆）客户覆盖率为</w:t>
      </w:r>
      <w:r>
        <w:rPr>
          <w:rFonts w:ascii="宋体" w:hAnsi="宋体" w:cs="宋体" w:eastAsia="宋体" w:hint="default"/>
        </w:rPr>
        <w:t>100%</w:t>
      </w:r>
      <w:r>
        <w:rPr/>
        <w:t>，市场优势明显。在浙江省、江苏省的档案局（馆） </w:t>
      </w:r>
      <w:r>
        <w:rPr>
          <w:spacing w:val="-2"/>
        </w:rPr>
        <w:t>客户覆盖率也分别达到</w:t>
      </w:r>
      <w:r>
        <w:rPr>
          <w:rFonts w:ascii="宋体" w:hAnsi="宋体" w:cs="宋体" w:eastAsia="宋体" w:hint="default"/>
          <w:spacing w:val="-2"/>
        </w:rPr>
        <w:t>58.9%</w:t>
      </w:r>
      <w:r>
        <w:rPr>
          <w:spacing w:val="-2"/>
        </w:rPr>
        <w:t>和</w:t>
      </w:r>
      <w:r>
        <w:rPr>
          <w:rFonts w:ascii="宋体" w:hAnsi="宋体" w:cs="宋体" w:eastAsia="宋体" w:hint="default"/>
          <w:spacing w:val="-2"/>
        </w:rPr>
        <w:t>39.8%</w:t>
      </w:r>
      <w:r>
        <w:rPr>
          <w:spacing w:val="-2"/>
        </w:rPr>
        <w:t>。截至报告期末，信息发展档案客户已覆盖全国</w:t>
      </w:r>
      <w:r>
        <w:rPr>
          <w:rFonts w:ascii="宋体" w:hAnsi="宋体" w:cs="宋体" w:eastAsia="宋体" w:hint="default"/>
          <w:spacing w:val="-2"/>
        </w:rPr>
        <w:t>30</w:t>
      </w:r>
      <w:r>
        <w:rPr>
          <w:spacing w:val="-2"/>
        </w:rPr>
        <w:t>个省、</w:t>
      </w:r>
    </w:p>
    <w:p>
      <w:pPr>
        <w:spacing w:after="0" w:line="312" w:lineRule="exact"/>
        <w:jc w:val="left"/>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237" w:lineRule="auto" w:before="28"/>
        <w:ind w:right="1169"/>
        <w:jc w:val="both"/>
      </w:pPr>
      <w:r>
        <w:rPr/>
        <w:t>直辖市、自治区。</w:t>
      </w:r>
      <w:r>
        <w:rPr>
          <w:rFonts w:ascii="宋体" w:hAnsi="宋体" w:cs="宋体" w:eastAsia="宋体" w:hint="default"/>
        </w:rPr>
        <w:t>2018</w:t>
      </w:r>
      <w:r>
        <w:rPr/>
        <w:t>年主要客户有全国人大、国家档案局档案科学技术研究所、教育部、 国家能源局、上海证券交易所、深圳证券交易所、河南省档案局、山东省档案局、浦东新区 档案局、中国化工博物馆、天津滨海银行、浦发银行、申万宏源、东方证券、财通证券、保 利地产、中海地产、上汽集团、众安保险、鼎和保险、中远海运等，</w:t>
      </w:r>
      <w:r>
        <w:rPr>
          <w:rFonts w:ascii="宋体" w:hAnsi="宋体" w:cs="宋体" w:eastAsia="宋体" w:hint="default"/>
        </w:rPr>
        <w:t>2019</w:t>
      </w:r>
      <w:r>
        <w:rPr/>
        <w:t>年在保持政府客户 稳定发展的基础上，积极开拓企业客户，主要行业包括保险、证券、银行、房地产等。</w:t>
      </w:r>
    </w:p>
    <w:p>
      <w:pPr>
        <w:spacing w:line="240" w:lineRule="auto" w:before="9"/>
        <w:rPr>
          <w:rFonts w:ascii="宋体" w:hAnsi="宋体" w:cs="宋体" w:eastAsia="宋体" w:hint="default"/>
          <w:sz w:val="23"/>
          <w:szCs w:val="23"/>
        </w:rPr>
      </w:pPr>
    </w:p>
    <w:p>
      <w:pPr>
        <w:spacing w:line="268" w:lineRule="auto" w:before="0"/>
        <w:ind w:left="594" w:right="0" w:firstLine="2"/>
        <w:jc w:val="left"/>
        <w:rPr>
          <w:rFonts w:ascii="宋体" w:hAnsi="宋体" w:cs="宋体" w:eastAsia="宋体" w:hint="default"/>
          <w:sz w:val="24"/>
          <w:szCs w:val="24"/>
        </w:rPr>
      </w:pPr>
      <w:r>
        <w:rPr>
          <w:rFonts w:ascii="宋体" w:hAnsi="宋体" w:cs="宋体" w:eastAsia="宋体" w:hint="default"/>
          <w:b/>
          <w:bCs/>
          <w:sz w:val="24"/>
          <w:szCs w:val="24"/>
        </w:rPr>
        <w:t>（</w:t>
      </w:r>
      <w:r>
        <w:rPr>
          <w:rFonts w:ascii="宋体" w:hAnsi="宋体" w:cs="宋体" w:eastAsia="宋体" w:hint="default"/>
          <w:b/>
          <w:bCs/>
          <w:sz w:val="24"/>
          <w:szCs w:val="24"/>
        </w:rPr>
        <w:t>3</w:t>
      </w:r>
      <w:r>
        <w:rPr>
          <w:rFonts w:ascii="宋体" w:hAnsi="宋体" w:cs="宋体" w:eastAsia="宋体" w:hint="default"/>
          <w:b/>
          <w:bCs/>
          <w:sz w:val="24"/>
          <w:szCs w:val="24"/>
        </w:rPr>
        <w:t>）智慧司法领域</w:t>
      </w:r>
      <w:r>
        <w:rPr>
          <w:rFonts w:ascii="宋体" w:hAnsi="宋体" w:cs="宋体" w:eastAsia="宋体" w:hint="default"/>
          <w:b/>
          <w:bCs/>
          <w:w w:val="99"/>
          <w:sz w:val="24"/>
          <w:szCs w:val="24"/>
        </w:rPr>
        <w:t> </w:t>
      </w:r>
      <w:r>
        <w:rPr>
          <w:rFonts w:ascii="宋体" w:hAnsi="宋体" w:cs="宋体" w:eastAsia="宋体" w:hint="default"/>
          <w:sz w:val="24"/>
          <w:szCs w:val="24"/>
        </w:rPr>
        <w:t>以监狱业务为主线，运用云计算、大数据、人工智能、区块链等新技术快速形成卡位优</w:t>
      </w:r>
    </w:p>
    <w:p>
      <w:pPr>
        <w:pStyle w:val="BodyText"/>
        <w:spacing w:line="281" w:lineRule="exact"/>
        <w:ind w:right="0"/>
        <w:jc w:val="both"/>
      </w:pPr>
      <w:r>
        <w:rPr/>
        <w:t>势，从产品与项目并重，逐步向产品研发为主转型，快速抢占市场；积极创新产品，把业务</w:t>
      </w:r>
    </w:p>
    <w:p>
      <w:pPr>
        <w:pStyle w:val="BodyText"/>
        <w:spacing w:line="240" w:lineRule="auto"/>
        <w:ind w:right="1139"/>
        <w:jc w:val="both"/>
      </w:pPr>
      <w:r>
        <w:rPr/>
        <w:t>迅速扩展到戒毒所、社区矫正、鉴定所等。我司将贯穿公检法司，面向特殊群体提供全产业 链服务，致力于利用信息化建设推动社会发展文明与进步，为我国司法信息化建设发展做出 贡献。</w:t>
      </w:r>
    </w:p>
    <w:p>
      <w:pPr>
        <w:pStyle w:val="BodyText"/>
        <w:spacing w:line="237" w:lineRule="auto" w:before="40"/>
        <w:ind w:right="0" w:firstLine="480"/>
        <w:jc w:val="left"/>
      </w:pPr>
      <w:r>
        <w:rPr>
          <w:spacing w:val="-3"/>
        </w:rPr>
        <w:t>截止本报告期末，我司目前已经全面覆盖江苏、北京、上海、新疆、安徽、四川、浙江、</w:t>
      </w:r>
      <w:r>
        <w:rPr/>
        <w:t> 内蒙古、湖南、贵州、陕西、江西等。除上述省份外，公司</w:t>
      </w:r>
      <w:r>
        <w:rPr>
          <w:rFonts w:ascii="宋体" w:hAnsi="宋体" w:cs="宋体" w:eastAsia="宋体" w:hint="default"/>
        </w:rPr>
        <w:t>2018</w:t>
      </w:r>
      <w:r>
        <w:rPr/>
        <w:t>年还承接了广东、山东、云</w:t>
      </w:r>
      <w:r>
        <w:rPr>
          <w:spacing w:val="-111"/>
        </w:rPr>
        <w:t> </w:t>
      </w:r>
      <w:r>
        <w:rPr>
          <w:spacing w:val="-111"/>
        </w:rPr>
      </w:r>
      <w:r>
        <w:rPr/>
        <w:t>南、山西、广西、重庆、辽宁、湖北、福建等地项目，在首批通过司法部验收的</w:t>
      </w:r>
      <w:r>
        <w:rPr>
          <w:rFonts w:ascii="宋体" w:hAnsi="宋体" w:cs="宋体" w:eastAsia="宋体" w:hint="default"/>
        </w:rPr>
        <w:t>33</w:t>
      </w:r>
      <w:r>
        <w:rPr/>
        <w:t>家智慧监</w:t>
      </w:r>
      <w:r>
        <w:rPr>
          <w:spacing w:val="-107"/>
        </w:rPr>
        <w:t> </w:t>
      </w:r>
      <w:r>
        <w:rPr/>
        <w:t>狱中，由信息发展及参股子公司参与建设的有</w:t>
      </w:r>
      <w:r>
        <w:rPr>
          <w:rFonts w:ascii="宋体" w:hAnsi="宋体" w:cs="宋体" w:eastAsia="宋体" w:hint="default"/>
        </w:rPr>
        <w:t>26</w:t>
      </w:r>
      <w:r>
        <w:rPr/>
        <w:t>个监狱，占比</w:t>
      </w:r>
      <w:r>
        <w:rPr>
          <w:rFonts w:ascii="宋体" w:hAnsi="宋体" w:cs="宋体" w:eastAsia="宋体" w:hint="default"/>
        </w:rPr>
        <w:t>78%</w:t>
      </w:r>
      <w:r>
        <w:rPr/>
        <w:t>。</w:t>
      </w:r>
    </w:p>
    <w:p>
      <w:pPr>
        <w:spacing w:line="240" w:lineRule="auto" w:before="13"/>
        <w:rPr>
          <w:rFonts w:ascii="宋体" w:hAnsi="宋体" w:cs="宋体" w:eastAsia="宋体" w:hint="default"/>
          <w:sz w:val="28"/>
          <w:szCs w:val="28"/>
        </w:rPr>
      </w:pPr>
    </w:p>
    <w:p>
      <w:pPr>
        <w:pStyle w:val="Heading4"/>
        <w:spacing w:line="312" w:lineRule="exact"/>
        <w:ind w:left="534" w:right="7692" w:firstLine="62"/>
        <w:jc w:val="left"/>
        <w:rPr>
          <w:b w:val="0"/>
          <w:bCs w:val="0"/>
        </w:rPr>
      </w:pPr>
      <w:r>
        <w:rPr/>
        <w:t>（</w:t>
      </w:r>
      <w:r>
        <w:rPr>
          <w:rFonts w:ascii="宋体" w:hAnsi="宋体" w:cs="宋体" w:eastAsia="宋体" w:hint="default"/>
        </w:rPr>
        <w:t>4</w:t>
      </w:r>
      <w:r>
        <w:rPr/>
        <w:t>）创新中心</w:t>
      </w:r>
      <w:r>
        <w:rPr>
          <w:w w:val="99"/>
        </w:rPr>
        <w:t> </w:t>
      </w:r>
      <w:r>
        <w:rPr>
          <w:rFonts w:ascii="宋体" w:hAnsi="宋体" w:cs="宋体" w:eastAsia="宋体" w:hint="default"/>
          <w:w w:val="95"/>
        </w:rPr>
        <w:t>1</w:t>
      </w:r>
      <w:r>
        <w:rPr>
          <w:w w:val="95"/>
        </w:rPr>
        <w:t>）大数据智能创新中心</w:t>
      </w:r>
      <w:r>
        <w:rPr>
          <w:b w:val="0"/>
          <w:bCs w:val="0"/>
        </w:rPr>
      </w:r>
    </w:p>
    <w:p>
      <w:pPr>
        <w:pStyle w:val="BodyText"/>
        <w:spacing w:line="312" w:lineRule="exact"/>
        <w:ind w:right="1139" w:firstLine="420"/>
        <w:jc w:val="both"/>
      </w:pPr>
      <w:r>
        <w:rPr>
          <w:rFonts w:ascii="宋体" w:hAnsi="宋体" w:cs="宋体" w:eastAsia="宋体" w:hint="default"/>
        </w:rPr>
        <w:t>2018</w:t>
      </w:r>
      <w:r>
        <w:rPr/>
        <w:t>年起，承建上海市数据共享交换平台数据质量监管及支撑子系统建设，对上海公共 数据进行数据质量智能监控。同时，积极赋能智慧食安、智慧档案、智慧司法，成功参与了 上海市农业数据资源库数据治理、清洗及应用系统建设项目、广州市商务委肉类蔬菜流通追</w:t>
      </w:r>
    </w:p>
    <w:p>
      <w:pPr>
        <w:pStyle w:val="BodyText"/>
        <w:spacing w:line="312" w:lineRule="exact"/>
        <w:ind w:right="1138"/>
        <w:jc w:val="both"/>
      </w:pPr>
      <w:r>
        <w:rPr/>
        <w:t>溯管理信息系统应用软件大数据开发服务子项目、浦东新区档案馆馆藏档案工程配套软硬件 升级大数据应用子项目、北京市监狱管理局智能安防应用建设项目第三包大数据应用开发及</w:t>
      </w:r>
      <w:r>
        <w:rPr>
          <w:spacing w:val="-117"/>
        </w:rPr>
        <w:t> </w:t>
      </w:r>
      <w:r>
        <w:rPr>
          <w:spacing w:val="-117"/>
        </w:rPr>
      </w:r>
      <w:r>
        <w:rPr/>
        <w:t>集成项目、陕西齐峰果业有限责任公司数字农业建设试点项目等。</w:t>
      </w:r>
    </w:p>
    <w:p>
      <w:pPr>
        <w:spacing w:line="312" w:lineRule="exact" w:before="0"/>
        <w:ind w:left="534" w:right="1136" w:firstLine="0"/>
        <w:jc w:val="left"/>
        <w:rPr>
          <w:rFonts w:ascii="宋体" w:hAnsi="宋体" w:cs="宋体" w:eastAsia="宋体" w:hint="default"/>
          <w:sz w:val="24"/>
          <w:szCs w:val="24"/>
        </w:rPr>
      </w:pPr>
      <w:r>
        <w:rPr>
          <w:rFonts w:ascii="宋体" w:hAnsi="宋体" w:cs="宋体" w:eastAsia="宋体" w:hint="default"/>
          <w:b/>
          <w:bCs/>
          <w:sz w:val="24"/>
          <w:szCs w:val="24"/>
        </w:rPr>
        <w:t>2</w:t>
      </w:r>
      <w:r>
        <w:rPr>
          <w:rFonts w:ascii="宋体" w:hAnsi="宋体" w:cs="宋体" w:eastAsia="宋体" w:hint="default"/>
          <w:b/>
          <w:bCs/>
          <w:sz w:val="24"/>
          <w:szCs w:val="24"/>
        </w:rPr>
        <w:t>）区块链创新中心</w:t>
      </w:r>
      <w:r>
        <w:rPr>
          <w:rFonts w:ascii="宋体" w:hAnsi="宋体" w:cs="宋体" w:eastAsia="宋体" w:hint="default"/>
          <w:b/>
          <w:bCs/>
          <w:w w:val="99"/>
          <w:sz w:val="24"/>
          <w:szCs w:val="24"/>
        </w:rPr>
        <w:t> </w:t>
      </w:r>
      <w:r>
        <w:rPr>
          <w:rFonts w:ascii="宋体" w:hAnsi="宋体" w:cs="宋体" w:eastAsia="宋体" w:hint="default"/>
          <w:spacing w:val="2"/>
          <w:sz w:val="24"/>
          <w:szCs w:val="24"/>
        </w:rPr>
        <w:t>报告期内，通过信息发展强大的技术研发实力，组织了优秀技术创新人才，建设完成了</w:t>
      </w:r>
    </w:p>
    <w:p>
      <w:pPr>
        <w:pStyle w:val="BodyText"/>
        <w:spacing w:line="312" w:lineRule="exact"/>
        <w:ind w:right="994"/>
        <w:jc w:val="left"/>
      </w:pPr>
      <w:r>
        <w:rPr/>
        <w:t>区块链创新中心，致力于研究区块链</w:t>
      </w:r>
      <w:r>
        <w:rPr>
          <w:rFonts w:ascii="宋体" w:hAnsi="宋体" w:cs="宋体" w:eastAsia="宋体" w:hint="default"/>
        </w:rPr>
        <w:t>CBaaS</w:t>
      </w:r>
      <w:r>
        <w:rPr/>
        <w:t>平台以及区块链网关的软硬一体化配套工具。通过 建立信发链品牌并完成</w:t>
      </w:r>
      <w:r>
        <w:rPr>
          <w:rFonts w:ascii="宋体" w:hAnsi="宋体" w:cs="宋体" w:eastAsia="宋体" w:hint="default"/>
        </w:rPr>
        <w:t>5</w:t>
      </w:r>
      <w:r>
        <w:rPr/>
        <w:t>项区块链发明专利，将信息发展的区块链业务从长三角带至全国，同 时率先在全国范围内打造了第一个省级重点产品追溯平台——云南省重要产品追溯平台，打</w:t>
      </w:r>
      <w:r>
        <w:rPr>
          <w:spacing w:val="-113"/>
        </w:rPr>
        <w:t> </w:t>
      </w:r>
      <w:r>
        <w:rPr>
          <w:spacing w:val="-113"/>
        </w:rPr>
      </w:r>
      <w:r>
        <w:rPr>
          <w:spacing w:val="-2"/>
        </w:rPr>
        <w:t>造盱眙龙虾质量追溯平台以及土山土水农产品追溯系统。通过在首届中国进口博览会的亮相，</w:t>
      </w:r>
      <w:r>
        <w:rPr/>
        <w:t> 信发链在食品安全方面获得了用户的一致认可、收获了良好的口碑，打开了业务局面。</w:t>
      </w:r>
    </w:p>
    <w:p>
      <w:pPr>
        <w:pStyle w:val="BodyText"/>
        <w:spacing w:line="312" w:lineRule="exact"/>
        <w:ind w:right="1129" w:firstLine="420"/>
        <w:jc w:val="both"/>
      </w:pPr>
      <w:r>
        <w:rPr>
          <w:spacing w:val="2"/>
        </w:rPr>
        <w:t>在商务部的见证下，在上海、江苏、浙江、安徽三省一市商务部领导的背书下，长三角</w:t>
      </w:r>
      <w:r>
        <w:rPr/>
        <w:t> 重要产品追溯联盟暨长三角区块链追溯联盟于</w:t>
      </w:r>
      <w:r>
        <w:rPr>
          <w:rFonts w:ascii="宋体" w:hAnsi="宋体" w:cs="宋体" w:eastAsia="宋体" w:hint="default"/>
        </w:rPr>
        <w:t>2018</w:t>
      </w:r>
      <w:r>
        <w:rPr/>
        <w:t>年</w:t>
      </w:r>
      <w:r>
        <w:rPr>
          <w:rFonts w:ascii="宋体" w:hAnsi="宋体" w:cs="宋体" w:eastAsia="宋体" w:hint="default"/>
        </w:rPr>
        <w:t>11</w:t>
      </w:r>
      <w:r>
        <w:rPr/>
        <w:t>月</w:t>
      </w:r>
      <w:r>
        <w:rPr>
          <w:rFonts w:ascii="宋体" w:hAnsi="宋体" w:cs="宋体" w:eastAsia="宋体" w:hint="default"/>
        </w:rPr>
        <w:t>16</w:t>
      </w:r>
      <w:r>
        <w:rPr/>
        <w:t>号正式成立，信息发展荣登理事</w:t>
      </w:r>
      <w:r>
        <w:rPr>
          <w:spacing w:val="-111"/>
        </w:rPr>
        <w:t> </w:t>
      </w:r>
      <w:r>
        <w:rPr>
          <w:spacing w:val="-111"/>
        </w:rPr>
      </w:r>
      <w:r>
        <w:rPr/>
        <w:t>长单位。接下来，信息发展将与联盟成员单位共同推进“标准互认、体系互信、平台互联、</w:t>
      </w:r>
      <w:r>
        <w:rPr>
          <w:spacing w:val="-114"/>
        </w:rPr>
        <w:t> </w:t>
      </w:r>
      <w:r>
        <w:rPr>
          <w:spacing w:val="-114"/>
        </w:rPr>
      </w:r>
      <w:r>
        <w:rPr/>
        <w:t>数据互通”的重要产品追溯平台；将区块链技术应用于联盟成员单位内，真正实现“源头可</w:t>
      </w:r>
      <w:r>
        <w:rPr>
          <w:spacing w:val="-106"/>
        </w:rPr>
        <w:t> </w:t>
      </w:r>
      <w:r>
        <w:rPr>
          <w:spacing w:val="-106"/>
        </w:rPr>
      </w:r>
      <w:r>
        <w:rPr/>
        <w:t>溯、环节可控、风险可防、去向可查、安全可靠、人员可管”的重要产品追溯体系。从而提</w:t>
      </w:r>
      <w:r>
        <w:rPr>
          <w:spacing w:val="-111"/>
        </w:rPr>
        <w:t> </w:t>
      </w:r>
      <w:r>
        <w:rPr>
          <w:spacing w:val="-111"/>
        </w:rPr>
      </w:r>
      <w:r>
        <w:rPr/>
        <w:t>升联盟的社会影响力、保障社会的食品安全，真正实现长三角食品安全一体化。</w:t>
      </w:r>
    </w:p>
    <w:p>
      <w:pPr>
        <w:spacing w:line="240" w:lineRule="auto" w:before="7"/>
        <w:rPr>
          <w:rFonts w:ascii="宋体" w:hAnsi="宋体" w:cs="宋体" w:eastAsia="宋体" w:hint="default"/>
          <w:sz w:val="17"/>
          <w:szCs w:val="17"/>
        </w:rPr>
      </w:pPr>
    </w:p>
    <w:p>
      <w:pPr>
        <w:pStyle w:val="Heading4"/>
        <w:spacing w:line="240" w:lineRule="auto"/>
        <w:ind w:left="596" w:right="0"/>
        <w:jc w:val="left"/>
        <w:rPr>
          <w:b w:val="0"/>
          <w:bCs w:val="0"/>
        </w:rPr>
      </w:pPr>
      <w:r>
        <w:rPr/>
        <w:t>二、公司关于未来发展的展望</w:t>
      </w:r>
      <w:r>
        <w:rPr>
          <w:b w:val="0"/>
          <w:bCs w:val="0"/>
        </w:rPr>
      </w:r>
    </w:p>
    <w:p>
      <w:pPr>
        <w:spacing w:line="240" w:lineRule="auto" w:before="10"/>
        <w:rPr>
          <w:rFonts w:ascii="宋体" w:hAnsi="宋体" w:cs="宋体" w:eastAsia="宋体" w:hint="default"/>
          <w:b/>
          <w:bCs/>
          <w:sz w:val="19"/>
          <w:szCs w:val="19"/>
        </w:rPr>
      </w:pPr>
    </w:p>
    <w:p>
      <w:pPr>
        <w:pStyle w:val="Heading4"/>
        <w:spacing w:line="268" w:lineRule="auto"/>
        <w:ind w:left="596" w:right="2652"/>
        <w:jc w:val="left"/>
        <w:rPr>
          <w:b w:val="0"/>
          <w:bCs w:val="0"/>
        </w:rPr>
      </w:pPr>
      <w:r>
        <w:rPr/>
        <w:t>（一）行业现状及发展趋势展望</w:t>
      </w:r>
      <w:r>
        <w:rPr>
          <w:w w:val="99"/>
        </w:rPr>
        <w:t> </w:t>
      </w:r>
      <w:r>
        <w:rPr>
          <w:rFonts w:ascii="宋体" w:hAnsi="宋体" w:cs="宋体" w:eastAsia="宋体" w:hint="default"/>
          <w:w w:val="95"/>
        </w:rPr>
        <w:t>1</w:t>
      </w:r>
      <w:r>
        <w:rPr>
          <w:w w:val="95"/>
        </w:rPr>
        <w:t>、法律趋严、科技赋能，助跑食品安全市场</w:t>
      </w:r>
      <w:r>
        <w:rPr>
          <w:b w:val="0"/>
          <w:bCs w:val="0"/>
        </w:rPr>
      </w:r>
    </w:p>
    <w:p>
      <w:pPr>
        <w:pStyle w:val="BodyText"/>
        <w:spacing w:line="240" w:lineRule="auto" w:before="7"/>
        <w:ind w:left="594" w:right="0"/>
        <w:jc w:val="left"/>
      </w:pPr>
      <w:r>
        <w:rPr/>
        <w:t>习近平总书记早在中国十九大的报告中，提出实施健康中国战略，强调了人民健康是民</w:t>
      </w:r>
    </w:p>
    <w:p>
      <w:pPr>
        <w:spacing w:after="0" w:line="240" w:lineRule="auto"/>
        <w:jc w:val="left"/>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237" w:lineRule="auto" w:before="28"/>
        <w:ind w:right="1130"/>
        <w:jc w:val="both"/>
      </w:pPr>
      <w:r>
        <w:rPr/>
        <w:t>族昌盛和国家富强的重要标志，其中要求实施食品安全战略，让人民吃得放心。</w:t>
      </w:r>
      <w:r>
        <w:rPr>
          <w:rFonts w:ascii="宋体" w:hAnsi="宋体" w:cs="宋体" w:eastAsia="宋体" w:hint="default"/>
        </w:rPr>
        <w:t>2017</w:t>
      </w:r>
      <w:r>
        <w:rPr/>
        <w:t>年商务</w:t>
      </w:r>
      <w:r>
        <w:rPr>
          <w:spacing w:val="-110"/>
        </w:rPr>
        <w:t> </w:t>
      </w:r>
      <w:r>
        <w:rPr>
          <w:spacing w:val="-110"/>
        </w:rPr>
      </w:r>
      <w:r>
        <w:rPr/>
        <w:t>部联合工信部、公安部、农业部、国家质检总局、国家安全监督管理总局、国家食药监总局 印发《关于推进重要产品信息化追溯体系建设的指导意见》的要求，</w:t>
      </w:r>
      <w:r>
        <w:rPr>
          <w:rFonts w:ascii="宋体" w:hAnsi="宋体" w:cs="宋体" w:eastAsia="宋体" w:hint="default"/>
        </w:rPr>
        <w:t>2020</w:t>
      </w:r>
      <w:r>
        <w:rPr/>
        <w:t>年将初步建成全国</w:t>
      </w:r>
      <w:r>
        <w:rPr>
          <w:spacing w:val="-110"/>
        </w:rPr>
        <w:t> </w:t>
      </w:r>
      <w:r>
        <w:rPr>
          <w:spacing w:val="-110"/>
        </w:rPr>
      </w:r>
      <w:r>
        <w:rPr/>
        <w:t>上下一体、协同运作的重要产品追溯管理体制。在</w:t>
      </w:r>
      <w:r>
        <w:rPr>
          <w:rFonts w:ascii="宋体" w:hAnsi="宋体" w:cs="宋体" w:eastAsia="宋体" w:hint="default"/>
        </w:rPr>
        <w:t>2019</w:t>
      </w:r>
      <w:r>
        <w:rPr/>
        <w:t>年两会上，国家市场监督管理总局局</w:t>
      </w:r>
      <w:r>
        <w:rPr>
          <w:spacing w:val="-111"/>
        </w:rPr>
        <w:t> </w:t>
      </w:r>
      <w:r>
        <w:rPr>
          <w:spacing w:val="-111"/>
        </w:rPr>
      </w:r>
      <w:r>
        <w:rPr>
          <w:spacing w:val="-5"/>
        </w:rPr>
        <w:t>长张茅强调对食品安全要全面实行“四个最严”：建立最严谨的标准，实施最严格的监管，对</w:t>
      </w:r>
      <w:r>
        <w:rPr>
          <w:spacing w:val="-118"/>
        </w:rPr>
        <w:t> </w:t>
      </w:r>
      <w:r>
        <w:rPr>
          <w:spacing w:val="-118"/>
        </w:rPr>
      </w:r>
      <w:r>
        <w:rPr>
          <w:spacing w:val="-2"/>
        </w:rPr>
        <w:t>食品安全违规行为实行最严厉的处罚，坚持最严肃的问责。</w:t>
      </w:r>
      <w:r>
        <w:rPr>
          <w:rFonts w:ascii="宋体" w:hAnsi="宋体" w:cs="宋体" w:eastAsia="宋体" w:hint="default"/>
          <w:spacing w:val="-2"/>
        </w:rPr>
        <w:t>2019</w:t>
      </w:r>
      <w:r>
        <w:rPr>
          <w:spacing w:val="-2"/>
        </w:rPr>
        <w:t>年</w:t>
      </w:r>
      <w:r>
        <w:rPr>
          <w:rFonts w:ascii="宋体" w:hAnsi="宋体" w:cs="宋体" w:eastAsia="宋体" w:hint="default"/>
          <w:spacing w:val="-2"/>
        </w:rPr>
        <w:t>3</w:t>
      </w:r>
      <w:r>
        <w:rPr>
          <w:spacing w:val="-2"/>
        </w:rPr>
        <w:t>月，国务院常务会议通过</w:t>
      </w:r>
      <w:r>
        <w:rPr>
          <w:spacing w:val="-117"/>
        </w:rPr>
        <w:t> </w:t>
      </w:r>
      <w:r>
        <w:rPr>
          <w:spacing w:val="-117"/>
        </w:rPr>
      </w:r>
      <w:r>
        <w:rPr>
          <w:spacing w:val="-6"/>
        </w:rPr>
        <w:t>了《中华人民共和国食品安全法实施条例（草案）》。草案细化了生产经营者主体责任、政府</w:t>
      </w:r>
      <w:r>
        <w:rPr>
          <w:spacing w:val="-112"/>
        </w:rPr>
        <w:t> </w:t>
      </w:r>
      <w:r>
        <w:rPr>
          <w:spacing w:val="-112"/>
        </w:rPr>
      </w:r>
      <w:r>
        <w:rPr/>
        <w:t>监管职责和问责措施，加大对违法违规企业及其法定代表人等的处罚力度。</w:t>
      </w:r>
    </w:p>
    <w:p>
      <w:pPr>
        <w:pStyle w:val="BodyText"/>
        <w:spacing w:line="237" w:lineRule="auto" w:before="39"/>
        <w:ind w:right="1132" w:firstLine="480"/>
        <w:jc w:val="both"/>
      </w:pPr>
      <w:r>
        <w:rPr/>
        <w:t>据统计，我国食品安全问题发生在食品生产与加工环节占总量的</w:t>
      </w:r>
      <w:r>
        <w:rPr>
          <w:rFonts w:ascii="宋体" w:hAnsi="宋体" w:cs="宋体" w:eastAsia="宋体" w:hint="default"/>
        </w:rPr>
        <w:t>45.16%</w:t>
      </w:r>
      <w:r>
        <w:rPr/>
        <w:t>，消费环节、流 </w:t>
      </w:r>
      <w:r>
        <w:rPr>
          <w:spacing w:val="-2"/>
        </w:rPr>
        <w:t>通环节和种养殖环节事件发生量分别占总量的</w:t>
      </w:r>
      <w:r>
        <w:rPr>
          <w:rFonts w:ascii="宋体" w:hAnsi="宋体" w:cs="宋体" w:eastAsia="宋体" w:hint="default"/>
          <w:spacing w:val="-2"/>
        </w:rPr>
        <w:t>32.06%</w:t>
      </w:r>
      <w:r>
        <w:rPr>
          <w:spacing w:val="-2"/>
        </w:rPr>
        <w:t>、</w:t>
      </w:r>
      <w:r>
        <w:rPr>
          <w:rFonts w:ascii="宋体" w:hAnsi="宋体" w:cs="宋体" w:eastAsia="宋体" w:hint="default"/>
          <w:spacing w:val="-2"/>
        </w:rPr>
        <w:t>14.05%</w:t>
      </w:r>
      <w:r>
        <w:rPr>
          <w:spacing w:val="-2"/>
        </w:rPr>
        <w:t>、</w:t>
      </w:r>
      <w:r>
        <w:rPr>
          <w:rFonts w:ascii="宋体" w:hAnsi="宋体" w:cs="宋体" w:eastAsia="宋体" w:hint="default"/>
          <w:spacing w:val="-2"/>
        </w:rPr>
        <w:t>8.42%</w:t>
      </w:r>
      <w:r>
        <w:rPr>
          <w:spacing w:val="-2"/>
        </w:rPr>
        <w:t>。当今的信任来源于信</w:t>
      </w:r>
      <w:r>
        <w:rPr>
          <w:spacing w:val="-106"/>
        </w:rPr>
        <w:t> </w:t>
      </w:r>
      <w:r>
        <w:rPr>
          <w:spacing w:val="-106"/>
        </w:rPr>
      </w:r>
      <w:r>
        <w:rPr/>
        <w:t>息透明，只有各环节所有参与者都负起责任才能真正保障食品安全。随着我国政策与法律法 规对食品安全工作的重视，其在监管方式、技术手段等方面的纵深发展，通过科技手段营造 安全放心的食品安全消费环境已成为共识，行业龙头企业已开始应用大数据、云计算、区块 链、人工智能等领域的技术，赋能从上游种养殖环节到终端消费者的完整生态，协助政府创 新食品安全的社会治理。放眼国际，区块链技术在食品追溯领域已步入应用阶段。通过区块 链技术对供应链物流信息做无缝整合，证明区块链可以增强透明度并能有效推动食品可追溯</w:t>
      </w:r>
      <w:r>
        <w:rPr>
          <w:spacing w:val="-116"/>
        </w:rPr>
        <w:t> </w:t>
      </w:r>
      <w:r>
        <w:rPr>
          <w:spacing w:val="-116"/>
        </w:rPr>
      </w:r>
      <w:r>
        <w:rPr/>
        <w:t>性。最终为参与者带来商业利益，也为消费者提供更好、更安全的产品。</w:t>
      </w:r>
    </w:p>
    <w:p>
      <w:pPr>
        <w:pStyle w:val="BodyText"/>
        <w:spacing w:line="240" w:lineRule="auto" w:before="38"/>
        <w:ind w:right="1140" w:firstLine="480"/>
        <w:jc w:val="both"/>
      </w:pPr>
      <w:r>
        <w:rPr/>
        <w:t>据估算，食品安全信息化在监管领域具有百亿的市场空间，食品安全供应链相关服务将 有千亿级的市场空间。</w:t>
      </w:r>
    </w:p>
    <w:p>
      <w:pPr>
        <w:spacing w:line="240" w:lineRule="auto" w:before="10"/>
        <w:rPr>
          <w:rFonts w:ascii="宋体" w:hAnsi="宋体" w:cs="宋体" w:eastAsia="宋体" w:hint="default"/>
          <w:sz w:val="29"/>
          <w:szCs w:val="29"/>
        </w:rPr>
      </w:pPr>
    </w:p>
    <w:p>
      <w:pPr>
        <w:spacing w:line="268" w:lineRule="auto" w:before="0"/>
        <w:ind w:left="594" w:right="0" w:firstLine="2"/>
        <w:jc w:val="left"/>
        <w:rPr>
          <w:rFonts w:ascii="宋体" w:hAnsi="宋体" w:cs="宋体" w:eastAsia="宋体" w:hint="default"/>
          <w:sz w:val="24"/>
          <w:szCs w:val="24"/>
        </w:rPr>
      </w:pPr>
      <w:r>
        <w:rPr>
          <w:rFonts w:ascii="宋体" w:hAnsi="宋体" w:cs="宋体" w:eastAsia="宋体" w:hint="default"/>
          <w:b/>
          <w:bCs/>
          <w:sz w:val="24"/>
          <w:szCs w:val="24"/>
        </w:rPr>
        <w:t>2</w:t>
      </w:r>
      <w:r>
        <w:rPr>
          <w:rFonts w:ascii="宋体" w:hAnsi="宋体" w:cs="宋体" w:eastAsia="宋体" w:hint="default"/>
          <w:b/>
          <w:bCs/>
          <w:sz w:val="24"/>
          <w:szCs w:val="24"/>
        </w:rPr>
        <w:t>、智慧档案全生命周期管理需求广阔</w:t>
      </w:r>
      <w:r>
        <w:rPr>
          <w:rFonts w:ascii="宋体" w:hAnsi="宋体" w:cs="宋体" w:eastAsia="宋体" w:hint="default"/>
          <w:b/>
          <w:bCs/>
          <w:w w:val="99"/>
          <w:sz w:val="24"/>
          <w:szCs w:val="24"/>
        </w:rPr>
        <w:t> </w:t>
      </w:r>
      <w:r>
        <w:rPr>
          <w:rFonts w:ascii="宋体" w:hAnsi="宋体" w:cs="宋体" w:eastAsia="宋体" w:hint="default"/>
          <w:spacing w:val="-9"/>
          <w:sz w:val="24"/>
          <w:szCs w:val="24"/>
        </w:rPr>
        <w:t>档案局（馆）、政府机关、公检法司、企事业单位等客户对信息数据的管理需求不断升级，</w:t>
      </w:r>
    </w:p>
    <w:p>
      <w:pPr>
        <w:pStyle w:val="BodyText"/>
        <w:spacing w:line="312" w:lineRule="exact"/>
        <w:ind w:right="1137"/>
        <w:jc w:val="both"/>
      </w:pPr>
      <w:r>
        <w:rPr/>
        <w:t>推动了新一轮的档案数据智慧化发展。受益于国家层面对各省级和地方档案馆的重点支持， 各地结合大数据、人工智能等技术加快实现智慧档案馆（室）的建设。对于企业级档案管理 市场，各行业垂直领域的档案智慧化管理需求不断扩展。基于国产自主研发、安全可控的智</w:t>
      </w:r>
    </w:p>
    <w:p>
      <w:pPr>
        <w:pStyle w:val="BodyText"/>
        <w:spacing w:line="285" w:lineRule="exact"/>
        <w:ind w:right="0"/>
        <w:jc w:val="both"/>
      </w:pPr>
      <w:r>
        <w:rPr/>
        <w:t>慧档案产品及服务已获得市场认可，未来发展前景广阔。</w:t>
      </w:r>
    </w:p>
    <w:p>
      <w:pPr>
        <w:spacing w:line="240" w:lineRule="auto" w:before="10"/>
        <w:rPr>
          <w:rFonts w:ascii="宋体" w:hAnsi="宋体" w:cs="宋体" w:eastAsia="宋体" w:hint="default"/>
          <w:sz w:val="29"/>
          <w:szCs w:val="29"/>
        </w:rPr>
      </w:pPr>
    </w:p>
    <w:p>
      <w:pPr>
        <w:pStyle w:val="Heading4"/>
        <w:spacing w:line="240" w:lineRule="auto"/>
        <w:ind w:left="596" w:right="0"/>
        <w:jc w:val="left"/>
        <w:rPr>
          <w:b w:val="0"/>
          <w:bCs w:val="0"/>
        </w:rPr>
      </w:pPr>
      <w:r>
        <w:rPr>
          <w:rFonts w:ascii="宋体" w:hAnsi="宋体" w:cs="宋体" w:eastAsia="宋体" w:hint="default"/>
        </w:rPr>
        <w:t>3</w:t>
      </w:r>
      <w:r>
        <w:rPr/>
        <w:t>、智慧司法建设增长潜力巨大</w:t>
      </w:r>
      <w:r>
        <w:rPr>
          <w:b w:val="0"/>
          <w:bCs w:val="0"/>
        </w:rPr>
      </w:r>
    </w:p>
    <w:p>
      <w:pPr>
        <w:pStyle w:val="BodyText"/>
        <w:spacing w:line="237" w:lineRule="auto" w:before="40"/>
        <w:ind w:right="1131" w:firstLine="480"/>
        <w:jc w:val="both"/>
      </w:pPr>
      <w:r>
        <w:rPr>
          <w:rFonts w:ascii="宋体" w:hAnsi="宋体" w:cs="宋体" w:eastAsia="宋体" w:hint="default"/>
          <w:spacing w:val="-8"/>
        </w:rPr>
        <w:t>2018</w:t>
      </w:r>
      <w:r>
        <w:rPr>
          <w:spacing w:val="-8"/>
        </w:rPr>
        <w:t>年</w:t>
      </w:r>
      <w:r>
        <w:rPr>
          <w:rFonts w:ascii="宋体" w:hAnsi="宋体" w:cs="宋体" w:eastAsia="宋体" w:hint="default"/>
          <w:spacing w:val="-8"/>
        </w:rPr>
        <w:t>9</w:t>
      </w:r>
      <w:r>
        <w:rPr>
          <w:spacing w:val="-8"/>
        </w:rPr>
        <w:t>月司法部印发了《“数字法治、智慧司法”信息化体系建设指导意见》，指出为深</w:t>
      </w:r>
      <w:r>
        <w:rPr/>
        <w:t> 入贯彻落实习近平总书记网络强国战略思想和全国网络安全和信息化工作会议精神，决定运 用云计算、大数据和人工智能等新技术开展“数字法治、智慧司法”信息化体系建设，以信</w:t>
      </w:r>
      <w:r>
        <w:rPr>
          <w:spacing w:val="-112"/>
        </w:rPr>
        <w:t> </w:t>
      </w:r>
      <w:r>
        <w:rPr>
          <w:spacing w:val="-112"/>
        </w:rPr>
      </w:r>
      <w:r>
        <w:rPr/>
        <w:t>息化引领和带动司法事业发展，提升全面推进依法治国实践的能力和水平。</w:t>
      </w:r>
    </w:p>
    <w:p>
      <w:pPr>
        <w:pStyle w:val="BodyText"/>
        <w:spacing w:line="237" w:lineRule="auto" w:before="39"/>
        <w:ind w:right="1132" w:firstLine="480"/>
        <w:jc w:val="both"/>
      </w:pPr>
      <w:r>
        <w:rPr/>
        <w:t>为了做好全国司法行政系统“数字法治、智慧司法”信息化体系建设组织实施工作，司 </w:t>
      </w:r>
      <w:r>
        <w:rPr>
          <w:spacing w:val="-12"/>
        </w:rPr>
        <w:t>法部制定了《“数字法治、智慧司法”信息化体系建设实施方案》（以下简称《实施方案》），</w:t>
      </w:r>
      <w:r>
        <w:rPr>
          <w:spacing w:val="-87"/>
        </w:rPr>
        <w:t> </w:t>
      </w:r>
      <w:r>
        <w:rPr>
          <w:spacing w:val="-87"/>
        </w:rPr>
      </w:r>
      <w:r>
        <w:rPr/>
        <w:t>不仅明确了司法行政系统开展信息化建设工作的思路和原则，还对</w:t>
      </w:r>
      <w:r>
        <w:rPr>
          <w:rFonts w:ascii="宋体" w:hAnsi="宋体" w:cs="宋体" w:eastAsia="宋体" w:hint="default"/>
        </w:rPr>
        <w:t>36</w:t>
      </w:r>
      <w:r>
        <w:rPr/>
        <w:t>项重点建设任务都作了</w:t>
      </w:r>
      <w:r>
        <w:rPr>
          <w:spacing w:val="-113"/>
        </w:rPr>
        <w:t> </w:t>
      </w:r>
      <w:r>
        <w:rPr/>
        <w:t>详细安排，每项任务都明确了完成时间。从部级层面确立了信息化体系建设的顶层设计，并 鼓励各地比学赶超争创一流，百花齐放共同发展。</w:t>
      </w:r>
    </w:p>
    <w:p>
      <w:pPr>
        <w:pStyle w:val="BodyText"/>
        <w:spacing w:line="240" w:lineRule="auto" w:before="36"/>
        <w:ind w:right="1127" w:firstLine="480"/>
        <w:jc w:val="both"/>
      </w:pPr>
      <w:r>
        <w:rPr>
          <w:spacing w:val="-6"/>
        </w:rPr>
        <w:t>在司法体制改革的时代背景下，和“加强和创新社会治理”、“推动互联网、大数据、人</w:t>
      </w:r>
      <w:r>
        <w:rPr/>
        <w:t> </w:t>
      </w:r>
      <w:r>
        <w:rPr>
          <w:spacing w:val="-11"/>
        </w:rPr>
        <w:t>工智能和实体经济深度融合”、“善于运用互联网技术和信息化手段开展工作”、“加快建设创</w:t>
      </w:r>
      <w:r>
        <w:rPr>
          <w:spacing w:val="1"/>
        </w:rPr>
        <w:t> </w:t>
      </w:r>
      <w:r>
        <w:rPr/>
        <w:t>新型国家”等十九大要求引领，为新时代司法大数据工作以及智慧司法建设指明了前进的方</w:t>
      </w:r>
      <w:r>
        <w:rPr>
          <w:spacing w:val="-113"/>
        </w:rPr>
        <w:t> </w:t>
      </w:r>
      <w:r>
        <w:rPr>
          <w:spacing w:val="-113"/>
        </w:rPr>
      </w:r>
      <w:r>
        <w:rPr/>
        <w:t>向。</w:t>
      </w:r>
    </w:p>
    <w:p>
      <w:pPr>
        <w:spacing w:line="240" w:lineRule="auto" w:before="11"/>
        <w:rPr>
          <w:rFonts w:ascii="宋体" w:hAnsi="宋体" w:cs="宋体" w:eastAsia="宋体" w:hint="default"/>
          <w:sz w:val="29"/>
          <w:szCs w:val="29"/>
        </w:rPr>
      </w:pPr>
    </w:p>
    <w:p>
      <w:pPr>
        <w:pStyle w:val="Heading4"/>
        <w:spacing w:line="240" w:lineRule="auto"/>
        <w:ind w:left="596" w:right="0"/>
        <w:jc w:val="left"/>
        <w:rPr>
          <w:b w:val="0"/>
          <w:bCs w:val="0"/>
        </w:rPr>
      </w:pPr>
      <w:r>
        <w:rPr>
          <w:rFonts w:ascii="宋体" w:hAnsi="宋体" w:cs="宋体" w:eastAsia="宋体" w:hint="default"/>
        </w:rPr>
        <w:t>4</w:t>
      </w:r>
      <w:r>
        <w:rPr/>
        <w:t>、大数据、区块链行业应用的现状与展望</w:t>
      </w:r>
      <w:r>
        <w:rPr>
          <w:b w:val="0"/>
          <w:bCs w:val="0"/>
        </w:rPr>
      </w:r>
    </w:p>
    <w:p>
      <w:pPr>
        <w:spacing w:after="0" w:line="240" w:lineRule="auto"/>
        <w:jc w:val="left"/>
        <w:sectPr>
          <w:pgSz w:w="11910" w:h="16840"/>
          <w:pgMar w:header="822" w:footer="1019" w:top="1140" w:bottom="1200" w:left="1020" w:right="0"/>
        </w:sectPr>
      </w:pPr>
    </w:p>
    <w:p>
      <w:pPr>
        <w:spacing w:line="240" w:lineRule="auto" w:before="10"/>
        <w:rPr>
          <w:rFonts w:ascii="宋体" w:hAnsi="宋体" w:cs="宋体" w:eastAsia="宋体" w:hint="default"/>
          <w:b/>
          <w:bCs/>
          <w:sz w:val="17"/>
          <w:szCs w:val="17"/>
        </w:rPr>
      </w:pPr>
    </w:p>
    <w:p>
      <w:pPr>
        <w:pStyle w:val="BodyText"/>
        <w:spacing w:line="240" w:lineRule="auto" w:before="26"/>
        <w:ind w:right="1131" w:firstLine="480"/>
        <w:jc w:val="both"/>
      </w:pPr>
      <w:r>
        <w:rPr>
          <w:rFonts w:ascii="宋体" w:hAnsi="宋体" w:cs="宋体" w:eastAsia="宋体" w:hint="default"/>
          <w:spacing w:val="-2"/>
        </w:rPr>
        <w:t>2019</w:t>
      </w:r>
      <w:r>
        <w:rPr>
          <w:spacing w:val="-2"/>
        </w:rPr>
        <w:t>年</w:t>
      </w:r>
      <w:r>
        <w:rPr>
          <w:rFonts w:ascii="宋体" w:hAnsi="宋体" w:cs="宋体" w:eastAsia="宋体" w:hint="default"/>
          <w:spacing w:val="-2"/>
        </w:rPr>
        <w:t>2</w:t>
      </w:r>
      <w:r>
        <w:rPr>
          <w:spacing w:val="-2"/>
        </w:rPr>
        <w:t>月，商务部发布了《商务部等</w:t>
      </w:r>
      <w:r>
        <w:rPr>
          <w:rFonts w:ascii="宋体" w:hAnsi="宋体" w:cs="宋体" w:eastAsia="宋体" w:hint="default"/>
          <w:spacing w:val="-2"/>
        </w:rPr>
        <w:t>12</w:t>
      </w:r>
      <w:r>
        <w:rPr>
          <w:spacing w:val="-2"/>
        </w:rPr>
        <w:t>部门发布了关于推进商品交易市场发展平台经济</w:t>
      </w:r>
      <w:r>
        <w:rPr/>
        <w:t> </w:t>
      </w:r>
      <w:r>
        <w:rPr>
          <w:spacing w:val="-4"/>
        </w:rPr>
        <w:t>的指导意见》，明确提出要利用大数据、区块链等技术促进商品交易发展。</w:t>
      </w:r>
    </w:p>
    <w:p>
      <w:pPr>
        <w:pStyle w:val="BodyText"/>
        <w:spacing w:line="240" w:lineRule="auto" w:before="36"/>
        <w:ind w:right="1139" w:firstLine="480"/>
        <w:jc w:val="both"/>
      </w:pPr>
      <w:r>
        <w:rPr/>
        <w:t>大数据的政用、商用、民用已经迅速推广。随着政策环境和技术手段的不断完善，行业 应用持续升温，产业体系初具雏形，支撑能力日益增强。国内许多行业用户如餐饮、金融、 能源、电信、征信、司法等开始实际部署大数据平台并付诸实践，同时带动软件、硬件和服 务市场的快速发展。</w:t>
      </w:r>
    </w:p>
    <w:p>
      <w:pPr>
        <w:pStyle w:val="BodyText"/>
        <w:spacing w:line="237" w:lineRule="auto" w:before="40"/>
        <w:ind w:right="1131" w:firstLine="480"/>
        <w:jc w:val="both"/>
      </w:pPr>
      <w:r>
        <w:rPr>
          <w:rFonts w:ascii="宋体" w:hAnsi="宋体" w:cs="宋体" w:eastAsia="宋体" w:hint="default"/>
          <w:spacing w:val="-5"/>
        </w:rPr>
        <w:t>2018</w:t>
      </w:r>
      <w:r>
        <w:rPr>
          <w:spacing w:val="-5"/>
        </w:rPr>
        <w:t>年是区块链落地应用“元年”，在区块链技术经历了从概念到实践的坎坷之后，应用</w:t>
      </w:r>
      <w:r>
        <w:rPr/>
        <w:t> 落地的时机逐渐成熟。其中食品安全被认为是区块链大规模落地的最佳应用场景之一，行业 龙头企业都在发挥各自优势，大力推动区块链在食品安全和防伪溯源方面的应用落地。食品 </w:t>
      </w:r>
      <w:r>
        <w:rPr>
          <w:spacing w:val="-2"/>
        </w:rPr>
        <w:t>安全追溯过程中，链下物联网自动采集</w:t>
      </w:r>
      <w:r>
        <w:rPr>
          <w:rFonts w:ascii="宋体" w:hAnsi="宋体" w:cs="宋体" w:eastAsia="宋体" w:hint="default"/>
          <w:spacing w:val="-2"/>
        </w:rPr>
        <w:t>+</w:t>
      </w:r>
      <w:r>
        <w:rPr>
          <w:spacing w:val="-2"/>
        </w:rPr>
        <w:t>链上信息自动流转，全程可信任数据无中心化机构人</w:t>
      </w:r>
      <w:r>
        <w:rPr/>
        <w:t> 为篡改可能，让区块链食品安全溯源真正闭环。区块链在食品安全领域将迎来大规模应用。</w:t>
      </w:r>
    </w:p>
    <w:p>
      <w:pPr>
        <w:spacing w:line="240" w:lineRule="auto" w:before="10"/>
        <w:rPr>
          <w:rFonts w:ascii="宋体" w:hAnsi="宋体" w:cs="宋体" w:eastAsia="宋体" w:hint="default"/>
          <w:sz w:val="29"/>
          <w:szCs w:val="29"/>
        </w:rPr>
      </w:pPr>
    </w:p>
    <w:p>
      <w:pPr>
        <w:pStyle w:val="Heading4"/>
        <w:spacing w:line="268" w:lineRule="auto"/>
        <w:ind w:left="596" w:right="7399"/>
        <w:jc w:val="left"/>
        <w:rPr>
          <w:b w:val="0"/>
          <w:bCs w:val="0"/>
        </w:rPr>
      </w:pPr>
      <w:r>
        <w:rPr>
          <w:w w:val="95"/>
        </w:rPr>
        <w:t>（二）公司发展目标与规划</w:t>
      </w:r>
      <w:r>
        <w:rPr>
          <w:spacing w:val="18"/>
          <w:w w:val="95"/>
        </w:rPr>
        <w:t> </w:t>
      </w:r>
      <w:r>
        <w:rPr>
          <w:rFonts w:ascii="宋体" w:hAnsi="宋体" w:cs="宋体" w:eastAsia="宋体" w:hint="default"/>
        </w:rPr>
        <w:t>1</w:t>
      </w:r>
      <w:r>
        <w:rPr/>
        <w:t>、战略升级</w:t>
      </w:r>
      <w:r>
        <w:rPr>
          <w:rFonts w:ascii="宋体" w:hAnsi="宋体" w:cs="宋体" w:eastAsia="宋体" w:hint="default"/>
        </w:rPr>
        <w:t>-</w:t>
      </w:r>
      <w:r>
        <w:rPr/>
        <w:t>聚焦食安</w:t>
      </w:r>
      <w:r>
        <w:rPr>
          <w:b w:val="0"/>
          <w:bCs w:val="0"/>
        </w:rPr>
      </w:r>
    </w:p>
    <w:p>
      <w:pPr>
        <w:pStyle w:val="BodyText"/>
        <w:spacing w:line="244" w:lineRule="auto" w:before="7"/>
        <w:ind w:right="1130" w:firstLine="480"/>
        <w:jc w:val="right"/>
      </w:pPr>
      <w:r>
        <w:rPr>
          <w:spacing w:val="-3"/>
        </w:rPr>
        <w:t>智慧食安作为“信息发展</w:t>
      </w:r>
      <w:r>
        <w:rPr>
          <w:rFonts w:ascii="宋体" w:hAnsi="宋体" w:cs="宋体" w:eastAsia="宋体" w:hint="default"/>
          <w:spacing w:val="-3"/>
        </w:rPr>
        <w:t>2.0</w:t>
      </w:r>
      <w:r>
        <w:rPr>
          <w:spacing w:val="-3"/>
        </w:rPr>
        <w:t>”战略架构中的核心业务，将致力于“链接信任，让人人吃</w:t>
      </w:r>
      <w:r>
        <w:rPr/>
        <w:t> </w:t>
      </w:r>
      <w:r>
        <w:rPr>
          <w:spacing w:val="-5"/>
        </w:rPr>
        <w:t>上放心安全的食品”，加大追溯领域的研发应用，加快市场拓展、渠道建设以及品牌权威性建</w:t>
      </w:r>
      <w:r>
        <w:rPr/>
        <w:t> 设，继续围绕 “追溯</w:t>
      </w:r>
      <w:r>
        <w:rPr>
          <w:rFonts w:ascii="宋体" w:hAnsi="宋体" w:cs="宋体" w:eastAsia="宋体" w:hint="default"/>
        </w:rPr>
        <w:t>+</w:t>
      </w:r>
      <w:r>
        <w:rPr/>
        <w:t>”战略，推动食品安全信用、金融科技等衍生业务的快速全面落地。 一方面，专注区块链技术应用落地，结合大数据、物联网、云计算等技术，建立高效、 透明的食品安全追溯</w:t>
      </w:r>
      <w:r>
        <w:rPr>
          <w:rFonts w:ascii="宋体" w:hAnsi="宋体" w:cs="宋体" w:eastAsia="宋体" w:hint="default"/>
        </w:rPr>
        <w:t>SaaS</w:t>
      </w:r>
      <w:r>
        <w:rPr/>
        <w:t>平台，实现消费者、企业、政府三方联动的食品安全服务体系；另 一方面，加速推进生物芯片技术及检测服务能力的构建，形成完整食品安全服务闭环。通过</w:t>
      </w:r>
    </w:p>
    <w:p>
      <w:pPr>
        <w:pStyle w:val="BodyText"/>
        <w:spacing w:line="249" w:lineRule="auto"/>
        <w:ind w:right="0"/>
        <w:jc w:val="left"/>
      </w:pPr>
      <w:r>
        <w:rPr>
          <w:spacing w:val="-5"/>
        </w:rPr>
        <w:t>合作或上下游整合，推动公司在第三方检测服务、生物芯片等领域的布局与合作，构建</w:t>
      </w:r>
      <w:r>
        <w:rPr>
          <w:spacing w:val="92"/>
        </w:rPr>
        <w:t> </w:t>
      </w:r>
      <w:r>
        <w:rPr/>
        <w:t>“信</w:t>
      </w:r>
      <w:r>
        <w:rPr>
          <w:spacing w:val="-106"/>
        </w:rPr>
        <w:t> </w:t>
      </w:r>
      <w:r>
        <w:rPr>
          <w:spacing w:val="-106"/>
        </w:rPr>
      </w:r>
      <w:r>
        <w:rPr/>
        <w:t>息技术</w:t>
      </w:r>
      <w:r>
        <w:rPr>
          <w:rFonts w:ascii="宋体" w:hAnsi="宋体" w:cs="宋体" w:eastAsia="宋体" w:hint="default"/>
        </w:rPr>
        <w:t>+</w:t>
      </w:r>
      <w:r>
        <w:rPr/>
        <w:t>生物技术”相结合的整体食品安全服务平台， </w:t>
      </w:r>
      <w:r>
        <w:rPr>
          <w:spacing w:val="-8"/>
        </w:rPr>
        <w:t>打造成食品安全领域的“米其林”。</w:t>
      </w:r>
      <w:r>
        <w:rPr>
          <w:spacing w:val="-112"/>
        </w:rPr>
        <w:t> </w:t>
      </w:r>
      <w:r>
        <w:rPr>
          <w:spacing w:val="-112"/>
        </w:rPr>
      </w:r>
      <w:r>
        <w:rPr>
          <w:spacing w:val="-3"/>
        </w:rPr>
        <w:t>同时，公司将依托长三角区块链追溯联盟，推动实现跨区域、跨部门追溯信息的互联、互通、</w:t>
      </w:r>
      <w:r>
        <w:rPr>
          <w:spacing w:val="-81"/>
        </w:rPr>
        <w:t> </w:t>
      </w:r>
      <w:r>
        <w:rPr>
          <w:spacing w:val="-81"/>
        </w:rPr>
      </w:r>
      <w:r>
        <w:rPr/>
        <w:t>互认、互查，增加重要产品信息追溯产业影响力，保障食品安全。</w:t>
      </w:r>
    </w:p>
    <w:p>
      <w:pPr>
        <w:pStyle w:val="BodyText"/>
        <w:spacing w:line="237" w:lineRule="auto" w:before="29"/>
        <w:ind w:right="1049" w:firstLine="480"/>
        <w:jc w:val="left"/>
      </w:pPr>
      <w:r>
        <w:rPr/>
        <w:t>其中，信息发展旗下子公司“追溯云公司”作为第三方食品安全服务提供商，是智慧食 安业务中最关键一环，是公司实施“战略升级</w:t>
      </w:r>
      <w:r>
        <w:rPr>
          <w:rFonts w:ascii="宋体" w:hAnsi="宋体" w:cs="宋体" w:eastAsia="宋体" w:hint="default"/>
        </w:rPr>
        <w:t>-</w:t>
      </w:r>
      <w:r>
        <w:rPr/>
        <w:t>聚焦食安”的核心点，通过追溯云</w:t>
      </w:r>
      <w:r>
        <w:rPr>
          <w:rFonts w:ascii="宋体" w:hAnsi="宋体" w:cs="宋体" w:eastAsia="宋体" w:hint="default"/>
        </w:rPr>
        <w:t>SaaS</w:t>
      </w:r>
      <w:r>
        <w:rPr/>
        <w:t>服务、 食品安全评估、检验检测、信用认证等专业服务，为食品安全供应链生态圈提供第三方食品 安全服务。</w:t>
      </w:r>
    </w:p>
    <w:p>
      <w:pPr>
        <w:pStyle w:val="BodyText"/>
        <w:spacing w:line="237" w:lineRule="auto" w:before="39"/>
        <w:ind w:right="1032" w:firstLine="480"/>
        <w:jc w:val="left"/>
      </w:pPr>
      <w:r>
        <w:rPr/>
        <w:t>在</w:t>
      </w:r>
      <w:r>
        <w:rPr>
          <w:rFonts w:ascii="宋体" w:hAnsi="宋体" w:cs="宋体" w:eastAsia="宋体" w:hint="default"/>
        </w:rPr>
        <w:t>SaaS</w:t>
      </w:r>
      <w:r>
        <w:rPr/>
        <w:t>服务方面</w:t>
      </w:r>
      <w:r>
        <w:rPr>
          <w:rFonts w:ascii="宋体" w:hAnsi="宋体" w:cs="宋体" w:eastAsia="宋体" w:hint="default"/>
        </w:rPr>
        <w:t>,</w:t>
      </w:r>
      <w:r>
        <w:rPr/>
        <w:t>将是追溯云</w:t>
      </w:r>
      <w:r>
        <w:rPr>
          <w:rFonts w:ascii="宋体" w:hAnsi="宋体" w:cs="宋体" w:eastAsia="宋体" w:hint="default"/>
        </w:rPr>
        <w:t>2019</w:t>
      </w:r>
      <w:r>
        <w:rPr/>
        <w:t>年业务的主要增长点，继续深耕商超，开拓高端酒店、 连锁餐饮等大中型客户，与国内具有实力和资源的合作商合作，满足客户一体化食品安全供 应链管理需要，并且大力推动配套的咨询、评估、认证、检测等食品安全服务，不断拓展市 场版图；</w:t>
      </w:r>
    </w:p>
    <w:p>
      <w:pPr>
        <w:pStyle w:val="BodyText"/>
        <w:spacing w:line="240" w:lineRule="auto" w:before="38"/>
        <w:ind w:right="1131" w:firstLine="480"/>
        <w:jc w:val="both"/>
        <w:rPr>
          <w:rFonts w:ascii="宋体" w:hAnsi="宋体" w:cs="宋体" w:eastAsia="宋体" w:hint="default"/>
        </w:rPr>
      </w:pPr>
      <w:r>
        <w:rPr/>
        <w:t>在</w:t>
      </w:r>
      <w:r>
        <w:rPr>
          <w:rFonts w:ascii="宋体" w:hAnsi="宋体" w:cs="宋体" w:eastAsia="宋体" w:hint="default"/>
        </w:rPr>
        <w:t>Inside</w:t>
      </w:r>
      <w:r>
        <w:rPr/>
        <w:t>服务方面</w:t>
      </w:r>
      <w:r>
        <w:rPr>
          <w:rFonts w:ascii="宋体" w:hAnsi="宋体" w:cs="宋体" w:eastAsia="宋体" w:hint="default"/>
        </w:rPr>
        <w:t>,</w:t>
      </w:r>
      <w:r>
        <w:rPr/>
        <w:t>加快推进与石基信息的战略合作</w:t>
      </w:r>
      <w:r>
        <w:rPr>
          <w:rFonts w:ascii="宋体" w:hAnsi="宋体" w:cs="宋体" w:eastAsia="宋体" w:hint="default"/>
        </w:rPr>
        <w:t>,</w:t>
      </w:r>
      <w:r>
        <w:rPr>
          <w:rFonts w:ascii="宋体" w:hAnsi="宋体" w:cs="宋体" w:eastAsia="宋体" w:hint="default"/>
          <w:spacing w:val="7"/>
        </w:rPr>
        <w:t> </w:t>
      </w:r>
      <w:r>
        <w:rPr>
          <w:spacing w:val="-6"/>
        </w:rPr>
        <w:t>依托石基在酒店、餐饮、零售信息</w:t>
      </w:r>
      <w:r>
        <w:rPr/>
        <w:t> </w:t>
      </w:r>
      <w:r>
        <w:rPr>
          <w:spacing w:val="-2"/>
        </w:rPr>
        <w:t>化领域的市场优势</w:t>
      </w:r>
      <w:r>
        <w:rPr>
          <w:rFonts w:ascii="宋体" w:hAnsi="宋体" w:cs="宋体" w:eastAsia="宋体" w:hint="default"/>
          <w:spacing w:val="-2"/>
        </w:rPr>
        <w:t>,</w:t>
      </w:r>
      <w:r>
        <w:rPr>
          <w:spacing w:val="-2"/>
        </w:rPr>
        <w:t>运用</w:t>
      </w:r>
      <w:r>
        <w:rPr>
          <w:rFonts w:ascii="宋体" w:hAnsi="宋体" w:cs="宋体" w:eastAsia="宋体" w:hint="default"/>
          <w:spacing w:val="-2"/>
        </w:rPr>
        <w:t>"Inside"</w:t>
      </w:r>
      <w:r>
        <w:rPr>
          <w:spacing w:val="-2"/>
        </w:rPr>
        <w:t>服务的形式，快速切入</w:t>
      </w:r>
      <w:r>
        <w:rPr>
          <w:rFonts w:ascii="宋体" w:hAnsi="宋体" w:cs="宋体" w:eastAsia="宋体" w:hint="default"/>
          <w:spacing w:val="-2"/>
        </w:rPr>
        <w:t>2B</w:t>
      </w:r>
      <w:r>
        <w:rPr>
          <w:spacing w:val="-2"/>
        </w:rPr>
        <w:t>市场，介入更为丰富的终端消费场</w:t>
      </w:r>
      <w:r>
        <w:rPr>
          <w:spacing w:val="-110"/>
        </w:rPr>
        <w:t> </w:t>
      </w:r>
      <w:r>
        <w:rPr>
          <w:spacing w:val="-110"/>
        </w:rPr>
      </w:r>
      <w:r>
        <w:rPr/>
        <w:t>景，全面为企业食品安全赋能，倒逼上游环节的质量管理能力提升</w:t>
      </w:r>
      <w:r>
        <w:rPr>
          <w:rFonts w:ascii="宋体" w:hAnsi="宋体" w:cs="宋体" w:eastAsia="宋体" w:hint="default"/>
        </w:rPr>
        <w:t>;</w:t>
      </w:r>
    </w:p>
    <w:p>
      <w:pPr>
        <w:pStyle w:val="BodyText"/>
        <w:spacing w:line="240" w:lineRule="auto" w:before="36"/>
        <w:ind w:right="1130" w:firstLine="480"/>
        <w:jc w:val="both"/>
      </w:pPr>
      <w:r>
        <w:rPr>
          <w:spacing w:val="-5"/>
        </w:rPr>
        <w:t>在检测方面，加快推进生物芯片的研发与量产进度，争取尽早投放市场。同时，借助</w:t>
      </w:r>
      <w:r>
        <w:rPr>
          <w:rFonts w:ascii="宋体" w:hAnsi="宋体" w:cs="宋体" w:eastAsia="宋体" w:hint="default"/>
          <w:spacing w:val="-5"/>
        </w:rPr>
        <w:t>SaaS</w:t>
      </w:r>
      <w:r>
        <w:rPr>
          <w:rFonts w:ascii="宋体" w:hAnsi="宋体" w:cs="宋体" w:eastAsia="宋体" w:hint="default"/>
        </w:rPr>
        <w:t> </w:t>
      </w:r>
      <w:r>
        <w:rPr>
          <w:spacing w:val="-2"/>
        </w:rPr>
        <w:t>智能化管理工具通过</w:t>
      </w:r>
      <w:r>
        <w:rPr>
          <w:rFonts w:ascii="宋体" w:hAnsi="宋体" w:cs="宋体" w:eastAsia="宋体" w:hint="default"/>
          <w:spacing w:val="-2"/>
        </w:rPr>
        <w:t>O2O</w:t>
      </w:r>
      <w:r>
        <w:rPr>
          <w:spacing w:val="-2"/>
        </w:rPr>
        <w:t>的标准化统一管理与运营模式，采取并购与自建相结合的方式，加快</w:t>
      </w:r>
      <w:r>
        <w:rPr>
          <w:spacing w:val="-118"/>
        </w:rPr>
        <w:t> </w:t>
      </w:r>
      <w:r>
        <w:rPr>
          <w:spacing w:val="-118"/>
        </w:rPr>
      </w:r>
      <w:r>
        <w:rPr/>
        <w:t>推动在上海乃至全国市场的复制推广；</w:t>
      </w:r>
    </w:p>
    <w:p>
      <w:pPr>
        <w:pStyle w:val="BodyText"/>
        <w:spacing w:line="249" w:lineRule="auto" w:before="36"/>
        <w:ind w:right="0" w:firstLine="480"/>
        <w:jc w:val="left"/>
      </w:pPr>
      <w:r>
        <w:rPr/>
        <w:t>在咨询与评估方面，继续推动追溯云标准在食品及食用农产品相关行业的应用，依托追 溯云标准，推动咨询与评估业务结合在商超、酒店、餐饮等行业的快速拓展； 在大数据与信用方面，通过食品安全大数据的不断积累，持续推动食品安全信用模型的优化 与大数据应用，构建能为政府、企业、百姓可用、可信的信用评价体系，实现追溯云的标志</w:t>
      </w:r>
    </w:p>
    <w:p>
      <w:pPr>
        <w:spacing w:after="0" w:line="249" w:lineRule="auto"/>
        <w:jc w:val="left"/>
        <w:sectPr>
          <w:pgSz w:w="11910" w:h="16840"/>
          <w:pgMar w:header="822" w:footer="1019" w:top="1140" w:bottom="1200" w:left="1020" w:right="0"/>
        </w:sectPr>
      </w:pPr>
    </w:p>
    <w:p>
      <w:pPr>
        <w:spacing w:line="240" w:lineRule="auto" w:before="11"/>
        <w:rPr>
          <w:rFonts w:ascii="宋体" w:hAnsi="宋体" w:cs="宋体" w:eastAsia="宋体" w:hint="default"/>
          <w:sz w:val="17"/>
          <w:szCs w:val="17"/>
        </w:rPr>
      </w:pPr>
    </w:p>
    <w:p>
      <w:pPr>
        <w:pStyle w:val="BodyText"/>
        <w:spacing w:line="240" w:lineRule="auto" w:before="26"/>
        <w:ind w:right="0"/>
        <w:jc w:val="left"/>
      </w:pPr>
      <w:r>
        <w:rPr/>
        <w:t>逐步成为食品安全的代名词。</w:t>
      </w:r>
    </w:p>
    <w:p>
      <w:pPr>
        <w:spacing w:line="240" w:lineRule="auto" w:before="11"/>
        <w:rPr>
          <w:rFonts w:ascii="宋体" w:hAnsi="宋体" w:cs="宋体" w:eastAsia="宋体" w:hint="default"/>
          <w:sz w:val="29"/>
          <w:szCs w:val="29"/>
        </w:rPr>
      </w:pPr>
    </w:p>
    <w:p>
      <w:pPr>
        <w:spacing w:line="268" w:lineRule="auto" w:before="0"/>
        <w:ind w:left="594" w:right="0" w:firstLine="2"/>
        <w:jc w:val="left"/>
        <w:rPr>
          <w:rFonts w:ascii="宋体" w:hAnsi="宋体" w:cs="宋体" w:eastAsia="宋体" w:hint="default"/>
          <w:sz w:val="24"/>
          <w:szCs w:val="24"/>
        </w:rPr>
      </w:pPr>
      <w:r>
        <w:rPr>
          <w:rFonts w:ascii="宋体" w:hAnsi="宋体" w:cs="宋体" w:eastAsia="宋体" w:hint="default"/>
          <w:b/>
          <w:bCs/>
          <w:sz w:val="24"/>
          <w:szCs w:val="24"/>
        </w:rPr>
        <w:t>2</w:t>
      </w:r>
      <w:r>
        <w:rPr>
          <w:rFonts w:ascii="宋体" w:hAnsi="宋体" w:cs="宋体" w:eastAsia="宋体" w:hint="default"/>
          <w:b/>
          <w:bCs/>
          <w:sz w:val="24"/>
          <w:szCs w:val="24"/>
        </w:rPr>
        <w:t>、智慧档案</w:t>
      </w:r>
      <w:r>
        <w:rPr>
          <w:rFonts w:ascii="宋体" w:hAnsi="宋体" w:cs="宋体" w:eastAsia="宋体" w:hint="default"/>
          <w:b/>
          <w:bCs/>
          <w:sz w:val="24"/>
          <w:szCs w:val="24"/>
        </w:rPr>
        <w:t>-</w:t>
      </w:r>
      <w:r>
        <w:rPr>
          <w:rFonts w:ascii="宋体" w:hAnsi="宋体" w:cs="宋体" w:eastAsia="宋体" w:hint="default"/>
          <w:b/>
          <w:bCs/>
          <w:sz w:val="24"/>
          <w:szCs w:val="24"/>
        </w:rPr>
        <w:t>自主可控、市场下沉</w:t>
      </w:r>
      <w:r>
        <w:rPr>
          <w:rFonts w:ascii="宋体" w:hAnsi="宋体" w:cs="宋体" w:eastAsia="宋体" w:hint="default"/>
          <w:b/>
          <w:bCs/>
          <w:w w:val="99"/>
          <w:sz w:val="24"/>
          <w:szCs w:val="24"/>
        </w:rPr>
        <w:t> </w:t>
      </w:r>
      <w:r>
        <w:rPr>
          <w:rFonts w:ascii="宋体" w:hAnsi="宋体" w:cs="宋体" w:eastAsia="宋体" w:hint="default"/>
          <w:sz w:val="24"/>
          <w:szCs w:val="24"/>
        </w:rPr>
        <w:t>近年来，党中央、国务院高度重视网络与信息安全，习近平总书记多次指出，要加快国</w:t>
      </w:r>
    </w:p>
    <w:p>
      <w:pPr>
        <w:pStyle w:val="BodyText"/>
        <w:spacing w:line="312" w:lineRule="exact"/>
        <w:ind w:right="0"/>
        <w:jc w:val="left"/>
      </w:pPr>
      <w:r>
        <w:rPr/>
        <w:t>产自主可控替代计划、构建安全可靠的信息技术体系。档案领域更是信息安全建设的重中之 重，公司将加大自主可控领域的研发与市场布局，依托公司在档案信息化领域的市场先发优</w:t>
      </w:r>
    </w:p>
    <w:p>
      <w:pPr>
        <w:pStyle w:val="BodyText"/>
        <w:spacing w:line="285" w:lineRule="exact"/>
        <w:ind w:right="0"/>
        <w:jc w:val="left"/>
      </w:pPr>
      <w:r>
        <w:rPr/>
        <w:t>势，积极投入档案领域的“安可”国产化项目建设。</w:t>
      </w:r>
    </w:p>
    <w:p>
      <w:pPr>
        <w:pStyle w:val="BodyText"/>
        <w:spacing w:line="237" w:lineRule="auto" w:before="39"/>
        <w:ind w:right="1130" w:firstLine="480"/>
        <w:jc w:val="right"/>
      </w:pPr>
      <w:r>
        <w:rPr>
          <w:spacing w:val="-5"/>
        </w:rPr>
        <w:t>《全国档案事业发展</w:t>
      </w:r>
      <w:r>
        <w:rPr>
          <w:rFonts w:ascii="宋体" w:hAnsi="宋体" w:cs="宋体" w:eastAsia="宋体" w:hint="default"/>
          <w:spacing w:val="-5"/>
        </w:rPr>
        <w:t>"</w:t>
      </w:r>
      <w:r>
        <w:rPr>
          <w:spacing w:val="-5"/>
        </w:rPr>
        <w:t>十三五</w:t>
      </w:r>
      <w:r>
        <w:rPr>
          <w:rFonts w:ascii="宋体" w:hAnsi="宋体" w:cs="宋体" w:eastAsia="宋体" w:hint="default"/>
          <w:spacing w:val="-5"/>
        </w:rPr>
        <w:t>"</w:t>
      </w:r>
      <w:r>
        <w:rPr>
          <w:spacing w:val="-5"/>
        </w:rPr>
        <w:t>规划纲要》确定了档案事业发展的指导思想和目标：到</w:t>
      </w:r>
      <w:r>
        <w:rPr>
          <w:rFonts w:ascii="宋体" w:hAnsi="宋体" w:cs="宋体" w:eastAsia="宋体" w:hint="default"/>
          <w:spacing w:val="-5"/>
        </w:rPr>
        <w:t>2020</w:t>
      </w:r>
      <w:r>
        <w:rPr>
          <w:rFonts w:ascii="宋体" w:hAnsi="宋体" w:cs="宋体" w:eastAsia="宋体" w:hint="default"/>
        </w:rPr>
        <w:t> </w:t>
      </w:r>
      <w:r>
        <w:rPr/>
        <w:t>年，实现以信息化为核心的档案管理现代化</w:t>
      </w:r>
      <w:r>
        <w:rPr>
          <w:rFonts w:ascii="宋体" w:hAnsi="宋体" w:cs="宋体" w:eastAsia="宋体" w:hint="default"/>
        </w:rPr>
        <w:t>,</w:t>
      </w:r>
      <w:r>
        <w:rPr/>
        <w:t>加快档案管理信息化进程</w:t>
      </w:r>
      <w:r>
        <w:rPr>
          <w:rFonts w:ascii="宋体" w:hAnsi="宋体" w:cs="宋体" w:eastAsia="宋体" w:hint="default"/>
        </w:rPr>
        <w:t>,</w:t>
      </w:r>
      <w:r>
        <w:rPr/>
        <w:t>持续推进数字档案馆 </w:t>
      </w:r>
      <w:r>
        <w:rPr>
          <w:spacing w:val="-2"/>
        </w:rPr>
        <w:t>建设，全国</w:t>
      </w:r>
      <w:r>
        <w:rPr>
          <w:rFonts w:ascii="宋体" w:hAnsi="宋体" w:cs="宋体" w:eastAsia="宋体" w:hint="default"/>
          <w:spacing w:val="-2"/>
        </w:rPr>
        <w:t>50%</w:t>
      </w:r>
      <w:r>
        <w:rPr>
          <w:spacing w:val="-2"/>
        </w:rPr>
        <w:t>的县建成数字档案馆或启动数字档案馆建设项目，全国省级、地市级和县级国</w:t>
      </w:r>
      <w:r>
        <w:rPr/>
        <w:t> </w:t>
      </w:r>
      <w:r>
        <w:rPr>
          <w:spacing w:val="-2"/>
        </w:rPr>
        <w:t>家综合档案馆馆藏永久档案数字化的比例，分别达到</w:t>
      </w:r>
      <w:r>
        <w:rPr>
          <w:rFonts w:ascii="宋体" w:hAnsi="宋体" w:cs="宋体" w:eastAsia="宋体" w:hint="default"/>
          <w:spacing w:val="-2"/>
        </w:rPr>
        <w:t>30</w:t>
      </w:r>
      <w:r>
        <w:rPr>
          <w:spacing w:val="-2"/>
        </w:rPr>
        <w:t>—</w:t>
      </w:r>
      <w:r>
        <w:rPr>
          <w:rFonts w:ascii="宋体" w:hAnsi="宋体" w:cs="宋体" w:eastAsia="宋体" w:hint="default"/>
          <w:spacing w:val="-2"/>
        </w:rPr>
        <w:t>60%</w:t>
      </w:r>
      <w:r>
        <w:rPr>
          <w:spacing w:val="-2"/>
        </w:rPr>
        <w:t>、</w:t>
      </w:r>
      <w:r>
        <w:rPr>
          <w:rFonts w:ascii="宋体" w:hAnsi="宋体" w:cs="宋体" w:eastAsia="宋体" w:hint="default"/>
          <w:spacing w:val="-2"/>
        </w:rPr>
        <w:t>40</w:t>
      </w:r>
      <w:r>
        <w:rPr>
          <w:spacing w:val="-2"/>
        </w:rPr>
        <w:t>—</w:t>
      </w:r>
      <w:r>
        <w:rPr>
          <w:rFonts w:ascii="宋体" w:hAnsi="宋体" w:cs="宋体" w:eastAsia="宋体" w:hint="default"/>
          <w:spacing w:val="-2"/>
        </w:rPr>
        <w:t>75%</w:t>
      </w:r>
      <w:r>
        <w:rPr>
          <w:spacing w:val="-2"/>
        </w:rPr>
        <w:t>和</w:t>
      </w:r>
      <w:r>
        <w:rPr>
          <w:rFonts w:ascii="宋体" w:hAnsi="宋体" w:cs="宋体" w:eastAsia="宋体" w:hint="default"/>
          <w:spacing w:val="-2"/>
        </w:rPr>
        <w:t>25</w:t>
      </w:r>
      <w:r>
        <w:rPr>
          <w:spacing w:val="-2"/>
        </w:rPr>
        <w:t>—</w:t>
      </w:r>
      <w:r>
        <w:rPr>
          <w:rFonts w:ascii="宋体" w:hAnsi="宋体" w:cs="宋体" w:eastAsia="宋体" w:hint="default"/>
          <w:spacing w:val="-2"/>
        </w:rPr>
        <w:t>50%</w:t>
      </w:r>
      <w:r>
        <w:rPr>
          <w:spacing w:val="-2"/>
        </w:rPr>
        <w:t>。编制数字</w:t>
      </w:r>
      <w:r>
        <w:rPr>
          <w:spacing w:val="-118"/>
        </w:rPr>
        <w:t> </w:t>
      </w:r>
      <w:r>
        <w:rPr>
          <w:spacing w:val="-118"/>
        </w:rPr>
      </w:r>
      <w:r>
        <w:rPr/>
        <w:t>档案馆业务系统功能需求标准；采用大数据、智慧管理、智能楼宇管理等技术，提高档案馆 业务信息化和档案信息资源深度开发与服务水平；开展企业示范数字档案馆建设，建成一批 具有国际先进水平的企业数字档案馆；适时启动国家级电子（数字）档案馆系统项目建设。</w:t>
      </w:r>
    </w:p>
    <w:p>
      <w:pPr>
        <w:pStyle w:val="BodyText"/>
        <w:spacing w:line="240" w:lineRule="auto" w:before="38"/>
        <w:ind w:right="1132" w:firstLine="480"/>
        <w:jc w:val="both"/>
      </w:pPr>
      <w:r>
        <w:rPr>
          <w:spacing w:val="-6"/>
        </w:rPr>
        <w:t>公司将围绕“十三五规划”，加快产品标准化建设，推动档案市场进一步向区县级市场下</w:t>
      </w:r>
      <w:r>
        <w:rPr/>
        <w:t> 沉，加快档案信息化在金融、交通、城建等行业复制扩张。</w:t>
      </w:r>
    </w:p>
    <w:p>
      <w:pPr>
        <w:spacing w:line="240" w:lineRule="auto" w:before="10"/>
        <w:rPr>
          <w:rFonts w:ascii="宋体" w:hAnsi="宋体" w:cs="宋体" w:eastAsia="宋体" w:hint="default"/>
          <w:sz w:val="29"/>
          <w:szCs w:val="29"/>
        </w:rPr>
      </w:pPr>
    </w:p>
    <w:p>
      <w:pPr>
        <w:pStyle w:val="Heading4"/>
        <w:spacing w:line="240" w:lineRule="auto"/>
        <w:ind w:left="596" w:right="0"/>
        <w:jc w:val="left"/>
        <w:rPr>
          <w:b w:val="0"/>
          <w:bCs w:val="0"/>
        </w:rPr>
      </w:pPr>
      <w:r>
        <w:rPr>
          <w:rFonts w:ascii="宋体" w:hAnsi="宋体" w:cs="宋体" w:eastAsia="宋体" w:hint="default"/>
        </w:rPr>
        <w:t>3</w:t>
      </w:r>
      <w:r>
        <w:rPr/>
        <w:t>、智慧司法</w:t>
      </w:r>
      <w:r>
        <w:rPr>
          <w:rFonts w:ascii="宋体" w:hAnsi="宋体" w:cs="宋体" w:eastAsia="宋体" w:hint="default"/>
        </w:rPr>
        <w:t>-</w:t>
      </w:r>
      <w:r>
        <w:rPr/>
        <w:t>技术赋能、加快复制</w:t>
      </w:r>
      <w:r>
        <w:rPr>
          <w:b w:val="0"/>
          <w:bCs w:val="0"/>
        </w:rPr>
      </w:r>
    </w:p>
    <w:p>
      <w:pPr>
        <w:pStyle w:val="BodyText"/>
        <w:spacing w:line="240" w:lineRule="auto" w:before="37"/>
        <w:ind w:right="1128" w:firstLine="480"/>
        <w:jc w:val="both"/>
      </w:pPr>
      <w:r>
        <w:rPr>
          <w:spacing w:val="-6"/>
        </w:rPr>
        <w:t>《“数字法治、智慧司法”信息化体系建设指导意见》及《“数字法治、智慧司法”信息</w:t>
      </w:r>
      <w:r>
        <w:rPr>
          <w:spacing w:val="2"/>
        </w:rPr>
        <w:t> </w:t>
      </w:r>
      <w:r>
        <w:rPr/>
        <w:t>化体系建设实施方案》为智慧司法建设指明了方向，我国司法“大平台共享、大系统共治、</w:t>
      </w:r>
      <w:r>
        <w:rPr>
          <w:spacing w:val="-112"/>
        </w:rPr>
        <w:t> </w:t>
      </w:r>
      <w:r>
        <w:rPr>
          <w:spacing w:val="-112"/>
        </w:rPr>
      </w:r>
      <w:r>
        <w:rPr/>
        <w:t>大数据慧治”建设已成为行业共识。</w:t>
      </w:r>
    </w:p>
    <w:p>
      <w:pPr>
        <w:pStyle w:val="BodyText"/>
        <w:spacing w:line="240" w:lineRule="auto" w:before="36"/>
        <w:ind w:right="1130" w:firstLine="480"/>
        <w:jc w:val="both"/>
      </w:pPr>
      <w:r>
        <w:rPr>
          <w:spacing w:val="-6"/>
        </w:rPr>
        <w:t>凭借在智慧司法领域的多年耕耘，公司在打破行业现有“条块”、“烟囱”般的信息化系</w:t>
      </w:r>
      <w:r>
        <w:rPr/>
        <w:t> 统格局，构建“全领域智慧防控、全要素智慧管理、全方位智慧服务、全业务智慧指导”体</w:t>
      </w:r>
      <w:r>
        <w:rPr>
          <w:spacing w:val="-110"/>
        </w:rPr>
        <w:t> </w:t>
      </w:r>
      <w:r>
        <w:rPr>
          <w:spacing w:val="-110"/>
        </w:rPr>
      </w:r>
      <w:r>
        <w:rPr/>
        <w:t>系架构等方面积累了大量实践经验，并总结形成可复制的产品和标准化解决方案。</w:t>
      </w:r>
    </w:p>
    <w:p>
      <w:pPr>
        <w:pStyle w:val="BodyText"/>
        <w:spacing w:line="237" w:lineRule="auto" w:before="39"/>
        <w:ind w:right="0" w:firstLine="480"/>
        <w:jc w:val="left"/>
      </w:pPr>
      <w:r>
        <w:rPr/>
        <w:t>我司将依托市场先发优势，加快大数据、人工智能在司法领域的应用，为“数字法治、 智慧司法”信息化体系建设服务，助力我国司法“大平台共享、大系统共治、大数据慧治”</w:t>
      </w:r>
      <w:r>
        <w:rPr>
          <w:spacing w:val="-108"/>
        </w:rPr>
        <w:t> </w:t>
      </w:r>
      <w:r>
        <w:rPr>
          <w:spacing w:val="-108"/>
        </w:rPr>
      </w:r>
      <w:r>
        <w:rPr>
          <w:spacing w:val="-3"/>
        </w:rPr>
        <w:t>的信息化新格局。同时，我司将进一步加快“大平台”与“智慧监所”在市场上的复制拓展，</w:t>
      </w:r>
      <w:r>
        <w:rPr>
          <w:spacing w:val="-82"/>
        </w:rPr>
        <w:t> </w:t>
      </w:r>
      <w:r>
        <w:rPr>
          <w:spacing w:val="-82"/>
        </w:rPr>
      </w:r>
      <w:r>
        <w:rPr/>
        <w:t>快速占领市场。</w:t>
      </w:r>
    </w:p>
    <w:p>
      <w:pPr>
        <w:spacing w:line="240" w:lineRule="auto" w:before="11"/>
        <w:rPr>
          <w:rFonts w:ascii="宋体" w:hAnsi="宋体" w:cs="宋体" w:eastAsia="宋体" w:hint="default"/>
          <w:sz w:val="29"/>
          <w:szCs w:val="29"/>
        </w:rPr>
      </w:pPr>
    </w:p>
    <w:p>
      <w:pPr>
        <w:pStyle w:val="BodyText"/>
        <w:spacing w:line="268" w:lineRule="auto"/>
        <w:ind w:left="594" w:right="0" w:firstLine="2"/>
        <w:jc w:val="left"/>
      </w:pPr>
      <w:r>
        <w:rPr>
          <w:rFonts w:ascii="宋体" w:hAnsi="宋体" w:cs="宋体" w:eastAsia="宋体" w:hint="default"/>
          <w:b/>
          <w:bCs/>
        </w:rPr>
        <w:t>4</w:t>
      </w:r>
      <w:r>
        <w:rPr>
          <w:rFonts w:ascii="宋体" w:hAnsi="宋体" w:cs="宋体" w:eastAsia="宋体" w:hint="default"/>
          <w:b/>
          <w:bCs/>
        </w:rPr>
        <w:t>、创新中心</w:t>
      </w:r>
      <w:r>
        <w:rPr>
          <w:rFonts w:ascii="宋体" w:hAnsi="宋体" w:cs="宋体" w:eastAsia="宋体" w:hint="default"/>
          <w:b/>
          <w:bCs/>
          <w:w w:val="99"/>
        </w:rPr>
        <w:t> </w:t>
      </w:r>
      <w:r>
        <w:rPr>
          <w:spacing w:val="-3"/>
        </w:rPr>
        <w:t>大数据创新中心将围绕食品安全追溯大数据、档案大数据、司法大数据等优势数据资产，</w:t>
      </w:r>
    </w:p>
    <w:p>
      <w:pPr>
        <w:pStyle w:val="BodyText"/>
        <w:spacing w:line="312" w:lineRule="exact"/>
        <w:ind w:right="0"/>
        <w:jc w:val="left"/>
      </w:pPr>
      <w:r>
        <w:rPr/>
        <w:t>打造数据服务和数据应用能力，研发应用型与工具型大数据产品，持续赋能食安、档案、司 法三大行业，以帮助全产业链相关政府、企事业单位客户，实现结合不同业务场景的大数据</w:t>
      </w:r>
    </w:p>
    <w:p>
      <w:pPr>
        <w:pStyle w:val="BodyText"/>
        <w:spacing w:line="285" w:lineRule="exact"/>
        <w:ind w:right="0"/>
        <w:jc w:val="left"/>
      </w:pPr>
      <w:r>
        <w:rPr/>
        <w:t>应用运营优化和改进创新，帮助客户实现基于云计算</w:t>
      </w:r>
      <w:r>
        <w:rPr>
          <w:rFonts w:ascii="宋体" w:hAnsi="宋体" w:cs="宋体" w:eastAsia="宋体" w:hint="default"/>
        </w:rPr>
        <w:t>/</w:t>
      </w:r>
      <w:r>
        <w:rPr/>
        <w:t>大数据的商业模式重构和转型升级。</w:t>
      </w:r>
    </w:p>
    <w:p>
      <w:pPr>
        <w:pStyle w:val="BodyText"/>
        <w:spacing w:line="237" w:lineRule="auto" w:before="40"/>
        <w:ind w:right="1130" w:firstLine="480"/>
        <w:jc w:val="both"/>
      </w:pPr>
      <w:r>
        <w:rPr/>
        <w:t>区块链创新中心将依托信息发展研究院强大的技术研发实力，集中优秀技术创新人才， 着力研发区块链基础平台以及配套工具软件，打造领先的“信发链”品牌。对内以食品安全</w:t>
      </w:r>
      <w:r>
        <w:rPr>
          <w:spacing w:val="-111"/>
        </w:rPr>
        <w:t> </w:t>
      </w:r>
      <w:r>
        <w:rPr>
          <w:spacing w:val="-111"/>
        </w:rPr>
      </w:r>
      <w:r>
        <w:rPr/>
        <w:t>追溯体系区块链应用为重点，对外拓展药品监管、供应链管理等业务领域，实现“信发链”</w:t>
      </w:r>
      <w:r>
        <w:rPr>
          <w:spacing w:val="-110"/>
        </w:rPr>
        <w:t> </w:t>
      </w:r>
      <w:r>
        <w:rPr>
          <w:spacing w:val="-110"/>
        </w:rPr>
      </w:r>
      <w:r>
        <w:rPr/>
        <w:t>在各行各业的应用落地。</w:t>
      </w:r>
    </w:p>
    <w:p>
      <w:pPr>
        <w:spacing w:line="240" w:lineRule="auto" w:before="1"/>
        <w:rPr>
          <w:rFonts w:ascii="宋体" w:hAnsi="宋体" w:cs="宋体" w:eastAsia="宋体" w:hint="default"/>
          <w:sz w:val="32"/>
          <w:szCs w:val="32"/>
        </w:rPr>
      </w:pPr>
    </w:p>
    <w:p>
      <w:pPr>
        <w:pStyle w:val="Heading4"/>
        <w:spacing w:line="312" w:lineRule="exact"/>
        <w:ind w:left="596" w:right="5952"/>
        <w:jc w:val="left"/>
        <w:rPr>
          <w:b w:val="0"/>
          <w:bCs w:val="0"/>
        </w:rPr>
      </w:pPr>
      <w:r>
        <w:rPr>
          <w:w w:val="95"/>
        </w:rPr>
        <w:t>（三）公司可能面临的风险</w:t>
      </w:r>
      <w:r>
        <w:rPr>
          <w:spacing w:val="18"/>
          <w:w w:val="95"/>
        </w:rPr>
        <w:t> </w:t>
      </w:r>
      <w:r>
        <w:rPr>
          <w:rFonts w:ascii="宋体" w:hAnsi="宋体" w:cs="宋体" w:eastAsia="宋体" w:hint="default"/>
        </w:rPr>
        <w:t>1</w:t>
      </w:r>
      <w:r>
        <w:rPr/>
        <w:t>、行业政策变动风险</w:t>
      </w:r>
      <w:r>
        <w:rPr>
          <w:b w:val="0"/>
          <w:bCs w:val="0"/>
        </w:rPr>
      </w:r>
    </w:p>
    <w:p>
      <w:pPr>
        <w:pStyle w:val="BodyText"/>
        <w:spacing w:line="283" w:lineRule="exact"/>
        <w:ind w:left="594" w:right="0"/>
        <w:jc w:val="left"/>
      </w:pPr>
      <w:r>
        <w:rPr/>
        <w:t>根</w:t>
      </w:r>
      <w:r>
        <w:rPr>
          <w:spacing w:val="-21"/>
        </w:rPr>
        <w:t>据</w:t>
      </w:r>
      <w:r>
        <w:rPr/>
        <w:t>《国民经济行业分类</w:t>
      </w:r>
      <w:r>
        <w:rPr>
          <w:spacing w:val="-120"/>
        </w:rPr>
        <w:t>》</w:t>
      </w:r>
      <w:r>
        <w:rPr>
          <w:spacing w:val="-21"/>
        </w:rPr>
        <w:t>，</w:t>
      </w:r>
      <w:r>
        <w:rPr/>
        <w:t>公司属于软件和信息技术服务业</w:t>
      </w:r>
      <w:r>
        <w:rPr>
          <w:spacing w:val="-21"/>
        </w:rPr>
        <w:t>。</w:t>
      </w:r>
      <w:r>
        <w:rPr/>
        <w:t>国家工信</w:t>
      </w:r>
      <w:r>
        <w:rPr>
          <w:spacing w:val="-21"/>
        </w:rPr>
        <w:t>部</w:t>
      </w:r>
      <w:r>
        <w:rPr/>
        <w:t>《软件和信息</w:t>
      </w:r>
    </w:p>
    <w:p>
      <w:pPr>
        <w:spacing w:after="0" w:line="283" w:lineRule="exact"/>
        <w:jc w:val="left"/>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237" w:lineRule="auto" w:before="28"/>
        <w:ind w:right="1130"/>
        <w:jc w:val="both"/>
      </w:pPr>
      <w:r>
        <w:rPr>
          <w:spacing w:val="-3"/>
        </w:rPr>
        <w:t>技术服务业发展规划（</w:t>
      </w:r>
      <w:r>
        <w:rPr>
          <w:rFonts w:ascii="宋体" w:hAnsi="宋体" w:cs="宋体" w:eastAsia="宋体" w:hint="default"/>
          <w:spacing w:val="-3"/>
        </w:rPr>
        <w:t>2016-2020</w:t>
      </w:r>
      <w:r>
        <w:rPr>
          <w:spacing w:val="-3"/>
        </w:rPr>
        <w:t>年）》提出，到</w:t>
      </w:r>
      <w:r>
        <w:rPr>
          <w:rFonts w:ascii="宋体" w:hAnsi="宋体" w:cs="宋体" w:eastAsia="宋体" w:hint="default"/>
          <w:spacing w:val="-3"/>
        </w:rPr>
        <w:t>2020</w:t>
      </w:r>
      <w:r>
        <w:rPr>
          <w:spacing w:val="-3"/>
        </w:rPr>
        <w:t>年，软件和信息技术服务业业务收入突</w:t>
      </w:r>
      <w:r>
        <w:rPr>
          <w:spacing w:val="-99"/>
        </w:rPr>
        <w:t> </w:t>
      </w:r>
      <w:r>
        <w:rPr>
          <w:spacing w:val="-2"/>
        </w:rPr>
        <w:t>破</w:t>
      </w:r>
      <w:r>
        <w:rPr>
          <w:rFonts w:ascii="宋体" w:hAnsi="宋体" w:cs="宋体" w:eastAsia="宋体" w:hint="default"/>
          <w:spacing w:val="-2"/>
        </w:rPr>
        <w:t>8</w:t>
      </w:r>
      <w:r>
        <w:rPr>
          <w:spacing w:val="-2"/>
        </w:rPr>
        <w:t>万亿元，年均增长</w:t>
      </w:r>
      <w:r>
        <w:rPr>
          <w:rFonts w:ascii="宋体" w:hAnsi="宋体" w:cs="宋体" w:eastAsia="宋体" w:hint="default"/>
          <w:spacing w:val="-2"/>
        </w:rPr>
        <w:t>13%</w:t>
      </w:r>
      <w:r>
        <w:rPr>
          <w:spacing w:val="-2"/>
        </w:rPr>
        <w:t>以上。信息安全产品收入达到</w:t>
      </w:r>
      <w:r>
        <w:rPr>
          <w:rFonts w:ascii="宋体" w:hAnsi="宋体" w:cs="宋体" w:eastAsia="宋体" w:hint="default"/>
          <w:spacing w:val="-2"/>
        </w:rPr>
        <w:t>2000</w:t>
      </w:r>
      <w:r>
        <w:rPr>
          <w:spacing w:val="-2"/>
        </w:rPr>
        <w:t>亿元，年均增长</w:t>
      </w:r>
      <w:r>
        <w:rPr>
          <w:rFonts w:ascii="宋体" w:hAnsi="宋体" w:cs="宋体" w:eastAsia="宋体" w:hint="default"/>
          <w:spacing w:val="-2"/>
        </w:rPr>
        <w:t>20%</w:t>
      </w:r>
      <w:r>
        <w:rPr>
          <w:spacing w:val="-2"/>
        </w:rPr>
        <w:t>以上。软件出</w:t>
      </w:r>
      <w:r>
        <w:rPr>
          <w:spacing w:val="-112"/>
        </w:rPr>
        <w:t> </w:t>
      </w:r>
      <w:r>
        <w:rPr>
          <w:spacing w:val="-112"/>
        </w:rPr>
      </w:r>
      <w:r>
        <w:rPr/>
        <w:t>口超过</w:t>
      </w:r>
      <w:r>
        <w:rPr>
          <w:rFonts w:ascii="宋体" w:hAnsi="宋体" w:cs="宋体" w:eastAsia="宋体" w:hint="default"/>
        </w:rPr>
        <w:t>680</w:t>
      </w:r>
      <w:r>
        <w:rPr/>
        <w:t>亿美元。软件从业人员达到</w:t>
      </w:r>
      <w:r>
        <w:rPr>
          <w:rFonts w:ascii="宋体" w:hAnsi="宋体" w:cs="宋体" w:eastAsia="宋体" w:hint="default"/>
        </w:rPr>
        <w:t>900</w:t>
      </w:r>
      <w:r>
        <w:rPr/>
        <w:t>万人。在“十三五”时期，以数据为驱动的“软件 定义”成为软件和信息技术服务业发展的突出特征。软件和信息技术服务业加快向网络化、 平台化、服务化、智能化、生态化演进。</w:t>
      </w:r>
    </w:p>
    <w:p>
      <w:pPr>
        <w:pStyle w:val="BodyText"/>
        <w:spacing w:line="312" w:lineRule="exact" w:before="29"/>
        <w:ind w:right="1130" w:firstLine="480"/>
        <w:jc w:val="both"/>
      </w:pPr>
      <w:r>
        <w:rPr>
          <w:spacing w:val="-5"/>
        </w:rPr>
        <w:t>根据国家工信部发布的《</w:t>
      </w:r>
      <w:r>
        <w:rPr>
          <w:rFonts w:ascii="宋体" w:hAnsi="宋体" w:cs="宋体" w:eastAsia="宋体" w:hint="default"/>
          <w:spacing w:val="-5"/>
        </w:rPr>
        <w:t>2018</w:t>
      </w:r>
      <w:r>
        <w:rPr>
          <w:spacing w:val="-5"/>
        </w:rPr>
        <w:t>年全国软件和信息技术服务业主要指标快报表》，</w:t>
      </w:r>
      <w:r>
        <w:rPr>
          <w:rFonts w:ascii="宋体" w:hAnsi="宋体" w:cs="宋体" w:eastAsia="宋体" w:hint="default"/>
          <w:spacing w:val="-5"/>
        </w:rPr>
        <w:t>2018</w:t>
      </w:r>
      <w:r>
        <w:rPr>
          <w:spacing w:val="-5"/>
        </w:rPr>
        <w:t>年我</w:t>
      </w:r>
      <w:r>
        <w:rPr/>
        <w:t> 国软件和信息技术服务业继续呈现稳中向好运行态势，收入和效益同步增长，出口也比去年 同期稍有增加，吸纳就业人数平稳增加，创新能力不断提升。</w:t>
      </w:r>
      <w:r>
        <w:rPr>
          <w:rFonts w:ascii="宋体" w:hAnsi="宋体" w:cs="宋体" w:eastAsia="宋体" w:hint="default"/>
        </w:rPr>
        <w:t>2018</w:t>
      </w:r>
      <w:r>
        <w:rPr/>
        <w:t>年，全国软件和信息技术 服务业完成软件业务收入</w:t>
      </w:r>
      <w:r>
        <w:rPr>
          <w:rFonts w:ascii="宋体" w:hAnsi="宋体" w:cs="宋体" w:eastAsia="宋体" w:hint="default"/>
        </w:rPr>
        <w:t>6.31</w:t>
      </w:r>
      <w:r>
        <w:rPr/>
        <w:t>万亿元，比上年增长</w:t>
      </w:r>
      <w:r>
        <w:rPr>
          <w:rFonts w:ascii="宋体" w:hAnsi="宋体" w:cs="宋体" w:eastAsia="宋体" w:hint="default"/>
        </w:rPr>
        <w:t>14.2%</w:t>
      </w:r>
      <w:r>
        <w:rPr/>
        <w:t>。</w:t>
      </w:r>
    </w:p>
    <w:p>
      <w:pPr>
        <w:pStyle w:val="BodyText"/>
        <w:spacing w:line="312" w:lineRule="exact"/>
        <w:ind w:right="1171" w:firstLine="480"/>
        <w:jc w:val="both"/>
      </w:pPr>
      <w:r>
        <w:rPr/>
        <w:t>传统</w:t>
      </w:r>
      <w:r>
        <w:rPr>
          <w:rFonts w:ascii="宋体" w:hAnsi="宋体" w:cs="宋体" w:eastAsia="宋体" w:hint="default"/>
        </w:rPr>
        <w:t>IT</w:t>
      </w:r>
      <w:r>
        <w:rPr/>
        <w:t>行业巨头纷纷进军聚焦的细分应用市场，产品或业务或将面对激烈的市场竞争风 险，国家相关政策环境对新技术、新业务的导向性风险。以及研发产品的市场推广及用户需 求的适配性风险，发展新业务需要引入高科技领军人才，而引进人才所面临的时间压力。</w:t>
      </w:r>
    </w:p>
    <w:p>
      <w:pPr>
        <w:pStyle w:val="BodyText"/>
        <w:spacing w:line="312" w:lineRule="exact"/>
        <w:ind w:right="1169" w:firstLine="480"/>
        <w:jc w:val="both"/>
      </w:pPr>
      <w:r>
        <w:rPr/>
        <w:t>应对措施：公司有着有</w:t>
      </w:r>
      <w:r>
        <w:rPr>
          <w:rFonts w:ascii="宋体" w:hAnsi="宋体" w:cs="宋体" w:eastAsia="宋体" w:hint="default"/>
        </w:rPr>
        <w:t>20</w:t>
      </w:r>
      <w:r>
        <w:rPr/>
        <w:t>年为客户提供应用和服务的经验能力，在相关行业积累了充分 的行业经验及众多的标杆案例，公司将采取积极措施，充分发挥公司已有的竞争优势，公司 将全面推动产品化发展策略，从客户角度出发，提供高客户价值、高用户体验产品，加强生 态融合，实现产品的易交付化，提高财务收益，公司将积极引进符合公司发展战略要求的行 业领军人才，通过科学的、人性化的管理机制，加速推进干部队伍和基层人才年轻化发展， 激发已有人才的潜力、创造力，公司将结合资本市场、投资等金融力量，加强战略并购与投 资，快速抢占企业服务产业版图，促进公司战略产业发展。</w:t>
      </w:r>
    </w:p>
    <w:p>
      <w:pPr>
        <w:spacing w:line="240" w:lineRule="auto" w:before="11"/>
        <w:rPr>
          <w:rFonts w:ascii="宋体" w:hAnsi="宋体" w:cs="宋体" w:eastAsia="宋体" w:hint="default"/>
          <w:sz w:val="23"/>
          <w:szCs w:val="23"/>
        </w:rPr>
      </w:pPr>
    </w:p>
    <w:p>
      <w:pPr>
        <w:spacing w:line="312" w:lineRule="exact" w:before="0"/>
        <w:ind w:left="594" w:right="1152" w:firstLine="2"/>
        <w:jc w:val="left"/>
        <w:rPr>
          <w:rFonts w:ascii="宋体" w:hAnsi="宋体" w:cs="宋体" w:eastAsia="宋体" w:hint="default"/>
          <w:sz w:val="24"/>
          <w:szCs w:val="24"/>
        </w:rPr>
      </w:pPr>
      <w:r>
        <w:rPr>
          <w:rFonts w:ascii="宋体" w:hAnsi="宋体" w:cs="宋体" w:eastAsia="宋体" w:hint="default"/>
          <w:b/>
          <w:bCs/>
          <w:sz w:val="24"/>
          <w:szCs w:val="24"/>
        </w:rPr>
        <w:t>2</w:t>
      </w:r>
      <w:r>
        <w:rPr>
          <w:rFonts w:ascii="宋体" w:hAnsi="宋体" w:cs="宋体" w:eastAsia="宋体" w:hint="default"/>
          <w:b/>
          <w:bCs/>
          <w:sz w:val="24"/>
          <w:szCs w:val="24"/>
        </w:rPr>
        <w:t>、公司战略发展的风险</w:t>
      </w:r>
      <w:r>
        <w:rPr>
          <w:rFonts w:ascii="宋体" w:hAnsi="宋体" w:cs="宋体" w:eastAsia="宋体" w:hint="default"/>
          <w:b/>
          <w:bCs/>
          <w:w w:val="99"/>
          <w:sz w:val="24"/>
          <w:szCs w:val="24"/>
        </w:rPr>
        <w:t> </w:t>
      </w:r>
      <w:r>
        <w:rPr>
          <w:rFonts w:ascii="宋体" w:hAnsi="宋体" w:cs="宋体" w:eastAsia="宋体" w:hint="default"/>
          <w:sz w:val="24"/>
          <w:szCs w:val="24"/>
        </w:rPr>
        <w:t>信息发展是一家运用大数据和区块链等技术，面向智慧食安、智慧档案、智慧司法等政</w:t>
      </w:r>
    </w:p>
    <w:p>
      <w:pPr>
        <w:pStyle w:val="BodyText"/>
        <w:spacing w:line="312" w:lineRule="exact"/>
        <w:ind w:right="1169"/>
        <w:jc w:val="both"/>
      </w:pPr>
      <w:r>
        <w:rPr/>
        <w:t>府和企业，为数字中国提供行业专有云综合解决方案的服务运营商。公司自 </w:t>
      </w:r>
      <w:r>
        <w:rPr>
          <w:rFonts w:ascii="宋体" w:hAnsi="宋体" w:cs="宋体" w:eastAsia="宋体" w:hint="default"/>
        </w:rPr>
        <w:t>2017</w:t>
      </w:r>
      <w:r>
        <w:rPr>
          <w:rFonts w:ascii="宋体" w:hAnsi="宋体" w:cs="宋体" w:eastAsia="宋体" w:hint="default"/>
          <w:spacing w:val="1"/>
        </w:rPr>
        <w:t> </w:t>
      </w:r>
      <w:r>
        <w:rPr/>
        <w:t>年年初起 从项目型销售向 </w:t>
      </w:r>
      <w:r>
        <w:rPr>
          <w:rFonts w:ascii="宋体" w:hAnsi="宋体" w:cs="宋体" w:eastAsia="宋体" w:hint="default"/>
        </w:rPr>
        <w:t>SaaS </w:t>
      </w:r>
      <w:r>
        <w:rPr/>
        <w:t>服务进行转型，积极拥抱“云计算</w:t>
      </w:r>
      <w:r>
        <w:rPr>
          <w:rFonts w:ascii="宋体" w:hAnsi="宋体" w:cs="宋体" w:eastAsia="宋体" w:hint="default"/>
        </w:rPr>
        <w:t>+</w:t>
      </w:r>
      <w:r>
        <w:rPr/>
        <w:t>大数据”的战略发展。</w:t>
      </w:r>
    </w:p>
    <w:p>
      <w:pPr>
        <w:spacing w:line="240" w:lineRule="auto" w:before="11"/>
        <w:rPr>
          <w:rFonts w:ascii="宋体" w:hAnsi="宋体" w:cs="宋体" w:eastAsia="宋体" w:hint="default"/>
          <w:sz w:val="23"/>
          <w:szCs w:val="23"/>
        </w:rPr>
      </w:pPr>
    </w:p>
    <w:p>
      <w:pPr>
        <w:spacing w:line="312" w:lineRule="exact" w:before="0"/>
        <w:ind w:left="594" w:right="1152" w:firstLine="2"/>
        <w:jc w:val="left"/>
        <w:rPr>
          <w:rFonts w:ascii="宋体" w:hAnsi="宋体" w:cs="宋体" w:eastAsia="宋体" w:hint="default"/>
          <w:sz w:val="24"/>
          <w:szCs w:val="24"/>
        </w:rPr>
      </w:pPr>
      <w:r>
        <w:rPr>
          <w:rFonts w:ascii="宋体" w:hAnsi="宋体" w:cs="宋体" w:eastAsia="宋体" w:hint="default"/>
          <w:b/>
          <w:bCs/>
          <w:sz w:val="24"/>
          <w:szCs w:val="24"/>
        </w:rPr>
        <w:t>3</w:t>
      </w:r>
      <w:r>
        <w:rPr>
          <w:rFonts w:ascii="宋体" w:hAnsi="宋体" w:cs="宋体" w:eastAsia="宋体" w:hint="default"/>
          <w:b/>
          <w:bCs/>
          <w:sz w:val="24"/>
          <w:szCs w:val="24"/>
        </w:rPr>
        <w:t>、人力成本的风险</w:t>
      </w:r>
      <w:r>
        <w:rPr>
          <w:rFonts w:ascii="宋体" w:hAnsi="宋体" w:cs="宋体" w:eastAsia="宋体" w:hint="default"/>
          <w:b/>
          <w:bCs/>
          <w:w w:val="99"/>
          <w:sz w:val="24"/>
          <w:szCs w:val="24"/>
        </w:rPr>
        <w:t> </w:t>
      </w:r>
      <w:r>
        <w:rPr>
          <w:rFonts w:ascii="宋体" w:hAnsi="宋体" w:cs="宋体" w:eastAsia="宋体" w:hint="default"/>
          <w:sz w:val="24"/>
          <w:szCs w:val="24"/>
        </w:rPr>
        <w:t>人力成本是软件企业的重要经营成本。公司为了提高核心竞争力及提升自主创新能力，</w:t>
      </w:r>
    </w:p>
    <w:p>
      <w:pPr>
        <w:pStyle w:val="BodyText"/>
        <w:spacing w:line="312" w:lineRule="exact"/>
        <w:ind w:right="1011"/>
        <w:jc w:val="left"/>
      </w:pPr>
      <w:r>
        <w:rPr>
          <w:spacing w:val="-3"/>
        </w:rPr>
        <w:t>持续加大新技术、新产品的研发投入，加大高端复合性人才的引进，进而导致人力成本增加。</w:t>
      </w:r>
      <w:r>
        <w:rPr>
          <w:spacing w:val="-81"/>
        </w:rPr>
        <w:t> </w:t>
      </w:r>
      <w:r>
        <w:rPr>
          <w:spacing w:val="-81"/>
        </w:rPr>
      </w:r>
      <w:r>
        <w:rPr/>
        <w:t>另一方面，虽然公司一直致力于不断提高产品复用率、改进软件开发项目的管理流程，提高 </w:t>
      </w:r>
      <w:r>
        <w:rPr>
          <w:spacing w:val="-3"/>
        </w:rPr>
        <w:t>开发效率，降低开发成本，并通过技术升级提升产品和服务的附加值，但是随着经济的发展、</w:t>
      </w:r>
      <w:r>
        <w:rPr>
          <w:spacing w:val="-81"/>
        </w:rPr>
        <w:t> </w:t>
      </w:r>
      <w:r>
        <w:rPr>
          <w:spacing w:val="-81"/>
        </w:rPr>
      </w:r>
      <w:r>
        <w:rPr/>
        <w:t>城市生活成本的上升、互联网新兴行业对专业人才的争夺日趋激烈，人力成本上升的趋势不 可避免。</w:t>
      </w:r>
    </w:p>
    <w:p>
      <w:pPr>
        <w:pStyle w:val="BodyText"/>
        <w:spacing w:line="312" w:lineRule="exact"/>
        <w:ind w:right="0" w:firstLine="480"/>
        <w:jc w:val="left"/>
      </w:pPr>
      <w:r>
        <w:rPr/>
        <w:t>人才是企业发展的重要战略，人才战略也是信息发展实现业绩增长的加速器，信息发展 在多年的经营发展中一直牢记并努力践行这一人才战略理念，在积累了稳定且结构合理的高 素质人才队伍同时，信息发展更注重高标准人才的选用机制建设工作，并同步引进了许多高 </w:t>
      </w:r>
      <w:r>
        <w:rPr>
          <w:spacing w:val="-3"/>
        </w:rPr>
        <w:t>端人才、领军人才来助力企业快速发展，各类人才在管理经营、新产品研发、重大项目建设、</w:t>
      </w:r>
      <w:r>
        <w:rPr>
          <w:spacing w:val="-81"/>
        </w:rPr>
        <w:t> </w:t>
      </w:r>
      <w:r>
        <w:rPr>
          <w:spacing w:val="-81"/>
        </w:rPr>
      </w:r>
      <w:r>
        <w:rPr/>
        <w:t>科技公关、前沿技术探索、云计算、人工智能、大数据研究等方面发挥了重要作用，形成了 人尽其才，才尽其用的良好人才发展环境。未来，信息发展将在创新发展过程中，积极做好 人力资源战略规划，构建人才战略版图，让人才成为企业未来发展聚力赋能的重要保障。</w:t>
      </w:r>
    </w:p>
    <w:p>
      <w:pPr>
        <w:pStyle w:val="BodyText"/>
        <w:spacing w:line="283" w:lineRule="exact"/>
        <w:ind w:right="0" w:firstLine="480"/>
        <w:jc w:val="both"/>
      </w:pPr>
      <w:r>
        <w:rPr/>
        <w:t>在注重人才引进的同时，信息发展非常重视人才培训、培养机制建设工作，信息发展鹰</w:t>
      </w:r>
    </w:p>
    <w:p>
      <w:pPr>
        <w:pStyle w:val="BodyText"/>
        <w:spacing w:line="312" w:lineRule="exact" w:before="30"/>
        <w:ind w:right="1132"/>
        <w:jc w:val="both"/>
      </w:pPr>
      <w:r>
        <w:rPr/>
        <w:t>学院是承担这一重要任务的专业内部机构。学院自成立以来，每年都以企业的战略业务发展 为导向，凭借行业资源知识的储备、严谨的管理制度、多元化的课程体系、专业的内外部精 英讲师团队、注重成果导向的教学模式，为企业持续不断的培养符合企业核心价值观的复合 </w:t>
      </w:r>
      <w:r>
        <w:rPr>
          <w:spacing w:val="-11"/>
        </w:rPr>
        <w:t>型优秀人才，并以“鹰”的成长为主线，将人才划分为“雄鹰、精鹰、飞鹰、雏鹰”，通过“历</w:t>
      </w:r>
    </w:p>
    <w:p>
      <w:pPr>
        <w:spacing w:after="0" w:line="312" w:lineRule="exact"/>
        <w:jc w:val="both"/>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240" w:lineRule="auto" w:before="26"/>
        <w:ind w:right="0"/>
        <w:jc w:val="both"/>
      </w:pPr>
      <w:r>
        <w:rPr/>
        <w:t>练”成长，最终成为企业未来发展需要的“鹰人才”和“鹰团队</w:t>
      </w:r>
      <w:r>
        <w:rPr>
          <w:spacing w:val="-120"/>
        </w:rPr>
        <w:t>”</w:t>
      </w:r>
      <w:r>
        <w:rPr/>
        <w:t>。</w:t>
      </w:r>
    </w:p>
    <w:p>
      <w:pPr>
        <w:spacing w:line="240" w:lineRule="auto" w:before="0"/>
        <w:rPr>
          <w:rFonts w:ascii="宋体" w:hAnsi="宋体" w:cs="宋体" w:eastAsia="宋体" w:hint="default"/>
          <w:sz w:val="26"/>
          <w:szCs w:val="26"/>
        </w:rPr>
      </w:pPr>
    </w:p>
    <w:p>
      <w:pPr>
        <w:spacing w:line="312" w:lineRule="exact" w:before="0"/>
        <w:ind w:left="594" w:right="1152" w:firstLine="2"/>
        <w:jc w:val="left"/>
        <w:rPr>
          <w:rFonts w:ascii="宋体" w:hAnsi="宋体" w:cs="宋体" w:eastAsia="宋体" w:hint="default"/>
          <w:sz w:val="24"/>
          <w:szCs w:val="24"/>
        </w:rPr>
      </w:pPr>
      <w:r>
        <w:rPr>
          <w:rFonts w:ascii="宋体" w:hAnsi="宋体" w:cs="宋体" w:eastAsia="宋体" w:hint="default"/>
          <w:b/>
          <w:bCs/>
          <w:sz w:val="24"/>
          <w:szCs w:val="24"/>
        </w:rPr>
        <w:t>4</w:t>
      </w:r>
      <w:r>
        <w:rPr>
          <w:rFonts w:ascii="宋体" w:hAnsi="宋体" w:cs="宋体" w:eastAsia="宋体" w:hint="default"/>
          <w:b/>
          <w:bCs/>
          <w:sz w:val="24"/>
          <w:szCs w:val="24"/>
        </w:rPr>
        <w:t>、公司营销模式转变的管理风险</w:t>
      </w:r>
      <w:r>
        <w:rPr>
          <w:rFonts w:ascii="宋体" w:hAnsi="宋体" w:cs="宋体" w:eastAsia="宋体" w:hint="default"/>
          <w:b/>
          <w:bCs/>
          <w:w w:val="99"/>
          <w:sz w:val="24"/>
          <w:szCs w:val="24"/>
        </w:rPr>
        <w:t> </w:t>
      </w:r>
      <w:r>
        <w:rPr>
          <w:rFonts w:ascii="宋体" w:hAnsi="宋体" w:cs="宋体" w:eastAsia="宋体" w:hint="default"/>
          <w:sz w:val="24"/>
          <w:szCs w:val="24"/>
        </w:rPr>
        <w:t>随着公司进入快速成长期，伴随着自身业务的成长，公司的资产、业务、机构和人员规</w:t>
      </w:r>
    </w:p>
    <w:p>
      <w:pPr>
        <w:pStyle w:val="BodyText"/>
        <w:spacing w:line="312" w:lineRule="exact"/>
        <w:ind w:right="1170"/>
        <w:jc w:val="both"/>
      </w:pPr>
      <w:r>
        <w:rPr/>
        <w:t>模等将进一步扩张，公司的组织结构和管理体系日益复杂，公司将在制度建设、组织设置、 运营管理、资金管理和内部控制等方面面临更大的挑战，这些都对公司的管理层提出了更高 的要求。为此公司设立了业务管控中心，为公司三大行业的主营业务向纵深发展创造了有利 条件，也为公司的快速发展奠定了良好的基础。</w:t>
      </w:r>
    </w:p>
    <w:p>
      <w:pPr>
        <w:pStyle w:val="BodyText"/>
        <w:spacing w:line="312" w:lineRule="exact"/>
        <w:ind w:right="1169" w:firstLine="480"/>
        <w:jc w:val="both"/>
      </w:pPr>
      <w:r>
        <w:rPr/>
        <w:t>虽然公司已形成一支稳定、进取、涵盖多方面人才的核心管理团队，基本建立了完善的 法人治理结构，同时在过去的经营实践中公司的管理层在管理快速成长的企业方面已经积累 了一定的经验，并根据实际经营需要不断优化组织架构以提高企业运营效率，但公司仍可能 存在未能及时调整原有运营管理体系和模式，未能迅速建立起适应资本市场要求和公司业务 发展需要的运作机制并有效运行，从而影响公司经营业绩的风险。</w:t>
      </w:r>
    </w:p>
    <w:p>
      <w:pPr>
        <w:spacing w:line="240" w:lineRule="auto" w:before="11"/>
        <w:rPr>
          <w:rFonts w:ascii="宋体" w:hAnsi="宋体" w:cs="宋体" w:eastAsia="宋体" w:hint="default"/>
          <w:sz w:val="23"/>
          <w:szCs w:val="23"/>
        </w:rPr>
      </w:pPr>
    </w:p>
    <w:p>
      <w:pPr>
        <w:spacing w:line="312" w:lineRule="exact" w:before="0"/>
        <w:ind w:left="594" w:right="1152" w:firstLine="2"/>
        <w:jc w:val="left"/>
        <w:rPr>
          <w:rFonts w:ascii="宋体" w:hAnsi="宋体" w:cs="宋体" w:eastAsia="宋体" w:hint="default"/>
          <w:sz w:val="24"/>
          <w:szCs w:val="24"/>
        </w:rPr>
      </w:pPr>
      <w:r>
        <w:rPr>
          <w:rFonts w:ascii="宋体" w:hAnsi="宋体" w:cs="宋体" w:eastAsia="宋体" w:hint="default"/>
          <w:b/>
          <w:bCs/>
          <w:sz w:val="24"/>
          <w:szCs w:val="24"/>
        </w:rPr>
        <w:t>5</w:t>
      </w:r>
      <w:r>
        <w:rPr>
          <w:rFonts w:ascii="宋体" w:hAnsi="宋体" w:cs="宋体" w:eastAsia="宋体" w:hint="default"/>
          <w:b/>
          <w:bCs/>
          <w:sz w:val="24"/>
          <w:szCs w:val="24"/>
        </w:rPr>
        <w:t>、技术创新的风险</w:t>
      </w:r>
      <w:r>
        <w:rPr>
          <w:rFonts w:ascii="宋体" w:hAnsi="宋体" w:cs="宋体" w:eastAsia="宋体" w:hint="default"/>
          <w:b/>
          <w:bCs/>
          <w:w w:val="99"/>
          <w:sz w:val="24"/>
          <w:szCs w:val="24"/>
        </w:rPr>
        <w:t> </w:t>
      </w:r>
      <w:r>
        <w:rPr>
          <w:rFonts w:ascii="宋体" w:hAnsi="宋体" w:cs="宋体" w:eastAsia="宋体" w:hint="default"/>
          <w:sz w:val="24"/>
          <w:szCs w:val="24"/>
        </w:rPr>
        <w:t>伴随云计算、大数据、物联网、人工智能、区块链等创新技术的发展，公司所从事的智</w:t>
      </w:r>
    </w:p>
    <w:p>
      <w:pPr>
        <w:pStyle w:val="BodyText"/>
        <w:spacing w:line="312" w:lineRule="exact"/>
        <w:ind w:right="994"/>
        <w:jc w:val="left"/>
      </w:pPr>
      <w:r>
        <w:rPr/>
        <w:t>慧食安、智慧档案、智慧司法等领域的信息化面临前所未有的发展机遇，如公司能够正确判 </w:t>
      </w:r>
      <w:r>
        <w:rPr>
          <w:spacing w:val="-2"/>
        </w:rPr>
        <w:t>断并把握市场机会，全面了解业内技术发展的最新趋势，准确无误进行新产品和技术的创新，</w:t>
      </w:r>
      <w:r>
        <w:rPr/>
        <w:t> 则能更好地满足客户不断升级的需求，实现飞跃式发展。公司上市之后围绕行业发展趋势， 投入大量人力、物力、财力用于新产品、新技术、新业务的研发与孵化。但是，由于信息化 技术发展日新月异，产品迭代周期不断缩短，用户对产品的技术要求也不断提高。若公司对 技术、产品和市场的发展趋势不能正确判断和预测，对行业关键技术发展方向的选择出现偏</w:t>
      </w:r>
    </w:p>
    <w:p>
      <w:pPr>
        <w:pStyle w:val="BodyText"/>
        <w:spacing w:line="312" w:lineRule="exact"/>
        <w:ind w:right="1170"/>
        <w:jc w:val="both"/>
      </w:pPr>
      <w:r>
        <w:rPr/>
        <w:t>差，对客户的需求动态不能及时掌握，不能及时调整技术路线和产品定位，或是新技术、新 产品不能迅速推广应用，可能使公司丧失技术和市场的领先地位，从而对公司的经营业绩带 来负面影响。</w:t>
      </w:r>
    </w:p>
    <w:p>
      <w:pPr>
        <w:spacing w:line="240" w:lineRule="auto" w:before="6"/>
        <w:rPr>
          <w:rFonts w:ascii="宋体" w:hAnsi="宋体" w:cs="宋体" w:eastAsia="宋体" w:hint="default"/>
          <w:sz w:val="21"/>
          <w:szCs w:val="21"/>
        </w:rPr>
      </w:pPr>
    </w:p>
    <w:p>
      <w:pPr>
        <w:pStyle w:val="Heading4"/>
        <w:spacing w:line="240" w:lineRule="auto"/>
        <w:ind w:left="596" w:right="0"/>
        <w:jc w:val="left"/>
        <w:rPr>
          <w:b w:val="0"/>
          <w:bCs w:val="0"/>
        </w:rPr>
      </w:pPr>
      <w:r>
        <w:rPr>
          <w:rFonts w:ascii="宋体" w:hAnsi="宋体" w:cs="宋体" w:eastAsia="宋体" w:hint="default"/>
        </w:rPr>
        <w:t>6</w:t>
      </w:r>
      <w:r>
        <w:rPr/>
        <w:t>、应收账款无法收回的风险</w:t>
      </w:r>
      <w:r>
        <w:rPr>
          <w:b w:val="0"/>
          <w:bCs w:val="0"/>
        </w:rPr>
      </w:r>
    </w:p>
    <w:p>
      <w:pPr>
        <w:pStyle w:val="BodyText"/>
        <w:spacing w:line="237" w:lineRule="auto" w:before="41"/>
        <w:ind w:right="1132" w:firstLine="480"/>
        <w:jc w:val="both"/>
      </w:pP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日，公司应收账款净额为</w:t>
      </w:r>
      <w:r>
        <w:rPr>
          <w:rFonts w:ascii="宋体" w:hAnsi="宋体" w:cs="宋体" w:eastAsia="宋体" w:hint="default"/>
        </w:rPr>
        <w:t>354,806,506.77</w:t>
      </w:r>
      <w:r>
        <w:rPr/>
        <w:t>元。公司应收账款的主要客户为 政府机关、事业单位和规模较大的企业集团，一般情况下，政府机关及事业单位客户信誉度 高，规模较大的企业集团客户资本实力较强，资金回收较为可靠，且公司历史上也没有发生 过重大坏账损失，同时公司本着谨慎性原则对应收账款提取了坏账准备。但是，政府客户对 规模和金额较大项目的结算，通常付款相对审慎，所涉及的审批部门较多，支付审核流程周 期的耗时较长，若客户在政策环境等方面发生重大不利变化，公司应收账款仍存在发生坏账</w:t>
      </w:r>
      <w:r>
        <w:rPr>
          <w:spacing w:val="-112"/>
        </w:rPr>
        <w:t> </w:t>
      </w:r>
      <w:r>
        <w:rPr>
          <w:spacing w:val="-112"/>
        </w:rPr>
      </w:r>
      <w:r>
        <w:rPr/>
        <w:t>的风险，对公司资产质量以及财务状况将产生不利影响。</w:t>
      </w:r>
    </w:p>
    <w:p>
      <w:pPr>
        <w:spacing w:line="240" w:lineRule="auto" w:before="12"/>
        <w:rPr>
          <w:rFonts w:ascii="宋体" w:hAnsi="宋体" w:cs="宋体" w:eastAsia="宋体" w:hint="default"/>
          <w:sz w:val="22"/>
          <w:szCs w:val="22"/>
        </w:rPr>
      </w:pPr>
    </w:p>
    <w:p>
      <w:pPr>
        <w:pStyle w:val="Heading4"/>
        <w:spacing w:line="240" w:lineRule="auto"/>
        <w:ind w:right="0"/>
        <w:jc w:val="both"/>
        <w:rPr>
          <w:b w:val="0"/>
          <w:bCs w:val="0"/>
        </w:rPr>
      </w:pPr>
      <w:bookmarkStart w:name="二、主营业务分析" w:id="24"/>
      <w:bookmarkEnd w:id="24"/>
      <w:r>
        <w:rPr>
          <w:b w:val="0"/>
          <w:bCs w:val="0"/>
        </w:rPr>
      </w:r>
      <w:r>
        <w:rPr/>
        <w:t>二、主营业务分析</w:t>
      </w:r>
      <w:r>
        <w:rPr>
          <w:b w:val="0"/>
          <w:bCs w:val="0"/>
        </w:rPr>
      </w:r>
    </w:p>
    <w:p>
      <w:pPr>
        <w:spacing w:line="240" w:lineRule="auto" w:before="8"/>
        <w:rPr>
          <w:rFonts w:ascii="宋体" w:hAnsi="宋体" w:cs="宋体" w:eastAsia="宋体" w:hint="default"/>
          <w:b/>
          <w:bCs/>
          <w:sz w:val="24"/>
          <w:szCs w:val="24"/>
        </w:rPr>
      </w:pPr>
    </w:p>
    <w:p>
      <w:pPr>
        <w:spacing w:before="0"/>
        <w:ind w:left="114" w:right="0" w:firstLine="0"/>
        <w:jc w:val="both"/>
        <w:rPr>
          <w:rFonts w:ascii="宋体" w:hAnsi="宋体" w:cs="宋体" w:eastAsia="宋体" w:hint="default"/>
          <w:sz w:val="21"/>
          <w:szCs w:val="21"/>
        </w:rPr>
      </w:pPr>
      <w:bookmarkStart w:name="1、概述" w:id="25"/>
      <w:bookmarkEnd w:id="25"/>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、概述</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both"/>
        <w:rPr>
          <w:rFonts w:ascii="宋体" w:hAnsi="宋体" w:cs="宋体" w:eastAsia="宋体" w:hint="default"/>
          <w:sz w:val="18"/>
          <w:szCs w:val="18"/>
        </w:rPr>
      </w:pPr>
      <w:r>
        <w:rPr>
          <w:rFonts w:ascii="宋体" w:hAnsi="宋体" w:cs="宋体" w:eastAsia="宋体" w:hint="default"/>
          <w:sz w:val="18"/>
          <w:szCs w:val="18"/>
        </w:rPr>
        <w:t>参见“经营情况讨论与分析”中的“一、概述”相关内容。</w:t>
      </w:r>
    </w:p>
    <w:p>
      <w:pPr>
        <w:spacing w:after="0"/>
        <w:jc w:val="both"/>
        <w:rPr>
          <w:rFonts w:ascii="宋体" w:hAnsi="宋体" w:cs="宋体" w:eastAsia="宋体" w:hint="default"/>
          <w:sz w:val="18"/>
          <w:szCs w:val="18"/>
        </w:rPr>
        <w:sectPr>
          <w:pgSz w:w="11910" w:h="16840"/>
          <w:pgMar w:header="822" w:footer="1019"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2、收入与成本" w:id="26"/>
      <w:bookmarkEnd w:id="26"/>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、收入与成本</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营业收入构成" w:id="27"/>
      <w:bookmarkEnd w:id="2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）营业收入构成</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57" w:lineRule="auto" w:before="0"/>
        <w:ind w:left="114" w:right="6972" w:firstLine="0"/>
        <w:jc w:val="left"/>
        <w:rPr>
          <w:rFonts w:ascii="宋体" w:hAnsi="宋体" w:cs="宋体" w:eastAsia="宋体" w:hint="default"/>
          <w:sz w:val="18"/>
          <w:szCs w:val="18"/>
        </w:rPr>
      </w:pPr>
      <w:r>
        <w:rPr>
          <w:rFonts w:ascii="宋体" w:hAnsi="宋体" w:cs="宋体" w:eastAsia="宋体" w:hint="default"/>
          <w:sz w:val="18"/>
          <w:szCs w:val="18"/>
        </w:rPr>
        <w:t>公司是否需要遵守光伏产业链相关业的披露要求 否</w:t>
      </w:r>
    </w:p>
    <w:p>
      <w:pPr>
        <w:spacing w:line="338" w:lineRule="auto" w:before="29"/>
        <w:ind w:left="114" w:right="1393"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号——上市公司从事广播电影电视业务》的披露要求： 否</w:t>
      </w:r>
    </w:p>
    <w:p>
      <w:pPr>
        <w:spacing w:line="340" w:lineRule="auto" w:before="42"/>
        <w:ind w:left="114" w:right="1573"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号——上市公司从事互联网游戏业务》的披露要求： 否</w:t>
      </w:r>
    </w:p>
    <w:p>
      <w:pPr>
        <w:spacing w:line="338" w:lineRule="auto" w:before="40"/>
        <w:ind w:left="114" w:right="1135"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LED</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产业链相关业务》的披露要求： 否</w:t>
      </w:r>
    </w:p>
    <w:p>
      <w:pPr>
        <w:spacing w:line="338" w:lineRule="auto" w:before="43"/>
        <w:ind w:left="114" w:right="1663"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号——上市公司从事医疗器械业务》的披露要求： 否</w:t>
      </w:r>
    </w:p>
    <w:p>
      <w:pPr>
        <w:spacing w:line="340" w:lineRule="auto" w:before="42"/>
        <w:ind w:left="114" w:right="1663"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号——上市公司从软件与信息技术服务业务》的披露要求 是</w:t>
      </w:r>
    </w:p>
    <w:p>
      <w:pPr>
        <w:spacing w:before="4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18"/>
        <w:gridCol w:w="1008"/>
        <w:gridCol w:w="1010"/>
        <w:gridCol w:w="1011"/>
        <w:gridCol w:w="1012"/>
        <w:gridCol w:w="1003"/>
        <w:gridCol w:w="1005"/>
        <w:gridCol w:w="1002"/>
        <w:gridCol w:w="1002"/>
      </w:tblGrid>
      <w:tr>
        <w:trPr>
          <w:trHeight w:val="402" w:hRule="exact"/>
        </w:trPr>
        <w:tc>
          <w:tcPr>
            <w:tcW w:w="1518" w:type="dxa"/>
            <w:vMerge w:val="restart"/>
            <w:tcBorders>
              <w:top w:val="single" w:sz="4" w:space="0" w:color="000000"/>
              <w:left w:val="single" w:sz="4" w:space="0" w:color="000000"/>
              <w:right w:val="single" w:sz="4" w:space="0" w:color="000000"/>
            </w:tcBorders>
            <w:shd w:val="clear" w:color="auto" w:fill="D2D2D2"/>
          </w:tcPr>
          <w:p>
            <w:pPr/>
          </w:p>
        </w:tc>
        <w:tc>
          <w:tcPr>
            <w:tcW w:w="4041"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c>
          <w:tcPr>
            <w:tcW w:w="4012"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r>
          </w:p>
        </w:tc>
      </w:tr>
      <w:tr>
        <w:trPr>
          <w:trHeight w:val="401" w:hRule="exact"/>
        </w:trPr>
        <w:tc>
          <w:tcPr>
            <w:tcW w:w="1518" w:type="dxa"/>
            <w:vMerge/>
            <w:tcBorders>
              <w:left w:val="single" w:sz="4" w:space="0" w:color="000000"/>
              <w:bottom w:val="single" w:sz="4" w:space="0" w:color="000000"/>
              <w:right w:val="single" w:sz="4" w:space="0" w:color="000000"/>
            </w:tcBorders>
            <w:shd w:val="clear" w:color="auto" w:fill="D2D2D2"/>
          </w:tcPr>
          <w:p>
            <w:pPr/>
          </w:p>
        </w:tc>
        <w:tc>
          <w:tcPr>
            <w:tcW w:w="10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9"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01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40"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01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40"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0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40" w:right="0"/>
              <w:jc w:val="left"/>
              <w:rPr>
                <w:rFonts w:ascii="宋体" w:hAnsi="宋体" w:cs="宋体" w:eastAsia="宋体" w:hint="default"/>
                <w:sz w:val="18"/>
                <w:szCs w:val="18"/>
              </w:rPr>
            </w:pPr>
            <w:r>
              <w:rPr>
                <w:rFonts w:ascii="宋体" w:hAnsi="宋体" w:cs="宋体" w:eastAsia="宋体" w:hint="default"/>
                <w:sz w:val="18"/>
                <w:szCs w:val="18"/>
              </w:rPr>
              <w:t>第四季度</w:t>
            </w:r>
          </w:p>
        </w:tc>
        <w:tc>
          <w:tcPr>
            <w:tcW w:w="10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6" w:right="0"/>
              <w:jc w:val="left"/>
              <w:rPr>
                <w:rFonts w:ascii="宋体" w:hAnsi="宋体" w:cs="宋体" w:eastAsia="宋体" w:hint="default"/>
                <w:sz w:val="18"/>
                <w:szCs w:val="18"/>
              </w:rPr>
            </w:pPr>
            <w:r>
              <w:rPr>
                <w:rFonts w:ascii="宋体" w:hAnsi="宋体" w:cs="宋体" w:eastAsia="宋体" w:hint="default"/>
                <w:sz w:val="18"/>
                <w:szCs w:val="18"/>
              </w:rPr>
              <w:t>第一季度</w:t>
            </w:r>
          </w:p>
        </w:tc>
        <w:tc>
          <w:tcPr>
            <w:tcW w:w="100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6" w:right="0"/>
              <w:jc w:val="left"/>
              <w:rPr>
                <w:rFonts w:ascii="宋体" w:hAnsi="宋体" w:cs="宋体" w:eastAsia="宋体" w:hint="default"/>
                <w:sz w:val="18"/>
                <w:szCs w:val="18"/>
              </w:rPr>
            </w:pPr>
            <w:r>
              <w:rPr>
                <w:rFonts w:ascii="宋体" w:hAnsi="宋体" w:cs="宋体" w:eastAsia="宋体" w:hint="default"/>
                <w:sz w:val="18"/>
                <w:szCs w:val="18"/>
              </w:rPr>
              <w:t>第二季度</w:t>
            </w:r>
          </w:p>
        </w:tc>
        <w:tc>
          <w:tcPr>
            <w:tcW w:w="10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5" w:right="0"/>
              <w:jc w:val="left"/>
              <w:rPr>
                <w:rFonts w:ascii="宋体" w:hAnsi="宋体" w:cs="宋体" w:eastAsia="宋体" w:hint="default"/>
                <w:sz w:val="18"/>
                <w:szCs w:val="18"/>
              </w:rPr>
            </w:pPr>
            <w:r>
              <w:rPr>
                <w:rFonts w:ascii="宋体" w:hAnsi="宋体" w:cs="宋体" w:eastAsia="宋体" w:hint="default"/>
                <w:sz w:val="18"/>
                <w:szCs w:val="18"/>
              </w:rPr>
              <w:t>第三季度</w:t>
            </w:r>
          </w:p>
        </w:tc>
        <w:tc>
          <w:tcPr>
            <w:tcW w:w="10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35" w:right="0"/>
              <w:jc w:val="left"/>
              <w:rPr>
                <w:rFonts w:ascii="宋体" w:hAnsi="宋体" w:cs="宋体" w:eastAsia="宋体" w:hint="default"/>
                <w:sz w:val="18"/>
                <w:szCs w:val="18"/>
              </w:rPr>
            </w:pPr>
            <w:r>
              <w:rPr>
                <w:rFonts w:ascii="宋体" w:hAnsi="宋体" w:cs="宋体" w:eastAsia="宋体" w:hint="default"/>
                <w:sz w:val="18"/>
                <w:szCs w:val="18"/>
              </w:rPr>
              <w:t>第四季度</w:t>
            </w:r>
          </w:p>
        </w:tc>
      </w:tr>
      <w:tr>
        <w:trPr>
          <w:trHeight w:val="714" w:hRule="exact"/>
        </w:trPr>
        <w:tc>
          <w:tcPr>
            <w:tcW w:w="15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5" w:right="0"/>
              <w:jc w:val="left"/>
              <w:rPr>
                <w:rFonts w:ascii="Times New Roman" w:hAnsi="Times New Roman" w:cs="Times New Roman" w:eastAsia="Times New Roman" w:hint="default"/>
                <w:sz w:val="18"/>
                <w:szCs w:val="18"/>
              </w:rPr>
            </w:pPr>
            <w:r>
              <w:rPr>
                <w:rFonts w:ascii="Times New Roman"/>
                <w:sz w:val="18"/>
              </w:rPr>
              <w:t>43,818,94</w:t>
            </w:r>
          </w:p>
          <w:p>
            <w:pPr>
              <w:pStyle w:val="TableParagraph"/>
              <w:spacing w:line="240" w:lineRule="auto" w:before="105"/>
              <w:ind w:left="580" w:right="0"/>
              <w:jc w:val="left"/>
              <w:rPr>
                <w:rFonts w:ascii="Times New Roman" w:hAnsi="Times New Roman" w:cs="Times New Roman" w:eastAsia="Times New Roman" w:hint="default"/>
                <w:sz w:val="18"/>
                <w:szCs w:val="18"/>
              </w:rPr>
            </w:pPr>
            <w:r>
              <w:rPr>
                <w:rFonts w:ascii="Times New Roman"/>
                <w:sz w:val="18"/>
              </w:rPr>
              <w:t>6.39</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7" w:right="0"/>
              <w:jc w:val="left"/>
              <w:rPr>
                <w:rFonts w:ascii="Times New Roman" w:hAnsi="Times New Roman" w:cs="Times New Roman" w:eastAsia="Times New Roman" w:hint="default"/>
                <w:sz w:val="18"/>
                <w:szCs w:val="18"/>
              </w:rPr>
            </w:pPr>
            <w:r>
              <w:rPr>
                <w:rFonts w:ascii="Times New Roman"/>
                <w:sz w:val="18"/>
              </w:rPr>
              <w:t>192,193,1</w:t>
            </w:r>
          </w:p>
          <w:p>
            <w:pPr>
              <w:pStyle w:val="TableParagraph"/>
              <w:spacing w:line="240" w:lineRule="auto" w:before="105"/>
              <w:ind w:left="493" w:right="0"/>
              <w:jc w:val="left"/>
              <w:rPr>
                <w:rFonts w:ascii="Times New Roman" w:hAnsi="Times New Roman" w:cs="Times New Roman" w:eastAsia="Times New Roman" w:hint="default"/>
                <w:sz w:val="18"/>
                <w:szCs w:val="18"/>
              </w:rPr>
            </w:pPr>
            <w:r>
              <w:rPr>
                <w:rFonts w:ascii="Times New Roman"/>
                <w:sz w:val="18"/>
              </w:rPr>
              <w:t>44.76</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85" w:right="0"/>
              <w:jc w:val="left"/>
              <w:rPr>
                <w:rFonts w:ascii="Times New Roman" w:hAnsi="Times New Roman" w:cs="Times New Roman" w:eastAsia="Times New Roman" w:hint="default"/>
                <w:sz w:val="18"/>
                <w:szCs w:val="18"/>
              </w:rPr>
            </w:pPr>
            <w:r>
              <w:rPr>
                <w:rFonts w:ascii="Times New Roman"/>
                <w:sz w:val="18"/>
              </w:rPr>
              <w:t>133,112,3</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77.46</w:t>
            </w:r>
          </w:p>
        </w:tc>
        <w:tc>
          <w:tcPr>
            <w:tcW w:w="1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8" w:right="0"/>
              <w:jc w:val="left"/>
              <w:rPr>
                <w:rFonts w:ascii="Times New Roman" w:hAnsi="Times New Roman" w:cs="Times New Roman" w:eastAsia="Times New Roman" w:hint="default"/>
                <w:sz w:val="18"/>
                <w:szCs w:val="18"/>
              </w:rPr>
            </w:pPr>
            <w:r>
              <w:rPr>
                <w:rFonts w:ascii="Times New Roman"/>
                <w:sz w:val="18"/>
              </w:rPr>
              <w:t>337,815,5</w:t>
            </w:r>
          </w:p>
          <w:p>
            <w:pPr>
              <w:pStyle w:val="TableParagraph"/>
              <w:spacing w:line="240" w:lineRule="auto" w:before="105"/>
              <w:ind w:left="494" w:right="0"/>
              <w:jc w:val="left"/>
              <w:rPr>
                <w:rFonts w:ascii="Times New Roman" w:hAnsi="Times New Roman" w:cs="Times New Roman" w:eastAsia="Times New Roman" w:hint="default"/>
                <w:sz w:val="18"/>
                <w:szCs w:val="18"/>
              </w:rPr>
            </w:pPr>
            <w:r>
              <w:rPr>
                <w:rFonts w:ascii="Times New Roman"/>
                <w:sz w:val="18"/>
              </w:rPr>
              <w:t>94.92</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1" w:right="0"/>
              <w:jc w:val="left"/>
              <w:rPr>
                <w:rFonts w:ascii="Times New Roman" w:hAnsi="Times New Roman" w:cs="Times New Roman" w:eastAsia="Times New Roman" w:hint="default"/>
                <w:sz w:val="18"/>
                <w:szCs w:val="18"/>
              </w:rPr>
            </w:pPr>
            <w:r>
              <w:rPr>
                <w:rFonts w:ascii="Times New Roman"/>
                <w:sz w:val="18"/>
              </w:rPr>
              <w:t>48,263,20</w:t>
            </w:r>
          </w:p>
          <w:p>
            <w:pPr>
              <w:pStyle w:val="TableParagraph"/>
              <w:spacing w:line="240" w:lineRule="auto" w:before="105"/>
              <w:ind w:left="577" w:right="0"/>
              <w:jc w:val="left"/>
              <w:rPr>
                <w:rFonts w:ascii="Times New Roman" w:hAnsi="Times New Roman" w:cs="Times New Roman" w:eastAsia="Times New Roman" w:hint="default"/>
                <w:sz w:val="18"/>
                <w:szCs w:val="18"/>
              </w:rPr>
            </w:pPr>
            <w:r>
              <w:rPr>
                <w:rFonts w:ascii="Times New Roman"/>
                <w:sz w:val="18"/>
              </w:rPr>
              <w:t>2.21</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1" w:right="0"/>
              <w:jc w:val="left"/>
              <w:rPr>
                <w:rFonts w:ascii="Times New Roman" w:hAnsi="Times New Roman" w:cs="Times New Roman" w:eastAsia="Times New Roman" w:hint="default"/>
                <w:sz w:val="18"/>
                <w:szCs w:val="18"/>
              </w:rPr>
            </w:pPr>
            <w:r>
              <w:rPr>
                <w:rFonts w:ascii="Times New Roman"/>
                <w:sz w:val="18"/>
              </w:rPr>
              <w:t>163,268,2</w:t>
            </w:r>
          </w:p>
          <w:p>
            <w:pPr>
              <w:pStyle w:val="TableParagraph"/>
              <w:spacing w:line="240" w:lineRule="auto" w:before="105"/>
              <w:ind w:left="487" w:right="0"/>
              <w:jc w:val="left"/>
              <w:rPr>
                <w:rFonts w:ascii="Times New Roman" w:hAnsi="Times New Roman" w:cs="Times New Roman" w:eastAsia="Times New Roman" w:hint="default"/>
                <w:sz w:val="18"/>
                <w:szCs w:val="18"/>
              </w:rPr>
            </w:pPr>
            <w:r>
              <w:rPr>
                <w:rFonts w:ascii="Times New Roman"/>
                <w:sz w:val="18"/>
              </w:rPr>
              <w:t>70.70</w:t>
            </w: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9" w:right="0"/>
              <w:jc w:val="left"/>
              <w:rPr>
                <w:rFonts w:ascii="Times New Roman" w:hAnsi="Times New Roman" w:cs="Times New Roman" w:eastAsia="Times New Roman" w:hint="default"/>
                <w:sz w:val="18"/>
                <w:szCs w:val="18"/>
              </w:rPr>
            </w:pPr>
            <w:r>
              <w:rPr>
                <w:rFonts w:ascii="Times New Roman"/>
                <w:sz w:val="18"/>
              </w:rPr>
              <w:t>134,458,7</w:t>
            </w:r>
          </w:p>
          <w:p>
            <w:pPr>
              <w:pStyle w:val="TableParagraph"/>
              <w:spacing w:line="240" w:lineRule="auto" w:before="105"/>
              <w:ind w:left="484" w:right="0"/>
              <w:jc w:val="left"/>
              <w:rPr>
                <w:rFonts w:ascii="Times New Roman" w:hAnsi="Times New Roman" w:cs="Times New Roman" w:eastAsia="Times New Roman" w:hint="default"/>
                <w:sz w:val="18"/>
                <w:szCs w:val="18"/>
              </w:rPr>
            </w:pPr>
            <w:r>
              <w:rPr>
                <w:rFonts w:ascii="Times New Roman"/>
                <w:sz w:val="18"/>
              </w:rPr>
              <w:t>58.67</w:t>
            </w: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9" w:right="0"/>
              <w:jc w:val="left"/>
              <w:rPr>
                <w:rFonts w:ascii="Times New Roman" w:hAnsi="Times New Roman" w:cs="Times New Roman" w:eastAsia="Times New Roman" w:hint="default"/>
                <w:sz w:val="18"/>
                <w:szCs w:val="18"/>
              </w:rPr>
            </w:pPr>
            <w:r>
              <w:rPr>
                <w:rFonts w:ascii="Times New Roman"/>
                <w:sz w:val="18"/>
              </w:rPr>
              <w:t>218,303,3</w:t>
            </w:r>
          </w:p>
          <w:p>
            <w:pPr>
              <w:pStyle w:val="TableParagraph"/>
              <w:spacing w:line="240" w:lineRule="auto" w:before="105"/>
              <w:ind w:left="484" w:right="0"/>
              <w:jc w:val="left"/>
              <w:rPr>
                <w:rFonts w:ascii="Times New Roman" w:hAnsi="Times New Roman" w:cs="Times New Roman" w:eastAsia="Times New Roman" w:hint="default"/>
                <w:sz w:val="18"/>
                <w:szCs w:val="18"/>
              </w:rPr>
            </w:pPr>
            <w:r>
              <w:rPr>
                <w:rFonts w:ascii="Times New Roman"/>
                <w:sz w:val="18"/>
              </w:rPr>
              <w:t>47.10</w:t>
            </w:r>
          </w:p>
        </w:tc>
      </w:tr>
      <w:tr>
        <w:trPr>
          <w:trHeight w:val="715" w:hRule="exact"/>
        </w:trPr>
        <w:tc>
          <w:tcPr>
            <w:tcW w:w="15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43"/>
              <w:jc w:val="left"/>
              <w:rPr>
                <w:rFonts w:ascii="宋体" w:hAnsi="宋体" w:cs="宋体" w:eastAsia="宋体" w:hint="default"/>
                <w:sz w:val="18"/>
                <w:szCs w:val="18"/>
              </w:rPr>
            </w:pPr>
            <w:r>
              <w:rPr>
                <w:rFonts w:ascii="宋体" w:hAnsi="宋体" w:cs="宋体" w:eastAsia="宋体" w:hint="default"/>
                <w:sz w:val="18"/>
                <w:szCs w:val="18"/>
              </w:rPr>
              <w:t>归属于上市公司 股东的净利润</w:t>
            </w:r>
          </w:p>
        </w:tc>
        <w:tc>
          <w:tcPr>
            <w:tcW w:w="10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5" w:right="0"/>
              <w:jc w:val="left"/>
              <w:rPr>
                <w:rFonts w:ascii="Times New Roman" w:hAnsi="Times New Roman" w:cs="Times New Roman" w:eastAsia="Times New Roman" w:hint="default"/>
                <w:sz w:val="18"/>
                <w:szCs w:val="18"/>
              </w:rPr>
            </w:pPr>
            <w:r>
              <w:rPr>
                <w:rFonts w:ascii="Times New Roman"/>
                <w:sz w:val="18"/>
              </w:rPr>
              <w:t>-18,238,78</w:t>
            </w:r>
          </w:p>
          <w:p>
            <w:pPr>
              <w:pStyle w:val="TableParagraph"/>
              <w:spacing w:line="240" w:lineRule="auto" w:before="105"/>
              <w:ind w:left="580" w:right="0"/>
              <w:jc w:val="left"/>
              <w:rPr>
                <w:rFonts w:ascii="Times New Roman" w:hAnsi="Times New Roman" w:cs="Times New Roman" w:eastAsia="Times New Roman" w:hint="default"/>
                <w:sz w:val="18"/>
                <w:szCs w:val="18"/>
              </w:rPr>
            </w:pPr>
            <w:r>
              <w:rPr>
                <w:rFonts w:ascii="Times New Roman"/>
                <w:sz w:val="18"/>
              </w:rPr>
              <w:t>5.15</w:t>
            </w:r>
          </w:p>
        </w:tc>
        <w:tc>
          <w:tcPr>
            <w:tcW w:w="10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7" w:right="0"/>
              <w:jc w:val="left"/>
              <w:rPr>
                <w:rFonts w:ascii="Times New Roman" w:hAnsi="Times New Roman" w:cs="Times New Roman" w:eastAsia="Times New Roman" w:hint="default"/>
                <w:sz w:val="18"/>
                <w:szCs w:val="18"/>
              </w:rPr>
            </w:pPr>
            <w:r>
              <w:rPr>
                <w:rFonts w:ascii="Times New Roman"/>
                <w:sz w:val="18"/>
              </w:rPr>
              <w:t>16,454,88</w:t>
            </w:r>
          </w:p>
          <w:p>
            <w:pPr>
              <w:pStyle w:val="TableParagraph"/>
              <w:spacing w:line="240" w:lineRule="auto" w:before="105"/>
              <w:ind w:left="583" w:right="0"/>
              <w:jc w:val="left"/>
              <w:rPr>
                <w:rFonts w:ascii="Times New Roman" w:hAnsi="Times New Roman" w:cs="Times New Roman" w:eastAsia="Times New Roman" w:hint="default"/>
                <w:sz w:val="18"/>
                <w:szCs w:val="18"/>
              </w:rPr>
            </w:pPr>
            <w:r>
              <w:rPr>
                <w:rFonts w:ascii="Times New Roman"/>
                <w:sz w:val="18"/>
              </w:rPr>
              <w:t>9.96</w:t>
            </w:r>
          </w:p>
        </w:tc>
        <w:tc>
          <w:tcPr>
            <w:tcW w:w="10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9,079,083.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12</w:t>
            </w:r>
          </w:p>
        </w:tc>
        <w:tc>
          <w:tcPr>
            <w:tcW w:w="10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8" w:right="0"/>
              <w:jc w:val="left"/>
              <w:rPr>
                <w:rFonts w:ascii="Times New Roman" w:hAnsi="Times New Roman" w:cs="Times New Roman" w:eastAsia="Times New Roman" w:hint="default"/>
                <w:sz w:val="18"/>
                <w:szCs w:val="18"/>
              </w:rPr>
            </w:pPr>
            <w:r>
              <w:rPr>
                <w:rFonts w:ascii="Times New Roman"/>
                <w:sz w:val="18"/>
              </w:rPr>
              <w:t>37,508,02</w:t>
            </w:r>
          </w:p>
          <w:p>
            <w:pPr>
              <w:pStyle w:val="TableParagraph"/>
              <w:spacing w:line="240" w:lineRule="auto" w:before="105"/>
              <w:ind w:left="584" w:right="0"/>
              <w:jc w:val="left"/>
              <w:rPr>
                <w:rFonts w:ascii="Times New Roman" w:hAnsi="Times New Roman" w:cs="Times New Roman" w:eastAsia="Times New Roman" w:hint="default"/>
                <w:sz w:val="18"/>
                <w:szCs w:val="18"/>
              </w:rPr>
            </w:pPr>
            <w:r>
              <w:rPr>
                <w:rFonts w:ascii="Times New Roman"/>
                <w:sz w:val="18"/>
              </w:rPr>
              <w:t>6.20</w:t>
            </w:r>
          </w:p>
        </w:tc>
        <w:tc>
          <w:tcPr>
            <w:tcW w:w="100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1" w:right="0"/>
              <w:jc w:val="left"/>
              <w:rPr>
                <w:rFonts w:ascii="Times New Roman" w:hAnsi="Times New Roman" w:cs="Times New Roman" w:eastAsia="Times New Roman" w:hint="default"/>
                <w:sz w:val="18"/>
                <w:szCs w:val="18"/>
              </w:rPr>
            </w:pPr>
            <w:r>
              <w:rPr>
                <w:rFonts w:ascii="Times New Roman"/>
                <w:sz w:val="18"/>
              </w:rPr>
              <w:t>-20,906,06</w:t>
            </w:r>
          </w:p>
          <w:p>
            <w:pPr>
              <w:pStyle w:val="TableParagraph"/>
              <w:spacing w:line="240" w:lineRule="auto" w:before="105"/>
              <w:ind w:left="577" w:right="0"/>
              <w:jc w:val="left"/>
              <w:rPr>
                <w:rFonts w:ascii="Times New Roman" w:hAnsi="Times New Roman" w:cs="Times New Roman" w:eastAsia="Times New Roman" w:hint="default"/>
                <w:sz w:val="18"/>
                <w:szCs w:val="18"/>
              </w:rPr>
            </w:pPr>
            <w:r>
              <w:rPr>
                <w:rFonts w:ascii="Times New Roman"/>
                <w:sz w:val="18"/>
              </w:rPr>
              <w:t>2.72</w:t>
            </w:r>
          </w:p>
        </w:tc>
        <w:tc>
          <w:tcPr>
            <w:tcW w:w="100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1" w:right="0"/>
              <w:jc w:val="left"/>
              <w:rPr>
                <w:rFonts w:ascii="Times New Roman" w:hAnsi="Times New Roman" w:cs="Times New Roman" w:eastAsia="Times New Roman" w:hint="default"/>
                <w:sz w:val="18"/>
                <w:szCs w:val="18"/>
              </w:rPr>
            </w:pPr>
            <w:r>
              <w:rPr>
                <w:rFonts w:ascii="Times New Roman"/>
                <w:sz w:val="18"/>
              </w:rPr>
              <w:t>10,364,97</w:t>
            </w:r>
          </w:p>
          <w:p>
            <w:pPr>
              <w:pStyle w:val="TableParagraph"/>
              <w:spacing w:line="240" w:lineRule="auto" w:before="105"/>
              <w:ind w:left="577" w:right="0"/>
              <w:jc w:val="left"/>
              <w:rPr>
                <w:rFonts w:ascii="Times New Roman" w:hAnsi="Times New Roman" w:cs="Times New Roman" w:eastAsia="Times New Roman" w:hint="default"/>
                <w:sz w:val="18"/>
                <w:szCs w:val="18"/>
              </w:rPr>
            </w:pPr>
            <w:r>
              <w:rPr>
                <w:rFonts w:ascii="Times New Roman"/>
                <w:sz w:val="18"/>
              </w:rPr>
              <w:t>9.43</w:t>
            </w: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9" w:right="0"/>
              <w:jc w:val="left"/>
              <w:rPr>
                <w:rFonts w:ascii="Times New Roman" w:hAnsi="Times New Roman" w:cs="Times New Roman" w:eastAsia="Times New Roman" w:hint="default"/>
                <w:sz w:val="18"/>
                <w:szCs w:val="18"/>
              </w:rPr>
            </w:pPr>
            <w:r>
              <w:rPr>
                <w:rFonts w:ascii="Times New Roman"/>
                <w:sz w:val="18"/>
              </w:rPr>
              <w:t>12,208,32</w:t>
            </w:r>
          </w:p>
          <w:p>
            <w:pPr>
              <w:pStyle w:val="TableParagraph"/>
              <w:spacing w:line="240" w:lineRule="auto" w:before="105"/>
              <w:ind w:left="574" w:right="0"/>
              <w:jc w:val="left"/>
              <w:rPr>
                <w:rFonts w:ascii="Times New Roman" w:hAnsi="Times New Roman" w:cs="Times New Roman" w:eastAsia="Times New Roman" w:hint="default"/>
                <w:sz w:val="18"/>
                <w:szCs w:val="18"/>
              </w:rPr>
            </w:pPr>
            <w:r>
              <w:rPr>
                <w:rFonts w:ascii="Times New Roman"/>
                <w:sz w:val="18"/>
              </w:rPr>
              <w:t>8.59</w:t>
            </w:r>
          </w:p>
        </w:tc>
        <w:tc>
          <w:tcPr>
            <w:tcW w:w="10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9" w:right="0"/>
              <w:jc w:val="left"/>
              <w:rPr>
                <w:rFonts w:ascii="Times New Roman" w:hAnsi="Times New Roman" w:cs="Times New Roman" w:eastAsia="Times New Roman" w:hint="default"/>
                <w:sz w:val="18"/>
                <w:szCs w:val="18"/>
              </w:rPr>
            </w:pPr>
            <w:r>
              <w:rPr>
                <w:rFonts w:ascii="Times New Roman"/>
                <w:sz w:val="18"/>
              </w:rPr>
              <w:t>31,540,62</w:t>
            </w:r>
          </w:p>
          <w:p>
            <w:pPr>
              <w:pStyle w:val="TableParagraph"/>
              <w:spacing w:line="240" w:lineRule="auto" w:before="105"/>
              <w:ind w:left="574" w:right="0"/>
              <w:jc w:val="left"/>
              <w:rPr>
                <w:rFonts w:ascii="Times New Roman" w:hAnsi="Times New Roman" w:cs="Times New Roman" w:eastAsia="Times New Roman" w:hint="default"/>
                <w:sz w:val="18"/>
                <w:szCs w:val="18"/>
              </w:rPr>
            </w:pPr>
            <w:r>
              <w:rPr>
                <w:rFonts w:ascii="Times New Roman"/>
                <w:sz w:val="18"/>
              </w:rPr>
              <w:t>9.66</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说明经营季节性（或周期性）发生的原因及波动风险</w:t>
      </w:r>
    </w:p>
    <w:p>
      <w:pPr>
        <w:pStyle w:val="BodyText"/>
        <w:spacing w:line="312" w:lineRule="exact" w:before="96"/>
        <w:ind w:right="1131" w:firstLine="480"/>
        <w:jc w:val="both"/>
      </w:pPr>
      <w:r>
        <w:rPr>
          <w:rFonts w:ascii="宋体" w:hAnsi="宋体" w:cs="宋体" w:eastAsia="宋体" w:hint="default"/>
          <w:spacing w:val="-2"/>
        </w:rPr>
        <w:t>2018</w:t>
      </w:r>
      <w:r>
        <w:rPr>
          <w:spacing w:val="-2"/>
        </w:rPr>
        <w:t>年公司明确了信息发展</w:t>
      </w:r>
      <w:r>
        <w:rPr>
          <w:rFonts w:ascii="宋体" w:hAnsi="宋体" w:cs="宋体" w:eastAsia="宋体" w:hint="default"/>
          <w:spacing w:val="-2"/>
        </w:rPr>
        <w:t>2.0</w:t>
      </w:r>
      <w:r>
        <w:rPr>
          <w:spacing w:val="-2"/>
        </w:rPr>
        <w:t>战略，即信息发展是一家运用大数据和区块链等技术，面</w:t>
      </w:r>
      <w:r>
        <w:rPr/>
        <w:t> 向智慧食安、智慧档案、智慧司法等政府和企业，为数字中国提供行业专有云综合解决方案 </w:t>
      </w:r>
      <w:r>
        <w:rPr>
          <w:spacing w:val="-3"/>
        </w:rPr>
        <w:t>的服务运营商。信息发展</w:t>
      </w:r>
      <w:r>
        <w:rPr>
          <w:rFonts w:ascii="宋体" w:hAnsi="宋体" w:cs="宋体" w:eastAsia="宋体" w:hint="default"/>
          <w:spacing w:val="-3"/>
        </w:rPr>
        <w:t>2.0</w:t>
      </w:r>
      <w:r>
        <w:rPr>
          <w:spacing w:val="-3"/>
        </w:rPr>
        <w:t>战略可以概括为“一体两翼、数链驱动”，未来公司将更聚焦智</w:t>
      </w:r>
      <w:r>
        <w:rPr>
          <w:spacing w:val="-114"/>
        </w:rPr>
        <w:t> </w:t>
      </w:r>
      <w:r>
        <w:rPr>
          <w:spacing w:val="-114"/>
        </w:rPr>
      </w:r>
      <w:r>
        <w:rPr/>
        <w:t>慧食安领域，着力进行业务转型，从项目型公司向产品型、服务型公司转变，在保持政府客 户基数的前提下大力开拓企业客户，在全公司签约额稳步增长的情况下，全力加速推进</w:t>
      </w:r>
      <w:r>
        <w:rPr>
          <w:rFonts w:ascii="宋体" w:hAnsi="宋体" w:cs="宋体" w:eastAsia="宋体" w:hint="default"/>
        </w:rPr>
        <w:t>SaaS </w:t>
      </w:r>
      <w:r>
        <w:rPr/>
        <w:t>服务和产品销售，狠抓验收和收款，实现公司各项经济指标和市值的不断提升，但转型过程 中还会存在周期性的风险。</w:t>
      </w:r>
    </w:p>
    <w:p>
      <w:pPr>
        <w:spacing w:before="59"/>
        <w:ind w:left="114" w:right="0" w:firstLine="0"/>
        <w:jc w:val="left"/>
        <w:rPr>
          <w:rFonts w:ascii="宋体" w:hAnsi="宋体" w:cs="宋体" w:eastAsia="宋体" w:hint="default"/>
          <w:sz w:val="18"/>
          <w:szCs w:val="18"/>
        </w:rPr>
      </w:pPr>
      <w:r>
        <w:rPr>
          <w:rFonts w:ascii="宋体" w:hAnsi="宋体" w:cs="宋体" w:eastAsia="宋体" w:hint="default"/>
          <w:sz w:val="18"/>
          <w:szCs w:val="18"/>
        </w:rPr>
        <w:t>营业收入整体情况</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1" w:right="0"/>
              <w:jc w:val="lef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60"/>
              <w:jc w:val="right"/>
              <w:rPr>
                <w:rFonts w:ascii="宋体" w:hAnsi="宋体" w:cs="宋体" w:eastAsia="宋体" w:hint="default"/>
                <w:sz w:val="18"/>
                <w:szCs w:val="18"/>
              </w:rPr>
            </w:pPr>
            <w:r>
              <w:rPr>
                <w:rFonts w:ascii="宋体" w:hAnsi="宋体" w:cs="宋体" w:eastAsia="宋体" w:hint="default"/>
                <w:sz w:val="18"/>
                <w:szCs w:val="18"/>
              </w:rPr>
              <w:t>占营业收入比重</w:t>
            </w:r>
          </w:p>
        </w:tc>
        <w:tc>
          <w:tcPr>
            <w:tcW w:w="1595" w:type="dxa"/>
            <w:vMerge/>
            <w:tcBorders>
              <w:left w:val="single" w:sz="4" w:space="0" w:color="000000"/>
              <w:bottom w:val="single" w:sz="4" w:space="0" w:color="000000"/>
              <w:right w:val="single" w:sz="4" w:space="0" w:color="000000"/>
            </w:tcBorders>
            <w:shd w:val="clear" w:color="auto" w:fill="D2D2D2"/>
          </w:tcPr>
          <w:p>
            <w:pPr/>
          </w:p>
        </w:tc>
      </w:tr>
      <w:tr>
        <w:trPr>
          <w:trHeight w:val="408"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营业收入合计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706,940,063.53</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564,293,578.68</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w w:val="95"/>
                <w:sz w:val="18"/>
              </w:rPr>
              <w:t>100%</w:t>
            </w:r>
            <w:r>
              <w:rPr>
                <w:rFonts w:ascii="Times New Roman"/>
                <w:sz w:val="18"/>
              </w:rPr>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25.28%</w:t>
            </w:r>
          </w:p>
        </w:tc>
      </w:tr>
      <w:tr>
        <w:trPr>
          <w:trHeight w:val="396"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103" w:right="0"/>
              <w:jc w:val="left"/>
              <w:rPr>
                <w:rFonts w:ascii="宋体" w:hAnsi="宋体" w:cs="宋体" w:eastAsia="宋体" w:hint="default"/>
                <w:sz w:val="18"/>
                <w:szCs w:val="18"/>
              </w:rPr>
            </w:pPr>
            <w:r>
              <w:rPr>
                <w:rFonts w:ascii="宋体" w:hAnsi="宋体" w:cs="宋体" w:eastAsia="宋体" w:hint="default"/>
                <w:sz w:val="18"/>
                <w:szCs w:val="18"/>
              </w:rPr>
              <w:t>分行业</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智慧食安</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175,429,418.63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24.82%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144,570,760.46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25.62%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21.35%</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智慧档案</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287,022,363.88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40.60%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178,237,955.91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31.59%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61.03%</w:t>
            </w:r>
          </w:p>
        </w:tc>
      </w:tr>
    </w:tbl>
    <w:p>
      <w:pPr>
        <w:spacing w:after="0" w:line="240" w:lineRule="auto"/>
        <w:jc w:val="right"/>
        <w:rPr>
          <w:rFonts w:ascii="Times New Roman" w:hAnsi="Times New Roman" w:cs="Times New Roman" w:eastAsia="Times New Roman" w:hint="default"/>
          <w:sz w:val="18"/>
          <w:szCs w:val="18"/>
        </w:rPr>
        <w:sectPr>
          <w:pgSz w:w="11910" w:h="16840"/>
          <w:pgMar w:header="822"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智慧司法</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134,768,905.98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19.06%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129,593,553.14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22.97%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3.99%</w:t>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1"/>
              <w:jc w:val="left"/>
              <w:rPr>
                <w:rFonts w:ascii="宋体" w:hAnsi="宋体" w:cs="宋体" w:eastAsia="宋体" w:hint="default"/>
                <w:sz w:val="18"/>
                <w:szCs w:val="18"/>
              </w:rPr>
            </w:pPr>
            <w:r>
              <w:rPr>
                <w:rFonts w:ascii="宋体" w:hAnsi="宋体" w:cs="宋体" w:eastAsia="宋体" w:hint="default"/>
                <w:spacing w:val="-8"/>
                <w:sz w:val="18"/>
                <w:szCs w:val="18"/>
              </w:rPr>
              <w:t>其他（政府、企事</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业单位）</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109,719,375.04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15.52%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2"/>
                <w:sz w:val="18"/>
              </w:rPr>
              <w:t>111,891,309.17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19.83%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-1.94%</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171,166,081.04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24.21%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116,106,382.68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20.58%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47.42%</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技术支持与服务</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296,570,181.93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41.95%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312,057,292.32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55.30%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-4.96%</w:t>
            </w:r>
          </w:p>
        </w:tc>
      </w:tr>
      <w:tr>
        <w:trPr>
          <w:trHeight w:val="714"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21"/>
              <w:jc w:val="left"/>
              <w:rPr>
                <w:rFonts w:ascii="宋体" w:hAnsi="宋体" w:cs="宋体" w:eastAsia="宋体" w:hint="default"/>
                <w:sz w:val="18"/>
                <w:szCs w:val="18"/>
              </w:rPr>
            </w:pPr>
            <w:r>
              <w:rPr>
                <w:rFonts w:ascii="宋体" w:hAnsi="宋体" w:cs="宋体" w:eastAsia="宋体" w:hint="default"/>
                <w:sz w:val="18"/>
                <w:szCs w:val="18"/>
              </w:rPr>
              <w:t>应用软件开发与 销售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239,203,800.56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33.84%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136,129,903.68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24.12%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75.72%</w:t>
            </w:r>
          </w:p>
        </w:tc>
      </w:tr>
      <w:tr>
        <w:trPr>
          <w:trHeight w:val="402" w:hRule="exact"/>
        </w:trPr>
        <w:tc>
          <w:tcPr>
            <w:tcW w:w="9568"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分地区</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华东</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408,659,777.41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57.81%</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314,458,923.68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55.73%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29.96%</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华北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128,640,238.20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18.20%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105,740,568.17</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18.74%</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21.66%</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华南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112,520,865.23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15.92%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81,995,041.73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14.53%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37.23%</w:t>
            </w: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西南</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57,119,182.69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8.08%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62,099,045.10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2"/>
                <w:sz w:val="18"/>
              </w:rPr>
              <w:t>11.00%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-8.02%</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占公司营业收入或营业利润10%以上的行业、产品或地区情况" w:id="28"/>
      <w:bookmarkEnd w:id="2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）占公司营业收入或营业利润</w:t>
      </w:r>
      <w:r>
        <w:rPr>
          <w:rFonts w:ascii="宋体" w:hAnsi="宋体" w:cs="宋体" w:eastAsia="宋体" w:hint="default"/>
          <w:b/>
          <w:bCs/>
          <w:spacing w:val="-58"/>
          <w:sz w:val="21"/>
          <w:szCs w:val="21"/>
        </w:rPr>
        <w:t> </w:t>
      </w: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以上的行业、产品或地区情况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22" w:footer="1019" w:top="1140" w:bottom="1200" w:left="1020" w:right="0"/>
        </w:sectPr>
      </w:pPr>
    </w:p>
    <w:p>
      <w:pPr>
        <w:spacing w:line="360" w:lineRule="auto" w:before="44"/>
        <w:ind w:left="114" w:right="5830" w:firstLine="0"/>
        <w:jc w:val="left"/>
        <w:rPr>
          <w:rFonts w:ascii="宋体" w:hAnsi="宋体" w:cs="宋体" w:eastAsia="宋体" w:hint="default"/>
          <w:sz w:val="18"/>
          <w:szCs w:val="18"/>
        </w:rPr>
      </w:pPr>
      <w:r>
        <w:rPr>
          <w:rFonts w:ascii="宋体" w:hAnsi="宋体" w:cs="宋体" w:eastAsia="宋体" w:hint="default"/>
          <w:sz w:val="18"/>
          <w:szCs w:val="18"/>
        </w:rPr>
        <w:t>√ 适用 □ 不适用 公司是否需要遵守特殊行业的披露要求 是</w:t>
      </w:r>
    </w:p>
    <w:p>
      <w:pPr>
        <w:spacing w:before="26"/>
        <w:ind w:left="114" w:right="5830" w:firstLine="0"/>
        <w:jc w:val="left"/>
        <w:rPr>
          <w:rFonts w:ascii="宋体" w:hAnsi="宋体" w:cs="宋体" w:eastAsia="宋体" w:hint="default"/>
          <w:sz w:val="18"/>
          <w:szCs w:val="18"/>
        </w:rPr>
      </w:pPr>
      <w:r>
        <w:rPr>
          <w:rFonts w:ascii="宋体" w:hAnsi="宋体" w:cs="宋体" w:eastAsia="宋体" w:hint="default"/>
          <w:sz w:val="18"/>
          <w:szCs w:val="18"/>
        </w:rPr>
        <w:t>软件与信息技术服务业</w:t>
      </w:r>
    </w:p>
    <w:p>
      <w:pPr>
        <w:spacing w:before="117"/>
        <w:ind w:left="114" w:right="-19"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号——上市公司从事软件与信息技术服务业务》的披露要求</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6"/>
        <w:ind w:left="-3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140" w:bottom="1200" w:left="1020" w:right="0"/>
          <w:cols w:num="2" w:equalWidth="0">
            <w:col w:w="9025" w:space="40"/>
            <w:col w:w="1825"/>
          </w:cols>
        </w:sectPr>
      </w:pP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71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3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07" w:right="0"/>
              <w:jc w:val="left"/>
              <w:rPr>
                <w:rFonts w:ascii="宋体" w:hAnsi="宋体" w:cs="宋体" w:eastAsia="宋体" w:hint="default"/>
                <w:sz w:val="18"/>
                <w:szCs w:val="18"/>
              </w:rPr>
            </w:pPr>
            <w:r>
              <w:rPr>
                <w:rFonts w:ascii="宋体" w:hAnsi="宋体" w:cs="宋体" w:eastAsia="宋体" w:hint="default"/>
                <w:sz w:val="18"/>
                <w:szCs w:val="18"/>
              </w:rPr>
              <w:t>毛利率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7" w:right="137" w:hanging="90"/>
              <w:jc w:val="left"/>
              <w:rPr>
                <w:rFonts w:ascii="宋体" w:hAnsi="宋体" w:cs="宋体" w:eastAsia="宋体" w:hint="default"/>
                <w:sz w:val="18"/>
                <w:szCs w:val="18"/>
              </w:rPr>
            </w:pPr>
            <w:r>
              <w:rPr>
                <w:rFonts w:ascii="宋体" w:hAnsi="宋体" w:cs="宋体" w:eastAsia="宋体" w:hint="default"/>
                <w:sz w:val="18"/>
                <w:szCs w:val="18"/>
              </w:rPr>
              <w:t>营业收入比上 年同期增减</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28" w:right="137" w:hanging="91"/>
              <w:jc w:val="left"/>
              <w:rPr>
                <w:rFonts w:ascii="宋体" w:hAnsi="宋体" w:cs="宋体" w:eastAsia="宋体" w:hint="default"/>
                <w:sz w:val="18"/>
                <w:szCs w:val="18"/>
              </w:rPr>
            </w:pPr>
            <w:r>
              <w:rPr>
                <w:rFonts w:ascii="宋体" w:hAnsi="宋体" w:cs="宋体" w:eastAsia="宋体" w:hint="default"/>
                <w:sz w:val="18"/>
                <w:szCs w:val="18"/>
              </w:rPr>
              <w:t>营业成本比上 年同期增减</w:t>
            </w:r>
          </w:p>
        </w:tc>
        <w:tc>
          <w:tcPr>
            <w:tcW w:w="137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20" w:right="139" w:hanging="180"/>
              <w:jc w:val="left"/>
              <w:rPr>
                <w:rFonts w:ascii="宋体" w:hAnsi="宋体" w:cs="宋体" w:eastAsia="宋体" w:hint="default"/>
                <w:sz w:val="18"/>
                <w:szCs w:val="18"/>
              </w:rPr>
            </w:pPr>
            <w:r>
              <w:rPr>
                <w:rFonts w:ascii="宋体" w:hAnsi="宋体" w:cs="宋体" w:eastAsia="宋体" w:hint="default"/>
                <w:sz w:val="18"/>
                <w:szCs w:val="18"/>
              </w:rPr>
              <w:t>毛利率比上年 同期增减</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分客户所处行业</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智慧食安</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center"/>
              <w:rPr>
                <w:rFonts w:ascii="Times New Roman" w:hAnsi="Times New Roman" w:cs="Times New Roman" w:eastAsia="Times New Roman" w:hint="default"/>
                <w:sz w:val="18"/>
                <w:szCs w:val="18"/>
              </w:rPr>
            </w:pPr>
            <w:r>
              <w:rPr>
                <w:rFonts w:ascii="Times New Roman"/>
                <w:sz w:val="18"/>
              </w:rPr>
              <w:t>175,429,418.63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108,295,308.89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38.27%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21.35%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22.42%</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-0.54%</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智慧档案</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center"/>
              <w:rPr>
                <w:rFonts w:ascii="Times New Roman" w:hAnsi="Times New Roman" w:cs="Times New Roman" w:eastAsia="Times New Roman" w:hint="default"/>
                <w:sz w:val="18"/>
                <w:szCs w:val="18"/>
              </w:rPr>
            </w:pPr>
            <w:r>
              <w:rPr>
                <w:rFonts w:ascii="Times New Roman"/>
                <w:sz w:val="18"/>
              </w:rPr>
              <w:t>287,022,363.88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166,127,593.70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42.12%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61.03%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90.35%</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-8.91%</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智慧司法</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center"/>
              <w:rPr>
                <w:rFonts w:ascii="Times New Roman" w:hAnsi="Times New Roman" w:cs="Times New Roman" w:eastAsia="Times New Roman" w:hint="default"/>
                <w:sz w:val="18"/>
                <w:szCs w:val="18"/>
              </w:rPr>
            </w:pPr>
            <w:r>
              <w:rPr>
                <w:rFonts w:ascii="Times New Roman"/>
                <w:sz w:val="18"/>
              </w:rPr>
              <w:t>134,768,905.98</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95,740,353.98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28.96%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3.99%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12.27%</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-5.24%</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72"/>
              <w:jc w:val="left"/>
              <w:rPr>
                <w:rFonts w:ascii="宋体" w:hAnsi="宋体" w:cs="宋体" w:eastAsia="宋体" w:hint="default"/>
                <w:sz w:val="18"/>
                <w:szCs w:val="18"/>
              </w:rPr>
            </w:pPr>
            <w:r>
              <w:rPr>
                <w:rFonts w:ascii="宋体" w:hAnsi="宋体" w:cs="宋体" w:eastAsia="宋体" w:hint="default"/>
                <w:sz w:val="18"/>
                <w:szCs w:val="18"/>
              </w:rPr>
              <w:t>其他（政府、 企事业单位）</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109,719,375.04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80,266,558.01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26.84%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5.41%</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-5.11%</w:t>
            </w:r>
          </w:p>
        </w:tc>
      </w:tr>
      <w:tr>
        <w:trPr>
          <w:trHeight w:val="401"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分产品</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4" w:right="0"/>
              <w:jc w:val="center"/>
              <w:rPr>
                <w:rFonts w:ascii="Times New Roman" w:hAnsi="Times New Roman" w:cs="Times New Roman" w:eastAsia="Times New Roman" w:hint="default"/>
                <w:sz w:val="18"/>
                <w:szCs w:val="18"/>
              </w:rPr>
            </w:pPr>
            <w:r>
              <w:rPr>
                <w:rFonts w:ascii="Times New Roman"/>
                <w:sz w:val="18"/>
              </w:rPr>
              <w:t>171,166,081.04</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146,219,218.66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14.57%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47.42%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46.66%</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0.44%</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72"/>
              <w:jc w:val="left"/>
              <w:rPr>
                <w:rFonts w:ascii="宋体" w:hAnsi="宋体" w:cs="宋体" w:eastAsia="宋体" w:hint="default"/>
                <w:sz w:val="18"/>
                <w:szCs w:val="18"/>
              </w:rPr>
            </w:pPr>
            <w:r>
              <w:rPr>
                <w:rFonts w:ascii="宋体" w:hAnsi="宋体" w:cs="宋体" w:eastAsia="宋体" w:hint="default"/>
                <w:sz w:val="18"/>
                <w:szCs w:val="18"/>
              </w:rPr>
              <w:t>技术支持与服 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296,570,181.93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162,946,069.22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45.06%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-2.55%</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-1.36%</w:t>
            </w:r>
          </w:p>
        </w:tc>
      </w:tr>
      <w:tr>
        <w:trPr>
          <w:trHeight w:val="715"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72"/>
              <w:jc w:val="left"/>
              <w:rPr>
                <w:rFonts w:ascii="宋体" w:hAnsi="宋体" w:cs="宋体" w:eastAsia="宋体" w:hint="default"/>
                <w:sz w:val="18"/>
                <w:szCs w:val="18"/>
              </w:rPr>
            </w:pPr>
            <w:r>
              <w:rPr>
                <w:rFonts w:ascii="宋体" w:hAnsi="宋体" w:cs="宋体" w:eastAsia="宋体" w:hint="default"/>
                <w:sz w:val="18"/>
                <w:szCs w:val="18"/>
              </w:rPr>
              <w:t>应用软件开发 与销售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239,203,800.56</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141,264,526.70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40.94%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75.72%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101.06%</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-7.45%</w:t>
            </w:r>
          </w:p>
        </w:tc>
      </w:tr>
      <w:tr>
        <w:trPr>
          <w:trHeight w:val="402" w:hRule="exact"/>
        </w:trPr>
        <w:tc>
          <w:tcPr>
            <w:tcW w:w="9572" w:type="dxa"/>
            <w:gridSpan w:val="7"/>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分地区</w:t>
            </w:r>
          </w:p>
        </w:tc>
      </w:tr>
    </w:tbl>
    <w:p>
      <w:pPr>
        <w:spacing w:after="0" w:line="240" w:lineRule="auto"/>
        <w:jc w:val="left"/>
        <w:rPr>
          <w:rFonts w:ascii="宋体" w:hAnsi="宋体" w:cs="宋体" w:eastAsia="宋体" w:hint="default"/>
          <w:sz w:val="18"/>
          <w:szCs w:val="18"/>
        </w:rPr>
        <w:sectPr>
          <w:type w:val="continuous"/>
          <w:pgSz w:w="11910" w:h="16840"/>
          <w:pgMar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1367"/>
        <w:gridCol w:w="1367"/>
        <w:gridCol w:w="1366"/>
        <w:gridCol w:w="1367"/>
        <w:gridCol w:w="1367"/>
        <w:gridCol w:w="1367"/>
        <w:gridCol w:w="1372"/>
      </w:tblGrid>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华东</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408,659,777.41</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248,379,186.01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39.22%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29.96%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49.19%</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-7.84%</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华北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128,640,238.20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83,364,407.75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35.20%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21.66%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4.38%</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10.73%</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华南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112,520,865.23</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70,694,550.46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37.17%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37.23%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75.55%</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-13.72%</w:t>
            </w:r>
          </w:p>
        </w:tc>
      </w:tr>
      <w:tr>
        <w:trPr>
          <w:trHeight w:val="402" w:hRule="exact"/>
        </w:trPr>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西南</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57,119,182.69</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47,991,670.36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15.98%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-8.02%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-5.04%</w:t>
            </w:r>
          </w:p>
        </w:tc>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-2.63%</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公司主营业务数据统计口径在报告期发生调整的情况下，公司最近</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年按报告期末口径调整后的主营业务数据</w:t>
      </w:r>
    </w:p>
    <w:p>
      <w:pPr>
        <w:spacing w:before="103"/>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公司实物销售收入是否大于劳务收入" w:id="29"/>
      <w:bookmarkEnd w:id="2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）公司实物销售收入是否大于劳务收入</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公司已签订的重大销售合同截至本报告期的履行情况" w:id="30"/>
      <w:bookmarkEnd w:id="3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）公司已签订的重大销售合同截至本报告期的履行情况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5）营业成本构成" w:id="31"/>
      <w:bookmarkEnd w:id="3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）营业成本构成</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22" w:footer="1019" w:top="1140" w:bottom="1200" w:left="1020" w:right="0"/>
        </w:sectPr>
      </w:pPr>
    </w:p>
    <w:p>
      <w:pPr>
        <w:spacing w:line="340" w:lineRule="auto" w:before="44"/>
        <w:ind w:left="114" w:right="-19"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号——上市公司从事软件与信息技术服务业务》的披露要求 主营业务成本构成</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3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140" w:bottom="1200" w:left="1020" w:right="0"/>
          <w:cols w:num="2" w:equalWidth="0">
            <w:col w:w="9025" w:space="40"/>
            <w:col w:w="1825"/>
          </w:cols>
        </w:sectPr>
      </w:pP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2" w:hRule="exact"/>
        </w:trPr>
        <w:tc>
          <w:tcPr>
            <w:tcW w:w="15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成本构成</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本报告期</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上年同期</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1" w:hRule="exact"/>
        </w:trPr>
        <w:tc>
          <w:tcPr>
            <w:tcW w:w="1596"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1" w:right="0"/>
              <w:jc w:val="left"/>
              <w:rPr>
                <w:rFonts w:ascii="宋体" w:hAnsi="宋体" w:cs="宋体" w:eastAsia="宋体" w:hint="default"/>
                <w:sz w:val="18"/>
                <w:szCs w:val="18"/>
              </w:rPr>
            </w:pPr>
            <w:r>
              <w:rPr>
                <w:rFonts w:ascii="宋体" w:hAnsi="宋体" w:cs="宋体" w:eastAsia="宋体" w:hint="default"/>
                <w:sz w:val="18"/>
                <w:szCs w:val="18"/>
              </w:rPr>
              <w:t>占营业成本比重</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60"/>
              <w:jc w:val="right"/>
              <w:rPr>
                <w:rFonts w:ascii="宋体" w:hAnsi="宋体" w:cs="宋体" w:eastAsia="宋体" w:hint="default"/>
                <w:sz w:val="18"/>
                <w:szCs w:val="18"/>
              </w:rPr>
            </w:pPr>
            <w:r>
              <w:rPr>
                <w:rFonts w:ascii="宋体" w:hAnsi="宋体" w:cs="宋体" w:eastAsia="宋体" w:hint="default"/>
                <w:sz w:val="18"/>
                <w:szCs w:val="18"/>
              </w:rPr>
              <w:t>占营业成本比重</w:t>
            </w:r>
          </w:p>
        </w:tc>
        <w:tc>
          <w:tcPr>
            <w:tcW w:w="1595"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材料采购成本</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226,006,383.71</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50.18%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168,085,523.56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49.85%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0.33%</w:t>
            </w:r>
          </w:p>
        </w:tc>
      </w:tr>
      <w:tr>
        <w:trPr>
          <w:trHeight w:val="403"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人工成本及费用</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224,423,430.87</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49.82%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169,077,047.40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50.15%</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-0.33%</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40" w:bottom="1200" w:left="1020" w:right="0"/>
        </w:sectPr>
      </w:pPr>
    </w:p>
    <w:p>
      <w:pPr>
        <w:spacing w:line="357" w:lineRule="auto" w:before="51"/>
        <w:ind w:left="114" w:right="-20" w:firstLine="0"/>
        <w:jc w:val="left"/>
        <w:rPr>
          <w:rFonts w:ascii="宋体" w:hAnsi="宋体" w:cs="宋体" w:eastAsia="宋体" w:hint="default"/>
          <w:sz w:val="18"/>
          <w:szCs w:val="18"/>
        </w:rPr>
      </w:pPr>
      <w:r>
        <w:rPr>
          <w:rFonts w:ascii="宋体" w:hAnsi="宋体" w:cs="宋体" w:eastAsia="宋体" w:hint="default"/>
          <w:sz w:val="18"/>
          <w:szCs w:val="18"/>
        </w:rPr>
        <w:t>产品分类 产品分类</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spacing w:before="0"/>
        <w:ind w:left="11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140" w:bottom="1200" w:left="1020" w:right="0"/>
          <w:cols w:num="2" w:equalWidth="0">
            <w:col w:w="835" w:space="8085"/>
            <w:col w:w="1970"/>
          </w:cols>
        </w:sectPr>
      </w:pP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402" w:hRule="exact"/>
        </w:trPr>
        <w:tc>
          <w:tcPr>
            <w:tcW w:w="13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产品分类</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同比增减</w:t>
            </w:r>
          </w:p>
        </w:tc>
      </w:tr>
      <w:tr>
        <w:trPr>
          <w:trHeight w:val="714" w:hRule="exact"/>
        </w:trPr>
        <w:tc>
          <w:tcPr>
            <w:tcW w:w="1370"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87" w:right="137" w:hanging="450"/>
              <w:jc w:val="left"/>
              <w:rPr>
                <w:rFonts w:ascii="宋体" w:hAnsi="宋体" w:cs="宋体" w:eastAsia="宋体" w:hint="default"/>
                <w:sz w:val="18"/>
                <w:szCs w:val="18"/>
              </w:rPr>
            </w:pPr>
            <w:r>
              <w:rPr>
                <w:rFonts w:ascii="宋体" w:hAnsi="宋体" w:cs="宋体" w:eastAsia="宋体" w:hint="default"/>
                <w:sz w:val="18"/>
                <w:szCs w:val="18"/>
              </w:rPr>
              <w:t>占营业成本比 重</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87" w:right="138" w:hanging="451"/>
              <w:jc w:val="left"/>
              <w:rPr>
                <w:rFonts w:ascii="宋体" w:hAnsi="宋体" w:cs="宋体" w:eastAsia="宋体" w:hint="default"/>
                <w:sz w:val="18"/>
                <w:szCs w:val="18"/>
              </w:rPr>
            </w:pPr>
            <w:r>
              <w:rPr>
                <w:rFonts w:ascii="宋体" w:hAnsi="宋体" w:cs="宋体" w:eastAsia="宋体" w:hint="default"/>
                <w:sz w:val="18"/>
                <w:szCs w:val="18"/>
              </w:rPr>
              <w:t>占营业成本比 重</w:t>
            </w:r>
          </w:p>
        </w:tc>
        <w:tc>
          <w:tcPr>
            <w:tcW w:w="1367"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68"/>
              <w:jc w:val="center"/>
              <w:rPr>
                <w:rFonts w:ascii="宋体" w:hAnsi="宋体" w:cs="宋体" w:eastAsia="宋体" w:hint="default"/>
                <w:sz w:val="18"/>
                <w:szCs w:val="18"/>
              </w:rPr>
            </w:pPr>
            <w:r>
              <w:rPr>
                <w:rFonts w:ascii="宋体" w:hAnsi="宋体" w:cs="宋体" w:eastAsia="宋体" w:hint="default"/>
                <w:sz w:val="18"/>
                <w:szCs w:val="18"/>
              </w:rPr>
              <w:t>材料采购成本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121,078,598.36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26.88%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96,072,162.07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28.49%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-1.61%</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系统集成</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73"/>
              <w:jc w:val="left"/>
              <w:rPr>
                <w:rFonts w:ascii="宋体" w:hAnsi="宋体" w:cs="宋体" w:eastAsia="宋体" w:hint="default"/>
                <w:sz w:val="18"/>
                <w:szCs w:val="18"/>
              </w:rPr>
            </w:pPr>
            <w:r>
              <w:rPr>
                <w:rFonts w:ascii="宋体" w:hAnsi="宋体" w:cs="宋体" w:eastAsia="宋体" w:hint="default"/>
                <w:sz w:val="18"/>
                <w:szCs w:val="18"/>
              </w:rPr>
              <w:t>人工成本及费 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25,140,620.30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3,624,179.87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4.51%</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74"/>
              <w:jc w:val="left"/>
              <w:rPr>
                <w:rFonts w:ascii="宋体" w:hAnsi="宋体" w:cs="宋体" w:eastAsia="宋体" w:hint="default"/>
                <w:sz w:val="18"/>
                <w:szCs w:val="18"/>
              </w:rPr>
            </w:pPr>
            <w:r>
              <w:rPr>
                <w:rFonts w:ascii="宋体" w:hAnsi="宋体" w:cs="宋体" w:eastAsia="宋体" w:hint="default"/>
                <w:sz w:val="18"/>
                <w:szCs w:val="18"/>
              </w:rPr>
              <w:t>技术支持与服 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68"/>
              <w:jc w:val="center"/>
              <w:rPr>
                <w:rFonts w:ascii="宋体" w:hAnsi="宋体" w:cs="宋体" w:eastAsia="宋体" w:hint="default"/>
                <w:sz w:val="18"/>
                <w:szCs w:val="18"/>
              </w:rPr>
            </w:pPr>
            <w:r>
              <w:rPr>
                <w:rFonts w:ascii="宋体" w:hAnsi="宋体" w:cs="宋体" w:eastAsia="宋体" w:hint="default"/>
                <w:sz w:val="18"/>
                <w:szCs w:val="18"/>
              </w:rPr>
              <w:t>材料采购成本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48,270,274.75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10.72%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52,399,919.34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15.54%</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-4.82%</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74"/>
              <w:jc w:val="left"/>
              <w:rPr>
                <w:rFonts w:ascii="宋体" w:hAnsi="宋体" w:cs="宋体" w:eastAsia="宋体" w:hint="default"/>
                <w:sz w:val="18"/>
                <w:szCs w:val="18"/>
              </w:rPr>
            </w:pPr>
            <w:r>
              <w:rPr>
                <w:rFonts w:ascii="宋体" w:hAnsi="宋体" w:cs="宋体" w:eastAsia="宋体" w:hint="default"/>
                <w:sz w:val="18"/>
                <w:szCs w:val="18"/>
              </w:rPr>
              <w:t>技术支持与服 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73"/>
              <w:jc w:val="left"/>
              <w:rPr>
                <w:rFonts w:ascii="宋体" w:hAnsi="宋体" w:cs="宋体" w:eastAsia="宋体" w:hint="default"/>
                <w:sz w:val="18"/>
                <w:szCs w:val="18"/>
              </w:rPr>
            </w:pPr>
            <w:r>
              <w:rPr>
                <w:rFonts w:ascii="宋体" w:hAnsi="宋体" w:cs="宋体" w:eastAsia="宋体" w:hint="default"/>
                <w:sz w:val="18"/>
                <w:szCs w:val="18"/>
              </w:rPr>
              <w:t>人工成本及费 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114,675,794.47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25.46%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114,807,201.60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34.05%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-8.59%</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74"/>
              <w:jc w:val="left"/>
              <w:rPr>
                <w:rFonts w:ascii="宋体" w:hAnsi="宋体" w:cs="宋体" w:eastAsia="宋体" w:hint="default"/>
                <w:sz w:val="18"/>
                <w:szCs w:val="18"/>
              </w:rPr>
            </w:pPr>
            <w:r>
              <w:rPr>
                <w:rFonts w:ascii="宋体" w:hAnsi="宋体" w:cs="宋体" w:eastAsia="宋体" w:hint="default"/>
                <w:sz w:val="18"/>
                <w:szCs w:val="18"/>
              </w:rPr>
              <w:t>应用软件开发 与销售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68"/>
              <w:jc w:val="center"/>
              <w:rPr>
                <w:rFonts w:ascii="宋体" w:hAnsi="宋体" w:cs="宋体" w:eastAsia="宋体" w:hint="default"/>
                <w:sz w:val="18"/>
                <w:szCs w:val="18"/>
              </w:rPr>
            </w:pPr>
            <w:r>
              <w:rPr>
                <w:rFonts w:ascii="宋体" w:hAnsi="宋体" w:cs="宋体" w:eastAsia="宋体" w:hint="default"/>
                <w:sz w:val="18"/>
                <w:szCs w:val="18"/>
              </w:rPr>
              <w:t>材料采购成本</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56,657,510.60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19,613,442.15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5.82%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6.76%</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74"/>
              <w:jc w:val="left"/>
              <w:rPr>
                <w:rFonts w:ascii="宋体" w:hAnsi="宋体" w:cs="宋体" w:eastAsia="宋体" w:hint="default"/>
                <w:sz w:val="18"/>
                <w:szCs w:val="18"/>
              </w:rPr>
            </w:pPr>
            <w:r>
              <w:rPr>
                <w:rFonts w:ascii="宋体" w:hAnsi="宋体" w:cs="宋体" w:eastAsia="宋体" w:hint="default"/>
                <w:sz w:val="18"/>
                <w:szCs w:val="18"/>
              </w:rPr>
              <w:t>应用软件开发 与销售</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73"/>
              <w:jc w:val="left"/>
              <w:rPr>
                <w:rFonts w:ascii="宋体" w:hAnsi="宋体" w:cs="宋体" w:eastAsia="宋体" w:hint="default"/>
                <w:sz w:val="18"/>
                <w:szCs w:val="18"/>
              </w:rPr>
            </w:pPr>
            <w:r>
              <w:rPr>
                <w:rFonts w:ascii="宋体" w:hAnsi="宋体" w:cs="宋体" w:eastAsia="宋体" w:hint="default"/>
                <w:sz w:val="18"/>
                <w:szCs w:val="18"/>
              </w:rPr>
              <w:t>人工成本及费 用</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84,607,016.10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9" w:right="0"/>
              <w:jc w:val="left"/>
              <w:rPr>
                <w:rFonts w:ascii="Times New Roman" w:hAnsi="Times New Roman" w:cs="Times New Roman" w:eastAsia="Times New Roman" w:hint="default"/>
                <w:sz w:val="18"/>
                <w:szCs w:val="18"/>
              </w:rPr>
            </w:pPr>
            <w:r>
              <w:rPr>
                <w:rFonts w:ascii="Times New Roman"/>
                <w:sz w:val="18"/>
              </w:rPr>
              <w:t>18.78%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19" w:right="0"/>
              <w:jc w:val="left"/>
              <w:rPr>
                <w:rFonts w:ascii="Times New Roman" w:hAnsi="Times New Roman" w:cs="Times New Roman" w:eastAsia="Times New Roman" w:hint="default"/>
                <w:sz w:val="18"/>
                <w:szCs w:val="18"/>
              </w:rPr>
            </w:pPr>
            <w:r>
              <w:rPr>
                <w:rFonts w:ascii="Times New Roman"/>
                <w:sz w:val="18"/>
              </w:rPr>
              <w:t>50,645,665.93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98" w:right="0"/>
              <w:jc w:val="left"/>
              <w:rPr>
                <w:rFonts w:ascii="Times New Roman" w:hAnsi="Times New Roman" w:cs="Times New Roman" w:eastAsia="Times New Roman" w:hint="default"/>
                <w:sz w:val="18"/>
                <w:szCs w:val="18"/>
              </w:rPr>
            </w:pPr>
            <w:r>
              <w:rPr>
                <w:rFonts w:ascii="Times New Roman"/>
                <w:sz w:val="18"/>
              </w:rPr>
              <w:t>15.02%</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789" w:right="0"/>
              <w:jc w:val="left"/>
              <w:rPr>
                <w:rFonts w:ascii="Times New Roman" w:hAnsi="Times New Roman" w:cs="Times New Roman" w:eastAsia="Times New Roman" w:hint="default"/>
                <w:sz w:val="18"/>
                <w:szCs w:val="18"/>
              </w:rPr>
            </w:pPr>
            <w:r>
              <w:rPr>
                <w:rFonts w:ascii="Times New Roman"/>
                <w:sz w:val="18"/>
              </w:rPr>
              <w:t>3.76%</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6）报告期内合并范围是否发生变动" w:id="32"/>
      <w:bookmarkEnd w:id="3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）报告期内合并范围是否发生变动</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是 □ 否</w:t>
      </w:r>
    </w:p>
    <w:p>
      <w:pPr>
        <w:pStyle w:val="BodyText"/>
        <w:spacing w:line="312" w:lineRule="exact" w:before="96"/>
        <w:ind w:right="1131" w:firstLine="480"/>
        <w:jc w:val="both"/>
      </w:pPr>
      <w:r>
        <w:rPr>
          <w:spacing w:val="-2"/>
        </w:rPr>
        <w:t>公司于</w:t>
      </w:r>
      <w:r>
        <w:rPr>
          <w:rFonts w:ascii="宋体" w:hAnsi="宋体" w:cs="宋体" w:eastAsia="宋体" w:hint="default"/>
          <w:spacing w:val="-2"/>
        </w:rPr>
        <w:t>2018</w:t>
      </w:r>
      <w:r>
        <w:rPr>
          <w:spacing w:val="-2"/>
        </w:rPr>
        <w:t>年</w:t>
      </w:r>
      <w:r>
        <w:rPr>
          <w:rFonts w:ascii="宋体" w:hAnsi="宋体" w:cs="宋体" w:eastAsia="宋体" w:hint="default"/>
          <w:spacing w:val="-2"/>
        </w:rPr>
        <w:t>7</w:t>
      </w:r>
      <w:r>
        <w:rPr>
          <w:spacing w:val="-2"/>
        </w:rPr>
        <w:t>月</w:t>
      </w:r>
      <w:r>
        <w:rPr>
          <w:rFonts w:ascii="宋体" w:hAnsi="宋体" w:cs="宋体" w:eastAsia="宋体" w:hint="default"/>
          <w:spacing w:val="-2"/>
        </w:rPr>
        <w:t>20</w:t>
      </w:r>
      <w:r>
        <w:rPr>
          <w:spacing w:val="-2"/>
        </w:rPr>
        <w:t>日召开第四届董事会第十六次会议。审议通过了《关于受让信发资产</w:t>
      </w:r>
      <w:r>
        <w:rPr/>
        <w:t> </w:t>
      </w:r>
      <w:r>
        <w:rPr>
          <w:spacing w:val="-3"/>
        </w:rPr>
        <w:t>管理有限公司</w:t>
      </w:r>
      <w:r>
        <w:rPr>
          <w:rFonts w:ascii="宋体" w:hAnsi="宋体" w:cs="宋体" w:eastAsia="宋体" w:hint="default"/>
          <w:spacing w:val="-3"/>
        </w:rPr>
        <w:t>60%</w:t>
      </w:r>
      <w:r>
        <w:rPr>
          <w:spacing w:val="-3"/>
        </w:rPr>
        <w:t>股权及后续安排暨关联交易的议案》，同意公司受让上海中信电子发展有限</w:t>
      </w:r>
      <w:r>
        <w:rPr>
          <w:spacing w:val="-114"/>
        </w:rPr>
        <w:t> </w:t>
      </w:r>
      <w:r>
        <w:rPr>
          <w:spacing w:val="-114"/>
        </w:rPr>
      </w:r>
      <w:r>
        <w:rPr>
          <w:spacing w:val="-2"/>
        </w:rPr>
        <w:t>公司及张曙华持有的信发资产管理有限责任公司</w:t>
      </w:r>
      <w:r>
        <w:rPr>
          <w:rFonts w:ascii="宋体" w:hAnsi="宋体" w:cs="宋体" w:eastAsia="宋体" w:hint="default"/>
          <w:spacing w:val="-2"/>
        </w:rPr>
        <w:t>60%</w:t>
      </w:r>
      <w:r>
        <w:rPr>
          <w:spacing w:val="-2"/>
        </w:rPr>
        <w:t>的股权，签署附条件生效的《股权转让协</w:t>
      </w:r>
      <w:r>
        <w:rPr>
          <w:spacing w:val="-118"/>
        </w:rPr>
        <w:t> </w:t>
      </w:r>
      <w:r>
        <w:rPr>
          <w:spacing w:val="-118"/>
        </w:rPr>
      </w:r>
      <w:r>
        <w:rPr>
          <w:spacing w:val="-5"/>
        </w:rPr>
        <w:t>议》，并于</w:t>
      </w:r>
      <w:r>
        <w:rPr>
          <w:rFonts w:ascii="宋体" w:hAnsi="宋体" w:cs="宋体" w:eastAsia="宋体" w:hint="default"/>
          <w:spacing w:val="-5"/>
        </w:rPr>
        <w:t>2018</w:t>
      </w:r>
      <w:r>
        <w:rPr>
          <w:spacing w:val="-5"/>
        </w:rPr>
        <w:t>年</w:t>
      </w:r>
      <w:r>
        <w:rPr>
          <w:rFonts w:ascii="宋体" w:hAnsi="宋体" w:cs="宋体" w:eastAsia="宋体" w:hint="default"/>
          <w:spacing w:val="-5"/>
        </w:rPr>
        <w:t>8</w:t>
      </w:r>
      <w:r>
        <w:rPr>
          <w:spacing w:val="-5"/>
        </w:rPr>
        <w:t>月</w:t>
      </w:r>
      <w:r>
        <w:rPr>
          <w:rFonts w:ascii="宋体" w:hAnsi="宋体" w:cs="宋体" w:eastAsia="宋体" w:hint="default"/>
          <w:spacing w:val="-5"/>
        </w:rPr>
        <w:t>27</w:t>
      </w:r>
      <w:r>
        <w:rPr>
          <w:spacing w:val="-5"/>
        </w:rPr>
        <w:t>日办妥工商变更登记。</w:t>
      </w:r>
    </w:p>
    <w:p>
      <w:pPr>
        <w:pStyle w:val="BodyText"/>
        <w:spacing w:line="312" w:lineRule="exact"/>
        <w:ind w:right="1171" w:firstLine="480"/>
        <w:jc w:val="both"/>
      </w:pPr>
      <w:r>
        <w:rPr/>
        <w:t>公司于</w:t>
      </w:r>
      <w:r>
        <w:rPr>
          <w:rFonts w:ascii="宋体" w:hAnsi="宋体" w:cs="宋体" w:eastAsia="宋体" w:hint="default"/>
        </w:rPr>
        <w:t>2018</w:t>
      </w:r>
      <w:r>
        <w:rPr/>
        <w:t>年</w:t>
      </w:r>
      <w:r>
        <w:rPr>
          <w:rFonts w:ascii="宋体" w:hAnsi="宋体" w:cs="宋体" w:eastAsia="宋体" w:hint="default"/>
        </w:rPr>
        <w:t>11</w:t>
      </w:r>
      <w:r>
        <w:rPr/>
        <w:t>月</w:t>
      </w:r>
      <w:r>
        <w:rPr>
          <w:rFonts w:ascii="宋体" w:hAnsi="宋体" w:cs="宋体" w:eastAsia="宋体" w:hint="default"/>
        </w:rPr>
        <w:t>19</w:t>
      </w:r>
      <w:r>
        <w:rPr/>
        <w:t>日发起设立智秾信息发展股份有限公司，该公司注册资本为人民币 </w:t>
      </w:r>
      <w:r>
        <w:rPr>
          <w:rFonts w:ascii="宋体" w:hAnsi="宋体" w:cs="宋体" w:eastAsia="宋体" w:hint="default"/>
        </w:rPr>
        <w:t>5,000.00</w:t>
      </w:r>
      <w:r>
        <w:rPr/>
        <w:t>万元，公司认缴出资额为</w:t>
      </w:r>
      <w:r>
        <w:rPr>
          <w:rFonts w:ascii="宋体" w:hAnsi="宋体" w:cs="宋体" w:eastAsia="宋体" w:hint="default"/>
        </w:rPr>
        <w:t>3,500</w:t>
      </w:r>
      <w:r>
        <w:rPr/>
        <w:t>万元，认缴出资比例为</w:t>
      </w:r>
      <w:r>
        <w:rPr>
          <w:rFonts w:ascii="宋体" w:hAnsi="宋体" w:cs="宋体" w:eastAsia="宋体" w:hint="default"/>
        </w:rPr>
        <w:t>70%</w:t>
      </w:r>
      <w:r>
        <w:rPr/>
        <w:t>。</w:t>
      </w:r>
    </w:p>
    <w:p>
      <w:pPr>
        <w:spacing w:line="240" w:lineRule="auto" w:before="7"/>
        <w:rPr>
          <w:rFonts w:ascii="宋体" w:hAnsi="宋体" w:cs="宋体" w:eastAsia="宋体" w:hint="default"/>
          <w:sz w:val="22"/>
          <w:szCs w:val="22"/>
        </w:rPr>
      </w:pPr>
    </w:p>
    <w:p>
      <w:pPr>
        <w:spacing w:before="0"/>
        <w:ind w:left="114" w:right="0" w:firstLine="0"/>
        <w:jc w:val="left"/>
        <w:rPr>
          <w:rFonts w:ascii="宋体" w:hAnsi="宋体" w:cs="宋体" w:eastAsia="宋体" w:hint="default"/>
          <w:sz w:val="21"/>
          <w:szCs w:val="21"/>
        </w:rPr>
      </w:pPr>
      <w:bookmarkStart w:name="（7）公司报告期内业务、产品或服务发生重大变化或调整有关情况" w:id="33"/>
      <w:bookmarkEnd w:id="3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）公司报告期内业务、产品或服务发生重大变化或调整有关情况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8）主要销售客户和主要供应商情况" w:id="34"/>
      <w:bookmarkEnd w:id="3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）主要销售客户和主要供应商情况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公司主要销售客户情况</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258"/>
        <w:gridCol w:w="5311"/>
      </w:tblGrid>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161,721,239.18</w:t>
            </w:r>
          </w:p>
        </w:tc>
      </w:tr>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前五名客户合计销售金额占年度销售总额比例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22.88%</w:t>
            </w:r>
          </w:p>
        </w:tc>
      </w:tr>
      <w:tr>
        <w:trPr>
          <w:trHeight w:val="714"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84"/>
              <w:jc w:val="left"/>
              <w:rPr>
                <w:rFonts w:ascii="宋体" w:hAnsi="宋体" w:cs="宋体" w:eastAsia="宋体" w:hint="default"/>
                <w:sz w:val="18"/>
                <w:szCs w:val="18"/>
              </w:rPr>
            </w:pPr>
            <w:r>
              <w:rPr>
                <w:rFonts w:ascii="宋体" w:hAnsi="宋体" w:cs="宋体" w:eastAsia="宋体" w:hint="default"/>
                <w:sz w:val="18"/>
                <w:szCs w:val="18"/>
              </w:rPr>
              <w:t>前五名客户销售额中关联方销售额占年度销售总额 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大客户资料</w:t>
      </w:r>
    </w:p>
    <w:p>
      <w:pPr>
        <w:spacing w:line="240" w:lineRule="auto" w:before="0"/>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802"/>
        <w:gridCol w:w="3302"/>
        <w:gridCol w:w="2322"/>
        <w:gridCol w:w="3143"/>
      </w:tblGrid>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5"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客户名称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销售额（元）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6" w:right="0"/>
              <w:jc w:val="left"/>
              <w:rPr>
                <w:rFonts w:ascii="宋体" w:hAnsi="宋体" w:cs="宋体" w:eastAsia="宋体" w:hint="default"/>
                <w:sz w:val="18"/>
                <w:szCs w:val="18"/>
              </w:rPr>
            </w:pPr>
            <w:r>
              <w:rPr>
                <w:rFonts w:ascii="宋体" w:hAnsi="宋体" w:cs="宋体" w:eastAsia="宋体" w:hint="default"/>
                <w:sz w:val="18"/>
                <w:szCs w:val="18"/>
              </w:rPr>
              <w:t>占年度销售总额比例</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49,551,050.94</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7.01%</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37,933,896.55</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5.37%</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3</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37,930,438.91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5.37%</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4</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19,029,932.08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2.69%</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17,275,920.71</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2.44%</w:t>
            </w:r>
          </w:p>
        </w:tc>
      </w:tr>
      <w:tr>
        <w:trPr>
          <w:trHeight w:val="402" w:hRule="exact"/>
        </w:trPr>
        <w:tc>
          <w:tcPr>
            <w:tcW w:w="8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161,721,239.18</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22.88%</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主要客户其他情况说明</w:t>
      </w:r>
    </w:p>
    <w:p>
      <w:pPr>
        <w:spacing w:line="357" w:lineRule="auto" w:before="117"/>
        <w:ind w:left="114" w:right="9132" w:firstLine="0"/>
        <w:jc w:val="left"/>
        <w:rPr>
          <w:rFonts w:ascii="宋体" w:hAnsi="宋体" w:cs="宋体" w:eastAsia="宋体" w:hint="default"/>
          <w:sz w:val="18"/>
          <w:szCs w:val="18"/>
        </w:rPr>
      </w:pPr>
      <w:r>
        <w:rPr>
          <w:rFonts w:ascii="宋体" w:hAnsi="宋体" w:cs="宋体" w:eastAsia="宋体" w:hint="default"/>
          <w:sz w:val="18"/>
          <w:szCs w:val="18"/>
        </w:rPr>
        <w:t>□ 适用 √ 不适用 公司主要供应商情况</w:t>
      </w:r>
    </w:p>
    <w:tbl>
      <w:tblPr>
        <w:tblW w:w="0" w:type="auto"/>
        <w:jc w:val="left"/>
        <w:tblInd w:w="109" w:type="dxa"/>
        <w:tblLayout w:type="fixed"/>
        <w:tblCellMar>
          <w:top w:w="0" w:type="dxa"/>
          <w:left w:w="0" w:type="dxa"/>
          <w:bottom w:w="0" w:type="dxa"/>
          <w:right w:w="0" w:type="dxa"/>
        </w:tblCellMar>
        <w:tblLook w:val="01E0"/>
      </w:tblPr>
      <w:tblGrid>
        <w:gridCol w:w="4258"/>
        <w:gridCol w:w="5311"/>
      </w:tblGrid>
      <w:tr>
        <w:trPr>
          <w:trHeight w:val="403"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前五名供应商合计采购金额（元）</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133,726,827.73</w:t>
            </w:r>
          </w:p>
        </w:tc>
      </w:tr>
      <w:tr>
        <w:trPr>
          <w:trHeight w:val="401"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前五名供应商合计采购金额占年度采购总额比例</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38.32%</w:t>
            </w:r>
          </w:p>
        </w:tc>
      </w:tr>
      <w:tr>
        <w:trPr>
          <w:trHeight w:val="402" w:hRule="exact"/>
        </w:trPr>
        <w:tc>
          <w:tcPr>
            <w:tcW w:w="42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z w:val="18"/>
                <w:szCs w:val="18"/>
              </w:rPr>
              <w:t>前五名供应商采购额中关联方采购额占年度采购总</w:t>
            </w:r>
          </w:p>
        </w:tc>
        <w:tc>
          <w:tcPr>
            <w:tcW w:w="53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822" w:footer="1019" w:top="1140" w:bottom="1200" w:left="1020" w:right="0"/>
        </w:sectPr>
      </w:pPr>
    </w:p>
    <w:p>
      <w:pPr>
        <w:spacing w:line="240" w:lineRule="auto" w:before="5"/>
        <w:rPr>
          <w:rFonts w:ascii="宋体" w:hAnsi="宋体" w:cs="宋体" w:eastAsia="宋体" w:hint="default"/>
          <w:sz w:val="22"/>
          <w:szCs w:val="22"/>
        </w:rPr>
      </w:pPr>
    </w:p>
    <w:p>
      <w:pPr>
        <w:spacing w:line="381" w:lineRule="exact"/>
        <w:ind w:left="10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19.1pt;mso-position-horizontal-relative:char;mso-position-vertical-relative:line" coordorigin="0,0" coordsize="9579,382">
            <v:group style="position:absolute;left:10;top:14;width:104;height:353" coordorigin="10,14" coordsize="104,353">
              <v:shape style="position:absolute;left:10;top:14;width:104;height:353" coordorigin="10,14" coordsize="104,353" path="m10,367l113,367,113,14,10,14,10,367xe" filled="true" fillcolor="#d2d2d2" stroked="false">
                <v:path arrowok="t"/>
                <v:fill type="solid"/>
              </v:shape>
            </v:group>
            <v:group style="position:absolute;left:4154;top:14;width:104;height:353" coordorigin="4154,14" coordsize="104,353">
              <v:shape style="position:absolute;left:4154;top:14;width:104;height:353" coordorigin="4154,14" coordsize="104,353" path="m4154,367l4257,367,4257,14,4154,14,4154,367xe" filled="true" fillcolor="#d2d2d2" stroked="false">
                <v:path arrowok="t"/>
                <v:fill type="solid"/>
              </v:shape>
            </v:group>
            <v:group style="position:absolute;left:113;top:14;width:4042;height:353" coordorigin="113,14" coordsize="4042,353">
              <v:shape style="position:absolute;left:113;top:14;width:4042;height:353" coordorigin="113,14" coordsize="4042,353" path="m113,367l4154,367,4154,14,113,14,113,367xe" filled="true" fillcolor="#d2d2d2" stroked="false">
                <v:path arrowok="t"/>
                <v:fill type="solid"/>
              </v:shape>
            </v:group>
            <v:group style="position:absolute;left:10;top:10;width:4249;height:2" coordorigin="10,10" coordsize="4249,2">
              <v:shape style="position:absolute;left:10;top:10;width:4249;height:2" coordorigin="10,10" coordsize="4249,0" path="m10,10l4258,10e" filled="false" stroked="true" strokeweight=".48pt" strokecolor="#000000">
                <v:path arrowok="t"/>
              </v:shape>
            </v:group>
            <v:group style="position:absolute;left:4268;top:10;width:5301;height:2" coordorigin="4268,10" coordsize="5301,2">
              <v:shape style="position:absolute;left:4268;top:10;width:5301;height:2" coordorigin="4268,10" coordsize="5301,0" path="m4268,10l9569,10e" filled="false" stroked="true" strokeweight=".48pt" strokecolor="#000000">
                <v:path arrowok="t"/>
              </v:shape>
            </v:group>
            <v:group style="position:absolute;left:5;top:5;width:2;height:372" coordorigin="5,5" coordsize="2,372">
              <v:shape style="position:absolute;left:5;top:5;width:2;height:372" coordorigin="5,5" coordsize="0,372" path="m5,5l5,377e" filled="false" stroked="true" strokeweight=".48pt" strokecolor="#000000">
                <v:path arrowok="t"/>
              </v:shape>
            </v:group>
            <v:group style="position:absolute;left:10;top:372;width:4249;height:2" coordorigin="10,372" coordsize="4249,2">
              <v:shape style="position:absolute;left:10;top:372;width:4249;height:2" coordorigin="10,372" coordsize="4249,0" path="m10,372l4258,372e" filled="false" stroked="true" strokeweight=".48pt" strokecolor="#000000">
                <v:path arrowok="t"/>
              </v:shape>
            </v:group>
            <v:group style="position:absolute;left:4263;top:5;width:2;height:372" coordorigin="4263,5" coordsize="2,372">
              <v:shape style="position:absolute;left:4263;top:5;width:2;height:372" coordorigin="4263,5" coordsize="0,372" path="m4263,5l4263,377e" filled="false" stroked="true" strokeweight=".47998pt" strokecolor="#000000">
                <v:path arrowok="t"/>
              </v:shape>
            </v:group>
            <v:group style="position:absolute;left:4268;top:372;width:5301;height:2" coordorigin="4268,372" coordsize="5301,2">
              <v:shape style="position:absolute;left:4268;top:372;width:5301;height:2" coordorigin="4268,372" coordsize="5301,0" path="m4268,372l9569,372e" filled="false" stroked="true" strokeweight=".48pt" strokecolor="#000000">
                <v:path arrowok="t"/>
              </v:shape>
            </v:group>
            <v:group style="position:absolute;left:9574;top:5;width:2;height:372" coordorigin="9574,5" coordsize="2,372">
              <v:shape style="position:absolute;left:9574;top:5;width:2;height:372" coordorigin="9574,5" coordsize="0,372" path="m9574,5l9574,377e" filled="false" stroked="true" strokeweight=".48004pt" strokecolor="#000000">
                <v:path arrowok="t"/>
              </v:shape>
              <v:shape style="position:absolute;left:5;top:10;width:4258;height:363" type="#_x0000_t202" filled="false" stroked="false">
                <v:textbox inset="0,0,0,0">
                  <w:txbxContent>
                    <w:p>
                      <w:pPr>
                        <w:spacing w:before="16"/>
                        <w:ind w:left="107" w:right="0" w:firstLine="0"/>
                        <w:jc w:val="left"/>
                        <w:rPr>
                          <w:rFonts w:ascii="宋体" w:hAnsi="宋体" w:cs="宋体" w:eastAsia="宋体" w:hint="default"/>
                          <w:sz w:val="18"/>
                          <w:szCs w:val="18"/>
                        </w:rPr>
                      </w:pPr>
                      <w:r>
                        <w:rPr>
                          <w:rFonts w:ascii="宋体" w:hAnsi="宋体" w:cs="宋体" w:eastAsia="宋体" w:hint="default"/>
                          <w:sz w:val="18"/>
                          <w:szCs w:val="18"/>
                        </w:rPr>
                        <w:t>额比例</w:t>
                      </w:r>
                    </w:p>
                  </w:txbxContent>
                </v:textbox>
                <w10:wrap type="none"/>
              </v:shape>
            </v:group>
          </v:group>
        </w:pict>
      </w:r>
      <w:r>
        <w:rPr>
          <w:rFonts w:ascii="宋体" w:hAnsi="宋体" w:cs="宋体" w:eastAsia="宋体" w:hint="default"/>
          <w:position w:val="-7"/>
          <w:sz w:val="20"/>
          <w:szCs w:val="20"/>
        </w:rPr>
      </w:r>
    </w:p>
    <w:p>
      <w:pPr>
        <w:spacing w:before="47"/>
        <w:ind w:left="11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名供应商资料</w:t>
      </w:r>
    </w:p>
    <w:p>
      <w:pPr>
        <w:spacing w:line="240" w:lineRule="auto" w:before="0"/>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935"/>
        <w:gridCol w:w="3168"/>
        <w:gridCol w:w="2322"/>
        <w:gridCol w:w="3143"/>
      </w:tblGrid>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2" w:right="0"/>
              <w:jc w:val="left"/>
              <w:rPr>
                <w:rFonts w:ascii="宋体" w:hAnsi="宋体" w:cs="宋体" w:eastAsia="宋体" w:hint="default"/>
                <w:sz w:val="18"/>
                <w:szCs w:val="18"/>
              </w:rPr>
            </w:pPr>
            <w:r>
              <w:rPr>
                <w:rFonts w:ascii="宋体" w:hAnsi="宋体" w:cs="宋体" w:eastAsia="宋体" w:hint="default"/>
                <w:sz w:val="18"/>
                <w:szCs w:val="18"/>
              </w:rPr>
              <w:t>序号</w:t>
            </w:r>
          </w:p>
        </w:tc>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供应商名称</w:t>
            </w:r>
          </w:p>
        </w:tc>
        <w:tc>
          <w:tcPr>
            <w:tcW w:w="23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15" w:right="0"/>
              <w:jc w:val="left"/>
              <w:rPr>
                <w:rFonts w:ascii="宋体" w:hAnsi="宋体" w:cs="宋体" w:eastAsia="宋体" w:hint="default"/>
                <w:sz w:val="18"/>
                <w:szCs w:val="18"/>
              </w:rPr>
            </w:pPr>
            <w:r>
              <w:rPr>
                <w:rFonts w:ascii="宋体" w:hAnsi="宋体" w:cs="宋体" w:eastAsia="宋体" w:hint="default"/>
                <w:sz w:val="18"/>
                <w:szCs w:val="18"/>
              </w:rPr>
              <w:t>采购额（元）</w:t>
            </w:r>
          </w:p>
        </w:tc>
        <w:tc>
          <w:tcPr>
            <w:tcW w:w="314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6" w:right="0"/>
              <w:jc w:val="left"/>
              <w:rPr>
                <w:rFonts w:ascii="宋体" w:hAnsi="宋体" w:cs="宋体" w:eastAsia="宋体" w:hint="default"/>
                <w:sz w:val="18"/>
                <w:szCs w:val="18"/>
              </w:rPr>
            </w:pPr>
            <w:r>
              <w:rPr>
                <w:rFonts w:ascii="宋体" w:hAnsi="宋体" w:cs="宋体" w:eastAsia="宋体" w:hint="default"/>
                <w:sz w:val="18"/>
                <w:szCs w:val="18"/>
              </w:rPr>
              <w:t>占年度采购总额比例</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81,805,432.90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23.44%</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20,740,500.00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5.94%</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3</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12,328,099.77</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3.53%</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4</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10,462,795.06</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3.00%</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w:t>
            </w:r>
          </w:p>
        </w:tc>
        <w:tc>
          <w:tcPr>
            <w:tcW w:w="3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8,390,000.00</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2.40%</w:t>
            </w:r>
          </w:p>
        </w:tc>
      </w:tr>
      <w:tr>
        <w:trPr>
          <w:trHeight w:val="402" w:hRule="exact"/>
        </w:trPr>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133,726,827.73</w:t>
            </w:r>
          </w:p>
        </w:tc>
        <w:tc>
          <w:tcPr>
            <w:tcW w:w="31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38.32%</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主要供应商其他情况说明</w:t>
      </w:r>
    </w:p>
    <w:p>
      <w:pPr>
        <w:spacing w:before="117"/>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费用" w:id="35"/>
      <w:bookmarkEnd w:id="35"/>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、费用</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16"/>
        <w:gridCol w:w="1637"/>
        <w:gridCol w:w="1637"/>
        <w:gridCol w:w="1462"/>
        <w:gridCol w:w="2918"/>
      </w:tblGrid>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2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4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6" w:right="0"/>
              <w:jc w:val="left"/>
              <w:rPr>
                <w:rFonts w:ascii="宋体" w:hAnsi="宋体" w:cs="宋体" w:eastAsia="宋体" w:hint="default"/>
                <w:sz w:val="18"/>
                <w:szCs w:val="18"/>
              </w:rPr>
            </w:pPr>
            <w:r>
              <w:rPr>
                <w:rFonts w:ascii="宋体" w:hAnsi="宋体" w:cs="宋体" w:eastAsia="宋体" w:hint="default"/>
                <w:sz w:val="18"/>
                <w:szCs w:val="18"/>
              </w:rPr>
              <w:t>同比增减</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4"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9" w:right="0"/>
              <w:jc w:val="left"/>
              <w:rPr>
                <w:rFonts w:ascii="Times New Roman" w:hAnsi="Times New Roman" w:cs="Times New Roman" w:eastAsia="Times New Roman" w:hint="default"/>
                <w:sz w:val="18"/>
                <w:szCs w:val="18"/>
              </w:rPr>
            </w:pPr>
            <w:r>
              <w:rPr>
                <w:rFonts w:ascii="Times New Roman"/>
                <w:sz w:val="18"/>
              </w:rPr>
              <w:t>55,571,530.43</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0" w:right="0"/>
              <w:jc w:val="left"/>
              <w:rPr>
                <w:rFonts w:ascii="Times New Roman" w:hAnsi="Times New Roman" w:cs="Times New Roman" w:eastAsia="Times New Roman" w:hint="default"/>
                <w:sz w:val="18"/>
                <w:szCs w:val="18"/>
              </w:rPr>
            </w:pPr>
            <w:r>
              <w:rPr>
                <w:rFonts w:ascii="Times New Roman"/>
                <w:sz w:val="18"/>
              </w:rPr>
              <w:t>50,473,733.18</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10.10%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无重大变动</w:t>
            </w: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9" w:right="0"/>
              <w:jc w:val="left"/>
              <w:rPr>
                <w:rFonts w:ascii="Times New Roman" w:hAnsi="Times New Roman" w:cs="Times New Roman" w:eastAsia="Times New Roman" w:hint="default"/>
                <w:sz w:val="18"/>
                <w:szCs w:val="18"/>
              </w:rPr>
            </w:pPr>
            <w:r>
              <w:rPr>
                <w:rFonts w:ascii="Times New Roman"/>
                <w:sz w:val="18"/>
              </w:rPr>
              <w:t>77,494,036.13</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0" w:right="0"/>
              <w:jc w:val="left"/>
              <w:rPr>
                <w:rFonts w:ascii="Times New Roman" w:hAnsi="Times New Roman" w:cs="Times New Roman" w:eastAsia="Times New Roman" w:hint="default"/>
                <w:sz w:val="18"/>
                <w:szCs w:val="18"/>
              </w:rPr>
            </w:pPr>
            <w:r>
              <w:rPr>
                <w:rFonts w:ascii="Times New Roman"/>
                <w:sz w:val="18"/>
              </w:rPr>
              <w:t>71,071,012.86</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9.04%</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无重大变动</w:t>
            </w: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9" w:right="0"/>
              <w:jc w:val="left"/>
              <w:rPr>
                <w:rFonts w:ascii="Times New Roman" w:hAnsi="Times New Roman" w:cs="Times New Roman" w:eastAsia="Times New Roman" w:hint="default"/>
                <w:sz w:val="18"/>
                <w:szCs w:val="18"/>
              </w:rPr>
            </w:pPr>
            <w:r>
              <w:rPr>
                <w:rFonts w:ascii="Times New Roman"/>
                <w:sz w:val="18"/>
              </w:rPr>
              <w:t>10,339,731.46</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80" w:right="0"/>
              <w:jc w:val="left"/>
              <w:rPr>
                <w:rFonts w:ascii="Times New Roman" w:hAnsi="Times New Roman" w:cs="Times New Roman" w:eastAsia="Times New Roman" w:hint="default"/>
                <w:sz w:val="18"/>
                <w:szCs w:val="18"/>
              </w:rPr>
            </w:pPr>
            <w:r>
              <w:rPr>
                <w:rFonts w:ascii="Times New Roman"/>
                <w:sz w:val="18"/>
              </w:rPr>
              <w:t>9,964,491.38</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3.77%</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无重大变动</w:t>
            </w:r>
          </w:p>
        </w:tc>
      </w:tr>
      <w:tr>
        <w:trPr>
          <w:trHeight w:val="402" w:hRule="exact"/>
        </w:trPr>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89" w:right="0"/>
              <w:jc w:val="left"/>
              <w:rPr>
                <w:rFonts w:ascii="Times New Roman" w:hAnsi="Times New Roman" w:cs="Times New Roman" w:eastAsia="Times New Roman" w:hint="default"/>
                <w:sz w:val="18"/>
                <w:szCs w:val="18"/>
              </w:rPr>
            </w:pPr>
            <w:r>
              <w:rPr>
                <w:rFonts w:ascii="Times New Roman"/>
                <w:sz w:val="18"/>
              </w:rPr>
              <w:t>65,700,762.42</w:t>
            </w:r>
          </w:p>
        </w:tc>
        <w:tc>
          <w:tcPr>
            <w:tcW w:w="16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90" w:right="0"/>
              <w:jc w:val="left"/>
              <w:rPr>
                <w:rFonts w:ascii="Times New Roman" w:hAnsi="Times New Roman" w:cs="Times New Roman" w:eastAsia="Times New Roman" w:hint="default"/>
                <w:sz w:val="18"/>
                <w:szCs w:val="18"/>
              </w:rPr>
            </w:pPr>
            <w:r>
              <w:rPr>
                <w:rFonts w:ascii="Times New Roman"/>
                <w:sz w:val="18"/>
              </w:rPr>
              <w:t>60,496,925.34</w:t>
            </w:r>
          </w:p>
        </w:tc>
        <w:tc>
          <w:tcPr>
            <w:tcW w:w="14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8.60%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无重大变动</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4、研发投入" w:id="36"/>
      <w:bookmarkEnd w:id="36"/>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、研发投入</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57" w:lineRule="auto" w:before="0"/>
        <w:ind w:left="474" w:right="1212" w:hanging="360"/>
        <w:jc w:val="left"/>
        <w:rPr>
          <w:rFonts w:ascii="宋体" w:hAnsi="宋体" w:cs="宋体" w:eastAsia="宋体" w:hint="default"/>
          <w:sz w:val="18"/>
          <w:szCs w:val="18"/>
        </w:rPr>
      </w:pPr>
      <w:r>
        <w:rPr>
          <w:rFonts w:ascii="宋体" w:hAnsi="宋体" w:cs="宋体" w:eastAsia="宋体" w:hint="default"/>
          <w:sz w:val="18"/>
          <w:szCs w:val="18"/>
        </w:rPr>
        <w:t>√ 适用 □ 不适用 科技创新是公司发展的源动力，报告期内，公司持续加大研发投入力度，增强自主创新能力，累计投入研发经费</w:t>
      </w:r>
      <w:r>
        <w:rPr>
          <w:rFonts w:ascii="宋体" w:hAnsi="宋体" w:cs="宋体" w:eastAsia="宋体" w:hint="default"/>
          <w:sz w:val="18"/>
          <w:szCs w:val="18"/>
        </w:rPr>
        <w:t>6007</w:t>
      </w:r>
    </w:p>
    <w:p>
      <w:pPr>
        <w:spacing w:line="224" w:lineRule="exact"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万元，约占营业收入的</w:t>
      </w:r>
      <w:r>
        <w:rPr>
          <w:rFonts w:ascii="宋体" w:hAnsi="宋体" w:cs="宋体" w:eastAsia="宋体" w:hint="default"/>
          <w:sz w:val="18"/>
          <w:szCs w:val="18"/>
        </w:rPr>
        <w:t>8.50%</w:t>
      </w:r>
      <w:r>
        <w:rPr>
          <w:rFonts w:ascii="宋体" w:hAnsi="宋体" w:cs="宋体" w:eastAsia="宋体" w:hint="default"/>
          <w:sz w:val="18"/>
          <w:szCs w:val="18"/>
        </w:rPr>
        <w:t>，较上年同期增长</w:t>
      </w:r>
      <w:r>
        <w:rPr>
          <w:rFonts w:ascii="宋体" w:hAnsi="宋体" w:cs="宋体" w:eastAsia="宋体" w:hint="default"/>
          <w:sz w:val="18"/>
          <w:szCs w:val="18"/>
        </w:rPr>
        <w:t>12.77%</w:t>
      </w:r>
      <w:r>
        <w:rPr>
          <w:rFonts w:ascii="宋体" w:hAnsi="宋体" w:cs="宋体" w:eastAsia="宋体" w:hint="default"/>
          <w:sz w:val="18"/>
          <w:szCs w:val="18"/>
        </w:rPr>
        <w:t>。公司各项研发及创新工作按计划顺利开展，截止报告期末，公司及</w:t>
      </w:r>
    </w:p>
    <w:p>
      <w:pPr>
        <w:spacing w:line="316" w:lineRule="auto" w:before="76"/>
        <w:ind w:left="114" w:right="0" w:firstLine="0"/>
        <w:jc w:val="left"/>
        <w:rPr>
          <w:rFonts w:ascii="宋体" w:hAnsi="宋体" w:cs="宋体" w:eastAsia="宋体" w:hint="default"/>
          <w:sz w:val="18"/>
          <w:szCs w:val="18"/>
        </w:rPr>
      </w:pPr>
      <w:r>
        <w:rPr>
          <w:rFonts w:ascii="宋体" w:hAnsi="宋体" w:cs="宋体" w:eastAsia="宋体" w:hint="default"/>
          <w:spacing w:val="-2"/>
          <w:sz w:val="18"/>
          <w:szCs w:val="18"/>
        </w:rPr>
        <w:t>其子公司共取得国家知识产权局专利授权</w:t>
      </w:r>
      <w:r>
        <w:rPr>
          <w:rFonts w:ascii="宋体" w:hAnsi="宋体" w:cs="宋体" w:eastAsia="宋体" w:hint="default"/>
          <w:spacing w:val="-2"/>
          <w:sz w:val="18"/>
          <w:szCs w:val="18"/>
        </w:rPr>
        <w:t>17</w:t>
      </w:r>
      <w:r>
        <w:rPr>
          <w:rFonts w:ascii="宋体" w:hAnsi="宋体" w:cs="宋体" w:eastAsia="宋体" w:hint="default"/>
          <w:spacing w:val="-2"/>
          <w:sz w:val="18"/>
          <w:szCs w:val="18"/>
        </w:rPr>
        <w:t>项，计算机软件著作权</w:t>
      </w:r>
      <w:r>
        <w:rPr>
          <w:rFonts w:ascii="宋体" w:hAnsi="宋体" w:cs="宋体" w:eastAsia="宋体" w:hint="default"/>
          <w:spacing w:val="-2"/>
          <w:sz w:val="18"/>
          <w:szCs w:val="18"/>
        </w:rPr>
        <w:t>409</w:t>
      </w:r>
      <w:r>
        <w:rPr>
          <w:rFonts w:ascii="宋体" w:hAnsi="宋体" w:cs="宋体" w:eastAsia="宋体" w:hint="default"/>
          <w:spacing w:val="-2"/>
          <w:sz w:val="18"/>
          <w:szCs w:val="18"/>
        </w:rPr>
        <w:t>项，软件产品登记证书</w:t>
      </w:r>
      <w:r>
        <w:rPr>
          <w:rFonts w:ascii="宋体" w:hAnsi="宋体" w:cs="宋体" w:eastAsia="宋体" w:hint="default"/>
          <w:spacing w:val="-2"/>
          <w:sz w:val="18"/>
          <w:szCs w:val="18"/>
        </w:rPr>
        <w:t>279</w:t>
      </w:r>
      <w:r>
        <w:rPr>
          <w:rFonts w:ascii="宋体" w:hAnsi="宋体" w:cs="宋体" w:eastAsia="宋体" w:hint="default"/>
          <w:spacing w:val="-2"/>
          <w:sz w:val="18"/>
          <w:szCs w:val="18"/>
        </w:rPr>
        <w:t>项，高新成果转化</w:t>
      </w:r>
      <w:r>
        <w:rPr>
          <w:rFonts w:ascii="宋体" w:hAnsi="宋体" w:cs="宋体" w:eastAsia="宋体" w:hint="default"/>
          <w:spacing w:val="-2"/>
          <w:sz w:val="18"/>
          <w:szCs w:val="18"/>
        </w:rPr>
        <w:t>20</w:t>
      </w:r>
      <w:r>
        <w:rPr>
          <w:rFonts w:ascii="宋体" w:hAnsi="宋体" w:cs="宋体" w:eastAsia="宋体" w:hint="default"/>
          <w:spacing w:val="-2"/>
          <w:sz w:val="18"/>
          <w:szCs w:val="18"/>
        </w:rPr>
        <w:t>项。作</w:t>
      </w:r>
      <w:r>
        <w:rPr>
          <w:rFonts w:ascii="宋体" w:hAnsi="宋体" w:cs="宋体" w:eastAsia="宋体" w:hint="default"/>
          <w:spacing w:val="-57"/>
          <w:sz w:val="18"/>
          <w:szCs w:val="18"/>
        </w:rPr>
        <w:t> </w:t>
      </w:r>
      <w:r>
        <w:rPr>
          <w:rFonts w:ascii="宋体" w:hAnsi="宋体" w:cs="宋体" w:eastAsia="宋体" w:hint="default"/>
          <w:spacing w:val="-57"/>
          <w:sz w:val="18"/>
          <w:szCs w:val="18"/>
        </w:rPr>
      </w:r>
      <w:r>
        <w:rPr>
          <w:rFonts w:ascii="宋体" w:hAnsi="宋体" w:cs="宋体" w:eastAsia="宋体" w:hint="default"/>
          <w:spacing w:val="-4"/>
          <w:sz w:val="18"/>
          <w:szCs w:val="18"/>
        </w:rPr>
        <w:t>为较早进入行业的企业，我司建立了完备的软件开发与测试体系，具有领先的研发创新能力。公司逐年加大科研经费的投入，</w:t>
      </w:r>
      <w:r>
        <w:rPr>
          <w:rFonts w:ascii="宋体" w:hAnsi="宋体" w:cs="宋体" w:eastAsia="宋体" w:hint="default"/>
          <w:spacing w:val="-44"/>
          <w:sz w:val="18"/>
          <w:szCs w:val="18"/>
        </w:rPr>
        <w:t> </w:t>
      </w:r>
      <w:r>
        <w:rPr>
          <w:rFonts w:ascii="宋体" w:hAnsi="宋体" w:cs="宋体" w:eastAsia="宋体" w:hint="default"/>
          <w:spacing w:val="-44"/>
          <w:sz w:val="18"/>
          <w:szCs w:val="18"/>
        </w:rPr>
      </w:r>
      <w:r>
        <w:rPr>
          <w:rFonts w:ascii="宋体" w:hAnsi="宋体" w:cs="宋体" w:eastAsia="宋体" w:hint="default"/>
          <w:sz w:val="18"/>
          <w:szCs w:val="18"/>
        </w:rPr>
        <w:t>加强研发队伍的建设。</w:t>
      </w:r>
    </w:p>
    <w:p>
      <w:pPr>
        <w:spacing w:before="59"/>
        <w:ind w:left="114" w:right="0" w:firstLine="0"/>
        <w:jc w:val="left"/>
        <w:rPr>
          <w:rFonts w:ascii="宋体" w:hAnsi="宋体" w:cs="宋体" w:eastAsia="宋体" w:hint="default"/>
          <w:sz w:val="18"/>
          <w:szCs w:val="18"/>
        </w:rPr>
      </w:pPr>
      <w:r>
        <w:rPr>
          <w:rFonts w:ascii="宋体" w:hAnsi="宋体" w:cs="宋体" w:eastAsia="宋体" w:hint="default"/>
          <w:sz w:val="18"/>
          <w:szCs w:val="18"/>
        </w:rPr>
        <w:t>近三年公司研发投入金额及占营业收入的比例</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3"/>
        <w:gridCol w:w="2392"/>
        <w:gridCol w:w="2392"/>
      </w:tblGrid>
      <w:tr>
        <w:trPr>
          <w:trHeight w:val="401"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研发人员数量（人）</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524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479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506</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研发人员数量占比</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27.92%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27.40%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28.62%</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研发投入金额（元）</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60,071,103.51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53,268,049.93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54,709,983.30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研发投入占营业收入比例</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8.50%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9.44%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10.50%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研发支出资本化的金</w:t>
            </w:r>
            <w:r>
              <w:rPr>
                <w:rFonts w:ascii="宋体" w:hAnsi="宋体" w:cs="宋体" w:eastAsia="宋体" w:hint="default"/>
                <w:spacing w:val="-75"/>
                <w:sz w:val="18"/>
                <w:szCs w:val="18"/>
              </w:rPr>
              <w:t>额</w:t>
            </w:r>
            <w:r>
              <w:rPr>
                <w:rFonts w:ascii="宋体" w:hAnsi="宋体" w:cs="宋体" w:eastAsia="宋体" w:hint="default"/>
                <w:sz w:val="18"/>
                <w:szCs w:val="18"/>
              </w:rPr>
              <w:t>（元）</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0.00</w:t>
            </w:r>
          </w:p>
        </w:tc>
      </w:tr>
      <w:tr>
        <w:trPr>
          <w:trHeight w:val="715"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17"/>
              <w:jc w:val="left"/>
              <w:rPr>
                <w:rFonts w:ascii="宋体" w:hAnsi="宋体" w:cs="宋体" w:eastAsia="宋体" w:hint="default"/>
                <w:sz w:val="18"/>
                <w:szCs w:val="18"/>
              </w:rPr>
            </w:pPr>
            <w:r>
              <w:rPr>
                <w:rFonts w:ascii="宋体" w:hAnsi="宋体" w:cs="宋体" w:eastAsia="宋体" w:hint="default"/>
                <w:sz w:val="18"/>
                <w:szCs w:val="18"/>
              </w:rPr>
              <w:t>资本化研发支出占研发投入 的比例</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822"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2392"/>
        <w:gridCol w:w="2393"/>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资本化研发支出占当期净利 润的比重</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right"/>
        <w:rPr>
          <w:rFonts w:ascii="Times New Roman" w:hAnsi="Times New Roman" w:cs="Times New Roman" w:eastAsia="Times New Roman" w:hint="default"/>
          <w:sz w:val="18"/>
          <w:szCs w:val="18"/>
        </w:rPr>
        <w:sectPr>
          <w:pgSz w:w="11910" w:h="16840"/>
          <w:pgMar w:header="822" w:footer="1019" w:top="1140" w:bottom="1200" w:left="1020" w:right="0"/>
        </w:sectPr>
      </w:pPr>
    </w:p>
    <w:p>
      <w:pPr>
        <w:spacing w:before="51"/>
        <w:ind w:left="114" w:right="-19" w:firstLine="0"/>
        <w:jc w:val="left"/>
        <w:rPr>
          <w:rFonts w:ascii="宋体" w:hAnsi="宋体" w:cs="宋体" w:eastAsia="宋体" w:hint="default"/>
          <w:sz w:val="18"/>
          <w:szCs w:val="18"/>
        </w:rPr>
      </w:pPr>
      <w:r>
        <w:rPr>
          <w:rFonts w:ascii="宋体" w:hAnsi="宋体" w:cs="宋体" w:eastAsia="宋体" w:hint="default"/>
          <w:sz w:val="18"/>
          <w:szCs w:val="18"/>
        </w:rPr>
        <w:t>研发投入总额占营业收入的比重较上年发生显著变化的原因</w:t>
      </w:r>
    </w:p>
    <w:p>
      <w:pPr>
        <w:spacing w:line="357" w:lineRule="auto" w:before="117"/>
        <w:ind w:left="114" w:right="4930" w:firstLine="0"/>
        <w:jc w:val="left"/>
        <w:rPr>
          <w:rFonts w:ascii="宋体" w:hAnsi="宋体" w:cs="宋体" w:eastAsia="宋体" w:hint="default"/>
          <w:sz w:val="18"/>
          <w:szCs w:val="18"/>
        </w:rPr>
      </w:pPr>
      <w:r>
        <w:rPr>
          <w:rFonts w:ascii="宋体" w:hAnsi="宋体" w:cs="宋体" w:eastAsia="宋体" w:hint="default"/>
          <w:sz w:val="18"/>
          <w:szCs w:val="18"/>
        </w:rPr>
        <w:t>□ 适用 √ 不适用 研发投入资本化率大幅变动的原因及其合理性说明</w:t>
      </w:r>
    </w:p>
    <w:p>
      <w:pPr>
        <w:spacing w:before="29"/>
        <w:ind w:left="114" w:right="583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114" w:right="-19"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号——上市公司从事软件与信息技术服务业务》的披露要求</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12"/>
          <w:szCs w:val="12"/>
        </w:rPr>
      </w:pPr>
    </w:p>
    <w:p>
      <w:pPr>
        <w:spacing w:before="0"/>
        <w:ind w:left="-32"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140" w:bottom="1200" w:left="1020" w:right="0"/>
          <w:cols w:num="2" w:equalWidth="0">
            <w:col w:w="9025" w:space="40"/>
            <w:col w:w="1825"/>
          </w:cols>
        </w:sectPr>
      </w:pP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60" w:right="0"/>
              <w:jc w:val="left"/>
              <w:rPr>
                <w:rFonts w:ascii="宋体" w:hAnsi="宋体" w:cs="宋体" w:eastAsia="宋体" w:hint="default"/>
                <w:sz w:val="18"/>
                <w:szCs w:val="18"/>
              </w:rPr>
            </w:pPr>
            <w:r>
              <w:rPr>
                <w:rFonts w:ascii="宋体" w:hAnsi="宋体" w:cs="宋体" w:eastAsia="宋体" w:hint="default"/>
                <w:sz w:val="18"/>
                <w:szCs w:val="18"/>
              </w:rPr>
              <w:t>研发资本化金额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0" w:right="0"/>
              <w:jc w:val="left"/>
              <w:rPr>
                <w:rFonts w:ascii="宋体" w:hAnsi="宋体" w:cs="宋体" w:eastAsia="宋体" w:hint="default"/>
                <w:sz w:val="18"/>
                <w:szCs w:val="18"/>
              </w:rPr>
            </w:pPr>
            <w:r>
              <w:rPr>
                <w:rFonts w:ascii="宋体" w:hAnsi="宋体" w:cs="宋体" w:eastAsia="宋体" w:hint="default"/>
                <w:sz w:val="18"/>
                <w:szCs w:val="18"/>
              </w:rPr>
              <w:t>相关项目的基本情况</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实施进度</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5、现金流" w:id="37"/>
      <w:bookmarkEnd w:id="37"/>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、现金流</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3"/>
        <w:gridCol w:w="2392"/>
        <w:gridCol w:w="2392"/>
      </w:tblGrid>
      <w:tr>
        <w:trPr>
          <w:trHeight w:val="401"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同比增减</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824,017,895.12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622,143,829.14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32.45%</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820,005,477.26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613,933,629.06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33.57%</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17"/>
              <w:jc w:val="left"/>
              <w:rPr>
                <w:rFonts w:ascii="宋体" w:hAnsi="宋体" w:cs="宋体" w:eastAsia="宋体" w:hint="default"/>
                <w:sz w:val="18"/>
                <w:szCs w:val="18"/>
              </w:rPr>
            </w:pPr>
            <w:r>
              <w:rPr>
                <w:rFonts w:ascii="宋体" w:hAnsi="宋体" w:cs="宋体" w:eastAsia="宋体" w:hint="default"/>
                <w:sz w:val="18"/>
                <w:szCs w:val="18"/>
              </w:rPr>
              <w:t>经营活动产生的现金流量净 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4,012,417.86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8,210,200.08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-51.13%</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67,500.00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-93.25%</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64,297,378.86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113,998,833.90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-43.60%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17"/>
              <w:jc w:val="left"/>
              <w:rPr>
                <w:rFonts w:ascii="宋体" w:hAnsi="宋体" w:cs="宋体" w:eastAsia="宋体" w:hint="default"/>
                <w:sz w:val="18"/>
                <w:szCs w:val="18"/>
              </w:rPr>
            </w:pPr>
            <w:r>
              <w:rPr>
                <w:rFonts w:ascii="宋体" w:hAnsi="宋体" w:cs="宋体" w:eastAsia="宋体" w:hint="default"/>
                <w:sz w:val="18"/>
                <w:szCs w:val="18"/>
              </w:rPr>
              <w:t>投资活动产生的现金流量净 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-64,229,878.86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-112,998,833.90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43.16%</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340,947,130.00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415,000,000.00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-17.84%</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295,658,999.42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272,526,157.20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8.49%</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17"/>
              <w:jc w:val="left"/>
              <w:rPr>
                <w:rFonts w:ascii="宋体" w:hAnsi="宋体" w:cs="宋体" w:eastAsia="宋体" w:hint="default"/>
                <w:sz w:val="18"/>
                <w:szCs w:val="18"/>
              </w:rPr>
            </w:pPr>
            <w:r>
              <w:rPr>
                <w:rFonts w:ascii="宋体" w:hAnsi="宋体" w:cs="宋体" w:eastAsia="宋体" w:hint="default"/>
                <w:sz w:val="18"/>
                <w:szCs w:val="18"/>
              </w:rPr>
              <w:t>筹资活动产生的现金流量净 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45,288,130.58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142,473,842.80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-68.21%</w:t>
            </w:r>
          </w:p>
        </w:tc>
      </w:tr>
      <w:tr>
        <w:trPr>
          <w:trHeight w:val="403"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-14,929,330.42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37,685,208.98</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w w:val="95"/>
                <w:sz w:val="18"/>
              </w:rPr>
              <w:t>-139.62%</w:t>
            </w:r>
            <w:r>
              <w:rPr>
                <w:rFonts w:ascii="Times New Roman"/>
                <w:sz w:val="18"/>
              </w:rPr>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相关数据同比发生重大变动的主要影响因素说明</w:t>
      </w:r>
    </w:p>
    <w:p>
      <w:pPr>
        <w:spacing w:line="357" w:lineRule="auto" w:before="116"/>
        <w:ind w:left="114" w:right="2562" w:firstLine="0"/>
        <w:jc w:val="left"/>
        <w:rPr>
          <w:rFonts w:ascii="宋体" w:hAnsi="宋体" w:cs="宋体" w:eastAsia="宋体" w:hint="default"/>
          <w:sz w:val="18"/>
          <w:szCs w:val="18"/>
        </w:rPr>
      </w:pPr>
      <w:r>
        <w:rPr>
          <w:rFonts w:ascii="宋体" w:hAnsi="宋体" w:cs="宋体" w:eastAsia="宋体" w:hint="default"/>
          <w:sz w:val="18"/>
          <w:szCs w:val="18"/>
        </w:rPr>
        <w:t>√ 适用 □ 不适用 </w:t>
      </w:r>
      <w:r>
        <w:rPr>
          <w:rFonts w:ascii="宋体" w:hAnsi="宋体" w:cs="宋体" w:eastAsia="宋体" w:hint="default"/>
          <w:sz w:val="18"/>
          <w:szCs w:val="18"/>
        </w:rPr>
        <w:t>1</w:t>
      </w:r>
      <w:r>
        <w:rPr>
          <w:rFonts w:ascii="宋体" w:hAnsi="宋体" w:cs="宋体" w:eastAsia="宋体" w:hint="default"/>
          <w:sz w:val="18"/>
          <w:szCs w:val="18"/>
        </w:rPr>
        <w:t>、经营活动产生的现金流量净额较上年同期下降</w:t>
      </w:r>
      <w:r>
        <w:rPr>
          <w:rFonts w:ascii="宋体" w:hAnsi="宋体" w:cs="宋体" w:eastAsia="宋体" w:hint="default"/>
          <w:sz w:val="18"/>
          <w:szCs w:val="18"/>
        </w:rPr>
        <w:t>51.13%</w:t>
      </w:r>
      <w:r>
        <w:rPr>
          <w:rFonts w:ascii="宋体" w:hAnsi="宋体" w:cs="宋体" w:eastAsia="宋体" w:hint="default"/>
          <w:sz w:val="18"/>
          <w:szCs w:val="18"/>
        </w:rPr>
        <w:t>，主要系购买商品、接受劳务支付的现金增加；</w:t>
      </w:r>
    </w:p>
    <w:p>
      <w:pPr>
        <w:spacing w:line="224" w:lineRule="exact"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2</w:t>
      </w:r>
      <w:r>
        <w:rPr>
          <w:rFonts w:ascii="宋体" w:hAnsi="宋体" w:cs="宋体" w:eastAsia="宋体" w:hint="default"/>
          <w:sz w:val="18"/>
          <w:szCs w:val="18"/>
        </w:rPr>
        <w:t>、投资活动产生的现金流量净额较上年同期增长</w:t>
      </w:r>
      <w:r>
        <w:rPr>
          <w:rFonts w:ascii="宋体" w:hAnsi="宋体" w:cs="宋体" w:eastAsia="宋体" w:hint="default"/>
          <w:sz w:val="18"/>
          <w:szCs w:val="18"/>
        </w:rPr>
        <w:t>43.16%</w:t>
      </w:r>
      <w:r>
        <w:rPr>
          <w:rFonts w:ascii="宋体" w:hAnsi="宋体" w:cs="宋体" w:eastAsia="宋体" w:hint="default"/>
          <w:sz w:val="18"/>
          <w:szCs w:val="18"/>
        </w:rPr>
        <w:t>，主要系在建厂房投入较去年同期减少；</w:t>
      </w:r>
    </w:p>
    <w:p>
      <w:pPr>
        <w:spacing w:line="360" w:lineRule="auto" w:before="76"/>
        <w:ind w:left="114" w:right="3102" w:firstLine="0"/>
        <w:jc w:val="left"/>
        <w:rPr>
          <w:rFonts w:ascii="宋体" w:hAnsi="宋体" w:cs="宋体" w:eastAsia="宋体" w:hint="default"/>
          <w:sz w:val="18"/>
          <w:szCs w:val="18"/>
        </w:rPr>
      </w:pPr>
      <w:r>
        <w:rPr>
          <w:rFonts w:ascii="宋体" w:hAnsi="宋体" w:cs="宋体" w:eastAsia="宋体" w:hint="default"/>
          <w:sz w:val="18"/>
          <w:szCs w:val="18"/>
        </w:rPr>
        <w:t>3</w:t>
      </w:r>
      <w:r>
        <w:rPr>
          <w:rFonts w:ascii="宋体" w:hAnsi="宋体" w:cs="宋体" w:eastAsia="宋体" w:hint="default"/>
          <w:sz w:val="18"/>
          <w:szCs w:val="18"/>
        </w:rPr>
        <w:t>、筹资活动产生的现金流量净额较上年同期下降</w:t>
      </w:r>
      <w:r>
        <w:rPr>
          <w:rFonts w:ascii="宋体" w:hAnsi="宋体" w:cs="宋体" w:eastAsia="宋体" w:hint="default"/>
          <w:sz w:val="18"/>
          <w:szCs w:val="18"/>
        </w:rPr>
        <w:t>68.21%</w:t>
      </w:r>
      <w:r>
        <w:rPr>
          <w:rFonts w:ascii="宋体" w:hAnsi="宋体" w:cs="宋体" w:eastAsia="宋体" w:hint="default"/>
          <w:sz w:val="18"/>
          <w:szCs w:val="18"/>
        </w:rPr>
        <w:t>，主要系银行借款净额较去年同期减少。 报告期内公司经营活动产生的现金净流量与本年度净利润存在重大差异的原因说明</w:t>
      </w:r>
    </w:p>
    <w:p>
      <w:pPr>
        <w:spacing w:line="338" w:lineRule="auto" w:before="26"/>
        <w:ind w:left="114" w:right="1212" w:firstLine="0"/>
        <w:jc w:val="left"/>
        <w:rPr>
          <w:rFonts w:ascii="宋体" w:hAnsi="宋体" w:cs="宋体" w:eastAsia="宋体" w:hint="default"/>
          <w:sz w:val="18"/>
          <w:szCs w:val="18"/>
        </w:rPr>
      </w:pPr>
      <w:r>
        <w:rPr>
          <w:rFonts w:ascii="宋体" w:hAnsi="宋体" w:cs="宋体" w:eastAsia="宋体" w:hint="default"/>
          <w:sz w:val="18"/>
          <w:szCs w:val="18"/>
        </w:rPr>
        <w:t>√ 适用 □ 不适用 报告期内公司经营活动产生的现金净流量与本年度净利润存在差异主要是由于确认收入成本的时间节点和收付款的时间节 点不同。</w:t>
      </w:r>
    </w:p>
    <w:p>
      <w:pPr>
        <w:spacing w:after="0" w:line="338" w:lineRule="auto"/>
        <w:jc w:val="left"/>
        <w:rPr>
          <w:rFonts w:ascii="宋体" w:hAnsi="宋体" w:cs="宋体" w:eastAsia="宋体" w:hint="default"/>
          <w:sz w:val="18"/>
          <w:szCs w:val="18"/>
        </w:rPr>
        <w:sectPr>
          <w:type w:val="continuous"/>
          <w:pgSz w:w="11910" w:h="16840"/>
          <w:pgMar w:top="1140" w:bottom="1200" w:left="1020" w:right="0"/>
        </w:sectPr>
      </w:pPr>
    </w:p>
    <w:p>
      <w:pPr>
        <w:spacing w:line="240" w:lineRule="auto" w:before="12"/>
        <w:rPr>
          <w:rFonts w:ascii="宋体" w:hAnsi="宋体" w:cs="宋体" w:eastAsia="宋体" w:hint="default"/>
          <w:sz w:val="17"/>
          <w:szCs w:val="17"/>
        </w:rPr>
      </w:pPr>
    </w:p>
    <w:p>
      <w:pPr>
        <w:pStyle w:val="Heading4"/>
        <w:spacing w:line="240" w:lineRule="auto" w:before="26"/>
        <w:ind w:right="0"/>
        <w:jc w:val="left"/>
        <w:rPr>
          <w:b w:val="0"/>
          <w:bCs w:val="0"/>
        </w:rPr>
      </w:pPr>
      <w:bookmarkStart w:name="三、非主营业务情况" w:id="38"/>
      <w:bookmarkEnd w:id="38"/>
      <w:r>
        <w:rPr>
          <w:b w:val="0"/>
          <w:bCs w:val="0"/>
        </w:rPr>
      </w:r>
      <w:r>
        <w:rPr/>
        <w:t>三、非主营业务情况</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25"/>
          <w:szCs w:val="25"/>
        </w:rPr>
      </w:pPr>
    </w:p>
    <w:p>
      <w:pPr>
        <w:pStyle w:val="Heading4"/>
        <w:spacing w:line="240" w:lineRule="auto"/>
        <w:ind w:right="0"/>
        <w:jc w:val="left"/>
        <w:rPr>
          <w:b w:val="0"/>
          <w:bCs w:val="0"/>
        </w:rPr>
      </w:pPr>
      <w:bookmarkStart w:name="四、资产及负债状况" w:id="39"/>
      <w:bookmarkEnd w:id="39"/>
      <w:r>
        <w:rPr>
          <w:b w:val="0"/>
          <w:bCs w:val="0"/>
        </w:rPr>
      </w:r>
      <w:r>
        <w:rPr/>
        <w:t>四、资产及负债状况</w:t>
      </w:r>
      <w:r>
        <w:rPr>
          <w:b w:val="0"/>
          <w:bCs w:val="0"/>
        </w:rPr>
      </w:r>
    </w:p>
    <w:p>
      <w:pPr>
        <w:spacing w:line="240" w:lineRule="auto" w:before="9"/>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资产构成重大变动情况" w:id="40"/>
      <w:bookmarkEnd w:id="40"/>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、资产构成重大变动情况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164"/>
        <w:gridCol w:w="1063"/>
        <w:gridCol w:w="1196"/>
        <w:gridCol w:w="1063"/>
        <w:gridCol w:w="798"/>
        <w:gridCol w:w="2918"/>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
        </w:tc>
        <w:tc>
          <w:tcPr>
            <w:tcW w:w="222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2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225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年末</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319" w:lineRule="auto"/>
              <w:ind w:left="302" w:right="125" w:hanging="180"/>
              <w:jc w:val="left"/>
              <w:rPr>
                <w:rFonts w:ascii="宋体" w:hAnsi="宋体" w:cs="宋体" w:eastAsia="宋体" w:hint="default"/>
                <w:sz w:val="18"/>
                <w:szCs w:val="18"/>
              </w:rPr>
            </w:pPr>
            <w:r>
              <w:rPr>
                <w:rFonts w:ascii="宋体" w:hAnsi="宋体" w:cs="宋体" w:eastAsia="宋体" w:hint="default"/>
                <w:sz w:val="18"/>
                <w:szCs w:val="18"/>
              </w:rPr>
              <w:t>比重增 减</w:t>
            </w:r>
          </w:p>
        </w:tc>
        <w:tc>
          <w:tcPr>
            <w:tcW w:w="291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13"/>
                <w:szCs w:val="13"/>
              </w:rPr>
            </w:pPr>
          </w:p>
          <w:p>
            <w:pPr>
              <w:pStyle w:val="TableParagraph"/>
              <w:spacing w:line="240" w:lineRule="auto"/>
              <w:ind w:left="913" w:right="0"/>
              <w:jc w:val="left"/>
              <w:rPr>
                <w:rFonts w:ascii="宋体" w:hAnsi="宋体" w:cs="宋体" w:eastAsia="宋体" w:hint="default"/>
                <w:sz w:val="18"/>
                <w:szCs w:val="18"/>
              </w:rPr>
            </w:pPr>
            <w:r>
              <w:rPr>
                <w:rFonts w:ascii="宋体" w:hAnsi="宋体" w:cs="宋体" w:eastAsia="宋体" w:hint="default"/>
                <w:sz w:val="18"/>
                <w:szCs w:val="18"/>
              </w:rPr>
              <w:t>重大变动说明</w:t>
            </w:r>
          </w:p>
        </w:tc>
      </w:tr>
      <w:tr>
        <w:trPr>
          <w:trHeight w:val="714"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46" w:right="164"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46" w:right="164" w:hanging="180"/>
              <w:jc w:val="left"/>
              <w:rPr>
                <w:rFonts w:ascii="宋体" w:hAnsi="宋体" w:cs="宋体" w:eastAsia="宋体" w:hint="default"/>
                <w:sz w:val="18"/>
                <w:szCs w:val="18"/>
              </w:rPr>
            </w:pPr>
            <w:r>
              <w:rPr>
                <w:rFonts w:ascii="宋体" w:hAnsi="宋体" w:cs="宋体" w:eastAsia="宋体" w:hint="default"/>
                <w:sz w:val="18"/>
                <w:szCs w:val="18"/>
              </w:rPr>
              <w:t>占总资产 比例</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2918"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213,633,815.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15.54%</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224,288,247.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18.43%</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-2.89%</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354,806,506.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77</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25.80%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318,647,442.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26.18%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-0.38%</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348,998,005.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25.38%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290,543,202.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46</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23.87%</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1.51%</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16,417,086.3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1.19%</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20,469,389.8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3</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-0.49%</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274,414,892.</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19.96%</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230,643,116.</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75</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18.95%</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1.01%</w:t>
            </w:r>
          </w:p>
        </w:tc>
        <w:tc>
          <w:tcPr>
            <w:tcW w:w="291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222,500,000.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16.18%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157,500,000.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12.94%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3.24%</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银行借款增加</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162,000,000.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11.78%</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10.68%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1.10%</w:t>
            </w:r>
          </w:p>
        </w:tc>
        <w:tc>
          <w:tcPr>
            <w:tcW w:w="291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银行借款增加</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以公允价值计量的资产和负债" w:id="41"/>
      <w:bookmarkEnd w:id="41"/>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、以公允价值计量的资产和负债</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截至报告期末的资产权利受限情况" w:id="42"/>
      <w:bookmarkEnd w:id="42"/>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、截至报告期末的资产权利受限情况</w:t>
      </w:r>
      <w:r>
        <w:rPr>
          <w:rFonts w:ascii="宋体" w:hAnsi="宋体" w:cs="宋体" w:eastAsia="宋体" w:hint="default"/>
          <w:sz w:val="21"/>
          <w:szCs w:val="21"/>
        </w:rPr>
      </w:r>
    </w:p>
    <w:p>
      <w:pPr>
        <w:spacing w:line="240" w:lineRule="auto" w:before="10"/>
        <w:rPr>
          <w:rFonts w:ascii="宋体" w:hAnsi="宋体" w:cs="宋体" w:eastAsia="宋体" w:hint="default"/>
          <w:b/>
          <w:bCs/>
          <w:sz w:val="25"/>
          <w:szCs w:val="25"/>
        </w:rPr>
      </w:pPr>
    </w:p>
    <w:tbl>
      <w:tblPr>
        <w:tblW w:w="0" w:type="auto"/>
        <w:jc w:val="left"/>
        <w:tblInd w:w="713" w:type="dxa"/>
        <w:tblLayout w:type="fixed"/>
        <w:tblCellMar>
          <w:top w:w="0" w:type="dxa"/>
          <w:left w:w="0" w:type="dxa"/>
          <w:bottom w:w="0" w:type="dxa"/>
          <w:right w:w="0" w:type="dxa"/>
        </w:tblCellMar>
        <w:tblLook w:val="01E0"/>
      </w:tblPr>
      <w:tblGrid>
        <w:gridCol w:w="2230"/>
        <w:gridCol w:w="1842"/>
        <w:gridCol w:w="3742"/>
      </w:tblGrid>
      <w:tr>
        <w:trPr>
          <w:trHeight w:val="355" w:hRule="exact"/>
        </w:trPr>
        <w:tc>
          <w:tcPr>
            <w:tcW w:w="2230"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right="896"/>
              <w:jc w:val="right"/>
              <w:rPr>
                <w:rFonts w:ascii="宋体" w:hAnsi="宋体" w:cs="宋体" w:eastAsia="宋体" w:hint="default"/>
                <w:sz w:val="21"/>
                <w:szCs w:val="21"/>
              </w:rPr>
            </w:pPr>
            <w:r>
              <w:rPr>
                <w:rFonts w:ascii="宋体" w:hAnsi="宋体" w:cs="宋体" w:eastAsia="宋体" w:hint="default"/>
                <w:sz w:val="21"/>
                <w:szCs w:val="21"/>
              </w:rPr>
              <w:t>项目</w:t>
            </w:r>
          </w:p>
        </w:tc>
        <w:tc>
          <w:tcPr>
            <w:tcW w:w="1842"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left="283" w:right="0"/>
              <w:jc w:val="left"/>
              <w:rPr>
                <w:rFonts w:ascii="宋体" w:hAnsi="宋体" w:cs="宋体" w:eastAsia="宋体" w:hint="default"/>
                <w:sz w:val="21"/>
                <w:szCs w:val="21"/>
              </w:rPr>
            </w:pPr>
            <w:r>
              <w:rPr>
                <w:rFonts w:ascii="宋体" w:hAnsi="宋体" w:cs="宋体" w:eastAsia="宋体" w:hint="default"/>
                <w:sz w:val="21"/>
                <w:szCs w:val="21"/>
              </w:rPr>
              <w:t>期末账面价值</w:t>
            </w:r>
          </w:p>
        </w:tc>
        <w:tc>
          <w:tcPr>
            <w:tcW w:w="3742" w:type="dxa"/>
            <w:tcBorders>
              <w:top w:val="single" w:sz="6" w:space="0" w:color="000000"/>
              <w:left w:val="single" w:sz="6" w:space="0" w:color="000000"/>
              <w:bottom w:val="single" w:sz="12" w:space="0" w:color="000000"/>
              <w:right w:val="nil" w:sz="6" w:space="0" w:color="auto"/>
            </w:tcBorders>
          </w:tcPr>
          <w:p>
            <w:pPr>
              <w:pStyle w:val="TableParagraph"/>
              <w:spacing w:line="271" w:lineRule="exact"/>
              <w:ind w:right="5"/>
              <w:jc w:val="center"/>
              <w:rPr>
                <w:rFonts w:ascii="宋体" w:hAnsi="宋体" w:cs="宋体" w:eastAsia="宋体" w:hint="default"/>
                <w:sz w:val="21"/>
                <w:szCs w:val="21"/>
              </w:rPr>
            </w:pPr>
            <w:r>
              <w:rPr>
                <w:rFonts w:ascii="宋体" w:hAnsi="宋体" w:cs="宋体" w:eastAsia="宋体" w:hint="default"/>
                <w:sz w:val="21"/>
                <w:szCs w:val="21"/>
              </w:rPr>
              <w:t>受限原因</w:t>
            </w:r>
          </w:p>
        </w:tc>
      </w:tr>
      <w:tr>
        <w:trPr>
          <w:trHeight w:val="665" w:hRule="exact"/>
        </w:trPr>
        <w:tc>
          <w:tcPr>
            <w:tcW w:w="2230"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842"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4,568,759.10</w:t>
            </w:r>
          </w:p>
        </w:tc>
        <w:tc>
          <w:tcPr>
            <w:tcW w:w="3742"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3" w:right="0"/>
              <w:jc w:val="left"/>
              <w:rPr>
                <w:rFonts w:ascii="宋体" w:hAnsi="宋体" w:cs="宋体" w:eastAsia="宋体" w:hint="default"/>
                <w:sz w:val="21"/>
                <w:szCs w:val="21"/>
              </w:rPr>
            </w:pPr>
            <w:r>
              <w:rPr>
                <w:rFonts w:ascii="宋体" w:hAnsi="宋体" w:cs="宋体" w:eastAsia="宋体" w:hint="default"/>
                <w:spacing w:val="-4"/>
                <w:sz w:val="21"/>
                <w:szCs w:val="21"/>
              </w:rPr>
              <w:t>本公司向银行申请开具无条件、不可撤销</w:t>
            </w:r>
          </w:p>
          <w:p>
            <w:pPr>
              <w:pStyle w:val="TableParagraph"/>
              <w:spacing w:line="240" w:lineRule="auto" w:before="37"/>
              <w:ind w:left="3" w:right="0"/>
              <w:jc w:val="left"/>
              <w:rPr>
                <w:rFonts w:ascii="宋体" w:hAnsi="宋体" w:cs="宋体" w:eastAsia="宋体" w:hint="default"/>
                <w:sz w:val="21"/>
                <w:szCs w:val="21"/>
              </w:rPr>
            </w:pPr>
            <w:r>
              <w:rPr>
                <w:rFonts w:ascii="宋体" w:hAnsi="宋体" w:cs="宋体" w:eastAsia="宋体" w:hint="default"/>
                <w:sz w:val="21"/>
                <w:szCs w:val="21"/>
              </w:rPr>
              <w:t>的担保函所存入的保证金</w:t>
            </w:r>
          </w:p>
        </w:tc>
      </w:tr>
      <w:tr>
        <w:trPr>
          <w:trHeight w:val="352" w:hRule="exact"/>
        </w:trPr>
        <w:tc>
          <w:tcPr>
            <w:tcW w:w="2230"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842"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3,000,000.00</w:t>
            </w:r>
          </w:p>
        </w:tc>
        <w:tc>
          <w:tcPr>
            <w:tcW w:w="3742"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3" w:right="0"/>
              <w:jc w:val="left"/>
              <w:rPr>
                <w:rFonts w:ascii="宋体" w:hAnsi="宋体" w:cs="宋体" w:eastAsia="宋体" w:hint="default"/>
                <w:sz w:val="21"/>
                <w:szCs w:val="21"/>
              </w:rPr>
            </w:pPr>
            <w:r>
              <w:rPr>
                <w:rFonts w:ascii="宋体" w:hAnsi="宋体" w:cs="宋体" w:eastAsia="宋体" w:hint="default"/>
                <w:sz w:val="21"/>
                <w:szCs w:val="21"/>
              </w:rPr>
              <w:t>开具银行承兑汇票所存入的保证金</w:t>
            </w:r>
          </w:p>
        </w:tc>
      </w:tr>
      <w:tr>
        <w:trPr>
          <w:trHeight w:val="352" w:hRule="exact"/>
        </w:trPr>
        <w:tc>
          <w:tcPr>
            <w:tcW w:w="2230"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842"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264,264,548.88</w:t>
            </w:r>
          </w:p>
        </w:tc>
        <w:tc>
          <w:tcPr>
            <w:tcW w:w="3742"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3" w:right="0"/>
              <w:jc w:val="left"/>
              <w:rPr>
                <w:rFonts w:ascii="宋体" w:hAnsi="宋体" w:cs="宋体" w:eastAsia="宋体" w:hint="default"/>
                <w:sz w:val="21"/>
                <w:szCs w:val="21"/>
              </w:rPr>
            </w:pPr>
            <w:r>
              <w:rPr>
                <w:rFonts w:ascii="宋体" w:hAnsi="宋体" w:cs="宋体" w:eastAsia="宋体" w:hint="default"/>
                <w:sz w:val="21"/>
                <w:szCs w:val="21"/>
              </w:rPr>
              <w:t>抵押借款</w:t>
            </w:r>
          </w:p>
        </w:tc>
      </w:tr>
      <w:tr>
        <w:trPr>
          <w:trHeight w:val="353" w:hRule="exact"/>
        </w:trPr>
        <w:tc>
          <w:tcPr>
            <w:tcW w:w="2230"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842"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3,307,146.69</w:t>
            </w:r>
          </w:p>
        </w:tc>
        <w:tc>
          <w:tcPr>
            <w:tcW w:w="3742"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3" w:right="0"/>
              <w:jc w:val="left"/>
              <w:rPr>
                <w:rFonts w:ascii="宋体" w:hAnsi="宋体" w:cs="宋体" w:eastAsia="宋体" w:hint="default"/>
                <w:sz w:val="21"/>
                <w:szCs w:val="21"/>
              </w:rPr>
            </w:pPr>
            <w:r>
              <w:rPr>
                <w:rFonts w:ascii="宋体" w:hAnsi="宋体" w:cs="宋体" w:eastAsia="宋体" w:hint="default"/>
                <w:sz w:val="21"/>
                <w:szCs w:val="21"/>
              </w:rPr>
              <w:t>抵押借款</w:t>
            </w:r>
          </w:p>
        </w:tc>
      </w:tr>
      <w:tr>
        <w:trPr>
          <w:trHeight w:val="352" w:hRule="exact"/>
        </w:trPr>
        <w:tc>
          <w:tcPr>
            <w:tcW w:w="2230"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无形资产</w:t>
            </w:r>
          </w:p>
        </w:tc>
        <w:tc>
          <w:tcPr>
            <w:tcW w:w="1842"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right"/>
              <w:rPr>
                <w:rFonts w:ascii="宋体" w:hAnsi="宋体" w:cs="宋体" w:eastAsia="宋体" w:hint="default"/>
                <w:sz w:val="21"/>
                <w:szCs w:val="21"/>
              </w:rPr>
            </w:pPr>
            <w:r>
              <w:rPr>
                <w:rFonts w:ascii="宋体"/>
                <w:sz w:val="21"/>
              </w:rPr>
              <w:t>29,149,758.01</w:t>
            </w:r>
          </w:p>
        </w:tc>
        <w:tc>
          <w:tcPr>
            <w:tcW w:w="3742"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3" w:right="0"/>
              <w:jc w:val="left"/>
              <w:rPr>
                <w:rFonts w:ascii="宋体" w:hAnsi="宋体" w:cs="宋体" w:eastAsia="宋体" w:hint="default"/>
                <w:sz w:val="21"/>
                <w:szCs w:val="21"/>
              </w:rPr>
            </w:pPr>
            <w:r>
              <w:rPr>
                <w:rFonts w:ascii="宋体" w:hAnsi="宋体" w:cs="宋体" w:eastAsia="宋体" w:hint="default"/>
                <w:sz w:val="21"/>
                <w:szCs w:val="21"/>
              </w:rPr>
              <w:t>抵押借款</w:t>
            </w:r>
          </w:p>
        </w:tc>
      </w:tr>
      <w:tr>
        <w:trPr>
          <w:trHeight w:val="352" w:hRule="exact"/>
        </w:trPr>
        <w:tc>
          <w:tcPr>
            <w:tcW w:w="2230"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896"/>
              <w:jc w:val="right"/>
              <w:rPr>
                <w:rFonts w:ascii="宋体" w:hAnsi="宋体" w:cs="宋体" w:eastAsia="宋体" w:hint="default"/>
                <w:sz w:val="21"/>
                <w:szCs w:val="21"/>
              </w:rPr>
            </w:pPr>
            <w:r>
              <w:rPr>
                <w:rFonts w:ascii="宋体" w:hAnsi="宋体" w:cs="宋体" w:eastAsia="宋体" w:hint="default"/>
                <w:sz w:val="21"/>
                <w:szCs w:val="21"/>
              </w:rPr>
              <w:t>合计</w:t>
            </w:r>
          </w:p>
        </w:tc>
        <w:tc>
          <w:tcPr>
            <w:tcW w:w="1842"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304,290,212.68</w:t>
            </w:r>
          </w:p>
        </w:tc>
        <w:tc>
          <w:tcPr>
            <w:tcW w:w="3742" w:type="dxa"/>
            <w:tcBorders>
              <w:top w:val="single" w:sz="12" w:space="0" w:color="000000"/>
              <w:left w:val="single" w:sz="6" w:space="0" w:color="000000"/>
              <w:bottom w:val="single" w:sz="12" w:space="0" w:color="000000"/>
              <w:right w:val="nil" w:sz="6" w:space="0" w:color="auto"/>
            </w:tcBorders>
          </w:tcPr>
          <w:p>
            <w:pPr/>
          </w:p>
        </w:tc>
      </w:tr>
    </w:tbl>
    <w:p>
      <w:pPr>
        <w:spacing w:after="0"/>
        <w:sectPr>
          <w:pgSz w:w="11910" w:h="16840"/>
          <w:pgMar w:header="822" w:footer="1019" w:top="1140" w:bottom="1200" w:left="1020" w:right="0"/>
        </w:sect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9"/>
        <w:rPr>
          <w:rFonts w:ascii="宋体" w:hAnsi="宋体" w:cs="宋体" w:eastAsia="宋体" w:hint="default"/>
          <w:b/>
          <w:bCs/>
          <w:sz w:val="24"/>
          <w:szCs w:val="24"/>
        </w:rPr>
      </w:pPr>
    </w:p>
    <w:p>
      <w:pPr>
        <w:pStyle w:val="Heading4"/>
        <w:spacing w:line="240" w:lineRule="auto" w:before="26"/>
        <w:ind w:right="0"/>
        <w:jc w:val="left"/>
        <w:rPr>
          <w:b w:val="0"/>
          <w:bCs w:val="0"/>
        </w:rPr>
      </w:pPr>
      <w:bookmarkStart w:name="五、投资状况分析" w:id="43"/>
      <w:bookmarkEnd w:id="43"/>
      <w:r>
        <w:rPr>
          <w:b w:val="0"/>
          <w:bCs w:val="0"/>
        </w:rPr>
      </w:r>
      <w:r>
        <w:rPr/>
        <w:t>五、投资状况分析</w:t>
      </w:r>
      <w:r>
        <w:rPr>
          <w:b w:val="0"/>
          <w:bCs w:val="0"/>
        </w:rPr>
      </w:r>
    </w:p>
    <w:p>
      <w:pPr>
        <w:spacing w:line="240" w:lineRule="auto" w:before="9"/>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总体情况" w:id="44"/>
      <w:bookmarkEnd w:id="44"/>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、总体情况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报告期内获取的重大的股权投资情况" w:id="45"/>
      <w:bookmarkEnd w:id="45"/>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、报告期内获取的重大的股权投资情况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报告期内正在进行的重大的非股权投资情况" w:id="46"/>
      <w:bookmarkEnd w:id="46"/>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、报告期内正在进行的重大的非股权投资情况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以公允价值计量的金融资产" w:id="47"/>
      <w:bookmarkEnd w:id="47"/>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、以公允价值计量的金融资产</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5、募集资金使用情况" w:id="48"/>
      <w:bookmarkEnd w:id="48"/>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、募集资金使用情况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1）募集资金总体使用情况" w:id="49"/>
      <w:bookmarkEnd w:id="4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）募集资金总体使用情况</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866"/>
        <w:gridCol w:w="870"/>
        <w:gridCol w:w="870"/>
        <w:gridCol w:w="870"/>
        <w:gridCol w:w="870"/>
        <w:gridCol w:w="869"/>
        <w:gridCol w:w="870"/>
        <w:gridCol w:w="870"/>
        <w:gridCol w:w="870"/>
        <w:gridCol w:w="870"/>
        <w:gridCol w:w="869"/>
      </w:tblGrid>
      <w:tr>
        <w:trPr>
          <w:trHeight w:val="1649"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337" w:right="156" w:hanging="180"/>
              <w:jc w:val="left"/>
              <w:rPr>
                <w:rFonts w:ascii="宋体" w:hAnsi="宋体" w:cs="宋体" w:eastAsia="宋体" w:hint="default"/>
                <w:sz w:val="18"/>
                <w:szCs w:val="18"/>
              </w:rPr>
            </w:pPr>
            <w:r>
              <w:rPr>
                <w:rFonts w:ascii="宋体" w:hAnsi="宋体" w:cs="宋体" w:eastAsia="宋体" w:hint="default"/>
                <w:sz w:val="18"/>
                <w:szCs w:val="18"/>
              </w:rPr>
              <w:t>募集年 份</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339" w:right="158" w:hanging="180"/>
              <w:jc w:val="left"/>
              <w:rPr>
                <w:rFonts w:ascii="宋体" w:hAnsi="宋体" w:cs="宋体" w:eastAsia="宋体" w:hint="default"/>
                <w:sz w:val="18"/>
                <w:szCs w:val="18"/>
              </w:rPr>
            </w:pPr>
            <w:r>
              <w:rPr>
                <w:rFonts w:ascii="宋体" w:hAnsi="宋体" w:cs="宋体" w:eastAsia="宋体" w:hint="default"/>
                <w:sz w:val="18"/>
                <w:szCs w:val="18"/>
              </w:rPr>
              <w:t>募集方 式</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159" w:right="158"/>
              <w:jc w:val="left"/>
              <w:rPr>
                <w:rFonts w:ascii="宋体" w:hAnsi="宋体" w:cs="宋体" w:eastAsia="宋体" w:hint="default"/>
                <w:sz w:val="18"/>
                <w:szCs w:val="18"/>
              </w:rPr>
            </w:pPr>
            <w:r>
              <w:rPr>
                <w:rFonts w:ascii="宋体" w:hAnsi="宋体" w:cs="宋体" w:eastAsia="宋体" w:hint="default"/>
                <w:sz w:val="18"/>
                <w:szCs w:val="18"/>
              </w:rPr>
              <w:t>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59" w:right="158"/>
              <w:jc w:val="both"/>
              <w:rPr>
                <w:rFonts w:ascii="宋体" w:hAnsi="宋体" w:cs="宋体" w:eastAsia="宋体" w:hint="default"/>
                <w:sz w:val="18"/>
                <w:szCs w:val="18"/>
              </w:rPr>
            </w:pPr>
            <w:r>
              <w:rPr>
                <w:rFonts w:ascii="宋体" w:hAnsi="宋体" w:cs="宋体" w:eastAsia="宋体" w:hint="default"/>
                <w:sz w:val="18"/>
                <w:szCs w:val="18"/>
              </w:rPr>
              <w:t>本期已 使用募 集资金 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59" w:right="159"/>
              <w:jc w:val="both"/>
              <w:rPr>
                <w:rFonts w:ascii="宋体" w:hAnsi="宋体" w:cs="宋体" w:eastAsia="宋体" w:hint="default"/>
                <w:sz w:val="18"/>
                <w:szCs w:val="18"/>
              </w:rPr>
            </w:pPr>
            <w:r>
              <w:rPr>
                <w:rFonts w:ascii="宋体" w:hAnsi="宋体" w:cs="宋体" w:eastAsia="宋体" w:hint="default"/>
                <w:sz w:val="18"/>
                <w:szCs w:val="18"/>
              </w:rPr>
              <w:t>已累计 使用募 集资金 总额</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59" w:right="157"/>
              <w:jc w:val="both"/>
              <w:rPr>
                <w:rFonts w:ascii="宋体" w:hAnsi="宋体" w:cs="宋体" w:eastAsia="宋体" w:hint="default"/>
                <w:sz w:val="18"/>
                <w:szCs w:val="18"/>
              </w:rPr>
            </w:pPr>
            <w:r>
              <w:rPr>
                <w:rFonts w:ascii="宋体" w:hAnsi="宋体" w:cs="宋体" w:eastAsia="宋体" w:hint="default"/>
                <w:sz w:val="18"/>
                <w:szCs w:val="18"/>
              </w:rPr>
              <w:t>报告期 内变更 用途的 募集资 金总额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59" w:right="158"/>
              <w:jc w:val="center"/>
              <w:rPr>
                <w:rFonts w:ascii="宋体" w:hAnsi="宋体" w:cs="宋体" w:eastAsia="宋体" w:hint="default"/>
                <w:sz w:val="18"/>
                <w:szCs w:val="18"/>
              </w:rPr>
            </w:pPr>
            <w:r>
              <w:rPr>
                <w:rFonts w:ascii="宋体" w:hAnsi="宋体" w:cs="宋体" w:eastAsia="宋体" w:hint="default"/>
                <w:sz w:val="18"/>
                <w:szCs w:val="18"/>
              </w:rPr>
              <w:t>累计变 更用途 的募集 资金总 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59" w:right="158"/>
              <w:jc w:val="both"/>
              <w:rPr>
                <w:rFonts w:ascii="宋体" w:hAnsi="宋体" w:cs="宋体" w:eastAsia="宋体" w:hint="default"/>
                <w:sz w:val="18"/>
                <w:szCs w:val="18"/>
              </w:rPr>
            </w:pPr>
            <w:r>
              <w:rPr>
                <w:rFonts w:ascii="宋体" w:hAnsi="宋体" w:cs="宋体" w:eastAsia="宋体" w:hint="default"/>
                <w:sz w:val="18"/>
                <w:szCs w:val="18"/>
              </w:rPr>
              <w:t>累计变 更用途 的募集 资金总 额比例</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59" w:right="158"/>
              <w:jc w:val="center"/>
              <w:rPr>
                <w:rFonts w:ascii="宋体" w:hAnsi="宋体" w:cs="宋体" w:eastAsia="宋体" w:hint="default"/>
                <w:sz w:val="18"/>
                <w:szCs w:val="18"/>
              </w:rPr>
            </w:pPr>
            <w:r>
              <w:rPr>
                <w:rFonts w:ascii="宋体" w:hAnsi="宋体" w:cs="宋体" w:eastAsia="宋体" w:hint="default"/>
                <w:sz w:val="18"/>
                <w:szCs w:val="18"/>
              </w:rPr>
              <w:t>尚未使 用募集 资金总 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59" w:right="158"/>
              <w:jc w:val="center"/>
              <w:rPr>
                <w:rFonts w:ascii="宋体" w:hAnsi="宋体" w:cs="宋体" w:eastAsia="宋体" w:hint="default"/>
                <w:sz w:val="18"/>
                <w:szCs w:val="18"/>
              </w:rPr>
            </w:pPr>
            <w:r>
              <w:rPr>
                <w:rFonts w:ascii="宋体" w:hAnsi="宋体" w:cs="宋体" w:eastAsia="宋体" w:hint="default"/>
                <w:sz w:val="18"/>
                <w:szCs w:val="18"/>
              </w:rPr>
              <w:t>尚未使 用募集 资金用 途及去 向</w:t>
            </w:r>
          </w:p>
        </w:tc>
        <w:tc>
          <w:tcPr>
            <w:tcW w:w="8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59" w:right="157"/>
              <w:jc w:val="both"/>
              <w:rPr>
                <w:rFonts w:ascii="宋体" w:hAnsi="宋体" w:cs="宋体" w:eastAsia="宋体" w:hint="default"/>
                <w:sz w:val="18"/>
                <w:szCs w:val="18"/>
              </w:rPr>
            </w:pPr>
            <w:r>
              <w:rPr>
                <w:rFonts w:ascii="宋体" w:hAnsi="宋体" w:cs="宋体" w:eastAsia="宋体" w:hint="default"/>
                <w:sz w:val="18"/>
                <w:szCs w:val="18"/>
              </w:rPr>
              <w:t>闲置两 年以上 募集资 金金额</w:t>
            </w:r>
          </w:p>
        </w:tc>
      </w:tr>
      <w:tr>
        <w:trPr>
          <w:trHeight w:val="1338" w:hRule="exact"/>
        </w:trPr>
        <w:tc>
          <w:tcPr>
            <w:tcW w:w="8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03" w:right="215"/>
              <w:jc w:val="left"/>
              <w:rPr>
                <w:rFonts w:ascii="宋体" w:hAnsi="宋体" w:cs="宋体" w:eastAsia="宋体" w:hint="default"/>
                <w:sz w:val="18"/>
                <w:szCs w:val="18"/>
              </w:rPr>
            </w:pPr>
            <w:r>
              <w:rPr>
                <w:rFonts w:ascii="宋体" w:hAnsi="宋体" w:cs="宋体" w:eastAsia="宋体" w:hint="default"/>
                <w:sz w:val="18"/>
                <w:szCs w:val="18"/>
              </w:rPr>
              <w:t>首次公 开发行</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14,370.5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893.01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w w:val="95"/>
                <w:sz w:val="18"/>
              </w:rPr>
              <w:t>11,610.8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6,500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45.23%</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2,759.71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15"/>
              <w:jc w:val="both"/>
              <w:rPr>
                <w:rFonts w:ascii="宋体" w:hAnsi="宋体" w:cs="宋体" w:eastAsia="宋体" w:hint="default"/>
                <w:sz w:val="18"/>
                <w:szCs w:val="18"/>
              </w:rPr>
            </w:pPr>
            <w:r>
              <w:rPr>
                <w:rFonts w:ascii="宋体" w:hAnsi="宋体" w:cs="宋体" w:eastAsia="宋体" w:hint="default"/>
                <w:sz w:val="18"/>
                <w:szCs w:val="18"/>
              </w:rPr>
              <w:t>存于募 集资金 账户监 管</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23" w:right="0"/>
              <w:jc w:val="center"/>
              <w:rPr>
                <w:rFonts w:ascii="Times New Roman" w:hAnsi="Times New Roman" w:cs="Times New Roman" w:eastAsia="Times New Roman" w:hint="default"/>
                <w:sz w:val="18"/>
                <w:szCs w:val="18"/>
              </w:rPr>
            </w:pPr>
            <w:r>
              <w:rPr>
                <w:rFonts w:ascii="Times New Roman"/>
                <w:sz w:val="18"/>
              </w:rPr>
              <w:t>2,759.71</w:t>
            </w:r>
          </w:p>
        </w:tc>
      </w:tr>
      <w:tr>
        <w:trPr>
          <w:trHeight w:val="715" w:hRule="exact"/>
        </w:trPr>
        <w:tc>
          <w:tcPr>
            <w:tcW w:w="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14,370.5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893.01</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w w:val="95"/>
                <w:sz w:val="18"/>
              </w:rPr>
              <w:t>11,610.8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6,500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45.23%</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2,759.71</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8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3" w:right="0"/>
              <w:jc w:val="center"/>
              <w:rPr>
                <w:rFonts w:ascii="Times New Roman" w:hAnsi="Times New Roman" w:cs="Times New Roman" w:eastAsia="Times New Roman" w:hint="default"/>
                <w:sz w:val="18"/>
                <w:szCs w:val="18"/>
              </w:rPr>
            </w:pPr>
            <w:r>
              <w:rPr>
                <w:rFonts w:ascii="Times New Roman"/>
                <w:sz w:val="18"/>
              </w:rPr>
              <w:t>2,759.71</w:t>
            </w:r>
          </w:p>
        </w:tc>
      </w:tr>
      <w:tr>
        <w:trPr>
          <w:trHeight w:val="402" w:hRule="exact"/>
        </w:trPr>
        <w:tc>
          <w:tcPr>
            <w:tcW w:w="9564"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募集资金总体使用情况说明</w:t>
            </w:r>
          </w:p>
        </w:tc>
      </w:tr>
      <w:tr>
        <w:trPr>
          <w:trHeight w:val="986" w:hRule="exact"/>
        </w:trPr>
        <w:tc>
          <w:tcPr>
            <w:tcW w:w="9564" w:type="dxa"/>
            <w:gridSpan w:val="11"/>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103" w:right="100"/>
              <w:jc w:val="both"/>
              <w:rPr>
                <w:rFonts w:ascii="宋体" w:hAnsi="宋体" w:cs="宋体" w:eastAsia="宋体" w:hint="default"/>
                <w:sz w:val="18"/>
                <w:szCs w:val="18"/>
              </w:rPr>
            </w:pPr>
            <w:r>
              <w:rPr>
                <w:rFonts w:ascii="宋体" w:hAnsi="宋体" w:cs="宋体" w:eastAsia="宋体" w:hint="default"/>
                <w:sz w:val="18"/>
                <w:szCs w:val="18"/>
              </w:rPr>
              <w:t>经中国证券监督管理委员会《关于核准上海中信信息发展股份有限公司首次公开发行股票的批复》</w:t>
            </w:r>
            <w:r>
              <w:rPr>
                <w:rFonts w:ascii="Times New Roman" w:hAnsi="Times New Roman" w:cs="Times New Roman" w:eastAsia="Times New Roman" w:hint="default"/>
                <w:sz w:val="18"/>
                <w:szCs w:val="18"/>
              </w:rPr>
              <w:t>(</w:t>
            </w:r>
            <w:r>
              <w:rPr>
                <w:rFonts w:ascii="宋体" w:hAnsi="宋体" w:cs="宋体" w:eastAsia="宋体" w:hint="default"/>
                <w:sz w:val="18"/>
                <w:szCs w:val="18"/>
              </w:rPr>
              <w:t>证监许可</w:t>
            </w:r>
            <w:r>
              <w:rPr>
                <w:rFonts w:ascii="Times New Roman" w:hAnsi="Times New Roman" w:cs="Times New Roman" w:eastAsia="Times New Roman" w:hint="default"/>
                <w:sz w:val="18"/>
                <w:szCs w:val="18"/>
              </w:rPr>
              <w:t>[2015]958 </w:t>
            </w:r>
            <w:r>
              <w:rPr>
                <w:rFonts w:ascii="宋体" w:hAnsi="宋体" w:cs="宋体" w:eastAsia="宋体" w:hint="default"/>
                <w:spacing w:val="-2"/>
                <w:sz w:val="18"/>
                <w:szCs w:val="18"/>
              </w:rPr>
              <w:t>号</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核准，由主承销商中山证券有限责任公司（以下简称“中山证券”）采用网下询价配售与网上资金申购定价发行相结</w:t>
            </w:r>
            <w:r>
              <w:rPr>
                <w:rFonts w:ascii="宋体" w:hAnsi="宋体" w:cs="宋体" w:eastAsia="宋体" w:hint="default"/>
                <w:spacing w:val="-74"/>
                <w:sz w:val="18"/>
                <w:szCs w:val="18"/>
              </w:rPr>
              <w:t> </w:t>
            </w:r>
            <w:r>
              <w:rPr>
                <w:rFonts w:ascii="宋体" w:hAnsi="宋体" w:cs="宋体" w:eastAsia="宋体" w:hint="default"/>
                <w:spacing w:val="-74"/>
                <w:sz w:val="18"/>
                <w:szCs w:val="18"/>
              </w:rPr>
            </w:r>
            <w:r>
              <w:rPr>
                <w:rFonts w:ascii="宋体" w:hAnsi="宋体" w:cs="宋体" w:eastAsia="宋体" w:hint="default"/>
                <w:sz w:val="18"/>
                <w:szCs w:val="18"/>
              </w:rPr>
              <w:t>合的方式发行人民币普通股（</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w:t>
            </w:r>
            <w:r>
              <w:rPr>
                <w:rFonts w:ascii="Times New Roman" w:hAnsi="Times New Roman" w:cs="Times New Roman" w:eastAsia="Times New Roman" w:hint="default"/>
                <w:sz w:val="18"/>
                <w:szCs w:val="18"/>
              </w:rPr>
              <w:t>16,700,000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股，发行价格为每股</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10.14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元。截止</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日，公司实际已向社</w:t>
            </w:r>
          </w:p>
        </w:tc>
      </w:tr>
    </w:tbl>
    <w:p>
      <w:pPr>
        <w:spacing w:after="0" w:line="300" w:lineRule="auto"/>
        <w:jc w:val="both"/>
        <w:rPr>
          <w:rFonts w:ascii="宋体" w:hAnsi="宋体" w:cs="宋体" w:eastAsia="宋体" w:hint="default"/>
          <w:sz w:val="18"/>
          <w:szCs w:val="18"/>
        </w:rPr>
        <w:sectPr>
          <w:pgSz w:w="11910" w:h="16840"/>
          <w:pgMar w:header="822" w:footer="1019" w:top="1140" w:bottom="1200" w:left="1020" w:right="0"/>
        </w:sectPr>
      </w:pPr>
    </w:p>
    <w:p>
      <w:pPr>
        <w:spacing w:line="240" w:lineRule="auto" w:before="1"/>
        <w:rPr>
          <w:rFonts w:ascii="宋体" w:hAnsi="宋体" w:cs="宋体" w:eastAsia="宋体" w:hint="default"/>
          <w:sz w:val="23"/>
          <w:szCs w:val="23"/>
        </w:rPr>
      </w:pPr>
    </w:p>
    <w:p>
      <w:pPr>
        <w:spacing w:line="3563" w:lineRule="exact"/>
        <w:ind w:left="114" w:right="0" w:firstLine="0"/>
        <w:rPr>
          <w:rFonts w:ascii="宋体" w:hAnsi="宋体" w:cs="宋体" w:eastAsia="宋体" w:hint="default"/>
          <w:sz w:val="20"/>
          <w:szCs w:val="20"/>
        </w:rPr>
      </w:pPr>
      <w:r>
        <w:rPr>
          <w:rFonts w:ascii="宋体" w:hAnsi="宋体" w:cs="宋体" w:eastAsia="宋体" w:hint="default"/>
          <w:position w:val="-70"/>
          <w:sz w:val="20"/>
          <w:szCs w:val="20"/>
        </w:rPr>
        <w:pict>
          <v:shape style="width:478.2pt;height:178.2pt;mso-position-horizontal-relative:char;mso-position-vertical-relative:line" type="#_x0000_t202" filled="false" stroked="true" strokeweight=".48004pt" strokecolor="#000000">
            <w10:anchorlock/>
            <v:textbox inset="0,0,0,0">
              <w:txbxContent>
                <w:p>
                  <w:pPr>
                    <w:spacing w:line="300" w:lineRule="auto" w:before="10"/>
                    <w:ind w:left="103" w:right="102" w:firstLine="0"/>
                    <w:jc w:val="both"/>
                    <w:rPr>
                      <w:rFonts w:ascii="宋体" w:hAnsi="宋体" w:cs="宋体" w:eastAsia="宋体" w:hint="default"/>
                      <w:sz w:val="18"/>
                      <w:szCs w:val="18"/>
                    </w:rPr>
                  </w:pPr>
                  <w:r>
                    <w:rPr>
                      <w:rFonts w:ascii="宋体" w:hAnsi="宋体" w:cs="宋体" w:eastAsia="宋体" w:hint="default"/>
                      <w:sz w:val="18"/>
                      <w:szCs w:val="18"/>
                    </w:rPr>
                    <w:t>会公开发行人民币普通股（</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w:t>
                  </w:r>
                  <w:r>
                    <w:rPr>
                      <w:rFonts w:ascii="Times New Roman" w:hAnsi="Times New Roman" w:cs="Times New Roman" w:eastAsia="Times New Roman" w:hint="default"/>
                      <w:sz w:val="18"/>
                      <w:szCs w:val="18"/>
                    </w:rPr>
                    <w:t>16,700,000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股，募集资金总额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169,338,000.00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元，扣除承销保荐费</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17,200,000.00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元后 的募集资金为</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152,138,000.00</w:t>
                  </w:r>
                  <w:r>
                    <w:rPr>
                      <w:rFonts w:ascii="Times New Roman" w:hAnsi="Times New Roman" w:cs="Times New Roman" w:eastAsia="Times New Roman" w:hint="default"/>
                      <w:spacing w:val="-3"/>
                      <w:sz w:val="18"/>
                      <w:szCs w:val="18"/>
                    </w:rPr>
                    <w:t> </w:t>
                  </w:r>
                  <w:r>
                    <w:rPr>
                      <w:rFonts w:ascii="宋体" w:hAnsi="宋体" w:cs="宋体" w:eastAsia="宋体" w:hint="default"/>
                      <w:spacing w:val="-4"/>
                      <w:sz w:val="18"/>
                      <w:szCs w:val="18"/>
                    </w:rPr>
                    <w:t>元，已由中山证券于</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月</w:t>
                  </w:r>
                  <w:r>
                    <w:rPr>
                      <w:rFonts w:ascii="宋体" w:hAnsi="宋体" w:cs="宋体" w:eastAsia="宋体" w:hint="default"/>
                      <w:spacing w:val="-49"/>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日存入公司开立在南京银行股份有限公司上海分行（账 号 </w:t>
                  </w:r>
                  <w:r>
                    <w:rPr>
                      <w:rFonts w:ascii="Times New Roman" w:hAnsi="Times New Roman" w:cs="Times New Roman" w:eastAsia="Times New Roman" w:hint="default"/>
                      <w:spacing w:val="-4"/>
                      <w:sz w:val="18"/>
                      <w:szCs w:val="18"/>
                    </w:rPr>
                    <w:t>03010120030011468</w:t>
                  </w:r>
                  <w:r>
                    <w:rPr>
                      <w:rFonts w:ascii="宋体" w:hAnsi="宋体" w:cs="宋体" w:eastAsia="宋体" w:hint="default"/>
                      <w:spacing w:val="-4"/>
                      <w:sz w:val="18"/>
                      <w:szCs w:val="18"/>
                    </w:rPr>
                    <w:t>）、中国民生银行股份有限公司上海分行（账号</w:t>
                  </w:r>
                  <w:r>
                    <w:rPr>
                      <w:rFonts w:ascii="宋体" w:hAnsi="宋体" w:cs="宋体" w:eastAsia="宋体" w:hint="default"/>
                      <w:spacing w:val="-68"/>
                      <w:sz w:val="18"/>
                      <w:szCs w:val="18"/>
                    </w:rPr>
                    <w:t> </w:t>
                  </w:r>
                  <w:r>
                    <w:rPr>
                      <w:rFonts w:ascii="Times New Roman" w:hAnsi="Times New Roman" w:cs="Times New Roman" w:eastAsia="Times New Roman" w:hint="default"/>
                      <w:spacing w:val="-6"/>
                      <w:sz w:val="18"/>
                      <w:szCs w:val="18"/>
                    </w:rPr>
                    <w:t>694268602</w:t>
                  </w:r>
                  <w:r>
                    <w:rPr>
                      <w:rFonts w:ascii="宋体" w:hAnsi="宋体" w:cs="宋体" w:eastAsia="宋体" w:hint="default"/>
                      <w:spacing w:val="-6"/>
                      <w:sz w:val="18"/>
                      <w:szCs w:val="18"/>
                    </w:rPr>
                    <w:t>）、上海银行股份有限公司静安支行（账</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号</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316188-03002604708</w:t>
                  </w:r>
                  <w:r>
                    <w:rPr>
                      <w:rFonts w:ascii="宋体" w:hAnsi="宋体" w:cs="宋体" w:eastAsia="宋体" w:hint="default"/>
                      <w:sz w:val="18"/>
                      <w:szCs w:val="18"/>
                    </w:rPr>
                    <w:t>）的人民币账户内，扣除已预付的保荐费用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800,000.00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元及其他发行费用</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7,632,303.51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元后，本</w:t>
                  </w:r>
                </w:p>
                <w:p>
                  <w:pPr>
                    <w:spacing w:before="13"/>
                    <w:ind w:left="103" w:right="0" w:firstLine="0"/>
                    <w:jc w:val="both"/>
                    <w:rPr>
                      <w:rFonts w:ascii="宋体" w:hAnsi="宋体" w:cs="宋体" w:eastAsia="宋体" w:hint="default"/>
                      <w:sz w:val="18"/>
                      <w:szCs w:val="18"/>
                    </w:rPr>
                  </w:pPr>
                  <w:r>
                    <w:rPr>
                      <w:rFonts w:ascii="宋体" w:hAnsi="宋体" w:cs="宋体" w:eastAsia="宋体" w:hint="default"/>
                      <w:sz w:val="18"/>
                      <w:szCs w:val="18"/>
                    </w:rPr>
                    <w:t>次募集资金净额为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143,705,696.49</w:t>
                  </w:r>
                  <w:r>
                    <w:rPr>
                      <w:rFonts w:ascii="Times New Roman" w:hAnsi="Times New Roman" w:cs="Times New Roman" w:eastAsia="Times New Roman" w:hint="default"/>
                      <w:spacing w:val="-2"/>
                      <w:sz w:val="18"/>
                      <w:szCs w:val="18"/>
                    </w:rPr>
                    <w:t> </w:t>
                  </w:r>
                  <w:r>
                    <w:rPr>
                      <w:rFonts w:ascii="宋体" w:hAnsi="宋体" w:cs="宋体" w:eastAsia="宋体" w:hint="default"/>
                      <w:spacing w:val="-4"/>
                      <w:sz w:val="18"/>
                      <w:szCs w:val="18"/>
                    </w:rPr>
                    <w:t>元。上述资金到位情况业经立信会计师事务所（特殊普通合伙）验证，并由其出具“信</w:t>
                  </w:r>
                </w:p>
                <w:p>
                  <w:pPr>
                    <w:spacing w:before="64"/>
                    <w:ind w:left="103" w:right="0" w:firstLine="0"/>
                    <w:jc w:val="both"/>
                    <w:rPr>
                      <w:rFonts w:ascii="宋体" w:hAnsi="宋体" w:cs="宋体" w:eastAsia="宋体" w:hint="default"/>
                      <w:sz w:val="18"/>
                      <w:szCs w:val="18"/>
                    </w:rPr>
                  </w:pPr>
                  <w:r>
                    <w:rPr>
                      <w:rFonts w:ascii="宋体" w:hAnsi="宋体" w:cs="宋体" w:eastAsia="宋体" w:hint="default"/>
                      <w:sz w:val="18"/>
                      <w:szCs w:val="18"/>
                    </w:rPr>
                    <w:t>会师报字</w:t>
                  </w:r>
                  <w:r>
                    <w:rPr>
                      <w:rFonts w:ascii="Times New Roman" w:hAnsi="Times New Roman" w:cs="Times New Roman" w:eastAsia="Times New Roman" w:hint="default"/>
                      <w:sz w:val="18"/>
                      <w:szCs w:val="18"/>
                    </w:rPr>
                    <w:t>[2015]</w:t>
                  </w:r>
                  <w:r>
                    <w:rPr>
                      <w:rFonts w:ascii="宋体" w:hAnsi="宋体" w:cs="宋体" w:eastAsia="宋体" w:hint="default"/>
                      <w:sz w:val="18"/>
                      <w:szCs w:val="18"/>
                    </w:rPr>
                    <w:t>第</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114313</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号”验资报告。公司对募集资金采取了专户存储管理制度。</w:t>
                  </w:r>
                </w:p>
                <w:p>
                  <w:pPr>
                    <w:spacing w:before="102"/>
                    <w:ind w:left="103" w:right="0" w:firstLine="0"/>
                    <w:jc w:val="both"/>
                    <w:rPr>
                      <w:rFonts w:ascii="宋体" w:hAnsi="宋体" w:cs="宋体" w:eastAsia="宋体" w:hint="default"/>
                      <w:sz w:val="18"/>
                      <w:szCs w:val="18"/>
                    </w:rPr>
                  </w:pPr>
                  <w:r>
                    <w:rPr>
                      <w:rFonts w:ascii="宋体" w:hAnsi="宋体" w:cs="宋体" w:eastAsia="宋体" w:hint="default"/>
                      <w:sz w:val="18"/>
                      <w:szCs w:val="18"/>
                    </w:rPr>
                    <w:t>截止</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日，公司已累计使用募集资金</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116,108,505.46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元，其中：募集资金项目累计支出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51,108,505.46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w:t>
                  </w:r>
                </w:p>
                <w:p>
                  <w:pPr>
                    <w:spacing w:before="64"/>
                    <w:ind w:left="103" w:right="0" w:firstLine="0"/>
                    <w:jc w:val="both"/>
                    <w:rPr>
                      <w:rFonts w:ascii="宋体" w:hAnsi="宋体" w:cs="宋体" w:eastAsia="宋体" w:hint="default"/>
                      <w:sz w:val="18"/>
                      <w:szCs w:val="18"/>
                    </w:rPr>
                  </w:pPr>
                  <w:r>
                    <w:rPr>
                      <w:rFonts w:ascii="宋体" w:hAnsi="宋体" w:cs="宋体" w:eastAsia="宋体" w:hint="default"/>
                      <w:sz w:val="18"/>
                      <w:szCs w:val="18"/>
                    </w:rPr>
                    <w:t>归还银行贷款</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65,000,000.00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p>
                  <w:pPr>
                    <w:spacing w:before="101"/>
                    <w:ind w:left="103" w:right="0" w:firstLine="0"/>
                    <w:jc w:val="both"/>
                    <w:rPr>
                      <w:rFonts w:ascii="宋体" w:hAnsi="宋体" w:cs="宋体" w:eastAsia="宋体" w:hint="default"/>
                      <w:sz w:val="18"/>
                      <w:szCs w:val="18"/>
                    </w:rPr>
                  </w:pPr>
                  <w:r>
                    <w:rPr>
                      <w:rFonts w:ascii="宋体" w:hAnsi="宋体" w:cs="宋体" w:eastAsia="宋体" w:hint="default"/>
                      <w:sz w:val="18"/>
                      <w:szCs w:val="18"/>
                    </w:rPr>
                    <w:t>公司到位募集资金净额为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143,705,696.49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元，扣除已使用的募集资金</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116,108,505.46</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元，扣除手续费支出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4,865.44</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w:t>
                  </w:r>
                </w:p>
                <w:p>
                  <w:pPr>
                    <w:spacing w:before="63"/>
                    <w:ind w:left="103" w:right="0" w:firstLine="0"/>
                    <w:jc w:val="both"/>
                    <w:rPr>
                      <w:rFonts w:ascii="Times New Roman" w:hAnsi="Times New Roman" w:cs="Times New Roman" w:eastAsia="Times New Roman" w:hint="default"/>
                      <w:sz w:val="18"/>
                      <w:szCs w:val="18"/>
                    </w:rPr>
                  </w:pPr>
                  <w:r>
                    <w:rPr>
                      <w:rFonts w:ascii="宋体" w:hAnsi="宋体" w:cs="宋体" w:eastAsia="宋体" w:hint="default"/>
                      <w:sz w:val="18"/>
                      <w:szCs w:val="18"/>
                    </w:rPr>
                    <w:t>加上收到的存款利息收入</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593,277.50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元，截止</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日，公司募集资金余额应为</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28,185,603.09</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元。截止</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2018</w:t>
                  </w:r>
                </w:p>
                <w:p>
                  <w:pPr>
                    <w:spacing w:before="64"/>
                    <w:ind w:left="103" w:right="0" w:firstLine="0"/>
                    <w:jc w:val="both"/>
                    <w:rPr>
                      <w:rFonts w:ascii="宋体" w:hAnsi="宋体" w:cs="宋体" w:eastAsia="宋体"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日，公司募集资金专户实际余额为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28,185,603.09 </w:t>
                  </w:r>
                  <w:r>
                    <w:rPr>
                      <w:rFonts w:ascii="宋体" w:hAnsi="宋体" w:cs="宋体" w:eastAsia="宋体" w:hint="default"/>
                      <w:sz w:val="18"/>
                      <w:szCs w:val="18"/>
                    </w:rPr>
                    <w:t>元。</w:t>
                  </w:r>
                </w:p>
              </w:txbxContent>
            </v:textbox>
          </v:shape>
        </w:pict>
      </w:r>
      <w:r>
        <w:rPr>
          <w:rFonts w:ascii="宋体" w:hAnsi="宋体" w:cs="宋体" w:eastAsia="宋体" w:hint="default"/>
          <w:position w:val="-70"/>
          <w:sz w:val="20"/>
          <w:szCs w:val="20"/>
        </w:rPr>
      </w:r>
    </w:p>
    <w:p>
      <w:pPr>
        <w:spacing w:line="240" w:lineRule="auto" w:before="7"/>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募集资金承诺项目情况" w:id="50"/>
      <w:bookmarkEnd w:id="5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）募集资金承诺项目情况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35"/>
        <w:gridCol w:w="721"/>
        <w:gridCol w:w="721"/>
        <w:gridCol w:w="722"/>
        <w:gridCol w:w="720"/>
        <w:gridCol w:w="722"/>
        <w:gridCol w:w="721"/>
        <w:gridCol w:w="721"/>
        <w:gridCol w:w="723"/>
        <w:gridCol w:w="722"/>
        <w:gridCol w:w="721"/>
        <w:gridCol w:w="722"/>
      </w:tblGrid>
      <w:tr>
        <w:trPr>
          <w:trHeight w:val="2274"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5"/>
              <w:ind w:left="272" w:right="180" w:hanging="90"/>
              <w:jc w:val="left"/>
              <w:rPr>
                <w:rFonts w:ascii="宋体" w:hAnsi="宋体" w:cs="宋体" w:eastAsia="宋体" w:hint="default"/>
                <w:sz w:val="18"/>
                <w:szCs w:val="18"/>
              </w:rPr>
            </w:pPr>
            <w:r>
              <w:rPr>
                <w:rFonts w:ascii="宋体" w:hAnsi="宋体" w:cs="宋体" w:eastAsia="宋体" w:hint="default"/>
                <w:sz w:val="18"/>
                <w:szCs w:val="18"/>
              </w:rPr>
              <w:t>承诺投资项目和 超募资金投向</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4" w:lineRule="auto"/>
              <w:ind w:left="146" w:right="143" w:firstLine="30"/>
              <w:jc w:val="both"/>
              <w:rPr>
                <w:rFonts w:ascii="Times New Roman" w:hAnsi="Times New Roman" w:cs="Times New Roman" w:eastAsia="Times New Roman" w:hint="default"/>
                <w:sz w:val="18"/>
                <w:szCs w:val="18"/>
              </w:rPr>
            </w:pPr>
            <w:r>
              <w:rPr>
                <w:rFonts w:ascii="宋体" w:hAnsi="宋体" w:cs="宋体" w:eastAsia="宋体" w:hint="default"/>
                <w:sz w:val="18"/>
                <w:szCs w:val="18"/>
              </w:rPr>
              <w:t>是否 已变 更项 目</w:t>
            </w:r>
            <w:r>
              <w:rPr>
                <w:rFonts w:ascii="Times New Roman" w:hAnsi="Times New Roman" w:cs="Times New Roman" w:eastAsia="Times New Roman" w:hint="default"/>
                <w:sz w:val="18"/>
                <w:szCs w:val="18"/>
              </w:rPr>
              <w:t>(</w:t>
            </w:r>
            <w:r>
              <w:rPr>
                <w:rFonts w:ascii="宋体" w:hAnsi="宋体" w:cs="宋体" w:eastAsia="宋体" w:hint="default"/>
                <w:sz w:val="18"/>
                <w:szCs w:val="18"/>
              </w:rPr>
              <w:t>含 部分 变更</w:t>
            </w:r>
            <w:r>
              <w:rPr>
                <w:rFonts w:ascii="Times New Roman" w:hAnsi="Times New Roman" w:cs="Times New Roman" w:eastAsia="Times New Roman" w:hint="default"/>
                <w:sz w:val="18"/>
                <w:szCs w:val="18"/>
              </w:rPr>
              <w:t>)</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75" w:right="174"/>
              <w:jc w:val="both"/>
              <w:rPr>
                <w:rFonts w:ascii="宋体" w:hAnsi="宋体" w:cs="宋体" w:eastAsia="宋体" w:hint="default"/>
                <w:sz w:val="18"/>
                <w:szCs w:val="18"/>
              </w:rPr>
            </w:pPr>
            <w:r>
              <w:rPr>
                <w:rFonts w:ascii="宋体" w:hAnsi="宋体" w:cs="宋体" w:eastAsia="宋体" w:hint="default"/>
                <w:sz w:val="18"/>
                <w:szCs w:val="18"/>
              </w:rPr>
              <w:t>募集 资金 承诺 投资 总额</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160" w:right="159" w:firstLine="14"/>
              <w:jc w:val="both"/>
              <w:rPr>
                <w:rFonts w:ascii="Times New Roman" w:hAnsi="Times New Roman" w:cs="Times New Roman" w:eastAsia="Times New Roman" w:hint="default"/>
                <w:sz w:val="18"/>
                <w:szCs w:val="18"/>
              </w:rPr>
            </w:pPr>
            <w:r>
              <w:rPr>
                <w:rFonts w:ascii="宋体" w:hAnsi="宋体" w:cs="宋体" w:eastAsia="宋体" w:hint="default"/>
                <w:sz w:val="18"/>
                <w:szCs w:val="18"/>
              </w:rPr>
              <w:t>调整 后投 资总 额</w:t>
            </w:r>
            <w:r>
              <w:rPr>
                <w:rFonts w:ascii="Times New Roman" w:hAnsi="Times New Roman" w:cs="Times New Roman" w:eastAsia="Times New Roman" w:hint="default"/>
                <w:sz w:val="18"/>
                <w:szCs w:val="18"/>
              </w:rPr>
              <w:t>(1)</w:t>
            </w:r>
          </w:p>
        </w:tc>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175" w:right="173"/>
              <w:jc w:val="both"/>
              <w:rPr>
                <w:rFonts w:ascii="宋体" w:hAnsi="宋体" w:cs="宋体" w:eastAsia="宋体" w:hint="default"/>
                <w:sz w:val="18"/>
                <w:szCs w:val="18"/>
              </w:rPr>
            </w:pPr>
            <w:r>
              <w:rPr>
                <w:rFonts w:ascii="宋体" w:hAnsi="宋体" w:cs="宋体" w:eastAsia="宋体" w:hint="default"/>
                <w:sz w:val="18"/>
                <w:szCs w:val="18"/>
              </w:rPr>
              <w:t>本报 告期 投入 金额</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76" w:right="174"/>
              <w:jc w:val="both"/>
              <w:rPr>
                <w:rFonts w:ascii="宋体" w:hAnsi="宋体" w:cs="宋体" w:eastAsia="宋体" w:hint="default"/>
                <w:sz w:val="18"/>
                <w:szCs w:val="18"/>
              </w:rPr>
            </w:pPr>
            <w:r>
              <w:rPr>
                <w:rFonts w:ascii="宋体" w:hAnsi="宋体" w:cs="宋体" w:eastAsia="宋体" w:hint="default"/>
                <w:sz w:val="18"/>
                <w:szCs w:val="18"/>
              </w:rPr>
              <w:t>截至 期末 累计 投入 金额</w:t>
            </w:r>
          </w:p>
          <w:p>
            <w:pPr>
              <w:pStyle w:val="TableParagraph"/>
              <w:spacing w:line="240" w:lineRule="auto" w:before="60"/>
              <w:ind w:right="1"/>
              <w:jc w:val="center"/>
              <w:rPr>
                <w:rFonts w:ascii="Times New Roman" w:hAnsi="Times New Roman" w:cs="Times New Roman" w:eastAsia="Times New Roman" w:hint="default"/>
                <w:sz w:val="18"/>
                <w:szCs w:val="18"/>
              </w:rPr>
            </w:pPr>
            <w:r>
              <w:rPr>
                <w:rFonts w:ascii="Times New Roman"/>
                <w:sz w:val="18"/>
              </w:rPr>
              <w:t>(2)</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21" w:lineRule="auto"/>
              <w:ind w:left="121" w:right="118" w:firstLine="55"/>
              <w:jc w:val="both"/>
              <w:rPr>
                <w:rFonts w:ascii="Times New Roman" w:hAnsi="Times New Roman" w:cs="Times New Roman" w:eastAsia="Times New Roman" w:hint="default"/>
                <w:sz w:val="18"/>
                <w:szCs w:val="18"/>
              </w:rPr>
            </w:pPr>
            <w:r>
              <w:rPr>
                <w:rFonts w:ascii="宋体" w:hAnsi="宋体" w:cs="宋体" w:eastAsia="宋体" w:hint="default"/>
                <w:sz w:val="18"/>
                <w:szCs w:val="18"/>
              </w:rPr>
              <w:t>截至 期末 投资 进度 </w:t>
            </w:r>
            <w:r>
              <w:rPr>
                <w:rFonts w:ascii="Times New Roman" w:hAnsi="Times New Roman" w:cs="Times New Roman" w:eastAsia="Times New Roman" w:hint="default"/>
                <w:sz w:val="18"/>
                <w:szCs w:val="18"/>
              </w:rPr>
              <w:t>(3)</w:t>
            </w:r>
            <w:r>
              <w:rPr>
                <w:rFonts w:ascii="宋体" w:hAnsi="宋体" w:cs="宋体" w:eastAsia="宋体" w:hint="default"/>
                <w:sz w:val="18"/>
                <w:szCs w:val="18"/>
              </w:rPr>
              <w:t>＝ </w:t>
            </w:r>
            <w:r>
              <w:rPr>
                <w:rFonts w:ascii="Times New Roman" w:hAnsi="Times New Roman" w:cs="Times New Roman" w:eastAsia="Times New Roman" w:hint="default"/>
                <w:sz w:val="18"/>
                <w:szCs w:val="18"/>
              </w:rPr>
              <w:t>(2)/(1)</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75" w:right="174"/>
              <w:jc w:val="both"/>
              <w:rPr>
                <w:rFonts w:ascii="宋体" w:hAnsi="宋体" w:cs="宋体" w:eastAsia="宋体" w:hint="default"/>
                <w:sz w:val="18"/>
                <w:szCs w:val="18"/>
              </w:rPr>
            </w:pPr>
            <w:r>
              <w:rPr>
                <w:rFonts w:ascii="宋体" w:hAnsi="宋体" w:cs="宋体" w:eastAsia="宋体" w:hint="default"/>
                <w:sz w:val="18"/>
                <w:szCs w:val="18"/>
              </w:rPr>
              <w:t>项目 达到 预定 可使 用状 态日 期</w:t>
            </w:r>
          </w:p>
        </w:tc>
        <w:tc>
          <w:tcPr>
            <w:tcW w:w="7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76" w:right="174"/>
              <w:jc w:val="both"/>
              <w:rPr>
                <w:rFonts w:ascii="宋体" w:hAnsi="宋体" w:cs="宋体" w:eastAsia="宋体" w:hint="default"/>
                <w:sz w:val="18"/>
                <w:szCs w:val="18"/>
              </w:rPr>
            </w:pPr>
            <w:r>
              <w:rPr>
                <w:rFonts w:ascii="宋体" w:hAnsi="宋体" w:cs="宋体" w:eastAsia="宋体" w:hint="default"/>
                <w:sz w:val="18"/>
                <w:szCs w:val="18"/>
              </w:rPr>
              <w:t>本报 告期 实现 的效 益</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76" w:right="174"/>
              <w:jc w:val="both"/>
              <w:rPr>
                <w:rFonts w:ascii="宋体" w:hAnsi="宋体" w:cs="宋体" w:eastAsia="宋体" w:hint="default"/>
                <w:sz w:val="18"/>
                <w:szCs w:val="18"/>
              </w:rPr>
            </w:pPr>
            <w:r>
              <w:rPr>
                <w:rFonts w:ascii="宋体" w:hAnsi="宋体" w:cs="宋体" w:eastAsia="宋体" w:hint="default"/>
                <w:sz w:val="18"/>
                <w:szCs w:val="18"/>
              </w:rPr>
              <w:t>截止 报告 期末 累计 实现 的效 益</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175" w:right="174"/>
              <w:jc w:val="both"/>
              <w:rPr>
                <w:rFonts w:ascii="宋体" w:hAnsi="宋体" w:cs="宋体" w:eastAsia="宋体" w:hint="default"/>
                <w:sz w:val="18"/>
                <w:szCs w:val="18"/>
              </w:rPr>
            </w:pPr>
            <w:r>
              <w:rPr>
                <w:rFonts w:ascii="宋体" w:hAnsi="宋体" w:cs="宋体" w:eastAsia="宋体" w:hint="default"/>
                <w:sz w:val="18"/>
                <w:szCs w:val="18"/>
              </w:rPr>
              <w:t>是否 达到 预计 效益</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76" w:right="174"/>
              <w:jc w:val="both"/>
              <w:rPr>
                <w:rFonts w:ascii="宋体" w:hAnsi="宋体" w:cs="宋体" w:eastAsia="宋体" w:hint="default"/>
                <w:sz w:val="18"/>
                <w:szCs w:val="18"/>
              </w:rPr>
            </w:pPr>
            <w:r>
              <w:rPr>
                <w:rFonts w:ascii="宋体" w:hAnsi="宋体" w:cs="宋体" w:eastAsia="宋体" w:hint="default"/>
                <w:sz w:val="18"/>
                <w:szCs w:val="18"/>
              </w:rPr>
              <w:t>项目 可行 性是 否发 生重 大变 化</w:t>
            </w:r>
          </w:p>
        </w:tc>
      </w:tr>
      <w:tr>
        <w:trPr>
          <w:trHeight w:val="402" w:hRule="exact"/>
        </w:trPr>
        <w:tc>
          <w:tcPr>
            <w:tcW w:w="9572"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承诺投资项目</w:t>
            </w:r>
          </w:p>
        </w:tc>
      </w:tr>
      <w:tr>
        <w:trPr>
          <w:trHeight w:val="1338" w:hRule="exact"/>
        </w:trPr>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3" w:right="261"/>
              <w:jc w:val="both"/>
              <w:rPr>
                <w:rFonts w:ascii="宋体" w:hAnsi="宋体" w:cs="宋体" w:eastAsia="宋体" w:hint="default"/>
                <w:sz w:val="18"/>
                <w:szCs w:val="18"/>
              </w:rPr>
            </w:pPr>
            <w:r>
              <w:rPr>
                <w:rFonts w:ascii="宋体" w:hAnsi="宋体" w:cs="宋体" w:eastAsia="宋体" w:hint="default"/>
                <w:sz w:val="18"/>
                <w:szCs w:val="18"/>
              </w:rPr>
              <w:t>数字档案馆信息 资源管理系统项 目</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01" w:right="0"/>
              <w:jc w:val="center"/>
              <w:rPr>
                <w:rFonts w:ascii="Times New Roman" w:hAnsi="Times New Roman" w:cs="Times New Roman" w:eastAsia="Times New Roman" w:hint="default"/>
                <w:sz w:val="18"/>
                <w:szCs w:val="18"/>
              </w:rPr>
            </w:pPr>
            <w:r>
              <w:rPr>
                <w:rFonts w:ascii="Times New Roman"/>
                <w:sz w:val="18"/>
              </w:rPr>
              <w:t>5,456</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2,669</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279.67</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1,583.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9</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05" w:right="0"/>
              <w:jc w:val="left"/>
              <w:rPr>
                <w:rFonts w:ascii="Times New Roman" w:hAnsi="Times New Roman" w:cs="Times New Roman" w:eastAsia="Times New Roman" w:hint="default"/>
                <w:sz w:val="18"/>
                <w:szCs w:val="18"/>
              </w:rPr>
            </w:pPr>
            <w:r>
              <w:rPr>
                <w:rFonts w:ascii="Times New Roman"/>
                <w:sz w:val="18"/>
              </w:rPr>
              <w:t>59.34</w:t>
            </w:r>
          </w:p>
          <w:p>
            <w:pPr>
              <w:pStyle w:val="TableParagraph"/>
              <w:spacing w:line="240" w:lineRule="auto" w:before="105"/>
              <w:ind w:left="45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2019</w:t>
            </w:r>
          </w:p>
          <w:p>
            <w:pPr>
              <w:pStyle w:val="TableParagraph"/>
              <w:spacing w:line="240" w:lineRule="auto" w:before="64"/>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338" w:hRule="exact"/>
        </w:trPr>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3" w:right="261"/>
              <w:jc w:val="both"/>
              <w:rPr>
                <w:rFonts w:ascii="宋体" w:hAnsi="宋体" w:cs="宋体" w:eastAsia="宋体" w:hint="default"/>
                <w:sz w:val="18"/>
                <w:szCs w:val="18"/>
              </w:rPr>
            </w:pPr>
            <w:r>
              <w:rPr>
                <w:rFonts w:ascii="宋体" w:hAnsi="宋体" w:cs="宋体" w:eastAsia="宋体" w:hint="default"/>
                <w:sz w:val="18"/>
                <w:szCs w:val="18"/>
              </w:rPr>
              <w:t>数字档案室信息 资源管理系统项 目</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01" w:right="0"/>
              <w:jc w:val="center"/>
              <w:rPr>
                <w:rFonts w:ascii="Times New Roman" w:hAnsi="Times New Roman" w:cs="Times New Roman" w:eastAsia="Times New Roman" w:hint="default"/>
                <w:sz w:val="18"/>
                <w:szCs w:val="18"/>
              </w:rPr>
            </w:pPr>
            <w:r>
              <w:rPr>
                <w:rFonts w:ascii="Times New Roman"/>
                <w:sz w:val="18"/>
              </w:rPr>
              <w:t>4,899</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2,469</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279.67</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59" w:right="0"/>
              <w:jc w:val="left"/>
              <w:rPr>
                <w:rFonts w:ascii="Times New Roman" w:hAnsi="Times New Roman" w:cs="Times New Roman" w:eastAsia="Times New Roman" w:hint="default"/>
                <w:sz w:val="18"/>
                <w:szCs w:val="18"/>
              </w:rPr>
            </w:pPr>
            <w:r>
              <w:rPr>
                <w:rFonts w:ascii="Times New Roman"/>
                <w:sz w:val="18"/>
              </w:rPr>
              <w:t>1,742.</w:t>
            </w:r>
          </w:p>
          <w:p>
            <w:pPr>
              <w:pStyle w:val="TableParagraph"/>
              <w:spacing w:line="240" w:lineRule="auto" w:before="105"/>
              <w:ind w:left="429" w:right="0"/>
              <w:jc w:val="left"/>
              <w:rPr>
                <w:rFonts w:ascii="Times New Roman" w:hAnsi="Times New Roman" w:cs="Times New Roman" w:eastAsia="Times New Roman" w:hint="default"/>
                <w:sz w:val="18"/>
                <w:szCs w:val="18"/>
              </w:rPr>
            </w:pPr>
            <w:r>
              <w:rPr>
                <w:rFonts w:ascii="Times New Roman"/>
                <w:sz w:val="18"/>
              </w:rPr>
              <w:t>51</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05" w:right="0"/>
              <w:jc w:val="left"/>
              <w:rPr>
                <w:rFonts w:ascii="Times New Roman" w:hAnsi="Times New Roman" w:cs="Times New Roman" w:eastAsia="Times New Roman" w:hint="default"/>
                <w:sz w:val="18"/>
                <w:szCs w:val="18"/>
              </w:rPr>
            </w:pPr>
            <w:r>
              <w:rPr>
                <w:rFonts w:ascii="Times New Roman"/>
                <w:sz w:val="18"/>
              </w:rPr>
              <w:t>70.58</w:t>
            </w:r>
          </w:p>
          <w:p>
            <w:pPr>
              <w:pStyle w:val="TableParagraph"/>
              <w:spacing w:line="240" w:lineRule="auto" w:before="105"/>
              <w:ind w:left="45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2019</w:t>
            </w:r>
          </w:p>
          <w:p>
            <w:pPr>
              <w:pStyle w:val="TableParagraph"/>
              <w:spacing w:line="240" w:lineRule="auto" w:before="64"/>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338" w:hRule="exact"/>
        </w:trPr>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3" w:right="261"/>
              <w:jc w:val="both"/>
              <w:rPr>
                <w:rFonts w:ascii="宋体" w:hAnsi="宋体" w:cs="宋体" w:eastAsia="宋体" w:hint="default"/>
                <w:sz w:val="18"/>
                <w:szCs w:val="18"/>
              </w:rPr>
            </w:pPr>
            <w:r>
              <w:rPr>
                <w:rFonts w:ascii="宋体" w:hAnsi="宋体" w:cs="宋体" w:eastAsia="宋体" w:hint="default"/>
                <w:sz w:val="18"/>
                <w:szCs w:val="18"/>
              </w:rPr>
              <w:t>食品流通安全追 溯档案管理软件 项目</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4,015.</w:t>
            </w:r>
          </w:p>
          <w:p>
            <w:pPr>
              <w:pStyle w:val="TableParagraph"/>
              <w:spacing w:line="240" w:lineRule="auto" w:before="105"/>
              <w:ind w:left="428" w:right="0"/>
              <w:jc w:val="left"/>
              <w:rPr>
                <w:rFonts w:ascii="Times New Roman" w:hAnsi="Times New Roman" w:cs="Times New Roman" w:eastAsia="Times New Roman" w:hint="default"/>
                <w:sz w:val="18"/>
                <w:szCs w:val="18"/>
              </w:rPr>
            </w:pPr>
            <w:r>
              <w:rPr>
                <w:rFonts w:ascii="Times New Roman"/>
                <w:sz w:val="18"/>
              </w:rPr>
              <w:t>57</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2,712</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333.67</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59" w:right="0"/>
              <w:jc w:val="left"/>
              <w:rPr>
                <w:rFonts w:ascii="Times New Roman" w:hAnsi="Times New Roman" w:cs="Times New Roman" w:eastAsia="Times New Roman" w:hint="default"/>
                <w:sz w:val="18"/>
                <w:szCs w:val="18"/>
              </w:rPr>
            </w:pPr>
            <w:r>
              <w:rPr>
                <w:rFonts w:ascii="Times New Roman"/>
                <w:sz w:val="18"/>
              </w:rPr>
              <w:t>1,784.</w:t>
            </w:r>
          </w:p>
          <w:p>
            <w:pPr>
              <w:pStyle w:val="TableParagraph"/>
              <w:spacing w:line="240" w:lineRule="auto" w:before="105"/>
              <w:ind w:left="429" w:right="0"/>
              <w:jc w:val="left"/>
              <w:rPr>
                <w:rFonts w:ascii="Times New Roman" w:hAnsi="Times New Roman" w:cs="Times New Roman" w:eastAsia="Times New Roman" w:hint="default"/>
                <w:sz w:val="18"/>
                <w:szCs w:val="18"/>
              </w:rPr>
            </w:pPr>
            <w:r>
              <w:rPr>
                <w:rFonts w:ascii="Times New Roman"/>
                <w:sz w:val="18"/>
              </w:rPr>
              <w:t>44</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05" w:right="0"/>
              <w:jc w:val="left"/>
              <w:rPr>
                <w:rFonts w:ascii="Times New Roman" w:hAnsi="Times New Roman" w:cs="Times New Roman" w:eastAsia="Times New Roman" w:hint="default"/>
                <w:sz w:val="18"/>
                <w:szCs w:val="18"/>
              </w:rPr>
            </w:pPr>
            <w:r>
              <w:rPr>
                <w:rFonts w:ascii="Times New Roman"/>
                <w:sz w:val="18"/>
              </w:rPr>
              <w:t>65.80</w:t>
            </w:r>
          </w:p>
          <w:p>
            <w:pPr>
              <w:pStyle w:val="TableParagraph"/>
              <w:spacing w:line="240" w:lineRule="auto" w:before="105"/>
              <w:ind w:left="45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2019</w:t>
            </w:r>
          </w:p>
          <w:p>
            <w:pPr>
              <w:pStyle w:val="TableParagraph"/>
              <w:spacing w:line="240" w:lineRule="auto" w:before="64"/>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1338" w:hRule="exact"/>
        </w:trPr>
        <w:tc>
          <w:tcPr>
            <w:tcW w:w="16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偿还银行贷款</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21"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6,500</w:t>
            </w: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205" w:right="0"/>
              <w:jc w:val="left"/>
              <w:rPr>
                <w:rFonts w:ascii="Times New Roman" w:hAnsi="Times New Roman" w:cs="Times New Roman" w:eastAsia="Times New Roman" w:hint="default"/>
                <w:sz w:val="18"/>
                <w:szCs w:val="18"/>
              </w:rPr>
            </w:pPr>
            <w:r>
              <w:rPr>
                <w:rFonts w:ascii="Times New Roman"/>
                <w:sz w:val="18"/>
              </w:rPr>
              <w:t>6,500</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15"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5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64"/>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8"/>
                <w:sz w:val="18"/>
                <w:szCs w:val="18"/>
              </w:rPr>
              <w:t>11</w:t>
            </w:r>
            <w:r>
              <w:rPr>
                <w:rFonts w:ascii="Times New Roman" w:hAnsi="Times New Roman" w:cs="Times New Roman" w:eastAsia="Times New Roman" w:hint="default"/>
                <w:sz w:val="18"/>
                <w:szCs w:val="18"/>
              </w:rPr>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18</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是</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5"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261"/>
              <w:jc w:val="left"/>
              <w:rPr>
                <w:rFonts w:ascii="宋体" w:hAnsi="宋体" w:cs="宋体" w:eastAsia="宋体" w:hint="default"/>
                <w:sz w:val="18"/>
                <w:szCs w:val="18"/>
              </w:rPr>
            </w:pPr>
            <w:r>
              <w:rPr>
                <w:rFonts w:ascii="宋体" w:hAnsi="宋体" w:cs="宋体" w:eastAsia="宋体" w:hint="default"/>
                <w:sz w:val="18"/>
                <w:szCs w:val="18"/>
              </w:rPr>
              <w:t>承诺投资项目小 计</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3" w:right="0"/>
              <w:jc w:val="left"/>
              <w:rPr>
                <w:rFonts w:ascii="Times New Roman" w:hAnsi="Times New Roman" w:cs="Times New Roman" w:eastAsia="Times New Roman" w:hint="default"/>
                <w:sz w:val="18"/>
                <w:szCs w:val="18"/>
              </w:rPr>
            </w:pPr>
            <w:r>
              <w:rPr>
                <w:rFonts w:ascii="Times New Roman"/>
                <w:sz w:val="18"/>
              </w:rPr>
              <w:t>14,370</w:t>
            </w:r>
          </w:p>
          <w:p>
            <w:pPr>
              <w:pStyle w:val="TableParagraph"/>
              <w:spacing w:line="240" w:lineRule="auto" w:before="105"/>
              <w:ind w:left="383" w:right="0"/>
              <w:jc w:val="left"/>
              <w:rPr>
                <w:rFonts w:ascii="Times New Roman" w:hAnsi="Times New Roman" w:cs="Times New Roman" w:eastAsia="Times New Roman" w:hint="default"/>
                <w:sz w:val="18"/>
                <w:szCs w:val="18"/>
              </w:rPr>
            </w:pPr>
            <w:r>
              <w:rPr>
                <w:rFonts w:ascii="Times New Roman"/>
                <w:sz w:val="18"/>
              </w:rPr>
              <w:t>.57</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14,350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893.01</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1" w:right="0"/>
              <w:jc w:val="left"/>
              <w:rPr>
                <w:rFonts w:ascii="Times New Roman" w:hAnsi="Times New Roman" w:cs="Times New Roman" w:eastAsia="Times New Roman" w:hint="default"/>
                <w:sz w:val="18"/>
                <w:szCs w:val="18"/>
              </w:rPr>
            </w:pPr>
            <w:r>
              <w:rPr>
                <w:rFonts w:ascii="Times New Roman"/>
                <w:sz w:val="18"/>
              </w:rPr>
              <w:t>11,610</w:t>
            </w:r>
          </w:p>
          <w:p>
            <w:pPr>
              <w:pStyle w:val="TableParagraph"/>
              <w:spacing w:line="240" w:lineRule="auto" w:before="105"/>
              <w:ind w:left="385" w:right="0"/>
              <w:jc w:val="left"/>
              <w:rPr>
                <w:rFonts w:ascii="Times New Roman" w:hAnsi="Times New Roman" w:cs="Times New Roman" w:eastAsia="Times New Roman" w:hint="default"/>
                <w:sz w:val="18"/>
                <w:szCs w:val="18"/>
              </w:rPr>
            </w:pPr>
            <w:r>
              <w:rPr>
                <w:rFonts w:ascii="Times New Roman"/>
                <w:sz w:val="18"/>
              </w:rPr>
              <w:t>.85</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after="0" w:line="240" w:lineRule="auto"/>
        <w:jc w:val="center"/>
        <w:rPr>
          <w:rFonts w:ascii="Times New Roman" w:hAnsi="Times New Roman" w:cs="Times New Roman" w:eastAsia="Times New Roman"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720"/>
        <w:gridCol w:w="914"/>
        <w:gridCol w:w="721"/>
        <w:gridCol w:w="721"/>
        <w:gridCol w:w="722"/>
        <w:gridCol w:w="720"/>
        <w:gridCol w:w="722"/>
        <w:gridCol w:w="721"/>
        <w:gridCol w:w="721"/>
        <w:gridCol w:w="723"/>
        <w:gridCol w:w="722"/>
        <w:gridCol w:w="721"/>
        <w:gridCol w:w="722"/>
      </w:tblGrid>
      <w:tr>
        <w:trPr>
          <w:trHeight w:val="402" w:hRule="exact"/>
        </w:trPr>
        <w:tc>
          <w:tcPr>
            <w:tcW w:w="72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8852"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超募资金投向</w:t>
            </w:r>
          </w:p>
        </w:tc>
      </w:tr>
      <w:tr>
        <w:trPr>
          <w:trHeight w:val="402" w:hRule="exact"/>
        </w:trPr>
        <w:tc>
          <w:tcPr>
            <w:tcW w:w="163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721"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0"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
        </w:tc>
        <w:tc>
          <w:tcPr>
            <w:tcW w:w="723"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c>
          <w:tcPr>
            <w:tcW w:w="721" w:type="dxa"/>
            <w:tcBorders>
              <w:top w:val="single" w:sz="4" w:space="0" w:color="000000"/>
              <w:left w:val="single" w:sz="4" w:space="0" w:color="000000"/>
              <w:bottom w:val="single" w:sz="4" w:space="0" w:color="000000"/>
              <w:right w:val="single" w:sz="4" w:space="0" w:color="000000"/>
            </w:tcBorders>
          </w:tcPr>
          <w:p>
            <w:pPr/>
          </w:p>
        </w:tc>
        <w:tc>
          <w:tcPr>
            <w:tcW w:w="72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7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3" w:right="0"/>
              <w:jc w:val="left"/>
              <w:rPr>
                <w:rFonts w:ascii="Times New Roman" w:hAnsi="Times New Roman" w:cs="Times New Roman" w:eastAsia="Times New Roman" w:hint="default"/>
                <w:sz w:val="18"/>
                <w:szCs w:val="18"/>
              </w:rPr>
            </w:pPr>
            <w:r>
              <w:rPr>
                <w:rFonts w:ascii="Times New Roman"/>
                <w:sz w:val="18"/>
              </w:rPr>
              <w:t>14,370</w:t>
            </w:r>
          </w:p>
          <w:p>
            <w:pPr>
              <w:pStyle w:val="TableParagraph"/>
              <w:spacing w:line="240" w:lineRule="auto" w:before="106"/>
              <w:ind w:left="383" w:right="0"/>
              <w:jc w:val="left"/>
              <w:rPr>
                <w:rFonts w:ascii="Times New Roman" w:hAnsi="Times New Roman" w:cs="Times New Roman" w:eastAsia="Times New Roman" w:hint="default"/>
                <w:sz w:val="18"/>
                <w:szCs w:val="18"/>
              </w:rPr>
            </w:pPr>
            <w:r>
              <w:rPr>
                <w:rFonts w:ascii="Times New Roman"/>
                <w:sz w:val="18"/>
              </w:rPr>
              <w:t>.57</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3" w:right="0"/>
              <w:jc w:val="left"/>
              <w:rPr>
                <w:rFonts w:ascii="Times New Roman" w:hAnsi="Times New Roman" w:cs="Times New Roman" w:eastAsia="Times New Roman" w:hint="default"/>
                <w:sz w:val="18"/>
                <w:szCs w:val="18"/>
              </w:rPr>
            </w:pPr>
            <w:r>
              <w:rPr>
                <w:rFonts w:ascii="Times New Roman"/>
                <w:sz w:val="18"/>
              </w:rPr>
              <w:t>14,350</w:t>
            </w:r>
          </w:p>
        </w:tc>
        <w:tc>
          <w:tcPr>
            <w:tcW w:w="72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2" w:right="0"/>
              <w:jc w:val="left"/>
              <w:rPr>
                <w:rFonts w:ascii="Times New Roman" w:hAnsi="Times New Roman" w:cs="Times New Roman" w:eastAsia="Times New Roman" w:hint="default"/>
                <w:sz w:val="18"/>
                <w:szCs w:val="18"/>
              </w:rPr>
            </w:pPr>
            <w:r>
              <w:rPr>
                <w:rFonts w:ascii="Times New Roman"/>
                <w:sz w:val="18"/>
              </w:rPr>
              <w:t>893.01</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1" w:right="0"/>
              <w:jc w:val="left"/>
              <w:rPr>
                <w:rFonts w:ascii="Times New Roman" w:hAnsi="Times New Roman" w:cs="Times New Roman" w:eastAsia="Times New Roman" w:hint="default"/>
                <w:sz w:val="18"/>
                <w:szCs w:val="18"/>
              </w:rPr>
            </w:pPr>
            <w:r>
              <w:rPr>
                <w:rFonts w:ascii="Times New Roman"/>
                <w:sz w:val="18"/>
              </w:rPr>
              <w:t>11,610</w:t>
            </w:r>
          </w:p>
          <w:p>
            <w:pPr>
              <w:pStyle w:val="TableParagraph"/>
              <w:spacing w:line="240" w:lineRule="auto" w:before="106"/>
              <w:ind w:left="385" w:right="0"/>
              <w:jc w:val="left"/>
              <w:rPr>
                <w:rFonts w:ascii="Times New Roman" w:hAnsi="Times New Roman" w:cs="Times New Roman" w:eastAsia="Times New Roman" w:hint="default"/>
                <w:sz w:val="18"/>
                <w:szCs w:val="18"/>
              </w:rPr>
            </w:pPr>
            <w:r>
              <w:rPr>
                <w:rFonts w:ascii="Times New Roman"/>
                <w:sz w:val="18"/>
              </w:rPr>
              <w:t>.85</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 w:right="0"/>
              <w:jc w:val="center"/>
              <w:rPr>
                <w:rFonts w:ascii="Times New Roman" w:hAnsi="Times New Roman" w:cs="Times New Roman" w:eastAsia="Times New Roman" w:hint="default"/>
                <w:sz w:val="18"/>
                <w:szCs w:val="18"/>
              </w:rPr>
            </w:pPr>
            <w:r>
              <w:rPr>
                <w:rFonts w:ascii="Times New Roman"/>
                <w:sz w:val="18"/>
              </w:rPr>
              <w:t>--</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r>
        <w:trPr>
          <w:trHeight w:val="1338" w:hRule="exact"/>
        </w:trPr>
        <w:tc>
          <w:tcPr>
            <w:tcW w:w="16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01"/>
              <w:jc w:val="left"/>
              <w:rPr>
                <w:rFonts w:ascii="宋体" w:hAnsi="宋体" w:cs="宋体" w:eastAsia="宋体" w:hint="default"/>
                <w:sz w:val="18"/>
                <w:szCs w:val="18"/>
              </w:rPr>
            </w:pPr>
            <w:r>
              <w:rPr>
                <w:rFonts w:ascii="宋体" w:hAnsi="宋体" w:cs="宋体" w:eastAsia="宋体" w:hint="default"/>
                <w:sz w:val="18"/>
                <w:szCs w:val="18"/>
              </w:rPr>
              <w:t>未达到计划进度 或预计收益的情 </w:t>
            </w:r>
            <w:r>
              <w:rPr>
                <w:rFonts w:ascii="宋体" w:hAnsi="宋体" w:cs="宋体" w:eastAsia="宋体" w:hint="default"/>
                <w:spacing w:val="-3"/>
                <w:sz w:val="18"/>
                <w:szCs w:val="18"/>
              </w:rPr>
              <w:t>况和原因（分具体</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项目）</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both"/>
              <w:rPr>
                <w:rFonts w:ascii="Times New Roman" w:hAnsi="Times New Roman" w:cs="Times New Roman" w:eastAsia="Times New Roman" w:hint="default"/>
                <w:sz w:val="18"/>
                <w:szCs w:val="18"/>
              </w:rPr>
            </w:pPr>
            <w:r>
              <w:rPr>
                <w:rFonts w:ascii="宋体" w:hAnsi="宋体" w:cs="宋体" w:eastAsia="宋体" w:hint="default"/>
                <w:spacing w:val="-1"/>
                <w:sz w:val="18"/>
                <w:szCs w:val="18"/>
              </w:rPr>
              <w:t>公司的募集资金投资项目均在公司位于上海青浦的自有土地上建设，其主体建设工程已完</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pacing w:val="-1"/>
                <w:sz w:val="18"/>
                <w:szCs w:val="18"/>
              </w:rPr>
              <w:t>成，受装修进度影响，部分募集资金使用存在延迟，因此公司结合实际，在保证公司正常</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经营的基础上，拟将部分募集资金投资项目达到预计可使用状态的日期延后至</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2019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p>
          <w:p>
            <w:pPr>
              <w:pStyle w:val="TableParagraph"/>
              <w:spacing w:line="240" w:lineRule="auto"/>
              <w:ind w:left="103" w:right="0"/>
              <w:jc w:val="both"/>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1026" w:hRule="exact"/>
        </w:trPr>
        <w:tc>
          <w:tcPr>
            <w:tcW w:w="16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61"/>
              <w:jc w:val="both"/>
              <w:rPr>
                <w:rFonts w:ascii="宋体" w:hAnsi="宋体" w:cs="宋体" w:eastAsia="宋体" w:hint="default"/>
                <w:sz w:val="18"/>
                <w:szCs w:val="18"/>
              </w:rPr>
            </w:pPr>
            <w:r>
              <w:rPr>
                <w:rFonts w:ascii="宋体" w:hAnsi="宋体" w:cs="宋体" w:eastAsia="宋体" w:hint="default"/>
                <w:sz w:val="18"/>
                <w:szCs w:val="18"/>
              </w:rPr>
              <w:t>项目可行性发生 重大变化的情况 说明</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16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03" w:right="81"/>
              <w:jc w:val="left"/>
              <w:rPr>
                <w:rFonts w:ascii="宋体" w:hAnsi="宋体" w:cs="宋体" w:eastAsia="宋体" w:hint="default"/>
                <w:sz w:val="18"/>
                <w:szCs w:val="18"/>
              </w:rPr>
            </w:pPr>
            <w:r>
              <w:rPr>
                <w:rFonts w:ascii="宋体" w:hAnsi="宋体" w:cs="宋体" w:eastAsia="宋体" w:hint="default"/>
                <w:sz w:val="18"/>
                <w:szCs w:val="18"/>
              </w:rPr>
              <w:t>超募资金的金额、 用途及使用进展 情况</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24" w:hRule="exact"/>
        </w:trPr>
        <w:tc>
          <w:tcPr>
            <w:tcW w:w="1635" w:type="dxa"/>
            <w:gridSpan w:val="2"/>
            <w:vMerge/>
            <w:tcBorders>
              <w:left w:val="single" w:sz="4" w:space="0" w:color="000000"/>
              <w:bottom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25"/>
                <w:szCs w:val="25"/>
              </w:rPr>
            </w:pPr>
          </w:p>
          <w:p>
            <w:pPr>
              <w:pStyle w:val="TableParagraph"/>
              <w:spacing w:line="319" w:lineRule="auto"/>
              <w:ind w:left="103" w:right="261"/>
              <w:jc w:val="both"/>
              <w:rPr>
                <w:rFonts w:ascii="宋体" w:hAnsi="宋体" w:cs="宋体" w:eastAsia="宋体" w:hint="default"/>
                <w:sz w:val="18"/>
                <w:szCs w:val="18"/>
              </w:rPr>
            </w:pPr>
            <w:r>
              <w:rPr>
                <w:rFonts w:ascii="宋体" w:hAnsi="宋体" w:cs="宋体" w:eastAsia="宋体" w:hint="default"/>
                <w:sz w:val="18"/>
                <w:szCs w:val="18"/>
              </w:rPr>
              <w:t>募集资金投资项 目实施地点变更 情况</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402" w:hRule="exact"/>
        </w:trPr>
        <w:tc>
          <w:tcPr>
            <w:tcW w:w="1635" w:type="dxa"/>
            <w:gridSpan w:val="2"/>
            <w:vMerge/>
            <w:tcBorders>
              <w:left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以前年度发生</w:t>
            </w:r>
          </w:p>
        </w:tc>
      </w:tr>
      <w:tr>
        <w:trPr>
          <w:trHeight w:val="714" w:hRule="exact"/>
        </w:trPr>
        <w:tc>
          <w:tcPr>
            <w:tcW w:w="1635" w:type="dxa"/>
            <w:gridSpan w:val="2"/>
            <w:vMerge/>
            <w:tcBorders>
              <w:left w:val="single" w:sz="4" w:space="0" w:color="000000"/>
              <w:bottom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103" w:right="102"/>
              <w:jc w:val="left"/>
              <w:rPr>
                <w:rFonts w:ascii="宋体" w:hAnsi="宋体" w:cs="宋体" w:eastAsia="宋体" w:hint="default"/>
                <w:sz w:val="18"/>
                <w:szCs w:val="18"/>
              </w:rPr>
            </w:pPr>
            <w:r>
              <w:rPr>
                <w:rFonts w:ascii="宋体" w:hAnsi="宋体" w:cs="宋体" w:eastAsia="宋体" w:hint="default"/>
                <w:sz w:val="18"/>
                <w:szCs w:val="18"/>
              </w:rPr>
              <w:t>上述募投项目中的前三个项目的地址由上海市青浦区出口加工区功能区</w:t>
            </w:r>
            <w:r>
              <w:rPr>
                <w:rFonts w:ascii="宋体" w:hAnsi="宋体" w:cs="宋体" w:eastAsia="宋体" w:hint="default"/>
                <w:spacing w:val="-57"/>
                <w:sz w:val="18"/>
                <w:szCs w:val="18"/>
              </w:rPr>
              <w:t> </w:t>
            </w:r>
            <w:r>
              <w:rPr>
                <w:rFonts w:ascii="Times New Roman" w:hAnsi="Times New Roman" w:cs="Times New Roman" w:eastAsia="Times New Roman" w:hint="default"/>
                <w:sz w:val="18"/>
                <w:szCs w:val="18"/>
              </w:rPr>
              <w:t>C-3</w:t>
            </w:r>
            <w:r>
              <w:rPr>
                <w:rFonts w:ascii="Times New Roman" w:hAnsi="Times New Roman" w:cs="Times New Roman" w:eastAsia="Times New Roman" w:hint="default"/>
                <w:spacing w:val="-13"/>
                <w:sz w:val="18"/>
                <w:szCs w:val="18"/>
              </w:rPr>
              <w:t> </w:t>
            </w:r>
            <w:r>
              <w:rPr>
                <w:rFonts w:ascii="宋体" w:hAnsi="宋体" w:cs="宋体" w:eastAsia="宋体" w:hint="default"/>
                <w:sz w:val="18"/>
                <w:szCs w:val="18"/>
              </w:rPr>
              <w:t>栋调整为上海 市青浦区重固镇郏一村。</w:t>
            </w:r>
          </w:p>
        </w:tc>
      </w:tr>
      <w:tr>
        <w:trPr>
          <w:trHeight w:val="402" w:hRule="exact"/>
        </w:trPr>
        <w:tc>
          <w:tcPr>
            <w:tcW w:w="16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17"/>
                <w:szCs w:val="17"/>
              </w:rPr>
            </w:pPr>
          </w:p>
          <w:p>
            <w:pPr>
              <w:pStyle w:val="TableParagraph"/>
              <w:spacing w:line="319" w:lineRule="auto"/>
              <w:ind w:left="103" w:right="261"/>
              <w:jc w:val="both"/>
              <w:rPr>
                <w:rFonts w:ascii="宋体" w:hAnsi="宋体" w:cs="宋体" w:eastAsia="宋体" w:hint="default"/>
                <w:sz w:val="18"/>
                <w:szCs w:val="18"/>
              </w:rPr>
            </w:pPr>
            <w:r>
              <w:rPr>
                <w:rFonts w:ascii="宋体" w:hAnsi="宋体" w:cs="宋体" w:eastAsia="宋体" w:hint="default"/>
                <w:sz w:val="18"/>
                <w:szCs w:val="18"/>
              </w:rPr>
              <w:t>募集资金投资项 目实施方式调整 情况</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适用</w:t>
            </w:r>
          </w:p>
        </w:tc>
      </w:tr>
      <w:tr>
        <w:trPr>
          <w:trHeight w:val="402" w:hRule="exact"/>
        </w:trPr>
        <w:tc>
          <w:tcPr>
            <w:tcW w:w="1635" w:type="dxa"/>
            <w:gridSpan w:val="2"/>
            <w:vMerge/>
            <w:tcBorders>
              <w:left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以前年度发生</w:t>
            </w:r>
          </w:p>
        </w:tc>
      </w:tr>
      <w:tr>
        <w:trPr>
          <w:trHeight w:val="1338" w:hRule="exact"/>
        </w:trPr>
        <w:tc>
          <w:tcPr>
            <w:tcW w:w="1635" w:type="dxa"/>
            <w:gridSpan w:val="2"/>
            <w:vMerge/>
            <w:tcBorders>
              <w:left w:val="single" w:sz="4" w:space="0" w:color="000000"/>
              <w:bottom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将数字档案馆信息资源管理系统项目投资总额从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5,456.00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万元调减至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2,669.00</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万元；将数</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字档案室信息资源管理系统项目的投资总额从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4,899.00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万元调减至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2,469.00</w:t>
            </w:r>
            <w:r>
              <w:rPr>
                <w:rFonts w:ascii="Times New Roman" w:hAnsi="Times New Roman" w:cs="Times New Roman" w:eastAsia="Times New Roman" w:hint="default"/>
                <w:spacing w:val="-1"/>
                <w:sz w:val="18"/>
                <w:szCs w:val="18"/>
              </w:rPr>
              <w:t> </w:t>
            </w:r>
            <w:r>
              <w:rPr>
                <w:rFonts w:ascii="宋体" w:hAnsi="宋体" w:cs="宋体" w:eastAsia="宋体" w:hint="default"/>
                <w:spacing w:val="-4"/>
                <w:sz w:val="18"/>
                <w:szCs w:val="18"/>
              </w:rPr>
              <w:t>万元；将食品</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流通安全追溯档案管理软件项目的投资总额从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4,015.57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万元调减至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2,712.00</w:t>
            </w:r>
            <w:r>
              <w:rPr>
                <w:rFonts w:ascii="Times New Roman" w:hAnsi="Times New Roman" w:cs="Times New Roman" w:eastAsia="Times New Roman" w:hint="default"/>
                <w:spacing w:val="-1"/>
                <w:sz w:val="18"/>
                <w:szCs w:val="18"/>
              </w:rPr>
              <w:t> </w:t>
            </w:r>
            <w:r>
              <w:rPr>
                <w:rFonts w:ascii="宋体" w:hAnsi="宋体" w:cs="宋体" w:eastAsia="宋体" w:hint="default"/>
                <w:spacing w:val="-4"/>
                <w:sz w:val="18"/>
                <w:szCs w:val="18"/>
              </w:rPr>
              <w:t>万元；另新增</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偿还银行贷款项目</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r>
        <w:trPr>
          <w:trHeight w:val="402" w:hRule="exact"/>
        </w:trPr>
        <w:tc>
          <w:tcPr>
            <w:tcW w:w="16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03" w:right="261"/>
              <w:jc w:val="both"/>
              <w:rPr>
                <w:rFonts w:ascii="宋体" w:hAnsi="宋体" w:cs="宋体" w:eastAsia="宋体" w:hint="default"/>
                <w:sz w:val="18"/>
                <w:szCs w:val="18"/>
              </w:rPr>
            </w:pPr>
            <w:r>
              <w:rPr>
                <w:rFonts w:ascii="宋体" w:hAnsi="宋体" w:cs="宋体" w:eastAsia="宋体" w:hint="default"/>
                <w:sz w:val="18"/>
                <w:szCs w:val="18"/>
              </w:rPr>
              <w:t>募集资金投资项 目先期投入及置 换情况</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24" w:hRule="exact"/>
        </w:trPr>
        <w:tc>
          <w:tcPr>
            <w:tcW w:w="1635" w:type="dxa"/>
            <w:gridSpan w:val="2"/>
            <w:vMerge/>
            <w:tcBorders>
              <w:left w:val="single" w:sz="4" w:space="0" w:color="000000"/>
              <w:bottom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03" w:right="261"/>
              <w:jc w:val="both"/>
              <w:rPr>
                <w:rFonts w:ascii="宋体" w:hAnsi="宋体" w:cs="宋体" w:eastAsia="宋体" w:hint="default"/>
                <w:sz w:val="18"/>
                <w:szCs w:val="18"/>
              </w:rPr>
            </w:pPr>
            <w:r>
              <w:rPr>
                <w:rFonts w:ascii="宋体" w:hAnsi="宋体" w:cs="宋体" w:eastAsia="宋体" w:hint="default"/>
                <w:sz w:val="18"/>
                <w:szCs w:val="18"/>
              </w:rPr>
              <w:t>用闲置募集资金 暂时补充流动资 金情况</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24" w:hRule="exact"/>
        </w:trPr>
        <w:tc>
          <w:tcPr>
            <w:tcW w:w="1635" w:type="dxa"/>
            <w:gridSpan w:val="2"/>
            <w:vMerge/>
            <w:tcBorders>
              <w:left w:val="single" w:sz="4" w:space="0" w:color="000000"/>
              <w:bottom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35"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03" w:right="261"/>
              <w:jc w:val="both"/>
              <w:rPr>
                <w:rFonts w:ascii="宋体" w:hAnsi="宋体" w:cs="宋体" w:eastAsia="宋体" w:hint="default"/>
                <w:sz w:val="18"/>
                <w:szCs w:val="18"/>
              </w:rPr>
            </w:pPr>
            <w:r>
              <w:rPr>
                <w:rFonts w:ascii="宋体" w:hAnsi="宋体" w:cs="宋体" w:eastAsia="宋体" w:hint="default"/>
                <w:sz w:val="18"/>
                <w:szCs w:val="18"/>
              </w:rPr>
              <w:t>项目实施出现募 集资金结余的金 额及原因</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624" w:hRule="exact"/>
        </w:trPr>
        <w:tc>
          <w:tcPr>
            <w:tcW w:w="1635" w:type="dxa"/>
            <w:gridSpan w:val="2"/>
            <w:vMerge/>
            <w:tcBorders>
              <w:left w:val="single" w:sz="4" w:space="0" w:color="000000"/>
              <w:bottom w:val="single" w:sz="4" w:space="0" w:color="000000"/>
              <w:right w:val="single" w:sz="4" w:space="0" w:color="000000"/>
            </w:tcBorders>
            <w:shd w:val="clear" w:color="auto" w:fill="D2D2D2"/>
          </w:tcPr>
          <w:p>
            <w:pP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6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61"/>
              <w:jc w:val="left"/>
              <w:rPr>
                <w:rFonts w:ascii="宋体" w:hAnsi="宋体" w:cs="宋体" w:eastAsia="宋体" w:hint="default"/>
                <w:sz w:val="18"/>
                <w:szCs w:val="18"/>
              </w:rPr>
            </w:pPr>
            <w:r>
              <w:rPr>
                <w:rFonts w:ascii="宋体" w:hAnsi="宋体" w:cs="宋体" w:eastAsia="宋体" w:hint="default"/>
                <w:sz w:val="18"/>
                <w:szCs w:val="18"/>
              </w:rPr>
              <w:t>尚未使用的募集 资金用途及去向</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存于募集资金监管账户中。</w:t>
            </w:r>
          </w:p>
        </w:tc>
      </w:tr>
      <w:tr>
        <w:trPr>
          <w:trHeight w:val="1026" w:hRule="exact"/>
        </w:trPr>
        <w:tc>
          <w:tcPr>
            <w:tcW w:w="16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61"/>
              <w:jc w:val="both"/>
              <w:rPr>
                <w:rFonts w:ascii="宋体" w:hAnsi="宋体" w:cs="宋体" w:eastAsia="宋体" w:hint="default"/>
                <w:sz w:val="18"/>
                <w:szCs w:val="18"/>
              </w:rPr>
            </w:pPr>
            <w:r>
              <w:rPr>
                <w:rFonts w:ascii="宋体" w:hAnsi="宋体" w:cs="宋体" w:eastAsia="宋体" w:hint="default"/>
                <w:sz w:val="18"/>
                <w:szCs w:val="18"/>
              </w:rPr>
              <w:t>募集资金使用及 披露中存在的问 题或其他情况</w:t>
            </w:r>
          </w:p>
        </w:tc>
        <w:tc>
          <w:tcPr>
            <w:tcW w:w="7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216" w:type="dxa"/>
            <w:gridSpan w:val="10"/>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302" w:lineRule="auto"/>
              <w:ind w:left="103" w:right="102"/>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、公司已及时、真实、准确、完整地披露了募集资金使用情况相关信息。</w:t>
            </w:r>
            <w:r>
              <w:rPr>
                <w:rFonts w:ascii="Times New Roman" w:hAnsi="Times New Roman" w:cs="Times New Roman" w:eastAsia="Times New Roman" w:hint="default"/>
                <w:spacing w:val="-1"/>
                <w:sz w:val="18"/>
                <w:szCs w:val="18"/>
              </w:rPr>
              <w:t>2</w:t>
            </w:r>
            <w:r>
              <w:rPr>
                <w:rFonts w:ascii="宋体" w:hAnsi="宋体" w:cs="宋体" w:eastAsia="宋体" w:hint="default"/>
                <w:spacing w:val="-1"/>
                <w:sz w:val="18"/>
                <w:szCs w:val="18"/>
              </w:rPr>
              <w:t>、公司募集资</w:t>
            </w:r>
            <w:r>
              <w:rPr>
                <w:rFonts w:ascii="宋体" w:hAnsi="宋体" w:cs="宋体" w:eastAsia="宋体" w:hint="default"/>
                <w:spacing w:val="-73"/>
                <w:sz w:val="18"/>
                <w:szCs w:val="18"/>
              </w:rPr>
              <w:t> </w:t>
            </w:r>
            <w:r>
              <w:rPr>
                <w:rFonts w:ascii="宋体" w:hAnsi="宋体" w:cs="宋体" w:eastAsia="宋体" w:hint="default"/>
                <w:spacing w:val="-73"/>
                <w:sz w:val="18"/>
                <w:szCs w:val="18"/>
              </w:rPr>
            </w:r>
            <w:r>
              <w:rPr>
                <w:rFonts w:ascii="宋体" w:hAnsi="宋体" w:cs="宋体" w:eastAsia="宋体" w:hint="default"/>
                <w:sz w:val="18"/>
                <w:szCs w:val="18"/>
              </w:rPr>
              <w:t>金存放、使用、管理及披露不存在违规情形。</w:t>
            </w:r>
          </w:p>
        </w:tc>
      </w:tr>
    </w:tbl>
    <w:p>
      <w:pPr>
        <w:spacing w:after="0" w:line="302"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7"/>
        <w:rPr>
          <w:rFonts w:ascii="Times New Roman" w:hAnsi="Times New Roman" w:cs="Times New Roman" w:eastAsia="Times New Roman" w:hint="default"/>
          <w:sz w:val="21"/>
          <w:szCs w:val="21"/>
        </w:rPr>
      </w:pPr>
    </w:p>
    <w:p>
      <w:pPr>
        <w:spacing w:before="35"/>
        <w:ind w:left="114" w:right="0" w:firstLine="0"/>
        <w:jc w:val="left"/>
        <w:rPr>
          <w:rFonts w:ascii="宋体" w:hAnsi="宋体" w:cs="宋体" w:eastAsia="宋体" w:hint="default"/>
          <w:sz w:val="21"/>
          <w:szCs w:val="21"/>
        </w:rPr>
      </w:pPr>
      <w:bookmarkStart w:name="（3）募集资金变更项目情况" w:id="51"/>
      <w:bookmarkEnd w:id="5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）募集资金变更项目情况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57" w:lineRule="auto" w:before="0"/>
        <w:ind w:left="114" w:right="733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公司报告期不存在募集资金变更项目情况。</w:t>
      </w:r>
    </w:p>
    <w:p>
      <w:pPr>
        <w:spacing w:line="240" w:lineRule="auto" w:before="5"/>
        <w:rPr>
          <w:rFonts w:ascii="宋体" w:hAnsi="宋体" w:cs="宋体" w:eastAsia="宋体" w:hint="default"/>
          <w:sz w:val="18"/>
          <w:szCs w:val="18"/>
        </w:rPr>
      </w:pPr>
    </w:p>
    <w:p>
      <w:pPr>
        <w:pStyle w:val="Heading4"/>
        <w:spacing w:line="240" w:lineRule="auto"/>
        <w:ind w:right="0"/>
        <w:jc w:val="left"/>
        <w:rPr>
          <w:b w:val="0"/>
          <w:bCs w:val="0"/>
        </w:rPr>
      </w:pPr>
      <w:bookmarkStart w:name="六、重大资产和股权出售" w:id="52"/>
      <w:bookmarkEnd w:id="52"/>
      <w:r>
        <w:rPr>
          <w:b w:val="0"/>
          <w:bCs w:val="0"/>
        </w:rPr>
      </w:r>
      <w:r>
        <w:rPr/>
        <w:t>六、重大资产和股权出售</w:t>
      </w:r>
      <w:r>
        <w:rPr>
          <w:b w:val="0"/>
          <w:bCs w:val="0"/>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出售重大资产情况" w:id="53"/>
      <w:bookmarkEnd w:id="53"/>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、出售重大资产情况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line="357" w:lineRule="auto" w:before="0"/>
        <w:ind w:left="114" w:right="841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公司报告期未出售重大资产。</w:t>
      </w:r>
    </w:p>
    <w:p>
      <w:pPr>
        <w:spacing w:line="240" w:lineRule="auto" w:before="13"/>
        <w:rPr>
          <w:rFonts w:ascii="宋体" w:hAnsi="宋体" w:cs="宋体" w:eastAsia="宋体" w:hint="default"/>
          <w:sz w:val="19"/>
          <w:szCs w:val="19"/>
        </w:rPr>
      </w:pPr>
    </w:p>
    <w:p>
      <w:pPr>
        <w:spacing w:before="0"/>
        <w:ind w:left="114" w:right="0" w:firstLine="0"/>
        <w:jc w:val="left"/>
        <w:rPr>
          <w:rFonts w:ascii="宋体" w:hAnsi="宋体" w:cs="宋体" w:eastAsia="宋体" w:hint="default"/>
          <w:sz w:val="21"/>
          <w:szCs w:val="21"/>
        </w:rPr>
      </w:pPr>
      <w:bookmarkStart w:name="2、出售重大股权情况" w:id="54"/>
      <w:bookmarkEnd w:id="54"/>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、出售重大股权情况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3"/>
        <w:rPr>
          <w:rFonts w:ascii="宋体" w:hAnsi="宋体" w:cs="宋体" w:eastAsia="宋体" w:hint="default"/>
          <w:sz w:val="24"/>
          <w:szCs w:val="24"/>
        </w:rPr>
      </w:pPr>
    </w:p>
    <w:p>
      <w:pPr>
        <w:pStyle w:val="Heading4"/>
        <w:spacing w:line="240" w:lineRule="auto"/>
        <w:ind w:right="0"/>
        <w:jc w:val="left"/>
        <w:rPr>
          <w:b w:val="0"/>
          <w:bCs w:val="0"/>
        </w:rPr>
      </w:pPr>
      <w:bookmarkStart w:name="七、主要控股参股公司分析" w:id="55"/>
      <w:bookmarkEnd w:id="55"/>
      <w:r>
        <w:rPr>
          <w:b w:val="0"/>
          <w:bCs w:val="0"/>
        </w:rPr>
      </w:r>
      <w:r>
        <w:rPr/>
        <w:t>七、主要控股参股公司分析</w:t>
      </w:r>
      <w:r>
        <w:rPr>
          <w:b w:val="0"/>
          <w:bCs w:val="0"/>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22" w:footer="1019" w:top="1140" w:bottom="1200" w:left="1020" w:right="0"/>
        </w:sectPr>
      </w:pPr>
    </w:p>
    <w:p>
      <w:pPr>
        <w:spacing w:before="44"/>
        <w:ind w:left="114" w:right="-2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114" w:right="-20" w:firstLine="0"/>
        <w:jc w:val="left"/>
        <w:rPr>
          <w:rFonts w:ascii="宋体" w:hAnsi="宋体" w:cs="宋体" w:eastAsia="宋体" w:hint="default"/>
          <w:sz w:val="18"/>
          <w:szCs w:val="18"/>
        </w:rPr>
      </w:pPr>
      <w:r>
        <w:rPr>
          <w:rFonts w:ascii="宋体" w:hAnsi="宋体" w:cs="宋体" w:eastAsia="宋体" w:hint="default"/>
          <w:sz w:val="18"/>
          <w:szCs w:val="18"/>
        </w:rPr>
        <w:t>主要子公司及对公司净利润影响达</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宋体" w:hAnsi="宋体" w:cs="宋体" w:eastAsia="宋体" w:hint="default"/>
          <w:sz w:val="18"/>
          <w:szCs w:val="18"/>
        </w:rPr>
        <w:t>以上的参股公司情况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1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140" w:bottom="1200" w:left="1020" w:right="0"/>
          <w:cols w:num="2" w:equalWidth="0">
            <w:col w:w="4809" w:space="4110"/>
            <w:col w:w="1971"/>
          </w:cols>
        </w:sectPr>
      </w:pP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054"/>
        <w:gridCol w:w="1196"/>
        <w:gridCol w:w="1045"/>
        <w:gridCol w:w="1046"/>
        <w:gridCol w:w="1045"/>
        <w:gridCol w:w="1045"/>
        <w:gridCol w:w="1046"/>
        <w:gridCol w:w="1045"/>
        <w:gridCol w:w="1046"/>
      </w:tblGrid>
      <w:tr>
        <w:trPr>
          <w:trHeight w:val="402" w:hRule="exact"/>
        </w:trPr>
        <w:tc>
          <w:tcPr>
            <w:tcW w:w="10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2" w:right="0"/>
              <w:jc w:val="left"/>
              <w:rPr>
                <w:rFonts w:ascii="宋体" w:hAnsi="宋体" w:cs="宋体" w:eastAsia="宋体" w:hint="default"/>
                <w:sz w:val="18"/>
                <w:szCs w:val="18"/>
              </w:rPr>
            </w:pPr>
            <w:r>
              <w:rPr>
                <w:rFonts w:ascii="宋体" w:hAnsi="宋体" w:cs="宋体" w:eastAsia="宋体" w:hint="default"/>
                <w:sz w:val="18"/>
                <w:szCs w:val="18"/>
              </w:rPr>
              <w:t>公司名称</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公司类型</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 w:right="0"/>
              <w:jc w:val="left"/>
              <w:rPr>
                <w:rFonts w:ascii="宋体" w:hAnsi="宋体" w:cs="宋体" w:eastAsia="宋体" w:hint="default"/>
                <w:sz w:val="18"/>
                <w:szCs w:val="18"/>
              </w:rPr>
            </w:pPr>
            <w:r>
              <w:rPr>
                <w:rFonts w:ascii="宋体" w:hAnsi="宋体" w:cs="宋体" w:eastAsia="宋体" w:hint="default"/>
                <w:sz w:val="18"/>
                <w:szCs w:val="18"/>
              </w:rPr>
              <w:t>主要业务</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 w:right="0"/>
              <w:jc w:val="left"/>
              <w:rPr>
                <w:rFonts w:ascii="宋体" w:hAnsi="宋体" w:cs="宋体" w:eastAsia="宋体" w:hint="default"/>
                <w:sz w:val="18"/>
                <w:szCs w:val="18"/>
              </w:rPr>
            </w:pPr>
            <w:r>
              <w:rPr>
                <w:rFonts w:ascii="宋体" w:hAnsi="宋体" w:cs="宋体" w:eastAsia="宋体" w:hint="default"/>
                <w:sz w:val="18"/>
                <w:szCs w:val="18"/>
              </w:rPr>
              <w:t>注册资本</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8" w:right="0"/>
              <w:jc w:val="left"/>
              <w:rPr>
                <w:rFonts w:ascii="宋体" w:hAnsi="宋体" w:cs="宋体" w:eastAsia="宋体" w:hint="default"/>
                <w:sz w:val="18"/>
                <w:szCs w:val="18"/>
              </w:rPr>
            </w:pPr>
            <w:r>
              <w:rPr>
                <w:rFonts w:ascii="宋体" w:hAnsi="宋体" w:cs="宋体" w:eastAsia="宋体" w:hint="default"/>
                <w:sz w:val="18"/>
                <w:szCs w:val="18"/>
              </w:rPr>
              <w:t>总资产</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7" w:right="0"/>
              <w:jc w:val="left"/>
              <w:rPr>
                <w:rFonts w:ascii="宋体" w:hAnsi="宋体" w:cs="宋体" w:eastAsia="宋体" w:hint="default"/>
                <w:sz w:val="18"/>
                <w:szCs w:val="18"/>
              </w:rPr>
            </w:pPr>
            <w:r>
              <w:rPr>
                <w:rFonts w:ascii="宋体" w:hAnsi="宋体" w:cs="宋体" w:eastAsia="宋体" w:hint="default"/>
                <w:sz w:val="18"/>
                <w:szCs w:val="18"/>
              </w:rPr>
              <w:t>净资产</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04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 w:right="0"/>
              <w:jc w:val="left"/>
              <w:rPr>
                <w:rFonts w:ascii="宋体" w:hAnsi="宋体" w:cs="宋体" w:eastAsia="宋体" w:hint="default"/>
                <w:sz w:val="18"/>
                <w:szCs w:val="18"/>
              </w:rPr>
            </w:pPr>
            <w:r>
              <w:rPr>
                <w:rFonts w:ascii="宋体" w:hAnsi="宋体" w:cs="宋体" w:eastAsia="宋体" w:hint="default"/>
                <w:sz w:val="18"/>
                <w:szCs w:val="18"/>
              </w:rPr>
              <w:t>营业利润</w:t>
            </w:r>
          </w:p>
        </w:tc>
        <w:tc>
          <w:tcPr>
            <w:tcW w:w="104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48" w:right="0"/>
              <w:jc w:val="left"/>
              <w:rPr>
                <w:rFonts w:ascii="宋体" w:hAnsi="宋体" w:cs="宋体" w:eastAsia="宋体" w:hint="default"/>
                <w:sz w:val="18"/>
                <w:szCs w:val="18"/>
              </w:rPr>
            </w:pPr>
            <w:r>
              <w:rPr>
                <w:rFonts w:ascii="宋体" w:hAnsi="宋体" w:cs="宋体" w:eastAsia="宋体" w:hint="default"/>
                <w:sz w:val="18"/>
                <w:szCs w:val="18"/>
              </w:rPr>
              <w:t>净利润</w:t>
            </w:r>
          </w:p>
        </w:tc>
      </w:tr>
      <w:tr>
        <w:trPr>
          <w:trHeight w:val="102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19"/>
              <w:jc w:val="both"/>
              <w:rPr>
                <w:rFonts w:ascii="宋体" w:hAnsi="宋体" w:cs="宋体" w:eastAsia="宋体" w:hint="default"/>
                <w:sz w:val="18"/>
                <w:szCs w:val="18"/>
              </w:rPr>
            </w:pPr>
            <w:r>
              <w:rPr>
                <w:rFonts w:ascii="宋体" w:hAnsi="宋体" w:cs="宋体" w:eastAsia="宋体" w:hint="default"/>
                <w:sz w:val="18"/>
                <w:szCs w:val="18"/>
              </w:rPr>
              <w:t>光典信息 发展有限 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30"/>
              <w:jc w:val="left"/>
              <w:rPr>
                <w:rFonts w:ascii="宋体" w:hAnsi="宋体" w:cs="宋体" w:eastAsia="宋体" w:hint="default"/>
                <w:sz w:val="18"/>
                <w:szCs w:val="18"/>
              </w:rPr>
            </w:pPr>
            <w:r>
              <w:rPr>
                <w:rFonts w:ascii="宋体" w:hAnsi="宋体" w:cs="宋体" w:eastAsia="宋体" w:hint="default"/>
                <w:sz w:val="18"/>
                <w:szCs w:val="18"/>
              </w:rPr>
              <w:t>技术服务、 软硬件销 售及开发</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90,000,000</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3" w:right="0"/>
              <w:jc w:val="left"/>
              <w:rPr>
                <w:rFonts w:ascii="Times New Roman" w:hAnsi="Times New Roman" w:cs="Times New Roman" w:eastAsia="Times New Roman" w:hint="default"/>
                <w:sz w:val="18"/>
                <w:szCs w:val="18"/>
              </w:rPr>
            </w:pPr>
            <w:r>
              <w:rPr>
                <w:rFonts w:ascii="Times New Roman"/>
                <w:sz w:val="18"/>
              </w:rPr>
              <w:t>496,468,39</w:t>
            </w:r>
          </w:p>
          <w:p>
            <w:pPr>
              <w:pStyle w:val="TableParagraph"/>
              <w:spacing w:line="240" w:lineRule="auto" w:before="106"/>
              <w:ind w:left="619" w:right="0"/>
              <w:jc w:val="left"/>
              <w:rPr>
                <w:rFonts w:ascii="Times New Roman" w:hAnsi="Times New Roman" w:cs="Times New Roman" w:eastAsia="Times New Roman" w:hint="default"/>
                <w:sz w:val="18"/>
                <w:szCs w:val="18"/>
              </w:rPr>
            </w:pPr>
            <w:r>
              <w:rPr>
                <w:rFonts w:ascii="Times New Roman"/>
                <w:sz w:val="18"/>
              </w:rPr>
              <w:t>6.85</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132,068,52</w:t>
            </w:r>
          </w:p>
          <w:p>
            <w:pPr>
              <w:pStyle w:val="TableParagraph"/>
              <w:spacing w:line="240" w:lineRule="auto" w:before="106"/>
              <w:ind w:left="618" w:right="0"/>
              <w:jc w:val="left"/>
              <w:rPr>
                <w:rFonts w:ascii="Times New Roman" w:hAnsi="Times New Roman" w:cs="Times New Roman" w:eastAsia="Times New Roman" w:hint="default"/>
                <w:sz w:val="18"/>
                <w:szCs w:val="18"/>
              </w:rPr>
            </w:pPr>
            <w:r>
              <w:rPr>
                <w:rFonts w:ascii="Times New Roman"/>
                <w:sz w:val="18"/>
              </w:rPr>
              <w:t>3.38</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2" w:right="0"/>
              <w:jc w:val="left"/>
              <w:rPr>
                <w:rFonts w:ascii="Times New Roman" w:hAnsi="Times New Roman" w:cs="Times New Roman" w:eastAsia="Times New Roman" w:hint="default"/>
                <w:sz w:val="18"/>
                <w:szCs w:val="18"/>
              </w:rPr>
            </w:pPr>
            <w:r>
              <w:rPr>
                <w:rFonts w:ascii="Times New Roman"/>
                <w:sz w:val="18"/>
              </w:rPr>
              <w:t>137,120,94</w:t>
            </w:r>
          </w:p>
          <w:p>
            <w:pPr>
              <w:pStyle w:val="TableParagraph"/>
              <w:spacing w:line="240" w:lineRule="auto" w:before="106"/>
              <w:ind w:left="618" w:right="0"/>
              <w:jc w:val="left"/>
              <w:rPr>
                <w:rFonts w:ascii="Times New Roman" w:hAnsi="Times New Roman" w:cs="Times New Roman" w:eastAsia="Times New Roman" w:hint="default"/>
                <w:sz w:val="18"/>
                <w:szCs w:val="18"/>
              </w:rPr>
            </w:pPr>
            <w:r>
              <w:rPr>
                <w:rFonts w:ascii="Times New Roman"/>
                <w:sz w:val="18"/>
              </w:rPr>
              <w:t>2.38</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3,211,183.</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01</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3,897,923.</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73</w:t>
            </w:r>
          </w:p>
        </w:tc>
      </w:tr>
      <w:tr>
        <w:trPr>
          <w:trHeight w:val="1026"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19"/>
              <w:jc w:val="both"/>
              <w:rPr>
                <w:rFonts w:ascii="宋体" w:hAnsi="宋体" w:cs="宋体" w:eastAsia="宋体" w:hint="default"/>
                <w:sz w:val="18"/>
                <w:szCs w:val="18"/>
              </w:rPr>
            </w:pPr>
            <w:r>
              <w:rPr>
                <w:rFonts w:ascii="宋体" w:hAnsi="宋体" w:cs="宋体" w:eastAsia="宋体" w:hint="default"/>
                <w:sz w:val="18"/>
                <w:szCs w:val="18"/>
              </w:rPr>
              <w:t>上海金档 信息技术 有限公司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30"/>
              <w:jc w:val="left"/>
              <w:rPr>
                <w:rFonts w:ascii="宋体" w:hAnsi="宋体" w:cs="宋体" w:eastAsia="宋体" w:hint="default"/>
                <w:sz w:val="18"/>
                <w:szCs w:val="18"/>
              </w:rPr>
            </w:pPr>
            <w:r>
              <w:rPr>
                <w:rFonts w:ascii="宋体" w:hAnsi="宋体" w:cs="宋体" w:eastAsia="宋体" w:hint="default"/>
                <w:sz w:val="18"/>
                <w:szCs w:val="18"/>
              </w:rPr>
              <w:t>技术服务、 软硬件销 售及开发</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15,000,000</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118,539,68</w:t>
            </w:r>
          </w:p>
          <w:p>
            <w:pPr>
              <w:pStyle w:val="TableParagraph"/>
              <w:spacing w:line="240" w:lineRule="auto" w:before="106"/>
              <w:ind w:left="619" w:right="0"/>
              <w:jc w:val="left"/>
              <w:rPr>
                <w:rFonts w:ascii="Times New Roman" w:hAnsi="Times New Roman" w:cs="Times New Roman" w:eastAsia="Times New Roman" w:hint="default"/>
                <w:sz w:val="18"/>
                <w:szCs w:val="18"/>
              </w:rPr>
            </w:pPr>
            <w:r>
              <w:rPr>
                <w:rFonts w:ascii="Times New Roman"/>
                <w:sz w:val="18"/>
              </w:rPr>
              <w:t>0.43</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48,249,263</w:t>
            </w:r>
          </w:p>
          <w:p>
            <w:pPr>
              <w:pStyle w:val="TableParagraph"/>
              <w:spacing w:line="240" w:lineRule="auto" w:before="106"/>
              <w:ind w:right="100"/>
              <w:jc w:val="right"/>
              <w:rPr>
                <w:rFonts w:ascii="Times New Roman" w:hAnsi="Times New Roman" w:cs="Times New Roman" w:eastAsia="Times New Roman" w:hint="default"/>
                <w:sz w:val="18"/>
                <w:szCs w:val="18"/>
              </w:rPr>
            </w:pPr>
            <w:r>
              <w:rPr>
                <w:rFonts w:ascii="Times New Roman"/>
                <w:sz w:val="18"/>
              </w:rPr>
              <w:t>.07</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95,290,470</w:t>
            </w:r>
          </w:p>
          <w:p>
            <w:pPr>
              <w:pStyle w:val="TableParagraph"/>
              <w:spacing w:line="240" w:lineRule="auto" w:before="106"/>
              <w:ind w:right="100"/>
              <w:jc w:val="right"/>
              <w:rPr>
                <w:rFonts w:ascii="Times New Roman" w:hAnsi="Times New Roman" w:cs="Times New Roman" w:eastAsia="Times New Roman" w:hint="default"/>
                <w:sz w:val="18"/>
                <w:szCs w:val="18"/>
              </w:rPr>
            </w:pPr>
            <w:r>
              <w:rPr>
                <w:rFonts w:ascii="Times New Roman"/>
                <w:sz w:val="18"/>
              </w:rPr>
              <w:t>.82</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1,922,343.</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66</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2,472,917.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72</w:t>
            </w:r>
          </w:p>
        </w:tc>
      </w:tr>
      <w:tr>
        <w:trPr>
          <w:trHeight w:val="1338" w:hRule="exact"/>
        </w:trPr>
        <w:tc>
          <w:tcPr>
            <w:tcW w:w="105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19"/>
              <w:jc w:val="both"/>
              <w:rPr>
                <w:rFonts w:ascii="宋体" w:hAnsi="宋体" w:cs="宋体" w:eastAsia="宋体" w:hint="default"/>
                <w:sz w:val="18"/>
                <w:szCs w:val="18"/>
              </w:rPr>
            </w:pPr>
            <w:r>
              <w:rPr>
                <w:rFonts w:ascii="宋体" w:hAnsi="宋体" w:cs="宋体" w:eastAsia="宋体" w:hint="default"/>
                <w:sz w:val="18"/>
                <w:szCs w:val="18"/>
              </w:rPr>
              <w:t>追溯云信 息发展股 份有限公 司</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子公司</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03" w:right="30"/>
              <w:jc w:val="left"/>
              <w:rPr>
                <w:rFonts w:ascii="宋体" w:hAnsi="宋体" w:cs="宋体" w:eastAsia="宋体" w:hint="default"/>
                <w:sz w:val="18"/>
                <w:szCs w:val="18"/>
              </w:rPr>
            </w:pPr>
            <w:r>
              <w:rPr>
                <w:rFonts w:ascii="宋体" w:hAnsi="宋体" w:cs="宋体" w:eastAsia="宋体" w:hint="default"/>
                <w:sz w:val="18"/>
                <w:szCs w:val="18"/>
              </w:rPr>
              <w:t>技术服务、 软硬件销 售及开发</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50,000,000</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.00</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68,376,288</w:t>
            </w:r>
          </w:p>
          <w:p>
            <w:pPr>
              <w:pStyle w:val="TableParagraph"/>
              <w:spacing w:line="240" w:lineRule="auto" w:before="106"/>
              <w:ind w:right="99"/>
              <w:jc w:val="right"/>
              <w:rPr>
                <w:rFonts w:ascii="Times New Roman" w:hAnsi="Times New Roman" w:cs="Times New Roman" w:eastAsia="Times New Roman" w:hint="default"/>
                <w:sz w:val="18"/>
                <w:szCs w:val="18"/>
              </w:rPr>
            </w:pPr>
            <w:r>
              <w:rPr>
                <w:rFonts w:ascii="Times New Roman"/>
                <w:sz w:val="18"/>
              </w:rPr>
              <w:t>.37</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65,625,241</w:t>
            </w:r>
          </w:p>
          <w:p>
            <w:pPr>
              <w:pStyle w:val="TableParagraph"/>
              <w:spacing w:line="240" w:lineRule="auto" w:before="106"/>
              <w:ind w:right="100"/>
              <w:jc w:val="right"/>
              <w:rPr>
                <w:rFonts w:ascii="Times New Roman" w:hAnsi="Times New Roman" w:cs="Times New Roman" w:eastAsia="Times New Roman" w:hint="default"/>
                <w:sz w:val="18"/>
                <w:szCs w:val="18"/>
              </w:rPr>
            </w:pPr>
            <w:r>
              <w:rPr>
                <w:rFonts w:ascii="Times New Roman"/>
                <w:sz w:val="18"/>
              </w:rPr>
              <w:t>.95</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19,855,228</w:t>
            </w:r>
          </w:p>
          <w:p>
            <w:pPr>
              <w:pStyle w:val="TableParagraph"/>
              <w:spacing w:line="240" w:lineRule="auto" w:before="106"/>
              <w:ind w:right="100"/>
              <w:jc w:val="right"/>
              <w:rPr>
                <w:rFonts w:ascii="Times New Roman" w:hAnsi="Times New Roman" w:cs="Times New Roman" w:eastAsia="Times New Roman" w:hint="default"/>
                <w:sz w:val="18"/>
                <w:szCs w:val="18"/>
              </w:rPr>
            </w:pPr>
            <w:r>
              <w:rPr>
                <w:rFonts w:ascii="Times New Roman"/>
                <w:sz w:val="18"/>
              </w:rPr>
              <w:t>.93</w:t>
            </w:r>
          </w:p>
        </w:tc>
        <w:tc>
          <w:tcPr>
            <w:tcW w:w="10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9,288,657.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67</w:t>
            </w:r>
          </w:p>
        </w:tc>
        <w:tc>
          <w:tcPr>
            <w:tcW w:w="104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9,328,564.</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55</w:t>
            </w:r>
          </w:p>
        </w:tc>
      </w:tr>
    </w:tbl>
    <w:p>
      <w:pPr>
        <w:spacing w:before="51"/>
        <w:ind w:left="114" w:right="0" w:firstLine="0"/>
        <w:jc w:val="both"/>
        <w:rPr>
          <w:rFonts w:ascii="宋体" w:hAnsi="宋体" w:cs="宋体" w:eastAsia="宋体" w:hint="default"/>
          <w:sz w:val="18"/>
          <w:szCs w:val="18"/>
        </w:rPr>
      </w:pPr>
      <w:r>
        <w:rPr>
          <w:rFonts w:ascii="宋体" w:hAnsi="宋体" w:cs="宋体" w:eastAsia="宋体" w:hint="default"/>
          <w:sz w:val="18"/>
          <w:szCs w:val="18"/>
        </w:rPr>
        <w:t>报告期内取得和处置子公司的情况</w:t>
      </w:r>
    </w:p>
    <w:p>
      <w:pPr>
        <w:spacing w:line="357" w:lineRule="auto" w:before="117"/>
        <w:ind w:left="114" w:right="8592" w:firstLine="0"/>
        <w:jc w:val="left"/>
        <w:rPr>
          <w:rFonts w:ascii="宋体" w:hAnsi="宋体" w:cs="宋体" w:eastAsia="宋体" w:hint="default"/>
          <w:sz w:val="18"/>
          <w:szCs w:val="18"/>
        </w:rPr>
      </w:pPr>
      <w:r>
        <w:rPr>
          <w:rFonts w:ascii="宋体" w:hAnsi="宋体" w:cs="宋体" w:eastAsia="宋体" w:hint="default"/>
          <w:sz w:val="18"/>
          <w:szCs w:val="18"/>
        </w:rPr>
        <w:t>□ 适用 √ 不适用 主要控股参股公司情况说明</w:t>
      </w:r>
    </w:p>
    <w:p>
      <w:pPr>
        <w:spacing w:line="319" w:lineRule="auto" w:before="28"/>
        <w:ind w:left="114" w:right="1130" w:firstLine="0"/>
        <w:jc w:val="both"/>
        <w:rPr>
          <w:rFonts w:ascii="宋体" w:hAnsi="宋体" w:cs="宋体" w:eastAsia="宋体" w:hint="default"/>
          <w:sz w:val="18"/>
          <w:szCs w:val="18"/>
        </w:rPr>
      </w:pPr>
      <w:r>
        <w:rPr>
          <w:rFonts w:ascii="宋体" w:hAnsi="宋体" w:cs="宋体" w:eastAsia="宋体" w:hint="default"/>
          <w:spacing w:val="-2"/>
          <w:sz w:val="18"/>
          <w:szCs w:val="18"/>
        </w:rPr>
        <w:t>追溯云定位为成为最权威的食品安全第三方服务平台，也是国内首家通过第三方认证的重要产品追溯服务提供商。平台采用</w:t>
      </w:r>
      <w:r>
        <w:rPr>
          <w:rFonts w:ascii="宋体" w:hAnsi="宋体" w:cs="宋体" w:eastAsia="宋体" w:hint="default"/>
          <w:spacing w:val="-63"/>
          <w:sz w:val="18"/>
          <w:szCs w:val="18"/>
        </w:rPr>
        <w:t> </w:t>
      </w:r>
      <w:r>
        <w:rPr>
          <w:rFonts w:ascii="宋体" w:hAnsi="宋体" w:cs="宋体" w:eastAsia="宋体" w:hint="default"/>
          <w:spacing w:val="-63"/>
          <w:sz w:val="18"/>
          <w:szCs w:val="18"/>
        </w:rPr>
      </w:r>
      <w:r>
        <w:rPr>
          <w:rFonts w:ascii="宋体" w:hAnsi="宋体" w:cs="宋体" w:eastAsia="宋体" w:hint="default"/>
          <w:spacing w:val="-2"/>
          <w:sz w:val="18"/>
          <w:szCs w:val="18"/>
        </w:rPr>
        <w:t>SaaS</w:t>
      </w:r>
      <w:r>
        <w:rPr>
          <w:rFonts w:ascii="宋体" w:hAnsi="宋体" w:cs="宋体" w:eastAsia="宋体" w:hint="default"/>
          <w:spacing w:val="-2"/>
          <w:sz w:val="18"/>
          <w:szCs w:val="18"/>
        </w:rPr>
        <w:t>服务模式立足食品安全，围绕食品的生产流通销售过程，提供咨询、认证、检测和信息化服务。同时，结合公司线下优</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pacing w:val="-2"/>
          <w:sz w:val="18"/>
          <w:szCs w:val="18"/>
        </w:rPr>
        <w:t>势，满足客户一体化食品安全供应链管理需要，不断拓展食品安全服务版图，并取得业绩突破性增长。报告期内，营业收入</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较上年同期增长</w:t>
      </w:r>
      <w:r>
        <w:rPr>
          <w:rFonts w:ascii="宋体" w:hAnsi="宋体" w:cs="宋体" w:eastAsia="宋体" w:hint="default"/>
          <w:sz w:val="18"/>
          <w:szCs w:val="18"/>
        </w:rPr>
        <w:t>43.17%</w:t>
      </w:r>
      <w:r>
        <w:rPr>
          <w:rFonts w:ascii="宋体" w:hAnsi="宋体" w:cs="宋体" w:eastAsia="宋体" w:hint="default"/>
          <w:sz w:val="18"/>
          <w:szCs w:val="18"/>
        </w:rPr>
        <w:t>，净利润较上年同期增长</w:t>
      </w:r>
      <w:r>
        <w:rPr>
          <w:rFonts w:ascii="宋体" w:hAnsi="宋体" w:cs="宋体" w:eastAsia="宋体" w:hint="default"/>
          <w:sz w:val="18"/>
          <w:szCs w:val="18"/>
        </w:rPr>
        <w:t>48.15%</w:t>
      </w:r>
      <w:r>
        <w:rPr>
          <w:rFonts w:ascii="宋体" w:hAnsi="宋体" w:cs="宋体" w:eastAsia="宋体" w:hint="default"/>
          <w:sz w:val="18"/>
          <w:szCs w:val="18"/>
        </w:rPr>
        <w:t>。</w:t>
      </w:r>
    </w:p>
    <w:p>
      <w:pPr>
        <w:spacing w:after="0" w:line="319" w:lineRule="auto"/>
        <w:jc w:val="both"/>
        <w:rPr>
          <w:rFonts w:ascii="宋体" w:hAnsi="宋体" w:cs="宋体" w:eastAsia="宋体" w:hint="default"/>
          <w:sz w:val="18"/>
          <w:szCs w:val="18"/>
        </w:rPr>
        <w:sectPr>
          <w:type w:val="continuous"/>
          <w:pgSz w:w="11910" w:h="16840"/>
          <w:pgMar w:top="1140" w:bottom="1200" w:left="1020" w:right="0"/>
        </w:sectPr>
      </w:pPr>
    </w:p>
    <w:p>
      <w:pPr>
        <w:spacing w:line="240" w:lineRule="auto" w:before="12"/>
        <w:rPr>
          <w:rFonts w:ascii="宋体" w:hAnsi="宋体" w:cs="宋体" w:eastAsia="宋体" w:hint="default"/>
          <w:sz w:val="17"/>
          <w:szCs w:val="17"/>
        </w:rPr>
      </w:pPr>
    </w:p>
    <w:p>
      <w:pPr>
        <w:pStyle w:val="Heading4"/>
        <w:spacing w:line="240" w:lineRule="auto" w:before="26"/>
        <w:ind w:right="0"/>
        <w:jc w:val="left"/>
        <w:rPr>
          <w:b w:val="0"/>
          <w:bCs w:val="0"/>
        </w:rPr>
      </w:pPr>
      <w:bookmarkStart w:name="八、公司控制的结构化主体情况" w:id="56"/>
      <w:bookmarkEnd w:id="56"/>
      <w:r>
        <w:rPr>
          <w:b w:val="0"/>
          <w:bCs w:val="0"/>
        </w:rPr>
      </w:r>
      <w:r>
        <w:rPr/>
        <w:t>八、公司控制的结构化主体情况</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25"/>
          <w:szCs w:val="25"/>
        </w:rPr>
      </w:pPr>
    </w:p>
    <w:p>
      <w:pPr>
        <w:pStyle w:val="Heading4"/>
        <w:spacing w:line="240" w:lineRule="auto"/>
        <w:ind w:right="0"/>
        <w:jc w:val="left"/>
        <w:rPr>
          <w:b w:val="0"/>
          <w:bCs w:val="0"/>
        </w:rPr>
      </w:pPr>
      <w:bookmarkStart w:name="九、公司未来发展的展望" w:id="57"/>
      <w:bookmarkEnd w:id="57"/>
      <w:r>
        <w:rPr>
          <w:b w:val="0"/>
          <w:bCs w:val="0"/>
        </w:rPr>
      </w:r>
      <w:r>
        <w:rPr/>
        <w:t>九、公司未来发展的展望</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公司未来发展展望已在本报告中第四节“经营情况讨论与分析”之“一、概述”部分予以描述。</w:t>
      </w:r>
    </w:p>
    <w:p>
      <w:pPr>
        <w:spacing w:line="240" w:lineRule="auto" w:before="2"/>
        <w:rPr>
          <w:rFonts w:ascii="宋体" w:hAnsi="宋体" w:cs="宋体" w:eastAsia="宋体" w:hint="default"/>
          <w:sz w:val="25"/>
          <w:szCs w:val="25"/>
        </w:rPr>
      </w:pPr>
    </w:p>
    <w:p>
      <w:pPr>
        <w:pStyle w:val="Heading4"/>
        <w:spacing w:line="240" w:lineRule="auto"/>
        <w:ind w:right="0"/>
        <w:jc w:val="left"/>
        <w:rPr>
          <w:b w:val="0"/>
          <w:bCs w:val="0"/>
        </w:rPr>
      </w:pPr>
      <w:bookmarkStart w:name="十、接待调研、沟通、采访等活动登记表" w:id="58"/>
      <w:bookmarkEnd w:id="58"/>
      <w:r>
        <w:rPr>
          <w:b w:val="0"/>
          <w:bCs w:val="0"/>
        </w:rPr>
      </w:r>
      <w:r>
        <w:rPr/>
        <w:t>十、接待调研、沟通、采访等活动登记表</w:t>
      </w:r>
      <w:r>
        <w:rPr>
          <w:b w:val="0"/>
          <w:bCs w:val="0"/>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报告期内接待调研、沟通、采访等活动登记表" w:id="59"/>
      <w:bookmarkEnd w:id="59"/>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、报告期内接待调研、沟通、采访等活动登记表</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178"/>
        <w:gridCol w:w="2177"/>
        <w:gridCol w:w="2177"/>
        <w:gridCol w:w="3038"/>
      </w:tblGrid>
      <w:tr>
        <w:trPr>
          <w:trHeight w:val="402" w:hRule="exact"/>
        </w:trPr>
        <w:tc>
          <w:tcPr>
            <w:tcW w:w="217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接待时间</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接待方式</w:t>
            </w:r>
          </w:p>
        </w:tc>
        <w:tc>
          <w:tcPr>
            <w:tcW w:w="217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43" w:right="0"/>
              <w:jc w:val="left"/>
              <w:rPr>
                <w:rFonts w:ascii="宋体" w:hAnsi="宋体" w:cs="宋体" w:eastAsia="宋体" w:hint="default"/>
                <w:sz w:val="18"/>
                <w:szCs w:val="18"/>
              </w:rPr>
            </w:pPr>
            <w:r>
              <w:rPr>
                <w:rFonts w:ascii="宋体" w:hAnsi="宋体" w:cs="宋体" w:eastAsia="宋体" w:hint="default"/>
                <w:sz w:val="18"/>
                <w:szCs w:val="18"/>
              </w:rPr>
              <w:t>接待对象类型</w:t>
            </w:r>
          </w:p>
        </w:tc>
        <w:tc>
          <w:tcPr>
            <w:tcW w:w="30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03" w:right="0"/>
              <w:jc w:val="left"/>
              <w:rPr>
                <w:rFonts w:ascii="宋体" w:hAnsi="宋体" w:cs="宋体" w:eastAsia="宋体" w:hint="default"/>
                <w:sz w:val="18"/>
                <w:szCs w:val="18"/>
              </w:rPr>
            </w:pPr>
            <w:r>
              <w:rPr>
                <w:rFonts w:ascii="宋体" w:hAnsi="宋体" w:cs="宋体" w:eastAsia="宋体" w:hint="default"/>
                <w:sz w:val="18"/>
                <w:szCs w:val="18"/>
              </w:rPr>
              <w:t>调研的基本情况索引</w:t>
            </w:r>
          </w:p>
        </w:tc>
      </w:tr>
      <w:tr>
        <w:trPr>
          <w:trHeight w:val="1026" w:hRule="exact"/>
        </w:trPr>
        <w:tc>
          <w:tcPr>
            <w:tcW w:w="21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实地调研</w:t>
            </w:r>
          </w:p>
        </w:tc>
        <w:tc>
          <w:tcPr>
            <w:tcW w:w="21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机构</w:t>
            </w:r>
          </w:p>
        </w:tc>
        <w:tc>
          <w:tcPr>
            <w:tcW w:w="30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p>
          <w:p>
            <w:pPr>
              <w:pStyle w:val="TableParagraph"/>
              <w:spacing w:line="240" w:lineRule="auto" w:before="75"/>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www.cninfo.com.cn)2018</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z w:val="18"/>
                <w:szCs w:val="18"/>
              </w:rPr>
              <w:t> </w:t>
            </w:r>
            <w:r>
              <w:rPr>
                <w:rFonts w:ascii="宋体" w:hAnsi="宋体" w:cs="宋体" w:eastAsia="宋体" w:hint="default"/>
                <w:sz w:val="18"/>
                <w:szCs w:val="18"/>
              </w:rPr>
              <w:t>日投资者关系活动记录表</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Heading1"/>
        <w:spacing w:line="240" w:lineRule="auto"/>
        <w:ind w:right="3401"/>
        <w:jc w:val="center"/>
        <w:rPr>
          <w:b w:val="0"/>
          <w:bCs w:val="0"/>
        </w:rPr>
      </w:pPr>
      <w:bookmarkStart w:name="第五节 重要事项" w:id="60"/>
      <w:bookmarkEnd w:id="60"/>
      <w:r>
        <w:rPr>
          <w:b w:val="0"/>
          <w:bCs w:val="0"/>
        </w:rPr>
      </w:r>
      <w:bookmarkStart w:name="_bookmark3" w:id="61"/>
      <w:bookmarkEnd w:id="61"/>
      <w:r>
        <w:rPr>
          <w:b w:val="0"/>
          <w:bCs w:val="0"/>
        </w:rPr>
      </w:r>
      <w:r>
        <w:rPr/>
        <w:t>第五节</w:t>
      </w:r>
      <w:r>
        <w:rPr>
          <w:spacing w:val="-5"/>
        </w:rPr>
        <w:t> </w:t>
      </w:r>
      <w:r>
        <w:rPr/>
        <w:t>重要事项</w:t>
      </w:r>
      <w:r>
        <w:rPr>
          <w:b w:val="0"/>
          <w:bCs w:val="0"/>
        </w:rPr>
      </w:r>
    </w:p>
    <w:p>
      <w:pPr>
        <w:spacing w:line="240" w:lineRule="auto" w:before="12"/>
        <w:rPr>
          <w:rFonts w:ascii="宋体" w:hAnsi="宋体" w:cs="宋体" w:eastAsia="宋体" w:hint="default"/>
          <w:b/>
          <w:bCs/>
          <w:sz w:val="38"/>
          <w:szCs w:val="38"/>
        </w:rPr>
      </w:pPr>
    </w:p>
    <w:p>
      <w:pPr>
        <w:pStyle w:val="Heading4"/>
        <w:spacing w:line="240" w:lineRule="auto"/>
        <w:ind w:right="0"/>
        <w:jc w:val="left"/>
        <w:rPr>
          <w:b w:val="0"/>
          <w:bCs w:val="0"/>
        </w:rPr>
      </w:pPr>
      <w:bookmarkStart w:name="一、公司普通股利润分配及资本公积金转增股本情况" w:id="62"/>
      <w:bookmarkEnd w:id="62"/>
      <w:r>
        <w:rPr>
          <w:b w:val="0"/>
          <w:bCs w:val="0"/>
        </w:rPr>
      </w:r>
      <w:r>
        <w:rPr/>
        <w:t>一、公司普通股利润分配及资本公积金转增股本情况</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报告期内普通股利润分配政策，特别是现金分红政策的制定、执行或调整情况</w:t>
      </w:r>
    </w:p>
    <w:p>
      <w:pPr>
        <w:spacing w:line="357" w:lineRule="auto" w:before="117"/>
        <w:ind w:left="114" w:right="301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公司报告期利润分配预案及资本公积金转增股本预案与公司章程和分红管理办法等的相关规定一致</w:t>
      </w:r>
    </w:p>
    <w:p>
      <w:pPr>
        <w:spacing w:line="360" w:lineRule="auto" w:before="28"/>
        <w:ind w:left="114" w:right="4272" w:firstLine="0"/>
        <w:jc w:val="left"/>
        <w:rPr>
          <w:rFonts w:ascii="宋体" w:hAnsi="宋体" w:cs="宋体" w:eastAsia="宋体" w:hint="default"/>
          <w:sz w:val="18"/>
          <w:szCs w:val="18"/>
        </w:rPr>
      </w:pPr>
      <w:r>
        <w:rPr>
          <w:rFonts w:ascii="宋体" w:hAnsi="宋体" w:cs="宋体" w:eastAsia="宋体" w:hint="default"/>
          <w:sz w:val="18"/>
          <w:szCs w:val="18"/>
        </w:rPr>
        <w:t>√ 是 □ 否 □ 不适用 公司报告期利润分配预案及资本公积金转增股本预案符合公司章程等的相关规定。 本年度利润分配及资本公积金转增股本情况</w:t>
      </w:r>
    </w:p>
    <w:tbl>
      <w:tblPr>
        <w:tblW w:w="0" w:type="auto"/>
        <w:jc w:val="left"/>
        <w:tblInd w:w="109" w:type="dxa"/>
        <w:tblLayout w:type="fixed"/>
        <w:tblCellMar>
          <w:top w:w="0" w:type="dxa"/>
          <w:left w:w="0" w:type="dxa"/>
          <w:bottom w:w="0" w:type="dxa"/>
          <w:right w:w="0" w:type="dxa"/>
        </w:tblCellMar>
        <w:tblLook w:val="01E0"/>
      </w:tblPr>
      <w:tblGrid>
        <w:gridCol w:w="3718"/>
        <w:gridCol w:w="5851"/>
      </w:tblGrid>
      <w:tr>
        <w:trPr>
          <w:trHeight w:val="403" w:hRule="exact"/>
        </w:trPr>
        <w:tc>
          <w:tcPr>
            <w:tcW w:w="3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股送红股数（股）</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股派息</w:t>
            </w:r>
            <w:r>
              <w:rPr>
                <w:rFonts w:ascii="宋体" w:hAnsi="宋体" w:cs="宋体" w:eastAsia="宋体" w:hint="default"/>
                <w:spacing w:val="1"/>
                <w:sz w:val="18"/>
                <w:szCs w:val="18"/>
              </w:rPr>
              <w:t>数</w:t>
            </w:r>
            <w:r>
              <w:rPr>
                <w:rFonts w:ascii="宋体" w:hAnsi="宋体" w:cs="宋体" w:eastAsia="宋体" w:hint="default"/>
                <w:sz w:val="18"/>
                <w:szCs w:val="18"/>
              </w:rPr>
              <w:t>（元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0.30</w:t>
            </w:r>
          </w:p>
        </w:tc>
      </w:tr>
      <w:tr>
        <w:trPr>
          <w:trHeight w:val="402" w:hRule="exact"/>
        </w:trPr>
        <w:tc>
          <w:tcPr>
            <w:tcW w:w="3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股转增数（股）</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3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分配预案的股本基数（股）</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120,991,680</w:t>
            </w:r>
          </w:p>
        </w:tc>
      </w:tr>
      <w:tr>
        <w:trPr>
          <w:trHeight w:val="402" w:hRule="exact"/>
        </w:trPr>
        <w:tc>
          <w:tcPr>
            <w:tcW w:w="3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现金分红金额（元</w:t>
            </w:r>
            <w:r>
              <w:rPr>
                <w:rFonts w:ascii="宋体" w:hAnsi="宋体" w:cs="宋体" w:eastAsia="宋体" w:hint="default"/>
                <w:spacing w:val="-90"/>
                <w:sz w:val="18"/>
                <w:szCs w:val="18"/>
              </w:rPr>
              <w:t>）</w:t>
            </w:r>
            <w:r>
              <w:rPr>
                <w:rFonts w:ascii="宋体" w:hAnsi="宋体" w:cs="宋体" w:eastAsia="宋体" w:hint="default"/>
                <w:sz w:val="18"/>
                <w:szCs w:val="18"/>
              </w:rPr>
              <w:t>（含税）</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3,629,750.40</w:t>
            </w:r>
          </w:p>
        </w:tc>
      </w:tr>
      <w:tr>
        <w:trPr>
          <w:trHeight w:val="402" w:hRule="exact"/>
        </w:trPr>
        <w:tc>
          <w:tcPr>
            <w:tcW w:w="3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pacing w:val="-10"/>
                <w:sz w:val="18"/>
                <w:szCs w:val="18"/>
              </w:rPr>
              <w:t>以其他方式（如回购股份）现金分红金额（元）</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6,462,926.40</w:t>
            </w:r>
          </w:p>
        </w:tc>
      </w:tr>
      <w:tr>
        <w:trPr>
          <w:trHeight w:val="402" w:hRule="exact"/>
        </w:trPr>
        <w:tc>
          <w:tcPr>
            <w:tcW w:w="3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现金分红总额（含其他方式</w:t>
            </w:r>
            <w:r>
              <w:rPr>
                <w:rFonts w:ascii="宋体" w:hAnsi="宋体" w:cs="宋体" w:eastAsia="宋体" w:hint="default"/>
                <w:spacing w:val="-90"/>
                <w:sz w:val="18"/>
                <w:szCs w:val="18"/>
              </w:rPr>
              <w:t>）</w:t>
            </w:r>
            <w:r>
              <w:rPr>
                <w:rFonts w:ascii="宋体" w:hAnsi="宋体" w:cs="宋体" w:eastAsia="宋体" w:hint="default"/>
                <w:sz w:val="18"/>
                <w:szCs w:val="18"/>
              </w:rPr>
              <w:t>（元）</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3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可分配利润（元）</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45,786,125.63</w:t>
            </w:r>
          </w:p>
        </w:tc>
      </w:tr>
      <w:tr>
        <w:trPr>
          <w:trHeight w:val="714" w:hRule="exact"/>
        </w:trPr>
        <w:tc>
          <w:tcPr>
            <w:tcW w:w="37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83"/>
              <w:jc w:val="left"/>
              <w:rPr>
                <w:rFonts w:ascii="宋体" w:hAnsi="宋体" w:cs="宋体" w:eastAsia="宋体" w:hint="default"/>
                <w:sz w:val="18"/>
                <w:szCs w:val="18"/>
              </w:rPr>
            </w:pPr>
            <w:r>
              <w:rPr>
                <w:rFonts w:ascii="宋体" w:hAnsi="宋体" w:cs="宋体" w:eastAsia="宋体" w:hint="default"/>
                <w:sz w:val="18"/>
                <w:szCs w:val="18"/>
              </w:rPr>
              <w:t>现金分红总额（含其他方式）占利润分配总 额的比例</w:t>
            </w:r>
          </w:p>
        </w:tc>
        <w:tc>
          <w:tcPr>
            <w:tcW w:w="58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22.04%</w:t>
            </w:r>
          </w:p>
        </w:tc>
      </w:tr>
      <w:tr>
        <w:trPr>
          <w:trHeight w:val="401"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本次现金分红情况</w:t>
            </w:r>
          </w:p>
        </w:tc>
      </w:tr>
      <w:tr>
        <w:trPr>
          <w:trHeight w:val="715"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宋体" w:hAnsi="宋体" w:cs="宋体" w:eastAsia="宋体" w:hint="default"/>
                <w:spacing w:val="-2"/>
                <w:sz w:val="18"/>
                <w:szCs w:val="18"/>
              </w:rPr>
              <w:t>公司发展阶段不易区分但有重大资金支出安排的，进行利润分配时，现金分红在本次利润分配中所占比例最低应达到</w:t>
            </w:r>
            <w:r>
              <w:rPr>
                <w:rFonts w:ascii="宋体" w:hAnsi="宋体" w:cs="宋体" w:eastAsia="宋体" w:hint="default"/>
                <w:spacing w:val="3"/>
                <w:sz w:val="18"/>
                <w:szCs w:val="18"/>
              </w:rPr>
              <w:t> </w:t>
            </w:r>
            <w:r>
              <w:rPr>
                <w:rFonts w:ascii="Times New Roman" w:hAnsi="Times New Roman" w:cs="Times New Roman" w:eastAsia="Times New Roman" w:hint="default"/>
                <w:sz w:val="18"/>
                <w:szCs w:val="18"/>
              </w:rPr>
              <w:t>20</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401"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88" w:right="0"/>
              <w:jc w:val="left"/>
              <w:rPr>
                <w:rFonts w:ascii="宋体" w:hAnsi="宋体" w:cs="宋体" w:eastAsia="宋体" w:hint="default"/>
                <w:sz w:val="18"/>
                <w:szCs w:val="18"/>
              </w:rPr>
            </w:pPr>
            <w:r>
              <w:rPr>
                <w:rFonts w:ascii="宋体" w:hAnsi="宋体" w:cs="宋体" w:eastAsia="宋体" w:hint="default"/>
                <w:sz w:val="18"/>
                <w:szCs w:val="18"/>
              </w:rPr>
              <w:t>利润分配或资本公积金转增预案的详细情况说明</w:t>
            </w:r>
          </w:p>
        </w:tc>
      </w:tr>
      <w:tr>
        <w:trPr>
          <w:trHeight w:val="1651" w:hRule="exact"/>
        </w:trPr>
        <w:tc>
          <w:tcPr>
            <w:tcW w:w="95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103" w:right="49" w:firstLine="360"/>
              <w:jc w:val="both"/>
              <w:rPr>
                <w:rFonts w:ascii="宋体" w:hAnsi="宋体" w:cs="宋体" w:eastAsia="宋体"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年，公司通过集中竞价方式累计回购公司股份</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325,380 </w:t>
            </w:r>
            <w:r>
              <w:rPr>
                <w:rFonts w:ascii="宋体" w:hAnsi="宋体" w:cs="宋体" w:eastAsia="宋体" w:hint="default"/>
                <w:sz w:val="18"/>
                <w:szCs w:val="18"/>
              </w:rPr>
              <w:t>股，支付现金总额为</w:t>
            </w:r>
            <w:r>
              <w:rPr>
                <w:rFonts w:ascii="宋体" w:hAnsi="宋体" w:cs="宋体" w:eastAsia="宋体" w:hint="default"/>
                <w:spacing w:val="-45"/>
                <w:sz w:val="18"/>
                <w:szCs w:val="18"/>
              </w:rPr>
              <w:t> </w:t>
            </w:r>
            <w:r>
              <w:rPr>
                <w:rFonts w:ascii="Times New Roman" w:hAnsi="Times New Roman" w:cs="Times New Roman" w:eastAsia="Times New Roman" w:hint="default"/>
                <w:spacing w:val="-1"/>
                <w:sz w:val="18"/>
                <w:szCs w:val="18"/>
              </w:rPr>
              <w:t>6,462,926.40</w:t>
            </w:r>
            <w:r>
              <w:rPr>
                <w:rFonts w:ascii="Times New Roman" w:hAnsi="Times New Roman" w:cs="Times New Roman" w:eastAsia="Times New Roman" w:hint="default"/>
                <w:spacing w:val="1"/>
                <w:sz w:val="18"/>
                <w:szCs w:val="18"/>
              </w:rPr>
              <w:t> </w:t>
            </w:r>
            <w:r>
              <w:rPr>
                <w:rFonts w:ascii="宋体" w:hAnsi="宋体" w:cs="宋体" w:eastAsia="宋体" w:hint="default"/>
                <w:spacing w:val="-9"/>
                <w:sz w:val="18"/>
                <w:szCs w:val="18"/>
              </w:rPr>
              <w:t>元（不含交易费用）。</w:t>
            </w:r>
            <w:r>
              <w:rPr>
                <w:rFonts w:ascii="宋体" w:hAnsi="宋体" w:cs="宋体" w:eastAsia="宋体" w:hint="default"/>
                <w:sz w:val="18"/>
                <w:szCs w:val="18"/>
              </w:rPr>
              <w:t> 根据《深圳证券交易所上市公司回购股份实</w:t>
            </w:r>
            <w:r>
              <w:rPr>
                <w:rFonts w:ascii="MS Gothic" w:hAnsi="MS Gothic" w:cs="MS Gothic" w:eastAsia="MS Gothic"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细则》有关规定，公司当年已实</w:t>
            </w:r>
            <w:r>
              <w:rPr>
                <w:rFonts w:ascii="MS Gothic" w:hAnsi="MS Gothic" w:cs="MS Gothic" w:eastAsia="MS Gothic"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的股份回购金额视同现金分红，纳入 该年度现金分红的相关比例计算。基于上述规定。公司以截止至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日公司的总股本</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121,993,920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股扣除将</w:t>
            </w:r>
          </w:p>
          <w:p>
            <w:pPr>
              <w:pStyle w:val="TableParagraph"/>
              <w:spacing w:line="240" w:lineRule="auto" w:before="13"/>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注销的回购股份</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1,002,240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股后，并以实</w:t>
            </w:r>
            <w:r>
              <w:rPr>
                <w:rFonts w:ascii="MS Gothic" w:hAnsi="MS Gothic" w:cs="MS Gothic" w:eastAsia="MS Gothic" w:hint="default"/>
                <w:sz w:val="18"/>
                <w:szCs w:val="18"/>
              </w:rPr>
              <w:t>・</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年度利润分配时股权登记日可参与分配的股本为基数向全体股东每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股派发现金红利</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元（含税</w:t>
            </w:r>
            <w:r>
              <w:rPr>
                <w:rFonts w:ascii="宋体" w:hAnsi="宋体" w:cs="宋体" w:eastAsia="宋体" w:hint="default"/>
                <w:spacing w:val="-90"/>
                <w:sz w:val="18"/>
                <w:szCs w:val="18"/>
              </w:rPr>
              <w:t>）</w:t>
            </w:r>
            <w:r>
              <w:rPr>
                <w:rFonts w:ascii="宋体" w:hAnsi="宋体" w:cs="宋体" w:eastAsia="宋体" w:hint="default"/>
                <w:sz w:val="18"/>
                <w:szCs w:val="18"/>
              </w:rPr>
              <w:t>，送红股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 </w:t>
            </w:r>
            <w:r>
              <w:rPr>
                <w:rFonts w:ascii="宋体" w:hAnsi="宋体" w:cs="宋体" w:eastAsia="宋体" w:hint="default"/>
                <w:sz w:val="18"/>
                <w:szCs w:val="18"/>
              </w:rPr>
              <w:t>股（含税</w:t>
            </w:r>
            <w:r>
              <w:rPr>
                <w:rFonts w:ascii="宋体" w:hAnsi="宋体" w:cs="宋体" w:eastAsia="宋体" w:hint="default"/>
                <w:spacing w:val="-90"/>
                <w:sz w:val="18"/>
                <w:szCs w:val="18"/>
              </w:rPr>
              <w:t>）</w:t>
            </w:r>
            <w:r>
              <w:rPr>
                <w:rFonts w:ascii="宋体" w:hAnsi="宋体" w:cs="宋体" w:eastAsia="宋体" w:hint="default"/>
                <w:sz w:val="18"/>
                <w:szCs w:val="18"/>
              </w:rPr>
              <w:t>，以资本公积金向全体股东每</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股转增</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w:t>
            </w:r>
          </w:p>
        </w:tc>
      </w:tr>
    </w:tbl>
    <w:p>
      <w:pPr>
        <w:spacing w:before="65"/>
        <w:ind w:left="114" w:right="0" w:firstLine="0"/>
        <w:jc w:val="left"/>
        <w:rPr>
          <w:rFonts w:ascii="宋体" w:hAnsi="宋体" w:cs="宋体" w:eastAsia="宋体" w:hint="default"/>
          <w:sz w:val="18"/>
          <w:szCs w:val="18"/>
        </w:rPr>
      </w:pPr>
      <w:r>
        <w:rPr>
          <w:rFonts w:ascii="宋体" w:hAnsi="宋体" w:cs="宋体" w:eastAsia="宋体" w:hint="default"/>
          <w:sz w:val="18"/>
          <w:szCs w:val="18"/>
        </w:rPr>
        <w:t>公司近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1"/>
          <w:sz w:val="18"/>
          <w:szCs w:val="18"/>
        </w:rPr>
        <w:t>（</w:t>
      </w:r>
      <w:r>
        <w:rPr>
          <w:rFonts w:ascii="宋体" w:hAnsi="宋体" w:cs="宋体" w:eastAsia="宋体" w:hint="default"/>
          <w:sz w:val="18"/>
          <w:szCs w:val="18"/>
        </w:rPr>
        <w:t>包括本报告期）的普通股股利分配方案（预案</w:t>
      </w:r>
      <w:r>
        <w:rPr>
          <w:rFonts w:ascii="宋体" w:hAnsi="宋体" w:cs="宋体" w:eastAsia="宋体" w:hint="default"/>
          <w:spacing w:val="-90"/>
          <w:sz w:val="18"/>
          <w:szCs w:val="18"/>
        </w:rPr>
        <w:t>）</w:t>
      </w:r>
      <w:r>
        <w:rPr>
          <w:rFonts w:ascii="宋体" w:hAnsi="宋体" w:cs="宋体" w:eastAsia="宋体" w:hint="default"/>
          <w:sz w:val="18"/>
          <w:szCs w:val="18"/>
        </w:rPr>
        <w:t>、资本公积金转增股本方案（预案）情况</w:t>
      </w:r>
    </w:p>
    <w:p>
      <w:pPr>
        <w:pStyle w:val="BodyText"/>
        <w:spacing w:line="312" w:lineRule="exact" w:before="82"/>
        <w:ind w:right="1130" w:firstLine="480"/>
        <w:jc w:val="both"/>
      </w:pPr>
      <w:r>
        <w:rPr>
          <w:rFonts w:ascii="宋体" w:hAnsi="宋体" w:cs="宋体" w:eastAsia="宋体" w:hint="default"/>
          <w:spacing w:val="-2"/>
        </w:rPr>
        <w:t>2016</w:t>
      </w:r>
      <w:r>
        <w:rPr>
          <w:spacing w:val="-2"/>
        </w:rPr>
        <w:t>年度公司的利润分配方案为：经</w:t>
      </w:r>
      <w:r>
        <w:rPr>
          <w:rFonts w:ascii="宋体" w:hAnsi="宋体" w:cs="宋体" w:eastAsia="宋体" w:hint="default"/>
          <w:spacing w:val="-2"/>
        </w:rPr>
        <w:t>2017</w:t>
      </w:r>
      <w:r>
        <w:rPr>
          <w:spacing w:val="-2"/>
        </w:rPr>
        <w:t>年</w:t>
      </w:r>
      <w:r>
        <w:rPr>
          <w:rFonts w:ascii="宋体" w:hAnsi="宋体" w:cs="宋体" w:eastAsia="宋体" w:hint="default"/>
          <w:spacing w:val="-2"/>
        </w:rPr>
        <w:t>3</w:t>
      </w:r>
      <w:r>
        <w:rPr>
          <w:spacing w:val="-2"/>
        </w:rPr>
        <w:t>月</w:t>
      </w:r>
      <w:r>
        <w:rPr>
          <w:rFonts w:ascii="宋体" w:hAnsi="宋体" w:cs="宋体" w:eastAsia="宋体" w:hint="default"/>
          <w:spacing w:val="-2"/>
        </w:rPr>
        <w:t>29</w:t>
      </w:r>
      <w:r>
        <w:rPr>
          <w:spacing w:val="-2"/>
        </w:rPr>
        <w:t>日召开的第三届董事会第十九次会议审</w:t>
      </w:r>
      <w:r>
        <w:rPr/>
        <w:t> </w:t>
      </w:r>
      <w:r>
        <w:rPr>
          <w:spacing w:val="-4"/>
        </w:rPr>
        <w:t>议通过，拟定的公司</w:t>
      </w:r>
      <w:r>
        <w:rPr>
          <w:rFonts w:ascii="宋体" w:hAnsi="宋体" w:cs="宋体" w:eastAsia="宋体" w:hint="default"/>
          <w:spacing w:val="-4"/>
        </w:rPr>
        <w:t>2016</w:t>
      </w:r>
      <w:r>
        <w:rPr>
          <w:spacing w:val="-4"/>
        </w:rPr>
        <w:t>年度利润分配预案为：以截止</w:t>
      </w:r>
      <w:r>
        <w:rPr>
          <w:rFonts w:ascii="宋体" w:hAnsi="宋体" w:cs="宋体" w:eastAsia="宋体" w:hint="default"/>
          <w:spacing w:val="-4"/>
        </w:rPr>
        <w:t>2016</w:t>
      </w:r>
      <w:r>
        <w:rPr>
          <w:spacing w:val="-4"/>
        </w:rPr>
        <w:t>年</w:t>
      </w:r>
      <w:r>
        <w:rPr>
          <w:rFonts w:ascii="宋体" w:hAnsi="宋体" w:cs="宋体" w:eastAsia="宋体" w:hint="default"/>
          <w:spacing w:val="-4"/>
        </w:rPr>
        <w:t>12</w:t>
      </w:r>
      <w:r>
        <w:rPr>
          <w:spacing w:val="-4"/>
        </w:rPr>
        <w:t>月</w:t>
      </w:r>
      <w:r>
        <w:rPr>
          <w:rFonts w:ascii="宋体" w:hAnsi="宋体" w:cs="宋体" w:eastAsia="宋体" w:hint="default"/>
          <w:spacing w:val="-4"/>
        </w:rPr>
        <w:t>31</w:t>
      </w:r>
      <w:r>
        <w:rPr>
          <w:spacing w:val="-4"/>
        </w:rPr>
        <w:t>日公司总股本</w:t>
      </w:r>
      <w:r>
        <w:rPr>
          <w:rFonts w:ascii="宋体" w:hAnsi="宋体" w:cs="宋体" w:eastAsia="宋体" w:hint="default"/>
          <w:spacing w:val="-4"/>
        </w:rPr>
        <w:t>68,300,000</w:t>
      </w:r>
      <w:r>
        <w:rPr>
          <w:rFonts w:ascii="宋体" w:hAnsi="宋体" w:cs="宋体" w:eastAsia="宋体" w:hint="default"/>
          <w:spacing w:val="-114"/>
        </w:rPr>
        <w:t> </w:t>
      </w:r>
      <w:r>
        <w:rPr>
          <w:spacing w:val="-3"/>
        </w:rPr>
        <w:t>股为基数，向全体股东每</w:t>
      </w:r>
      <w:r>
        <w:rPr>
          <w:rFonts w:ascii="宋体" w:hAnsi="宋体" w:cs="宋体" w:eastAsia="宋体" w:hint="default"/>
          <w:spacing w:val="-3"/>
        </w:rPr>
        <w:t>10</w:t>
      </w:r>
      <w:r>
        <w:rPr>
          <w:spacing w:val="-3"/>
        </w:rPr>
        <w:t>股派发现金红利</w:t>
      </w:r>
      <w:r>
        <w:rPr>
          <w:rFonts w:ascii="宋体" w:hAnsi="宋体" w:cs="宋体" w:eastAsia="宋体" w:hint="default"/>
          <w:spacing w:val="-3"/>
        </w:rPr>
        <w:t>1.10</w:t>
      </w:r>
      <w:r>
        <w:rPr>
          <w:spacing w:val="-3"/>
        </w:rPr>
        <w:t>元（含税），共分配利润</w:t>
      </w:r>
      <w:r>
        <w:rPr>
          <w:rFonts w:ascii="宋体" w:hAnsi="宋体" w:cs="宋体" w:eastAsia="宋体" w:hint="default"/>
          <w:spacing w:val="-3"/>
        </w:rPr>
        <w:t>7,513,000.00</w:t>
      </w:r>
      <w:r>
        <w:rPr>
          <w:spacing w:val="-3"/>
        </w:rPr>
        <w:t>元。</w:t>
      </w:r>
    </w:p>
    <w:p>
      <w:pPr>
        <w:pStyle w:val="BodyText"/>
        <w:spacing w:line="312" w:lineRule="exact"/>
        <w:ind w:right="1130" w:firstLine="480"/>
        <w:jc w:val="both"/>
        <w:rPr>
          <w:rFonts w:ascii="宋体" w:hAnsi="宋体" w:cs="宋体" w:eastAsia="宋体" w:hint="default"/>
        </w:rPr>
      </w:pPr>
      <w:r>
        <w:rPr>
          <w:rFonts w:ascii="宋体" w:hAnsi="宋体" w:cs="宋体" w:eastAsia="宋体" w:hint="default"/>
        </w:rPr>
        <w:t>2017</w:t>
      </w:r>
      <w:r>
        <w:rPr/>
        <w:t>年度公司的利润分配方案为：以截止至</w:t>
      </w:r>
      <w:r>
        <w:rPr>
          <w:rFonts w:ascii="宋体" w:hAnsi="宋体" w:cs="宋体" w:eastAsia="宋体" w:hint="default"/>
        </w:rPr>
        <w:t>2017</w:t>
      </w:r>
      <w:r>
        <w:rPr/>
        <w:t>年</w:t>
      </w:r>
      <w:r>
        <w:rPr>
          <w:rFonts w:ascii="宋体" w:hAnsi="宋体" w:cs="宋体" w:eastAsia="宋体" w:hint="default"/>
        </w:rPr>
        <w:t>12</w:t>
      </w:r>
      <w:r>
        <w:rPr/>
        <w:t>月</w:t>
      </w:r>
      <w:r>
        <w:rPr>
          <w:rFonts w:ascii="宋体" w:hAnsi="宋体" w:cs="宋体" w:eastAsia="宋体" w:hint="default"/>
        </w:rPr>
        <w:t>31</w:t>
      </w:r>
      <w:r>
        <w:rPr/>
        <w:t>日公司的总股本</w:t>
      </w:r>
      <w:r>
        <w:rPr>
          <w:rFonts w:ascii="宋体" w:hAnsi="宋体" w:cs="宋体" w:eastAsia="宋体" w:hint="default"/>
        </w:rPr>
        <w:t>68,300,000</w:t>
      </w:r>
      <w:r>
        <w:rPr/>
        <w:t>股 </w:t>
      </w:r>
      <w:r>
        <w:rPr>
          <w:spacing w:val="-2"/>
        </w:rPr>
        <w:t>扣除将注销的回购股份</w:t>
      </w:r>
      <w:r>
        <w:rPr>
          <w:rFonts w:ascii="宋体" w:hAnsi="宋体" w:cs="宋体" w:eastAsia="宋体" w:hint="default"/>
          <w:spacing w:val="-2"/>
        </w:rPr>
        <w:t>525,600</w:t>
      </w:r>
      <w:r>
        <w:rPr>
          <w:spacing w:val="-2"/>
        </w:rPr>
        <w:t>股后的</w:t>
      </w:r>
      <w:r>
        <w:rPr>
          <w:rFonts w:ascii="宋体" w:hAnsi="宋体" w:cs="宋体" w:eastAsia="宋体" w:hint="default"/>
          <w:spacing w:val="-2"/>
        </w:rPr>
        <w:t>67,774,400</w:t>
      </w:r>
      <w:r>
        <w:rPr>
          <w:spacing w:val="-2"/>
        </w:rPr>
        <w:t>股为基数，拟向全体股东每</w:t>
      </w:r>
      <w:r>
        <w:rPr>
          <w:rFonts w:ascii="宋体" w:hAnsi="宋体" w:cs="宋体" w:eastAsia="宋体" w:hint="default"/>
          <w:spacing w:val="-2"/>
        </w:rPr>
        <w:t>10</w:t>
      </w:r>
      <w:r>
        <w:rPr>
          <w:spacing w:val="-2"/>
        </w:rPr>
        <w:t>股派发现金股</w:t>
      </w:r>
      <w:r>
        <w:rPr>
          <w:spacing w:val="-102"/>
        </w:rPr>
        <w:t> </w:t>
      </w:r>
      <w:r>
        <w:rPr>
          <w:spacing w:val="-4"/>
        </w:rPr>
        <w:t>利人民币</w:t>
      </w:r>
      <w:r>
        <w:rPr>
          <w:rFonts w:ascii="宋体" w:hAnsi="宋体" w:cs="宋体" w:eastAsia="宋体" w:hint="default"/>
          <w:spacing w:val="-4"/>
        </w:rPr>
        <w:t>1.00</w:t>
      </w:r>
      <w:r>
        <w:rPr>
          <w:spacing w:val="-4"/>
        </w:rPr>
        <w:t>元</w:t>
      </w:r>
      <w:r>
        <w:rPr>
          <w:rFonts w:ascii="宋体" w:hAnsi="宋体" w:cs="宋体" w:eastAsia="宋体" w:hint="default"/>
          <w:spacing w:val="-4"/>
        </w:rPr>
        <w:t>(</w:t>
      </w:r>
      <w:r>
        <w:rPr>
          <w:spacing w:val="-4"/>
        </w:rPr>
        <w:t>含税</w:t>
      </w:r>
      <w:r>
        <w:rPr>
          <w:rFonts w:ascii="宋体" w:hAnsi="宋体" w:cs="宋体" w:eastAsia="宋体" w:hint="default"/>
          <w:spacing w:val="-4"/>
        </w:rPr>
        <w:t>)</w:t>
      </w:r>
      <w:r>
        <w:rPr>
          <w:spacing w:val="-4"/>
        </w:rPr>
        <w:t>，合计派发现金股利人民</w:t>
      </w:r>
      <w:r>
        <w:rPr>
          <w:rFonts w:ascii="宋体" w:hAnsi="宋体" w:cs="宋体" w:eastAsia="宋体" w:hint="default"/>
          <w:spacing w:val="-4"/>
        </w:rPr>
        <w:t>6,777,440.00</w:t>
      </w:r>
      <w:r>
        <w:rPr>
          <w:spacing w:val="-4"/>
        </w:rPr>
        <w:t>元</w:t>
      </w:r>
      <w:r>
        <w:rPr>
          <w:rFonts w:ascii="宋体" w:hAnsi="宋体" w:cs="宋体" w:eastAsia="宋体" w:hint="default"/>
          <w:spacing w:val="-4"/>
        </w:rPr>
        <w:t>(</w:t>
      </w:r>
      <w:r>
        <w:rPr>
          <w:spacing w:val="-4"/>
        </w:rPr>
        <w:t>含税</w:t>
      </w:r>
      <w:r>
        <w:rPr>
          <w:rFonts w:ascii="宋体" w:hAnsi="宋体" w:cs="宋体" w:eastAsia="宋体" w:hint="default"/>
          <w:spacing w:val="-4"/>
        </w:rPr>
        <w:t>)</w:t>
      </w:r>
      <w:r>
        <w:rPr>
          <w:spacing w:val="-4"/>
        </w:rPr>
        <w:t>，同时向以</w:t>
      </w:r>
      <w:r>
        <w:rPr>
          <w:rFonts w:ascii="宋体" w:hAnsi="宋体" w:cs="宋体" w:eastAsia="宋体" w:hint="default"/>
          <w:spacing w:val="-4"/>
        </w:rPr>
        <w:t>68,300,000</w:t>
      </w:r>
      <w:r>
        <w:rPr>
          <w:rFonts w:ascii="宋体" w:hAnsi="宋体" w:cs="宋体" w:eastAsia="宋体" w:hint="default"/>
          <w:spacing w:val="-98"/>
        </w:rPr>
        <w:t> </w:t>
      </w:r>
      <w:r>
        <w:rPr>
          <w:spacing w:val="-2"/>
        </w:rPr>
        <w:t>股扣除将注销的回购股份</w:t>
      </w:r>
      <w:r>
        <w:rPr>
          <w:rFonts w:ascii="宋体" w:hAnsi="宋体" w:cs="宋体" w:eastAsia="宋体" w:hint="default"/>
          <w:spacing w:val="-2"/>
        </w:rPr>
        <w:t>525,600</w:t>
      </w:r>
      <w:r>
        <w:rPr>
          <w:spacing w:val="-2"/>
        </w:rPr>
        <w:t>股后的</w:t>
      </w:r>
      <w:r>
        <w:rPr>
          <w:rFonts w:ascii="宋体" w:hAnsi="宋体" w:cs="宋体" w:eastAsia="宋体" w:hint="default"/>
          <w:spacing w:val="-2"/>
        </w:rPr>
        <w:t>67,774,400</w:t>
      </w:r>
      <w:r>
        <w:rPr>
          <w:spacing w:val="-2"/>
        </w:rPr>
        <w:t>股为基数，拟向全体股东以资本公积每</w:t>
      </w:r>
      <w:r>
        <w:rPr>
          <w:rFonts w:ascii="宋体" w:hAnsi="宋体" w:cs="宋体" w:eastAsia="宋体" w:hint="default"/>
          <w:spacing w:val="-2"/>
        </w:rPr>
        <w:t>10</w:t>
      </w:r>
    </w:p>
    <w:p>
      <w:pPr>
        <w:spacing w:after="0" w:line="312" w:lineRule="exact"/>
        <w:jc w:val="both"/>
        <w:rPr>
          <w:rFonts w:ascii="宋体" w:hAnsi="宋体" w:cs="宋体" w:eastAsia="宋体" w:hint="default"/>
        </w:rPr>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312" w:lineRule="exact" w:before="56"/>
        <w:ind w:right="0"/>
        <w:jc w:val="left"/>
      </w:pPr>
      <w:r>
        <w:rPr/>
        <w:t>股转增</w:t>
      </w:r>
      <w:r>
        <w:rPr>
          <w:rFonts w:ascii="宋体" w:hAnsi="宋体" w:cs="宋体" w:eastAsia="宋体" w:hint="default"/>
        </w:rPr>
        <w:t>8</w:t>
      </w:r>
      <w:r>
        <w:rPr/>
        <w:t>股，分配完成后公司股本总额增至</w:t>
      </w:r>
      <w:r>
        <w:rPr>
          <w:rFonts w:ascii="宋体" w:hAnsi="宋体" w:cs="宋体" w:eastAsia="宋体" w:hint="default"/>
        </w:rPr>
        <w:t>121,993,920</w:t>
      </w:r>
      <w:r>
        <w:rPr/>
        <w:t>股。本次分配不送红股，剩余未分配</w:t>
      </w:r>
      <w:r>
        <w:rPr>
          <w:spacing w:val="-112"/>
        </w:rPr>
        <w:t> </w:t>
      </w:r>
      <w:r>
        <w:rPr/>
        <w:t>利润结转以后年度分配。</w:t>
      </w:r>
    </w:p>
    <w:p>
      <w:pPr>
        <w:pStyle w:val="BodyText"/>
        <w:spacing w:line="282" w:lineRule="exact"/>
        <w:ind w:left="594" w:right="0"/>
        <w:jc w:val="left"/>
      </w:pPr>
      <w:r>
        <w:rPr>
          <w:rFonts w:ascii="宋体" w:hAnsi="宋体" w:cs="宋体" w:eastAsia="宋体" w:hint="default"/>
        </w:rPr>
        <w:t>2018</w:t>
      </w:r>
      <w:r>
        <w:rPr>
          <w:rFonts w:ascii="宋体" w:hAnsi="宋体" w:cs="宋体" w:eastAsia="宋体" w:hint="default"/>
          <w:spacing w:val="-88"/>
        </w:rPr>
        <w:t> </w:t>
      </w:r>
      <w:r>
        <w:rPr>
          <w:spacing w:val="14"/>
        </w:rPr>
        <w:t>年，</w:t>
      </w:r>
      <w:r>
        <w:rPr>
          <w:spacing w:val="-89"/>
        </w:rPr>
        <w:t> </w:t>
      </w:r>
      <w:r>
        <w:rPr>
          <w:spacing w:val="26"/>
        </w:rPr>
        <w:t>公司通过集中竞价方式累计回购公司股份</w:t>
      </w:r>
      <w:r>
        <w:rPr>
          <w:spacing w:val="-83"/>
        </w:rPr>
        <w:t> </w:t>
      </w:r>
      <w:r>
        <w:rPr>
          <w:rFonts w:ascii="宋体" w:hAnsi="宋体" w:cs="宋体" w:eastAsia="宋体" w:hint="default"/>
        </w:rPr>
        <w:t>325,380</w:t>
      </w:r>
      <w:r>
        <w:rPr>
          <w:rFonts w:ascii="宋体" w:hAnsi="宋体" w:cs="宋体" w:eastAsia="宋体" w:hint="default"/>
          <w:spacing w:val="-88"/>
        </w:rPr>
        <w:t> </w:t>
      </w:r>
      <w:r>
        <w:rPr>
          <w:spacing w:val="14"/>
        </w:rPr>
        <w:t>股，</w:t>
      </w:r>
      <w:r>
        <w:rPr>
          <w:spacing w:val="-89"/>
        </w:rPr>
        <w:t> </w:t>
      </w:r>
      <w:r>
        <w:rPr>
          <w:spacing w:val="24"/>
        </w:rPr>
        <w:t>支付现金总额为</w:t>
      </w:r>
    </w:p>
    <w:p>
      <w:pPr>
        <w:pStyle w:val="BodyText"/>
        <w:spacing w:line="237" w:lineRule="auto" w:before="1"/>
        <w:ind w:right="994"/>
        <w:jc w:val="left"/>
      </w:pPr>
      <w:r>
        <w:rPr>
          <w:rFonts w:ascii="宋体" w:hAnsi="宋体" w:cs="宋体" w:eastAsia="宋体" w:hint="default"/>
          <w:spacing w:val="-5"/>
        </w:rPr>
        <w:t>6,462,926.40</w:t>
      </w:r>
      <w:r>
        <w:rPr>
          <w:spacing w:val="-5"/>
        </w:rPr>
        <w:t>元（不含交易费用）。根据《深圳证券交易所上市公司回购股份实施细则》有关</w:t>
      </w:r>
      <w:r>
        <w:rPr>
          <w:spacing w:val="-89"/>
        </w:rPr>
        <w:t> </w:t>
      </w:r>
      <w:r>
        <w:rPr>
          <w:spacing w:val="-89"/>
        </w:rPr>
      </w:r>
      <w:r>
        <w:rPr>
          <w:spacing w:val="-2"/>
        </w:rPr>
        <w:t>规定，公司当年已实施的股份回购金额视同现金分红，纳入该年度现金分红的相关比例计算。</w:t>
      </w:r>
      <w:r>
        <w:rPr/>
        <w:t> 基于上述规定。公司以截止至</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31</w:t>
      </w:r>
      <w:r>
        <w:rPr/>
        <w:t>日公司的总股本</w:t>
      </w:r>
      <w:r>
        <w:rPr>
          <w:rFonts w:ascii="宋体" w:hAnsi="宋体" w:cs="宋体" w:eastAsia="宋体" w:hint="default"/>
        </w:rPr>
        <w:t>121,993,920</w:t>
      </w:r>
      <w:r>
        <w:rPr/>
        <w:t>股扣除将注销的回购 股份</w:t>
      </w:r>
      <w:r>
        <w:rPr>
          <w:rFonts w:ascii="宋体" w:hAnsi="宋体" w:cs="宋体" w:eastAsia="宋体" w:hint="default"/>
        </w:rPr>
        <w:t>1,002,240</w:t>
      </w:r>
      <w:r>
        <w:rPr/>
        <w:t>股后，并以实施</w:t>
      </w:r>
      <w:r>
        <w:rPr>
          <w:rFonts w:ascii="宋体" w:hAnsi="宋体" w:cs="宋体" w:eastAsia="宋体" w:hint="default"/>
        </w:rPr>
        <w:t>2018</w:t>
      </w:r>
      <w:r>
        <w:rPr/>
        <w:t>年度利润分配时股权登记日可参与分配的股本为基数向全 </w:t>
      </w:r>
      <w:r>
        <w:rPr>
          <w:spacing w:val="-8"/>
        </w:rPr>
        <w:t>体股东每</w:t>
      </w:r>
      <w:r>
        <w:rPr>
          <w:rFonts w:ascii="宋体" w:hAnsi="宋体" w:cs="宋体" w:eastAsia="宋体" w:hint="default"/>
          <w:spacing w:val="-8"/>
        </w:rPr>
        <w:t>10</w:t>
      </w:r>
      <w:r>
        <w:rPr>
          <w:spacing w:val="-8"/>
        </w:rPr>
        <w:t>股派发现金红利</w:t>
      </w:r>
      <w:r>
        <w:rPr>
          <w:rFonts w:ascii="宋体" w:hAnsi="宋体" w:cs="宋体" w:eastAsia="宋体" w:hint="default"/>
          <w:spacing w:val="-8"/>
        </w:rPr>
        <w:t>0.30</w:t>
      </w:r>
      <w:r>
        <w:rPr>
          <w:spacing w:val="-8"/>
        </w:rPr>
        <w:t>元（含税），送红股</w:t>
      </w:r>
      <w:r>
        <w:rPr>
          <w:rFonts w:ascii="宋体" w:hAnsi="宋体" w:cs="宋体" w:eastAsia="宋体" w:hint="default"/>
          <w:spacing w:val="-8"/>
        </w:rPr>
        <w:t>0</w:t>
      </w:r>
      <w:r>
        <w:rPr>
          <w:spacing w:val="-8"/>
        </w:rPr>
        <w:t>股（含税），以资本公积金向全体股东每</w:t>
      </w:r>
      <w:r>
        <w:rPr>
          <w:spacing w:val="-84"/>
        </w:rPr>
        <w:t> </w:t>
      </w:r>
      <w:r>
        <w:rPr>
          <w:spacing w:val="-84"/>
        </w:rPr>
      </w:r>
      <w:r>
        <w:rPr>
          <w:rFonts w:ascii="宋体" w:hAnsi="宋体" w:cs="宋体" w:eastAsia="宋体" w:hint="default"/>
        </w:rPr>
        <w:t>10</w:t>
      </w:r>
      <w:r>
        <w:rPr/>
        <w:t>股转增</w:t>
      </w:r>
      <w:r>
        <w:rPr>
          <w:rFonts w:ascii="宋体" w:hAnsi="宋体" w:cs="宋体" w:eastAsia="宋体" w:hint="default"/>
        </w:rPr>
        <w:t>7</w:t>
      </w:r>
      <w:r>
        <w:rPr/>
        <w:t>股。</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公司近三年（包括本报告期）普通股现金分红情况表</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198"/>
        <w:gridCol w:w="1194"/>
        <w:gridCol w:w="1196"/>
        <w:gridCol w:w="1197"/>
        <w:gridCol w:w="1195"/>
        <w:gridCol w:w="1197"/>
        <w:gridCol w:w="1196"/>
        <w:gridCol w:w="1195"/>
      </w:tblGrid>
      <w:tr>
        <w:trPr>
          <w:trHeight w:val="2586"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240" w:lineRule="auto"/>
              <w:ind w:left="234" w:right="0"/>
              <w:jc w:val="left"/>
              <w:rPr>
                <w:rFonts w:ascii="宋体" w:hAnsi="宋体" w:cs="宋体" w:eastAsia="宋体" w:hint="default"/>
                <w:sz w:val="18"/>
                <w:szCs w:val="18"/>
              </w:rPr>
            </w:pPr>
            <w:r>
              <w:rPr>
                <w:rFonts w:ascii="宋体" w:hAnsi="宋体" w:cs="宋体" w:eastAsia="宋体" w:hint="default"/>
                <w:sz w:val="18"/>
                <w:szCs w:val="18"/>
              </w:rPr>
              <w:t>分红年度</w:t>
            </w:r>
          </w:p>
        </w:tc>
        <w:tc>
          <w:tcPr>
            <w:tcW w:w="1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1"/>
                <w:szCs w:val="21"/>
              </w:rPr>
            </w:pPr>
          </w:p>
          <w:p>
            <w:pPr>
              <w:pStyle w:val="TableParagraph"/>
              <w:spacing w:line="319" w:lineRule="auto"/>
              <w:ind w:left="141" w:right="140"/>
              <w:jc w:val="left"/>
              <w:rPr>
                <w:rFonts w:ascii="宋体" w:hAnsi="宋体" w:cs="宋体" w:eastAsia="宋体" w:hint="default"/>
                <w:sz w:val="18"/>
                <w:szCs w:val="18"/>
              </w:rPr>
            </w:pPr>
            <w:r>
              <w:rPr>
                <w:rFonts w:ascii="宋体" w:hAnsi="宋体" w:cs="宋体" w:eastAsia="宋体" w:hint="default"/>
                <w:sz w:val="18"/>
                <w:szCs w:val="18"/>
              </w:rPr>
              <w:t>现金分红金 额（含税）</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319" w:lineRule="auto"/>
              <w:ind w:left="142" w:right="143"/>
              <w:jc w:val="both"/>
              <w:rPr>
                <w:rFonts w:ascii="宋体" w:hAnsi="宋体" w:cs="宋体" w:eastAsia="宋体" w:hint="default"/>
                <w:sz w:val="18"/>
                <w:szCs w:val="18"/>
              </w:rPr>
            </w:pPr>
            <w:r>
              <w:rPr>
                <w:rFonts w:ascii="宋体" w:hAnsi="宋体" w:cs="宋体" w:eastAsia="宋体" w:hint="default"/>
                <w:sz w:val="18"/>
                <w:szCs w:val="18"/>
              </w:rPr>
              <w:t>分红年度合 并报表中归 属于上市公 司普通股股 东的净利润</w:t>
            </w:r>
          </w:p>
        </w:tc>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43" w:right="143"/>
              <w:jc w:val="center"/>
              <w:rPr>
                <w:rFonts w:ascii="宋体" w:hAnsi="宋体" w:cs="宋体" w:eastAsia="宋体" w:hint="default"/>
                <w:sz w:val="18"/>
                <w:szCs w:val="18"/>
              </w:rPr>
            </w:pPr>
            <w:r>
              <w:rPr>
                <w:rFonts w:ascii="宋体" w:hAnsi="宋体" w:cs="宋体" w:eastAsia="宋体" w:hint="default"/>
                <w:sz w:val="18"/>
                <w:szCs w:val="18"/>
              </w:rPr>
              <w:t>现金分红金 额占合并报 表中归属于 上市公司普 通股股东的 净利润的比 率</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240" w:lineRule="auto"/>
              <w:ind w:left="142" w:right="0"/>
              <w:jc w:val="both"/>
              <w:rPr>
                <w:rFonts w:ascii="宋体" w:hAnsi="宋体" w:cs="宋体" w:eastAsia="宋体" w:hint="default"/>
                <w:sz w:val="18"/>
                <w:szCs w:val="18"/>
              </w:rPr>
            </w:pPr>
            <w:r>
              <w:rPr>
                <w:rFonts w:ascii="宋体" w:hAnsi="宋体" w:cs="宋体" w:eastAsia="宋体" w:hint="default"/>
                <w:sz w:val="18"/>
                <w:szCs w:val="18"/>
              </w:rPr>
              <w:t>以其他方式</w:t>
            </w:r>
          </w:p>
          <w:p>
            <w:pPr>
              <w:pStyle w:val="TableParagraph"/>
              <w:spacing w:line="319" w:lineRule="auto" w:before="76"/>
              <w:ind w:left="142" w:right="140"/>
              <w:jc w:val="both"/>
              <w:rPr>
                <w:rFonts w:ascii="宋体" w:hAnsi="宋体" w:cs="宋体" w:eastAsia="宋体" w:hint="default"/>
                <w:sz w:val="18"/>
                <w:szCs w:val="18"/>
              </w:rPr>
            </w:pPr>
            <w:r>
              <w:rPr>
                <w:rFonts w:ascii="宋体" w:hAnsi="宋体" w:cs="宋体" w:eastAsia="宋体" w:hint="default"/>
                <w:sz w:val="18"/>
                <w:szCs w:val="18"/>
              </w:rPr>
              <w:t>（如回购股 份）现金分 红的金额</w:t>
            </w:r>
          </w:p>
        </w:tc>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42" w:right="142"/>
              <w:jc w:val="center"/>
              <w:rPr>
                <w:rFonts w:ascii="宋体" w:hAnsi="宋体" w:cs="宋体" w:eastAsia="宋体" w:hint="default"/>
                <w:sz w:val="18"/>
                <w:szCs w:val="18"/>
              </w:rPr>
            </w:pPr>
            <w:r>
              <w:rPr>
                <w:rFonts w:ascii="宋体" w:hAnsi="宋体" w:cs="宋体" w:eastAsia="宋体" w:hint="default"/>
                <w:sz w:val="18"/>
                <w:szCs w:val="18"/>
              </w:rPr>
              <w:t>以其他方式 现金分红金 额占合并报 表中归属于 上市公司普 通股股东的 净利润的比 例</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4"/>
              <w:ind w:left="142" w:right="143"/>
              <w:jc w:val="center"/>
              <w:rPr>
                <w:rFonts w:ascii="宋体" w:hAnsi="宋体" w:cs="宋体" w:eastAsia="宋体" w:hint="default"/>
                <w:sz w:val="18"/>
                <w:szCs w:val="18"/>
              </w:rPr>
            </w:pPr>
            <w:r>
              <w:rPr>
                <w:rFonts w:ascii="宋体" w:hAnsi="宋体" w:cs="宋体" w:eastAsia="宋体" w:hint="default"/>
                <w:sz w:val="18"/>
                <w:szCs w:val="18"/>
              </w:rPr>
              <w:t>现金分红总 额（含其他 方式）</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42" w:right="140"/>
              <w:jc w:val="center"/>
              <w:rPr>
                <w:rFonts w:ascii="宋体" w:hAnsi="宋体" w:cs="宋体" w:eastAsia="宋体" w:hint="default"/>
                <w:sz w:val="18"/>
                <w:szCs w:val="18"/>
              </w:rPr>
            </w:pPr>
            <w:r>
              <w:rPr>
                <w:rFonts w:ascii="宋体" w:hAnsi="宋体" w:cs="宋体" w:eastAsia="宋体" w:hint="default"/>
                <w:sz w:val="18"/>
                <w:szCs w:val="18"/>
              </w:rPr>
              <w:t>现金分红总 额（含其他 方式）占合 并报表中归 属于上市公 司普通股股 东的净利润 的比率</w:t>
            </w:r>
          </w:p>
        </w:tc>
      </w:tr>
      <w:tr>
        <w:trPr>
          <w:trHeight w:val="714"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3,629,750.40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44,803,214.1</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3</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8.10%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pacing w:val="-1"/>
                <w:sz w:val="18"/>
              </w:rPr>
              <w:t>6,462,926.40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14.45%</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10,092,676.8</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22.53%</w:t>
            </w:r>
          </w:p>
        </w:tc>
      </w:tr>
      <w:tr>
        <w:trPr>
          <w:trHeight w:val="714"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6,777,440.00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33,207,874.9</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20.41%</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0.00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6,777,440.00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20.41%</w:t>
            </w:r>
          </w:p>
        </w:tc>
      </w:tr>
      <w:tr>
        <w:trPr>
          <w:trHeight w:val="714" w:hRule="exact"/>
        </w:trPr>
        <w:tc>
          <w:tcPr>
            <w:tcW w:w="11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7,513,000.00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30,008,810.4</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3</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25.04%</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0.00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7,513,000.00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25.04%</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公司报告期内盈利且母公司可供普通股股东分配利润为正但未提出普通股现金红利分配预案</w:t>
      </w:r>
    </w:p>
    <w:p>
      <w:pPr>
        <w:spacing w:before="117"/>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3"/>
        <w:rPr>
          <w:rFonts w:ascii="宋体" w:hAnsi="宋体" w:cs="宋体" w:eastAsia="宋体" w:hint="default"/>
          <w:sz w:val="24"/>
          <w:szCs w:val="24"/>
        </w:rPr>
      </w:pPr>
    </w:p>
    <w:p>
      <w:pPr>
        <w:pStyle w:val="Heading4"/>
        <w:spacing w:line="240" w:lineRule="auto"/>
        <w:ind w:right="0"/>
        <w:jc w:val="left"/>
        <w:rPr>
          <w:b w:val="0"/>
          <w:bCs w:val="0"/>
        </w:rPr>
      </w:pPr>
      <w:bookmarkStart w:name="二、承诺事项履行情况" w:id="63"/>
      <w:bookmarkEnd w:id="63"/>
      <w:r>
        <w:rPr>
          <w:b w:val="0"/>
          <w:bCs w:val="0"/>
        </w:rPr>
      </w:r>
      <w:r>
        <w:rPr/>
        <w:t>二、承诺事项履行情况</w:t>
      </w:r>
      <w:r>
        <w:rPr>
          <w:b w:val="0"/>
          <w:bCs w:val="0"/>
        </w:rPr>
      </w:r>
    </w:p>
    <w:p>
      <w:pPr>
        <w:spacing w:line="240" w:lineRule="auto" w:before="9"/>
        <w:rPr>
          <w:rFonts w:ascii="宋体" w:hAnsi="宋体" w:cs="宋体" w:eastAsia="宋体" w:hint="default"/>
          <w:b/>
          <w:bCs/>
          <w:sz w:val="24"/>
          <w:szCs w:val="24"/>
        </w:rPr>
      </w:pPr>
    </w:p>
    <w:p>
      <w:pPr>
        <w:spacing w:line="259" w:lineRule="auto" w:before="0"/>
        <w:ind w:left="114" w:right="0" w:firstLine="0"/>
        <w:jc w:val="left"/>
        <w:rPr>
          <w:rFonts w:ascii="宋体" w:hAnsi="宋体" w:cs="宋体" w:eastAsia="宋体" w:hint="default"/>
          <w:sz w:val="21"/>
          <w:szCs w:val="21"/>
        </w:rPr>
      </w:pPr>
      <w:bookmarkStart w:name="1、公司实际控制人、股东、关联方、收购人以及公司等承诺相关方在报告期内履行完毕及" w:id="64"/>
      <w:bookmarkEnd w:id="64"/>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、公司实际控制人、股东、关联方、收购人以及公司等承诺相关方在报告期内履行完毕及截至报告期末</w:t>
      </w:r>
      <w:r>
        <w:rPr>
          <w:rFonts w:ascii="宋体" w:hAnsi="宋体" w:cs="宋体" w:eastAsia="宋体" w:hint="default"/>
          <w:b/>
          <w:bCs/>
          <w:spacing w:val="-74"/>
          <w:sz w:val="21"/>
          <w:szCs w:val="21"/>
        </w:rPr>
        <w:t> </w:t>
      </w:r>
      <w:r>
        <w:rPr>
          <w:rFonts w:ascii="宋体" w:hAnsi="宋体" w:cs="宋体" w:eastAsia="宋体" w:hint="default"/>
          <w:b/>
          <w:bCs/>
          <w:spacing w:val="-74"/>
          <w:sz w:val="21"/>
          <w:szCs w:val="21"/>
        </w:rPr>
      </w:r>
      <w:r>
        <w:rPr>
          <w:rFonts w:ascii="宋体" w:hAnsi="宋体" w:cs="宋体" w:eastAsia="宋体" w:hint="default"/>
          <w:b/>
          <w:bCs/>
          <w:sz w:val="21"/>
          <w:szCs w:val="21"/>
        </w:rPr>
        <w:t>尚未履行完毕的承诺事项</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401"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承诺来源</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6" w:right="0"/>
              <w:jc w:val="left"/>
              <w:rPr>
                <w:rFonts w:ascii="宋体" w:hAnsi="宋体" w:cs="宋体" w:eastAsia="宋体" w:hint="default"/>
                <w:sz w:val="18"/>
                <w:szCs w:val="18"/>
              </w:rPr>
            </w:pPr>
            <w:r>
              <w:rPr>
                <w:rFonts w:ascii="宋体" w:hAnsi="宋体" w:cs="宋体" w:eastAsia="宋体" w:hint="default"/>
                <w:sz w:val="18"/>
                <w:szCs w:val="18"/>
              </w:rPr>
              <w:t>承诺方</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承诺类型</w:t>
            </w:r>
          </w:p>
        </w:tc>
        <w:tc>
          <w:tcPr>
            <w:tcW w:w="11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承诺内容</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97"/>
              <w:jc w:val="right"/>
              <w:rPr>
                <w:rFonts w:ascii="宋体" w:hAnsi="宋体" w:cs="宋体" w:eastAsia="宋体" w:hint="default"/>
                <w:sz w:val="18"/>
                <w:szCs w:val="18"/>
              </w:rPr>
            </w:pPr>
            <w:r>
              <w:rPr>
                <w:rFonts w:ascii="宋体" w:hAnsi="宋体" w:cs="宋体" w:eastAsia="宋体" w:hint="default"/>
                <w:sz w:val="18"/>
                <w:szCs w:val="18"/>
              </w:rPr>
              <w:t>承诺时间</w:t>
            </w:r>
          </w:p>
        </w:tc>
        <w:tc>
          <w:tcPr>
            <w:tcW w:w="112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承诺期限</w:t>
            </w:r>
          </w:p>
        </w:tc>
        <w:tc>
          <w:tcPr>
            <w:tcW w:w="11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88" w:right="0"/>
              <w:jc w:val="left"/>
              <w:rPr>
                <w:rFonts w:ascii="宋体" w:hAnsi="宋体" w:cs="宋体" w:eastAsia="宋体" w:hint="default"/>
                <w:sz w:val="18"/>
                <w:szCs w:val="18"/>
              </w:rPr>
            </w:pPr>
            <w:r>
              <w:rPr>
                <w:rFonts w:ascii="宋体" w:hAnsi="宋体" w:cs="宋体" w:eastAsia="宋体" w:hint="default"/>
                <w:sz w:val="18"/>
                <w:szCs w:val="18"/>
              </w:rPr>
              <w:t>履行情况</w:t>
            </w:r>
          </w:p>
        </w:tc>
      </w:tr>
      <w:tr>
        <w:trPr>
          <w:trHeight w:val="714"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03" w:right="201"/>
              <w:jc w:val="left"/>
              <w:rPr>
                <w:rFonts w:ascii="宋体" w:hAnsi="宋体" w:cs="宋体" w:eastAsia="宋体" w:hint="default"/>
                <w:sz w:val="18"/>
                <w:szCs w:val="18"/>
              </w:rPr>
            </w:pPr>
            <w:r>
              <w:rPr>
                <w:rFonts w:ascii="宋体" w:hAnsi="宋体" w:cs="宋体" w:eastAsia="宋体" w:hint="default"/>
                <w:sz w:val="18"/>
                <w:szCs w:val="18"/>
              </w:rPr>
              <w:t>收购报告书或权益变动报告书中 所作承诺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资产重组时所作承诺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无</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z w:val="18"/>
                <w:szCs w:val="18"/>
              </w:rPr>
              <w:t>首次公开发行或再融资时所作承</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z w:val="18"/>
                <w:szCs w:val="18"/>
              </w:rPr>
              <w:t>上海中信电</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7"/>
              <w:jc w:val="center"/>
              <w:rPr>
                <w:rFonts w:ascii="宋体" w:hAnsi="宋体" w:cs="宋体" w:eastAsia="宋体" w:hint="default"/>
                <w:sz w:val="18"/>
                <w:szCs w:val="18"/>
              </w:rPr>
            </w:pPr>
            <w:r>
              <w:rPr>
                <w:rFonts w:ascii="宋体" w:hAnsi="宋体" w:cs="宋体" w:eastAsia="宋体" w:hint="default"/>
                <w:sz w:val="18"/>
                <w:szCs w:val="18"/>
              </w:rPr>
              <w:t>股份限售承</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8"/>
              <w:jc w:val="center"/>
              <w:rPr>
                <w:rFonts w:ascii="宋体" w:hAnsi="宋体" w:cs="宋体" w:eastAsia="宋体" w:hint="default"/>
                <w:sz w:val="18"/>
                <w:szCs w:val="18"/>
              </w:rPr>
            </w:pPr>
            <w:r>
              <w:rPr>
                <w:rFonts w:ascii="宋体" w:hAnsi="宋体" w:cs="宋体" w:eastAsia="宋体" w:hint="default"/>
                <w:sz w:val="18"/>
                <w:szCs w:val="18"/>
              </w:rPr>
              <w:t>自信息发展</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203"/>
              <w:jc w:val="righ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right="1"/>
              <w:jc w:val="center"/>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10971" w:hRule="exact"/>
        </w:trPr>
        <w:tc>
          <w:tcPr>
            <w:tcW w:w="28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11"/>
              <w:jc w:val="left"/>
              <w:rPr>
                <w:rFonts w:ascii="宋体" w:hAnsi="宋体" w:cs="宋体" w:eastAsia="宋体" w:hint="default"/>
                <w:sz w:val="18"/>
                <w:szCs w:val="18"/>
              </w:rPr>
            </w:pPr>
            <w:r>
              <w:rPr>
                <w:rFonts w:ascii="宋体" w:hAnsi="宋体" w:cs="宋体" w:eastAsia="宋体" w:hint="default"/>
                <w:sz w:val="18"/>
                <w:szCs w:val="18"/>
              </w:rPr>
              <w:t>子发展有限 公司</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2"/>
              <w:jc w:val="left"/>
              <w:rPr>
                <w:rFonts w:ascii="宋体" w:hAnsi="宋体" w:cs="宋体" w:eastAsia="宋体" w:hint="default"/>
                <w:sz w:val="18"/>
                <w:szCs w:val="18"/>
              </w:rPr>
            </w:pPr>
            <w:r>
              <w:rPr>
                <w:rFonts w:ascii="宋体" w:hAnsi="宋体" w:cs="宋体" w:eastAsia="宋体" w:hint="default"/>
                <w:sz w:val="18"/>
                <w:szCs w:val="18"/>
              </w:rPr>
              <w:t>股票在深圳 证券交易所 创业板上市 之日起三十 六个月内， 本公司将不 通过包括但 不限于签署 转让协议、 进行股权托 管等任何方 式，减少本 公司所持有 或者实际持 有的信息发 展本次发行 前已发行的 股份（包括 由该部分股 份派生的股 份如送红 股、资本公 积金转增 </w:t>
            </w:r>
            <w:r>
              <w:rPr>
                <w:rFonts w:ascii="宋体" w:hAnsi="宋体" w:cs="宋体" w:eastAsia="宋体" w:hint="default"/>
                <w:spacing w:val="-29"/>
                <w:sz w:val="18"/>
                <w:szCs w:val="18"/>
              </w:rPr>
              <w:t>等）；亦不通</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过由信息发 展回购本公 司所直接或 间接持有股 份等方式， 减少本公司 所持有或者 实际持有的 信息发展本 次发行前已 发行的。</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2859"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11"/>
              <w:jc w:val="left"/>
              <w:rPr>
                <w:rFonts w:ascii="宋体" w:hAnsi="宋体" w:cs="宋体" w:eastAsia="宋体" w:hint="default"/>
                <w:sz w:val="18"/>
                <w:szCs w:val="18"/>
              </w:rPr>
            </w:pPr>
            <w:r>
              <w:rPr>
                <w:rFonts w:ascii="宋体" w:hAnsi="宋体" w:cs="宋体" w:eastAsia="宋体" w:hint="default"/>
                <w:sz w:val="18"/>
                <w:szCs w:val="18"/>
              </w:rPr>
              <w:t>海红土创业 投资有限公 司</w:t>
            </w:r>
            <w:r>
              <w:rPr>
                <w:rFonts w:ascii="Times New Roman" w:hAnsi="Times New Roman" w:cs="Times New Roman" w:eastAsia="Times New Roman" w:hint="default"/>
                <w:sz w:val="18"/>
                <w:szCs w:val="18"/>
              </w:rPr>
              <w:t>;</w:t>
            </w:r>
            <w:r>
              <w:rPr>
                <w:rFonts w:ascii="宋体" w:hAnsi="宋体" w:cs="宋体" w:eastAsia="宋体" w:hint="default"/>
                <w:sz w:val="18"/>
                <w:szCs w:val="18"/>
              </w:rPr>
              <w:t>上海统 易财务顾问 有限公司</w:t>
            </w:r>
            <w:r>
              <w:rPr>
                <w:rFonts w:ascii="Times New Roman" w:hAnsi="Times New Roman" w:cs="Times New Roman" w:eastAsia="Times New Roman" w:hint="default"/>
                <w:sz w:val="18"/>
                <w:szCs w:val="18"/>
              </w:rPr>
              <w:t>; </w:t>
            </w:r>
            <w:r>
              <w:rPr>
                <w:rFonts w:ascii="宋体" w:hAnsi="宋体" w:cs="宋体" w:eastAsia="宋体" w:hint="default"/>
                <w:sz w:val="18"/>
                <w:szCs w:val="18"/>
              </w:rPr>
              <w:t>深圳市创新 投资集团有 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苏 州国嘉创业</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319" w:lineRule="auto"/>
              <w:ind w:left="103" w:right="110"/>
              <w:jc w:val="left"/>
              <w:rPr>
                <w:rFonts w:ascii="宋体" w:hAnsi="宋体" w:cs="宋体" w:eastAsia="宋体" w:hint="default"/>
                <w:sz w:val="18"/>
                <w:szCs w:val="18"/>
              </w:rPr>
            </w:pPr>
            <w:r>
              <w:rPr>
                <w:rFonts w:ascii="宋体" w:hAnsi="宋体" w:cs="宋体" w:eastAsia="宋体" w:hint="default"/>
                <w:sz w:val="18"/>
                <w:szCs w:val="18"/>
              </w:rPr>
              <w:t>股份限售承 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3"/>
              <w:jc w:val="both"/>
              <w:rPr>
                <w:rFonts w:ascii="宋体" w:hAnsi="宋体" w:cs="宋体" w:eastAsia="宋体" w:hint="default"/>
                <w:sz w:val="18"/>
                <w:szCs w:val="18"/>
              </w:rPr>
            </w:pPr>
            <w:r>
              <w:rPr>
                <w:rFonts w:ascii="宋体" w:hAnsi="宋体" w:cs="宋体" w:eastAsia="宋体" w:hint="default"/>
                <w:sz w:val="18"/>
                <w:szCs w:val="18"/>
              </w:rPr>
              <w:t>自信息发展 股票在深圳 证券交易所 创业板上市 之日起十二 个月内，本 公司将不通 过包括但不 限于签署转</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878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11"/>
              <w:jc w:val="left"/>
              <w:rPr>
                <w:rFonts w:ascii="宋体" w:hAnsi="宋体" w:cs="宋体" w:eastAsia="宋体" w:hint="default"/>
                <w:sz w:val="18"/>
                <w:szCs w:val="18"/>
              </w:rPr>
            </w:pPr>
            <w:r>
              <w:rPr>
                <w:rFonts w:ascii="宋体" w:hAnsi="宋体" w:cs="宋体" w:eastAsia="宋体" w:hint="default"/>
                <w:sz w:val="18"/>
                <w:szCs w:val="18"/>
              </w:rPr>
              <w:t>投资有限公 司</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2"/>
              <w:jc w:val="left"/>
              <w:rPr>
                <w:rFonts w:ascii="宋体" w:hAnsi="宋体" w:cs="宋体" w:eastAsia="宋体" w:hint="default"/>
                <w:sz w:val="18"/>
                <w:szCs w:val="18"/>
              </w:rPr>
            </w:pPr>
            <w:r>
              <w:rPr>
                <w:rFonts w:ascii="宋体" w:hAnsi="宋体" w:cs="宋体" w:eastAsia="宋体" w:hint="default"/>
                <w:sz w:val="18"/>
                <w:szCs w:val="18"/>
              </w:rPr>
              <w:t>让协议、进 行股权托管 等任何方 式，减少本 公司所持有 或者实际持 有的信息发 展本次发行 前已发行的 股份（包括 由该部分股 份派生的股 份如送红 股、资本公 积金转增 </w:t>
            </w:r>
            <w:r>
              <w:rPr>
                <w:rFonts w:ascii="宋体" w:hAnsi="宋体" w:cs="宋体" w:eastAsia="宋体" w:hint="default"/>
                <w:spacing w:val="-29"/>
                <w:sz w:val="18"/>
                <w:szCs w:val="18"/>
              </w:rPr>
              <w:t>等）；亦不通</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过由信息发 展回购本公 司所直接或 间接持有股 份等方式， 减少本公司 所持有或者 实际持有的 信息发展本 次发行前已 发行的股 份。</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5043"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2" w:lineRule="auto" w:before="145"/>
              <w:ind w:left="103" w:right="240"/>
              <w:jc w:val="left"/>
              <w:rPr>
                <w:rFonts w:ascii="宋体" w:hAnsi="宋体" w:cs="宋体" w:eastAsia="宋体" w:hint="default"/>
                <w:sz w:val="18"/>
                <w:szCs w:val="18"/>
              </w:rPr>
            </w:pPr>
            <w:r>
              <w:rPr>
                <w:rFonts w:ascii="宋体" w:hAnsi="宋体" w:cs="宋体" w:eastAsia="宋体" w:hint="default"/>
                <w:sz w:val="18"/>
                <w:szCs w:val="18"/>
              </w:rPr>
              <w:t>刘赣</w:t>
            </w:r>
            <w:r>
              <w:rPr>
                <w:rFonts w:ascii="Times New Roman" w:hAnsi="Times New Roman" w:cs="Times New Roman" w:eastAsia="Times New Roman" w:hint="default"/>
                <w:sz w:val="18"/>
                <w:szCs w:val="18"/>
              </w:rPr>
              <w:t>;</w:t>
            </w:r>
            <w:r>
              <w:rPr>
                <w:rFonts w:ascii="宋体" w:hAnsi="宋体" w:cs="宋体" w:eastAsia="宋体" w:hint="default"/>
                <w:sz w:val="18"/>
                <w:szCs w:val="18"/>
              </w:rPr>
              <w:t>张志 红</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45"/>
              <w:ind w:left="103" w:right="110"/>
              <w:jc w:val="left"/>
              <w:rPr>
                <w:rFonts w:ascii="宋体" w:hAnsi="宋体" w:cs="宋体" w:eastAsia="宋体" w:hint="default"/>
                <w:sz w:val="18"/>
                <w:szCs w:val="18"/>
              </w:rPr>
            </w:pPr>
            <w:r>
              <w:rPr>
                <w:rFonts w:ascii="宋体" w:hAnsi="宋体" w:cs="宋体" w:eastAsia="宋体" w:hint="default"/>
                <w:sz w:val="18"/>
                <w:szCs w:val="18"/>
              </w:rPr>
              <w:t>股份限售承 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3"/>
              <w:jc w:val="both"/>
              <w:rPr>
                <w:rFonts w:ascii="宋体" w:hAnsi="宋体" w:cs="宋体" w:eastAsia="宋体" w:hint="default"/>
                <w:sz w:val="18"/>
                <w:szCs w:val="18"/>
              </w:rPr>
            </w:pPr>
            <w:r>
              <w:rPr>
                <w:rFonts w:ascii="宋体" w:hAnsi="宋体" w:cs="宋体" w:eastAsia="宋体" w:hint="default"/>
                <w:sz w:val="18"/>
                <w:szCs w:val="18"/>
              </w:rPr>
              <w:t>自信息发展 股票在深圳 证券交易所 创业板上市 之日起十二 个月内，本 人将不通过 包括但不限 于签署转让 协议、进行 股权托管等 任何方式， 减少本人所 持有或者实 际持有的信 息发展本次</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5979"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13"/>
              <w:jc w:val="both"/>
              <w:rPr>
                <w:rFonts w:ascii="宋体" w:hAnsi="宋体" w:cs="宋体" w:eastAsia="宋体" w:hint="default"/>
                <w:sz w:val="18"/>
                <w:szCs w:val="18"/>
              </w:rPr>
            </w:pPr>
            <w:r>
              <w:rPr>
                <w:rFonts w:ascii="宋体" w:hAnsi="宋体" w:cs="宋体" w:eastAsia="宋体" w:hint="default"/>
                <w:sz w:val="18"/>
                <w:szCs w:val="18"/>
              </w:rPr>
              <w:t>发行前已发 行的股份</w:t>
            </w:r>
          </w:p>
          <w:p>
            <w:pPr>
              <w:pStyle w:val="TableParagraph"/>
              <w:spacing w:line="319" w:lineRule="auto" w:before="19"/>
              <w:ind w:left="103" w:right="102"/>
              <w:jc w:val="both"/>
              <w:rPr>
                <w:rFonts w:ascii="宋体" w:hAnsi="宋体" w:cs="宋体" w:eastAsia="宋体" w:hint="default"/>
                <w:sz w:val="18"/>
                <w:szCs w:val="18"/>
              </w:rPr>
            </w:pPr>
            <w:r>
              <w:rPr>
                <w:rFonts w:ascii="宋体" w:hAnsi="宋体" w:cs="宋体" w:eastAsia="宋体" w:hint="default"/>
                <w:sz w:val="18"/>
                <w:szCs w:val="18"/>
              </w:rPr>
              <w:t>（包括由该 部分股份派 生的股份如 送红股、资 本公积金转 </w:t>
            </w:r>
            <w:r>
              <w:rPr>
                <w:rFonts w:ascii="宋体" w:hAnsi="宋体" w:cs="宋体" w:eastAsia="宋体" w:hint="default"/>
                <w:spacing w:val="-29"/>
                <w:sz w:val="18"/>
                <w:szCs w:val="18"/>
              </w:rPr>
              <w:t>增等）；亦不</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通过由信息 发展回购本 人所直接或 间接持有股 份等方式， 减少本人所 持有或者实 际持有的信 息发展本次 发行前已发 行的股份。</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7851"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51"/>
              <w:ind w:left="103" w:right="240"/>
              <w:jc w:val="both"/>
              <w:rPr>
                <w:rFonts w:ascii="宋体" w:hAnsi="宋体" w:cs="宋体" w:eastAsia="宋体" w:hint="default"/>
                <w:sz w:val="18"/>
                <w:szCs w:val="18"/>
              </w:rPr>
            </w:pPr>
            <w:r>
              <w:rPr>
                <w:rFonts w:ascii="宋体" w:hAnsi="宋体" w:cs="宋体" w:eastAsia="宋体" w:hint="default"/>
                <w:sz w:val="18"/>
                <w:szCs w:val="18"/>
              </w:rPr>
              <w:t>李志卿</w:t>
            </w:r>
            <w:r>
              <w:rPr>
                <w:rFonts w:ascii="Times New Roman" w:hAnsi="Times New Roman" w:cs="Times New Roman" w:eastAsia="Times New Roman" w:hint="default"/>
                <w:sz w:val="18"/>
                <w:szCs w:val="18"/>
              </w:rPr>
              <w:t>;</w:t>
            </w:r>
            <w:r>
              <w:rPr>
                <w:rFonts w:ascii="宋体" w:hAnsi="宋体" w:cs="宋体" w:eastAsia="宋体" w:hint="default"/>
                <w:sz w:val="18"/>
                <w:szCs w:val="18"/>
              </w:rPr>
              <w:t>刘 理洲</w:t>
            </w:r>
            <w:r>
              <w:rPr>
                <w:rFonts w:ascii="Times New Roman" w:hAnsi="Times New Roman" w:cs="Times New Roman" w:eastAsia="Times New Roman" w:hint="default"/>
                <w:sz w:val="18"/>
                <w:szCs w:val="18"/>
              </w:rPr>
              <w:t>;</w:t>
            </w:r>
            <w:r>
              <w:rPr>
                <w:rFonts w:ascii="宋体" w:hAnsi="宋体" w:cs="宋体" w:eastAsia="宋体" w:hint="default"/>
                <w:sz w:val="18"/>
                <w:szCs w:val="18"/>
              </w:rPr>
              <w:t>杨安 荣</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319" w:lineRule="auto"/>
              <w:ind w:left="103" w:right="110"/>
              <w:jc w:val="left"/>
              <w:rPr>
                <w:rFonts w:ascii="宋体" w:hAnsi="宋体" w:cs="宋体" w:eastAsia="宋体" w:hint="default"/>
                <w:sz w:val="18"/>
                <w:szCs w:val="18"/>
              </w:rPr>
            </w:pPr>
            <w:r>
              <w:rPr>
                <w:rFonts w:ascii="宋体" w:hAnsi="宋体" w:cs="宋体" w:eastAsia="宋体" w:hint="default"/>
                <w:sz w:val="18"/>
                <w:szCs w:val="18"/>
              </w:rPr>
              <w:t>股份限售承 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3"/>
              <w:jc w:val="both"/>
              <w:rPr>
                <w:rFonts w:ascii="宋体" w:hAnsi="宋体" w:cs="宋体" w:eastAsia="宋体" w:hint="default"/>
                <w:sz w:val="18"/>
                <w:szCs w:val="18"/>
              </w:rPr>
            </w:pPr>
            <w:r>
              <w:rPr>
                <w:rFonts w:ascii="宋体" w:hAnsi="宋体" w:cs="宋体" w:eastAsia="宋体" w:hint="default"/>
                <w:sz w:val="18"/>
                <w:szCs w:val="18"/>
              </w:rPr>
              <w:t>自信息发展 股票在深圳 证券交易所 创业板上市 之日起十二 个月内，本 人将不通过 包括但不限 于签署转让 协议、进行 股权托管等 任何方式， 减少本人所 持有或者实 际持有的信 息发展本次 发行前已发 行的股份</w:t>
            </w:r>
          </w:p>
          <w:p>
            <w:pPr>
              <w:pStyle w:val="TableParagraph"/>
              <w:spacing w:line="316" w:lineRule="auto" w:before="19"/>
              <w:ind w:left="103" w:right="102"/>
              <w:jc w:val="both"/>
              <w:rPr>
                <w:rFonts w:ascii="宋体" w:hAnsi="宋体" w:cs="宋体" w:eastAsia="宋体" w:hint="default"/>
                <w:sz w:val="18"/>
                <w:szCs w:val="18"/>
              </w:rPr>
            </w:pPr>
            <w:r>
              <w:rPr>
                <w:rFonts w:ascii="宋体" w:hAnsi="宋体" w:cs="宋体" w:eastAsia="宋体" w:hint="default"/>
                <w:sz w:val="18"/>
                <w:szCs w:val="18"/>
              </w:rPr>
              <w:t>（包括由该 部分股份派 生的股份如 送红股、资 本公积金转 </w:t>
            </w:r>
            <w:r>
              <w:rPr>
                <w:rFonts w:ascii="宋体" w:hAnsi="宋体" w:cs="宋体" w:eastAsia="宋体" w:hint="default"/>
                <w:spacing w:val="-29"/>
                <w:sz w:val="18"/>
                <w:szCs w:val="18"/>
              </w:rPr>
              <w:t>增等）；亦不</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通过由信息</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发展回购本</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人所直接或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间接持有股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份等方式，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减少本人所</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持有或者实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际持有的信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息发展本次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发行前已发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上述十二个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月期满后，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本人在担任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公司的董</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事、监事、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高级管理人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员期间，每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年转让的股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份不超过本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人所持有信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息发展股份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总数的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宋体" w:hAnsi="宋体" w:cs="宋体" w:eastAsia="宋体" w:hint="default"/>
                <w:sz w:val="18"/>
                <w:szCs w:val="18"/>
              </w:rPr>
              <w:t>；离职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后半年内，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不转让本人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所持有的信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息发展股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份；本人在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信息发展首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次公开发行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股票上市之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日起六个月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内申报离职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的，自申报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离职之日起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十八个月内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不转让本人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直接持有的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信息发展股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份；在信息</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发展首次公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开发行股票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上市之日起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第七个月至</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第十二个月</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之间申报离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职的，自申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报离职之日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起十二个月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内不转让本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人直接持有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的信息发展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股份。发行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人上市后六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个月内如发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行人股票连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续二十个交</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易日的收盘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价（指复权</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后的价格，</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下同）均低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于发行价，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或者上市后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六个月期末</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收盘价低于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发行价，本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人持有的发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行人公开发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行股份前已</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发行的股份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的锁定期限</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将自动延长</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六个月。在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延长锁定期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内，不转让</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或者委托他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人管理其直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接或者间接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持有的发行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人公开发行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股票前已发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也不由发行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人回购其直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接或者间接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持有的发行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人公开发行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股票前已发</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行的股份。</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本人不因职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务变更或离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职等主观原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因而放弃履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行此承诺。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本人所持发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行人公开发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行股份前已</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发行的股份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在上述锁定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期期满后两</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年内减持，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本人承诺减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持价格（指</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复权后的价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格）不低于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发行价，若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低于发行价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的，本人的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减持所得收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入归发行人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所有。本人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不因职务变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更或离职等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主观原因而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放弃履行此</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承诺。发行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人上市后六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个月内如发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行人股票连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续二十个交</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易日的收盘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价（指复权</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后的价格，</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下同）均低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于发行价，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或者上市后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六个月期末</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收盘价低于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发行价，本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人持有的发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行人公开发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行股份前已</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发行的股份</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的锁定期限</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将自动延长</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六个月。在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延长锁定期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内，不转让</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或者委托他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人管理其直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接或者间接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持有的发行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人公开发行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股票前已发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也不由发行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人回购其直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接或者间接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持有的发行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人公开发行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股票前已发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本人不因职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务变更或离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职等主观原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因而放弃履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行此承诺。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本人所持发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行人公开发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行股份前已</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发行的股份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在上述锁定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期期满后两</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年内减持，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本人承诺减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持价格（指</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复权后的价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格）不低于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发行价，若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低于发行价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的，本人的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减持所得收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入归发行人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所有。本人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不因职务变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更或离职等</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986"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13"/>
              <w:jc w:val="both"/>
              <w:rPr>
                <w:rFonts w:ascii="宋体" w:hAnsi="宋体" w:cs="宋体" w:eastAsia="宋体" w:hint="default"/>
                <w:sz w:val="18"/>
                <w:szCs w:val="18"/>
              </w:rPr>
            </w:pPr>
            <w:r>
              <w:rPr>
                <w:rFonts w:ascii="宋体" w:hAnsi="宋体" w:cs="宋体" w:eastAsia="宋体" w:hint="default"/>
                <w:sz w:val="18"/>
                <w:szCs w:val="18"/>
              </w:rPr>
              <w:t>主观原因而 放弃履行此 承诺。</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12844"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张曙华</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13"/>
              <w:ind w:left="103" w:right="110"/>
              <w:jc w:val="left"/>
              <w:rPr>
                <w:rFonts w:ascii="宋体" w:hAnsi="宋体" w:cs="宋体" w:eastAsia="宋体" w:hint="default"/>
                <w:sz w:val="18"/>
                <w:szCs w:val="18"/>
              </w:rPr>
            </w:pPr>
            <w:r>
              <w:rPr>
                <w:rFonts w:ascii="宋体" w:hAnsi="宋体" w:cs="宋体" w:eastAsia="宋体" w:hint="default"/>
                <w:sz w:val="18"/>
                <w:szCs w:val="18"/>
              </w:rPr>
              <w:t>股份限售承 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left"/>
              <w:rPr>
                <w:rFonts w:ascii="宋体" w:hAnsi="宋体" w:cs="宋体" w:eastAsia="宋体" w:hint="default"/>
                <w:sz w:val="18"/>
                <w:szCs w:val="18"/>
              </w:rPr>
            </w:pPr>
            <w:r>
              <w:rPr>
                <w:rFonts w:ascii="宋体" w:hAnsi="宋体" w:cs="宋体" w:eastAsia="宋体" w:hint="default"/>
                <w:sz w:val="18"/>
                <w:szCs w:val="18"/>
              </w:rPr>
              <w:t>自信息发展 股票在深圳 证券交易所 创业板上市 之日起三十 六个月内， 本人将不通 过包括但不 限于签署转 让协议、进 行股权托管 等任何方 式，减少本 人所持有或 者实际持有 的信息发展 本次发行前 已发行的股 份（包括由 该部分股份 派生的股份 如送红股、 资本公积金 </w:t>
            </w:r>
            <w:r>
              <w:rPr>
                <w:rFonts w:ascii="宋体" w:hAnsi="宋体" w:cs="宋体" w:eastAsia="宋体" w:hint="default"/>
                <w:spacing w:val="-29"/>
                <w:sz w:val="18"/>
                <w:szCs w:val="18"/>
              </w:rPr>
              <w:t>转增等）；亦</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不通过由信 息发展回购 本人所直接 或间接持有 股份等方 式，减少本 人所持有或 者实际持有 的信息发展 本次发行前 已发行的股 份。上述三 十六个月期 满后，本人 在担任公司 的董事、高 管期间，每</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年转让的股</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份不超过本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人所持有信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息发展股份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总数的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25%</w:t>
            </w:r>
            <w:r>
              <w:rPr>
                <w:rFonts w:ascii="宋体" w:hAnsi="宋体" w:cs="宋体" w:eastAsia="宋体" w:hint="default"/>
                <w:sz w:val="18"/>
                <w:szCs w:val="18"/>
              </w:rPr>
              <w:t>；离职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后半年内，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不转让本人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所持有的信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息发展股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份。发行人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上市后六个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月内如发行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人股票连续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二十个交易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日的收盘价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（指复权后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的价格，下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同）均低于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发行价，或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者上市后六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个月期末收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盘价低于发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行价，本人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持有的发行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人公开发行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股份前已发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行的股份的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锁定期限将</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自动延长六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个月。在延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长锁定期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内，不转让</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或者委托他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人管理其直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接或者间接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持有的发行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人公开发行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股票前已发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也不由发行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人回购其直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接或者间接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持有的发行</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254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13"/>
              <w:jc w:val="both"/>
              <w:rPr>
                <w:rFonts w:ascii="宋体" w:hAnsi="宋体" w:cs="宋体" w:eastAsia="宋体" w:hint="default"/>
                <w:sz w:val="18"/>
                <w:szCs w:val="18"/>
              </w:rPr>
            </w:pPr>
            <w:r>
              <w:rPr>
                <w:rFonts w:ascii="宋体" w:hAnsi="宋体" w:cs="宋体" w:eastAsia="宋体" w:hint="default"/>
                <w:sz w:val="18"/>
                <w:szCs w:val="18"/>
              </w:rPr>
              <w:t>人公开发行 股票前已发 行的股份。 本人不因职 务变更或离 职等主观原 因而放弃履 行此承诺。</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11283"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319" w:lineRule="auto"/>
              <w:ind w:left="103" w:right="111"/>
              <w:jc w:val="both"/>
              <w:rPr>
                <w:rFonts w:ascii="宋体" w:hAnsi="宋体" w:cs="宋体" w:eastAsia="宋体" w:hint="default"/>
                <w:sz w:val="18"/>
                <w:szCs w:val="18"/>
              </w:rPr>
            </w:pPr>
            <w:r>
              <w:rPr>
                <w:rFonts w:ascii="宋体" w:hAnsi="宋体" w:cs="宋体" w:eastAsia="宋体" w:hint="default"/>
                <w:sz w:val="18"/>
                <w:szCs w:val="18"/>
              </w:rPr>
              <w:t>上海中信电 子发展有限 公司</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61"/>
              <w:ind w:left="103" w:right="110"/>
              <w:jc w:val="left"/>
              <w:rPr>
                <w:rFonts w:ascii="宋体" w:hAnsi="宋体" w:cs="宋体" w:eastAsia="宋体" w:hint="default"/>
                <w:sz w:val="18"/>
                <w:szCs w:val="18"/>
              </w:rPr>
            </w:pPr>
            <w:r>
              <w:rPr>
                <w:rFonts w:ascii="宋体" w:hAnsi="宋体" w:cs="宋体" w:eastAsia="宋体" w:hint="default"/>
                <w:sz w:val="18"/>
                <w:szCs w:val="18"/>
              </w:rPr>
              <w:t>股份减持承 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3"/>
              <w:jc w:val="left"/>
              <w:rPr>
                <w:rFonts w:ascii="宋体" w:hAnsi="宋体" w:cs="宋体" w:eastAsia="宋体" w:hint="default"/>
                <w:sz w:val="18"/>
                <w:szCs w:val="18"/>
              </w:rPr>
            </w:pPr>
            <w:r>
              <w:rPr>
                <w:rFonts w:ascii="宋体" w:hAnsi="宋体" w:cs="宋体" w:eastAsia="宋体" w:hint="default"/>
                <w:sz w:val="18"/>
                <w:szCs w:val="18"/>
              </w:rPr>
              <w:t>本公司所持 发行人公开 发行股份前 已发行的股 份在锁定期 期满后两年 内将进行股 份减持，减 持股份数量 为不超过本 公司所持股 份数的 </w:t>
            </w:r>
            <w:r>
              <w:rPr>
                <w:rFonts w:ascii="Times New Roman" w:hAnsi="Times New Roman" w:cs="Times New Roman" w:eastAsia="Times New Roman" w:hint="default"/>
                <w:sz w:val="18"/>
                <w:szCs w:val="18"/>
              </w:rPr>
              <w:t>40%</w:t>
            </w:r>
            <w:r>
              <w:rPr>
                <w:rFonts w:ascii="宋体" w:hAnsi="宋体" w:cs="宋体" w:eastAsia="宋体" w:hint="default"/>
                <w:sz w:val="18"/>
                <w:szCs w:val="18"/>
              </w:rPr>
              <w:t>；本公 司在减持股 份时，将提 前五个交易 日向发行人 提交减持原 因、减持数 量、未来减 持计划、减 持对发行人 治理结构及 持续经营影 响的说明， 并由发行人 在减持前三 个交易日予 以公告；减 持将通过证 券交易所集 中竞价交易 系统、大宗 交易系统等 方式进行， 并且本公司</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1"/>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0"/>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3171"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13"/>
              <w:jc w:val="both"/>
              <w:rPr>
                <w:rFonts w:ascii="宋体" w:hAnsi="宋体" w:cs="宋体" w:eastAsia="宋体" w:hint="default"/>
                <w:sz w:val="18"/>
                <w:szCs w:val="18"/>
              </w:rPr>
            </w:pPr>
            <w:r>
              <w:rPr>
                <w:rFonts w:ascii="宋体" w:hAnsi="宋体" w:cs="宋体" w:eastAsia="宋体" w:hint="default"/>
                <w:sz w:val="18"/>
                <w:szCs w:val="18"/>
              </w:rPr>
              <w:t>承诺减持价 格（指复权 后的价格） 不低于发行 价，若低于 发行价的， 本公司的减 持所得收入 归发行人所 有。</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10659"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张曙华</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319" w:lineRule="auto"/>
              <w:ind w:left="103" w:right="110"/>
              <w:jc w:val="left"/>
              <w:rPr>
                <w:rFonts w:ascii="宋体" w:hAnsi="宋体" w:cs="宋体" w:eastAsia="宋体" w:hint="default"/>
                <w:sz w:val="18"/>
                <w:szCs w:val="18"/>
              </w:rPr>
            </w:pPr>
            <w:r>
              <w:rPr>
                <w:rFonts w:ascii="宋体" w:hAnsi="宋体" w:cs="宋体" w:eastAsia="宋体" w:hint="default"/>
                <w:sz w:val="18"/>
                <w:szCs w:val="18"/>
              </w:rPr>
              <w:t>股份减持承 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3"/>
              <w:jc w:val="left"/>
              <w:rPr>
                <w:rFonts w:ascii="宋体" w:hAnsi="宋体" w:cs="宋体" w:eastAsia="宋体" w:hint="default"/>
                <w:sz w:val="18"/>
                <w:szCs w:val="18"/>
              </w:rPr>
            </w:pPr>
            <w:r>
              <w:rPr>
                <w:rFonts w:ascii="宋体" w:hAnsi="宋体" w:cs="宋体" w:eastAsia="宋体" w:hint="default"/>
                <w:sz w:val="18"/>
                <w:szCs w:val="18"/>
              </w:rPr>
              <w:t>本人所持发 行人公开发 行股份前已 发行的股份 在锁定期期 满后两年内 减持不超过 本人所持股 份数的 </w:t>
            </w:r>
            <w:r>
              <w:rPr>
                <w:rFonts w:ascii="Times New Roman" w:hAnsi="Times New Roman" w:cs="Times New Roman" w:eastAsia="Times New Roman" w:hint="default"/>
                <w:sz w:val="18"/>
                <w:szCs w:val="18"/>
              </w:rPr>
              <w:t>40%</w:t>
            </w:r>
            <w:r>
              <w:rPr>
                <w:rFonts w:ascii="宋体" w:hAnsi="宋体" w:cs="宋体" w:eastAsia="宋体" w:hint="default"/>
                <w:sz w:val="18"/>
                <w:szCs w:val="18"/>
              </w:rPr>
              <w:t>；本人 减持时，将 提前五个交 易日向发行 人提交减持 原因、减持 数量、未来 减持计划、 减持对发行 人治理结构 及持续经营 影响的说 明，并由发 行人在减持 前三个交易 日予以公 告；减持将 通过证券交 易所集中竞 价交易系 统、大宗交 易系统等方 式进行并且 本人承诺减 持价格（指</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2020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410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13"/>
              <w:jc w:val="left"/>
              <w:rPr>
                <w:rFonts w:ascii="宋体" w:hAnsi="宋体" w:cs="宋体" w:eastAsia="宋体" w:hint="default"/>
                <w:sz w:val="18"/>
                <w:szCs w:val="18"/>
              </w:rPr>
            </w:pPr>
            <w:r>
              <w:rPr>
                <w:rFonts w:ascii="宋体" w:hAnsi="宋体" w:cs="宋体" w:eastAsia="宋体" w:hint="default"/>
                <w:sz w:val="18"/>
                <w:szCs w:val="18"/>
              </w:rPr>
              <w:t>复权后的价 格</w:t>
            </w:r>
            <w:r>
              <w:rPr>
                <w:rFonts w:ascii="Times New Roman" w:hAnsi="Times New Roman" w:cs="Times New Roman" w:eastAsia="Times New Roman" w:hint="default"/>
                <w:sz w:val="18"/>
                <w:szCs w:val="18"/>
              </w:rPr>
              <w:t>)</w:t>
            </w:r>
            <w:r>
              <w:rPr>
                <w:rFonts w:ascii="宋体" w:hAnsi="宋体" w:cs="宋体" w:eastAsia="宋体" w:hint="default"/>
                <w:sz w:val="18"/>
                <w:szCs w:val="18"/>
              </w:rPr>
              <w:t>不低于 发行价，若 低于发行价 的，本人的 减持所得收 入归发行人 所有。本人 不因职务变 更或离职等 主观原因而 放弃履行此 承诺。</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9723"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312" w:lineRule="auto"/>
              <w:ind w:left="103" w:right="111"/>
              <w:jc w:val="left"/>
              <w:rPr>
                <w:rFonts w:ascii="宋体" w:hAnsi="宋体" w:cs="宋体" w:eastAsia="宋体" w:hint="default"/>
                <w:sz w:val="18"/>
                <w:szCs w:val="18"/>
              </w:rPr>
            </w:pPr>
            <w:r>
              <w:rPr>
                <w:rFonts w:ascii="宋体" w:hAnsi="宋体" w:cs="宋体" w:eastAsia="宋体" w:hint="default"/>
                <w:sz w:val="18"/>
                <w:szCs w:val="18"/>
              </w:rPr>
              <w:t>上海红土创 业投资有限 公司</w:t>
            </w:r>
            <w:r>
              <w:rPr>
                <w:rFonts w:ascii="Times New Roman" w:hAnsi="Times New Roman" w:cs="Times New Roman" w:eastAsia="Times New Roman" w:hint="default"/>
                <w:sz w:val="18"/>
                <w:szCs w:val="18"/>
              </w:rPr>
              <w:t>;</w:t>
            </w:r>
            <w:r>
              <w:rPr>
                <w:rFonts w:ascii="宋体" w:hAnsi="宋体" w:cs="宋体" w:eastAsia="宋体" w:hint="default"/>
                <w:sz w:val="18"/>
                <w:szCs w:val="18"/>
              </w:rPr>
              <w:t>深圳 市创新投资 集团有限公 司</w:t>
            </w:r>
            <w:r>
              <w:rPr>
                <w:rFonts w:ascii="Times New Roman" w:hAnsi="Times New Roman" w:cs="Times New Roman" w:eastAsia="Times New Roman" w:hint="default"/>
                <w:sz w:val="18"/>
                <w:szCs w:val="18"/>
              </w:rPr>
              <w:t>;</w:t>
            </w:r>
            <w:r>
              <w:rPr>
                <w:rFonts w:ascii="宋体" w:hAnsi="宋体" w:cs="宋体" w:eastAsia="宋体" w:hint="default"/>
                <w:sz w:val="18"/>
                <w:szCs w:val="18"/>
              </w:rPr>
              <w:t>苏州国 嘉创业投资 有限公司</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319" w:lineRule="auto"/>
              <w:ind w:left="103" w:right="110"/>
              <w:jc w:val="left"/>
              <w:rPr>
                <w:rFonts w:ascii="宋体" w:hAnsi="宋体" w:cs="宋体" w:eastAsia="宋体" w:hint="default"/>
                <w:sz w:val="18"/>
                <w:szCs w:val="18"/>
              </w:rPr>
            </w:pPr>
            <w:r>
              <w:rPr>
                <w:rFonts w:ascii="宋体" w:hAnsi="宋体" w:cs="宋体" w:eastAsia="宋体" w:hint="default"/>
                <w:sz w:val="18"/>
                <w:szCs w:val="18"/>
              </w:rPr>
              <w:t>股份减持承 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left"/>
              <w:rPr>
                <w:rFonts w:ascii="宋体" w:hAnsi="宋体" w:cs="宋体" w:eastAsia="宋体" w:hint="default"/>
                <w:sz w:val="18"/>
                <w:szCs w:val="18"/>
              </w:rPr>
            </w:pPr>
            <w:r>
              <w:rPr>
                <w:rFonts w:ascii="宋体" w:hAnsi="宋体" w:cs="宋体" w:eastAsia="宋体" w:hint="default"/>
                <w:sz w:val="18"/>
                <w:szCs w:val="18"/>
              </w:rPr>
              <w:t>本公司所持 股票在锁定 期满后两年 内将进行股 份减持，减 持股份数量 为不超过本 公司所持股 份数的 </w:t>
            </w:r>
            <w:r>
              <w:rPr>
                <w:rFonts w:ascii="Times New Roman" w:hAnsi="Times New Roman" w:cs="Times New Roman" w:eastAsia="Times New Roman" w:hint="default"/>
                <w:spacing w:val="-8"/>
                <w:sz w:val="18"/>
                <w:szCs w:val="18"/>
              </w:rPr>
              <w:t>100%</w:t>
            </w:r>
            <w:r>
              <w:rPr>
                <w:rFonts w:ascii="宋体" w:hAnsi="宋体" w:cs="宋体" w:eastAsia="宋体" w:hint="default"/>
                <w:spacing w:val="-8"/>
                <w:sz w:val="18"/>
                <w:szCs w:val="18"/>
              </w:rPr>
              <w:t>；本公</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司在减持股 份时，将提 前五个交易 日向发行人 提交减持原 因、减持数 量、未来减 持计划、减 持对发行人 治理结构及 持续经营影 响的说明， 并由发行人 在减持前三 个交易日予 以公告；减 持将通过证 券交易所集 中竞价交易 系统、大宗 交易系统等</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722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13"/>
              <w:jc w:val="left"/>
              <w:rPr>
                <w:rFonts w:ascii="宋体" w:hAnsi="宋体" w:cs="宋体" w:eastAsia="宋体" w:hint="default"/>
                <w:sz w:val="18"/>
                <w:szCs w:val="18"/>
              </w:rPr>
            </w:pPr>
            <w:r>
              <w:rPr>
                <w:rFonts w:ascii="宋体" w:hAnsi="宋体" w:cs="宋体" w:eastAsia="宋体" w:hint="default"/>
                <w:sz w:val="18"/>
                <w:szCs w:val="18"/>
              </w:rPr>
              <w:t>方式进行， 且减持价格</w:t>
            </w:r>
          </w:p>
          <w:p>
            <w:pPr>
              <w:pStyle w:val="TableParagraph"/>
              <w:spacing w:line="319" w:lineRule="auto" w:before="19"/>
              <w:ind w:left="103" w:right="113"/>
              <w:jc w:val="left"/>
              <w:rPr>
                <w:rFonts w:ascii="宋体" w:hAnsi="宋体" w:cs="宋体" w:eastAsia="宋体" w:hint="default"/>
                <w:sz w:val="18"/>
                <w:szCs w:val="18"/>
              </w:rPr>
            </w:pPr>
            <w:r>
              <w:rPr>
                <w:rFonts w:ascii="宋体" w:hAnsi="宋体" w:cs="宋体" w:eastAsia="宋体" w:hint="default"/>
                <w:sz w:val="18"/>
                <w:szCs w:val="18"/>
              </w:rPr>
              <w:t>（指复权后 的价格）不 低于发行 价；若所持 股票在锁定 期满后两年 内减持价格 低于发行价 的，则减持 价格与发行 价之间的差 额由发行人 在现金分红 时从分配当 年及以后年 度的现金分 红中予以先 行扣除，且 扣除的现金 分红归发行 人所有。</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6603"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0" w:lineRule="auto" w:before="148"/>
              <w:ind w:left="103" w:right="240"/>
              <w:jc w:val="both"/>
              <w:rPr>
                <w:rFonts w:ascii="宋体" w:hAnsi="宋体" w:cs="宋体" w:eastAsia="宋体" w:hint="default"/>
                <w:sz w:val="18"/>
                <w:szCs w:val="18"/>
              </w:rPr>
            </w:pPr>
            <w:r>
              <w:rPr>
                <w:rFonts w:ascii="宋体" w:hAnsi="宋体" w:cs="宋体" w:eastAsia="宋体" w:hint="default"/>
                <w:sz w:val="18"/>
                <w:szCs w:val="18"/>
              </w:rPr>
              <w:t>李志卿</w:t>
            </w:r>
            <w:r>
              <w:rPr>
                <w:rFonts w:ascii="Times New Roman" w:hAnsi="Times New Roman" w:cs="Times New Roman" w:eastAsia="Times New Roman" w:hint="default"/>
                <w:sz w:val="18"/>
                <w:szCs w:val="18"/>
              </w:rPr>
              <w:t>;</w:t>
            </w:r>
            <w:r>
              <w:rPr>
                <w:rFonts w:ascii="宋体" w:hAnsi="宋体" w:cs="宋体" w:eastAsia="宋体" w:hint="default"/>
                <w:sz w:val="18"/>
                <w:szCs w:val="18"/>
              </w:rPr>
              <w:t>刘 理洲</w:t>
            </w:r>
            <w:r>
              <w:rPr>
                <w:rFonts w:ascii="Times New Roman" w:hAnsi="Times New Roman" w:cs="Times New Roman" w:eastAsia="Times New Roman" w:hint="default"/>
                <w:sz w:val="18"/>
                <w:szCs w:val="18"/>
              </w:rPr>
              <w:t>;</w:t>
            </w:r>
            <w:r>
              <w:rPr>
                <w:rFonts w:ascii="宋体" w:hAnsi="宋体" w:cs="宋体" w:eastAsia="宋体" w:hint="default"/>
                <w:sz w:val="18"/>
                <w:szCs w:val="18"/>
              </w:rPr>
              <w:t>杨安 荣</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319" w:lineRule="auto"/>
              <w:ind w:left="103" w:right="110"/>
              <w:jc w:val="left"/>
              <w:rPr>
                <w:rFonts w:ascii="宋体" w:hAnsi="宋体" w:cs="宋体" w:eastAsia="宋体" w:hint="default"/>
                <w:sz w:val="18"/>
                <w:szCs w:val="18"/>
              </w:rPr>
            </w:pPr>
            <w:r>
              <w:rPr>
                <w:rFonts w:ascii="宋体" w:hAnsi="宋体" w:cs="宋体" w:eastAsia="宋体" w:hint="default"/>
                <w:sz w:val="18"/>
                <w:szCs w:val="18"/>
              </w:rPr>
              <w:t>股份减持承 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3"/>
              <w:jc w:val="left"/>
              <w:rPr>
                <w:rFonts w:ascii="宋体" w:hAnsi="宋体" w:cs="宋体" w:eastAsia="宋体" w:hint="default"/>
                <w:sz w:val="18"/>
                <w:szCs w:val="18"/>
              </w:rPr>
            </w:pPr>
            <w:r>
              <w:rPr>
                <w:rFonts w:ascii="宋体" w:hAnsi="宋体" w:cs="宋体" w:eastAsia="宋体" w:hint="default"/>
                <w:sz w:val="18"/>
                <w:szCs w:val="18"/>
              </w:rPr>
              <w:t>上述十二个 月期满后， 本人在担任 公司的董 事、监事、 高级管理人 员期间，每 年转让的股 份不超过本 人所持有信 息发展股份 总数的 </w:t>
            </w:r>
            <w:r>
              <w:rPr>
                <w:rFonts w:ascii="Times New Roman" w:hAnsi="Times New Roman" w:cs="Times New Roman" w:eastAsia="Times New Roman" w:hint="default"/>
                <w:sz w:val="18"/>
                <w:szCs w:val="18"/>
              </w:rPr>
              <w:t>25%</w:t>
            </w:r>
            <w:r>
              <w:rPr>
                <w:rFonts w:ascii="宋体" w:hAnsi="宋体" w:cs="宋体" w:eastAsia="宋体" w:hint="default"/>
                <w:sz w:val="18"/>
                <w:szCs w:val="18"/>
              </w:rPr>
              <w:t>；离职 后半年内， 不转让本人 所持有的信 息发展股 份；本人在 信息发展首 次公开发行 股票上市之</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9999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日起六个月</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内申报离职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的，自申报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离职之日起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十八个月内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不转让本人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直接持有的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信息发展股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份；在信息</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发展首次公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开发行股票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上市之日起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第七个月至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第十二个月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之间申报离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职的，自申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报离职之日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起十二个月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内不转让本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人直接持有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的信息发展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股份。发行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人上市后六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个月内如发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行人股票连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续二十个交</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易日的收盘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价（指复权</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后的价格，</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下同）均低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于发行价，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或者上市后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六个月期末</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收盘价低于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发行价，本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人持有的发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行人公开发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行股份前已</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发行的股份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的锁定期限</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将自动延长</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六个月。在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延长锁定期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内，不转让</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12844"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13"/>
              <w:jc w:val="both"/>
              <w:rPr>
                <w:rFonts w:ascii="宋体" w:hAnsi="宋体" w:cs="宋体" w:eastAsia="宋体" w:hint="default"/>
                <w:sz w:val="18"/>
                <w:szCs w:val="18"/>
              </w:rPr>
            </w:pPr>
            <w:r>
              <w:rPr>
                <w:rFonts w:ascii="宋体" w:hAnsi="宋体" w:cs="宋体" w:eastAsia="宋体" w:hint="default"/>
                <w:sz w:val="18"/>
                <w:szCs w:val="18"/>
              </w:rPr>
              <w:t>或者委托他 人管理其直 接或者间接 持有的发行 人公开发行 股票前已发 行的股份， 也不由发行 人回购其直 接或者间接 持有的发行 人公开发行 股票前已发 行的股份。 本人不因职 务变更或离 职等主观原 因而放弃履 行此承诺。 本人所持发 行人公开发 行股份前已 发行的股份 在上述锁定 期期满后两 年内减持， 本人承诺减 持价格（指 复权后的价 格）不低于 发行价，若 低于发行价 的，本人的 减持所得收 入归发行人 所有。本人 不因职务变 更或离职等 主观原因而 放弃履行此 承诺。</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1"/>
              <w:jc w:val="both"/>
              <w:rPr>
                <w:rFonts w:ascii="宋体" w:hAnsi="宋体" w:cs="宋体" w:eastAsia="宋体" w:hint="default"/>
                <w:sz w:val="18"/>
                <w:szCs w:val="18"/>
              </w:rPr>
            </w:pPr>
            <w:r>
              <w:rPr>
                <w:rFonts w:ascii="宋体" w:hAnsi="宋体" w:cs="宋体" w:eastAsia="宋体" w:hint="default"/>
                <w:sz w:val="18"/>
                <w:szCs w:val="18"/>
              </w:rPr>
              <w:t>上海中信电 子发展有限 公司</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71"/>
              <w:ind w:left="103" w:right="110"/>
              <w:jc w:val="both"/>
              <w:rPr>
                <w:rFonts w:ascii="宋体" w:hAnsi="宋体" w:cs="宋体" w:eastAsia="宋体" w:hint="default"/>
                <w:sz w:val="18"/>
                <w:szCs w:val="18"/>
              </w:rPr>
            </w:pPr>
            <w:r>
              <w:rPr>
                <w:rFonts w:ascii="宋体" w:hAnsi="宋体" w:cs="宋体" w:eastAsia="宋体" w:hint="default"/>
                <w:sz w:val="18"/>
                <w:szCs w:val="18"/>
              </w:rPr>
              <w:t>关于同业竞 争、关联交 易、资金占</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71"/>
              <w:ind w:left="103" w:right="102"/>
              <w:jc w:val="both"/>
              <w:rPr>
                <w:rFonts w:ascii="宋体" w:hAnsi="宋体" w:cs="宋体" w:eastAsia="宋体" w:hint="default"/>
                <w:sz w:val="18"/>
                <w:szCs w:val="18"/>
              </w:rPr>
            </w:pPr>
            <w:r>
              <w:rPr>
                <w:rFonts w:ascii="宋体" w:hAnsi="宋体" w:cs="宋体" w:eastAsia="宋体" w:hint="default"/>
                <w:spacing w:val="-14"/>
                <w:sz w:val="18"/>
                <w:szCs w:val="18"/>
              </w:rPr>
              <w:t>（</w:t>
            </w:r>
            <w:r>
              <w:rPr>
                <w:rFonts w:ascii="Times New Roman" w:hAnsi="Times New Roman" w:cs="Times New Roman" w:eastAsia="Times New Roman" w:hint="default"/>
                <w:spacing w:val="-14"/>
                <w:sz w:val="18"/>
                <w:szCs w:val="18"/>
              </w:rPr>
              <w:t>1</w:t>
            </w:r>
            <w:r>
              <w:rPr>
                <w:rFonts w:ascii="宋体" w:hAnsi="宋体" w:cs="宋体" w:eastAsia="宋体" w:hint="default"/>
                <w:spacing w:val="-14"/>
                <w:sz w:val="18"/>
                <w:szCs w:val="18"/>
              </w:rPr>
              <w:t>）本公司</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目前没有、 将来也不直</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3"/>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9999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13740"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10"/>
              <w:jc w:val="left"/>
              <w:rPr>
                <w:rFonts w:ascii="宋体" w:hAnsi="宋体" w:cs="宋体" w:eastAsia="宋体" w:hint="default"/>
                <w:sz w:val="18"/>
                <w:szCs w:val="18"/>
              </w:rPr>
            </w:pPr>
            <w:r>
              <w:rPr>
                <w:rFonts w:ascii="宋体" w:hAnsi="宋体" w:cs="宋体" w:eastAsia="宋体" w:hint="default"/>
                <w:sz w:val="18"/>
                <w:szCs w:val="18"/>
              </w:rPr>
              <w:t>用方面的承 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2"/>
              <w:jc w:val="left"/>
              <w:rPr>
                <w:rFonts w:ascii="宋体" w:hAnsi="宋体" w:cs="宋体" w:eastAsia="宋体" w:hint="default"/>
                <w:sz w:val="18"/>
                <w:szCs w:val="18"/>
              </w:rPr>
            </w:pPr>
            <w:r>
              <w:rPr>
                <w:rFonts w:ascii="宋体" w:hAnsi="宋体" w:cs="宋体" w:eastAsia="宋体" w:hint="default"/>
                <w:sz w:val="18"/>
                <w:szCs w:val="18"/>
              </w:rPr>
              <w:t>接或间接从 事与发行人 及其控股或 实际控制的 子公司现有 及将来从事 的业务构成 同业竞争的 任何活动， 并愿意对违 反上述承诺 而给发行人 造成的经济 损失承担赔 </w:t>
            </w:r>
            <w:r>
              <w:rPr>
                <w:rFonts w:ascii="宋体" w:hAnsi="宋体" w:cs="宋体" w:eastAsia="宋体" w:hint="default"/>
                <w:spacing w:val="-25"/>
                <w:sz w:val="18"/>
                <w:szCs w:val="18"/>
              </w:rPr>
              <w:t>偿责任。（</w:t>
            </w:r>
            <w:r>
              <w:rPr>
                <w:rFonts w:ascii="Times New Roman" w:hAnsi="Times New Roman" w:cs="Times New Roman" w:eastAsia="Times New Roman" w:hint="default"/>
                <w:spacing w:val="-25"/>
                <w:sz w:val="18"/>
                <w:szCs w:val="18"/>
              </w:rPr>
              <w:t>2</w:t>
            </w:r>
            <w:r>
              <w:rPr>
                <w:rFonts w:ascii="宋体" w:hAnsi="宋体" w:cs="宋体" w:eastAsia="宋体" w:hint="default"/>
                <w:spacing w:val="-25"/>
                <w:sz w:val="18"/>
                <w:szCs w:val="18"/>
              </w:rPr>
              <w:t>）</w:t>
            </w:r>
            <w:r>
              <w:rPr>
                <w:rFonts w:ascii="宋体" w:hAnsi="宋体" w:cs="宋体" w:eastAsia="宋体" w:hint="default"/>
                <w:spacing w:val="-86"/>
                <w:sz w:val="18"/>
                <w:szCs w:val="18"/>
              </w:rPr>
              <w:t> </w:t>
            </w:r>
            <w:r>
              <w:rPr>
                <w:rFonts w:ascii="宋体" w:hAnsi="宋体" w:cs="宋体" w:eastAsia="宋体" w:hint="default"/>
                <w:sz w:val="18"/>
                <w:szCs w:val="18"/>
              </w:rPr>
              <w:t>对于本公司 直接和间接 控制</w:t>
            </w:r>
            <w:r>
              <w:rPr>
                <w:rFonts w:ascii="Times New Roman" w:hAnsi="Times New Roman" w:cs="Times New Roman" w:eastAsia="Times New Roman" w:hint="default"/>
                <w:sz w:val="18"/>
                <w:szCs w:val="18"/>
              </w:rPr>
              <w:t>/</w:t>
            </w:r>
            <w:r>
              <w:rPr>
                <w:rFonts w:ascii="宋体" w:hAnsi="宋体" w:cs="宋体" w:eastAsia="宋体" w:hint="default"/>
                <w:sz w:val="18"/>
                <w:szCs w:val="18"/>
              </w:rPr>
              <w:t>控股 的其他企 业，本公司 将通过派出 机构和人员</w:t>
            </w:r>
          </w:p>
          <w:p>
            <w:pPr>
              <w:pStyle w:val="TableParagraph"/>
              <w:spacing w:line="316" w:lineRule="auto" w:before="19"/>
              <w:ind w:left="103" w:right="113"/>
              <w:jc w:val="left"/>
              <w:rPr>
                <w:rFonts w:ascii="宋体" w:hAnsi="宋体" w:cs="宋体" w:eastAsia="宋体" w:hint="default"/>
                <w:sz w:val="18"/>
                <w:szCs w:val="18"/>
              </w:rPr>
            </w:pPr>
            <w:r>
              <w:rPr>
                <w:rFonts w:ascii="宋体" w:hAnsi="宋体" w:cs="宋体" w:eastAsia="宋体" w:hint="default"/>
                <w:sz w:val="18"/>
                <w:szCs w:val="18"/>
              </w:rPr>
              <w:t>（包括但不 限于董事、 总经理等） 以及本公司 在该等企业 中的控股</w:t>
            </w:r>
            <w:r>
              <w:rPr>
                <w:rFonts w:ascii="Times New Roman" w:hAnsi="Times New Roman" w:cs="Times New Roman" w:eastAsia="Times New Roman" w:hint="default"/>
                <w:sz w:val="18"/>
                <w:szCs w:val="18"/>
              </w:rPr>
              <w:t>/ </w:t>
            </w:r>
            <w:r>
              <w:rPr>
                <w:rFonts w:ascii="宋体" w:hAnsi="宋体" w:cs="宋体" w:eastAsia="宋体" w:hint="default"/>
                <w:sz w:val="18"/>
                <w:szCs w:val="18"/>
              </w:rPr>
              <w:t>控制地位， 保证该等企 业履行本承 诺函中与本 公司相同的 义务，保证 该等企业不 与发行人进 行同业竞 争，本公司 并愿意对违 反上述承诺 而给发行人 造成的经济 损失承担全 部连带的赔</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410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2"/>
              <w:jc w:val="left"/>
              <w:rPr>
                <w:rFonts w:ascii="宋体" w:hAnsi="宋体" w:cs="宋体" w:eastAsia="宋体" w:hint="default"/>
                <w:sz w:val="18"/>
                <w:szCs w:val="18"/>
              </w:rPr>
            </w:pPr>
            <w:r>
              <w:rPr>
                <w:rFonts w:ascii="宋体" w:hAnsi="宋体" w:cs="宋体" w:eastAsia="宋体" w:hint="default"/>
                <w:spacing w:val="-25"/>
                <w:sz w:val="18"/>
                <w:szCs w:val="18"/>
              </w:rPr>
              <w:t>偿责任。（</w:t>
            </w:r>
            <w:r>
              <w:rPr>
                <w:rFonts w:ascii="Times New Roman" w:hAnsi="Times New Roman" w:cs="Times New Roman" w:eastAsia="Times New Roman" w:hint="default"/>
                <w:spacing w:val="-25"/>
                <w:sz w:val="18"/>
                <w:szCs w:val="18"/>
              </w:rPr>
              <w:t>3</w:t>
            </w:r>
            <w:r>
              <w:rPr>
                <w:rFonts w:ascii="宋体" w:hAnsi="宋体" w:cs="宋体" w:eastAsia="宋体" w:hint="default"/>
                <w:spacing w:val="-25"/>
                <w:sz w:val="18"/>
                <w:szCs w:val="18"/>
              </w:rPr>
              <w:t>）</w:t>
            </w:r>
            <w:r>
              <w:rPr>
                <w:rFonts w:ascii="宋体" w:hAnsi="宋体" w:cs="宋体" w:eastAsia="宋体" w:hint="default"/>
                <w:spacing w:val="-86"/>
                <w:sz w:val="18"/>
                <w:szCs w:val="18"/>
              </w:rPr>
              <w:t> </w:t>
            </w:r>
            <w:r>
              <w:rPr>
                <w:rFonts w:ascii="宋体" w:hAnsi="宋体" w:cs="宋体" w:eastAsia="宋体" w:hint="default"/>
                <w:sz w:val="18"/>
                <w:szCs w:val="18"/>
              </w:rPr>
              <w:t>在本公司及 本公司所控 制的其他公 司与发行人 存在关联关 系期间或本 公司构成发 行人的控股 股东期间， 本承诺函对 本公司持续 有效。</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9723"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103" w:right="0"/>
              <w:jc w:val="left"/>
              <w:rPr>
                <w:rFonts w:ascii="宋体" w:hAnsi="宋体" w:cs="宋体" w:eastAsia="宋体" w:hint="default"/>
                <w:sz w:val="18"/>
                <w:szCs w:val="18"/>
              </w:rPr>
            </w:pPr>
            <w:r>
              <w:rPr>
                <w:rFonts w:ascii="宋体" w:hAnsi="宋体" w:cs="宋体" w:eastAsia="宋体" w:hint="default"/>
                <w:sz w:val="18"/>
                <w:szCs w:val="18"/>
              </w:rPr>
              <w:t>张曙华</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4"/>
              <w:ind w:left="103" w:right="110"/>
              <w:jc w:val="both"/>
              <w:rPr>
                <w:rFonts w:ascii="宋体" w:hAnsi="宋体" w:cs="宋体" w:eastAsia="宋体" w:hint="default"/>
                <w:sz w:val="18"/>
                <w:szCs w:val="18"/>
              </w:rPr>
            </w:pPr>
            <w:r>
              <w:rPr>
                <w:rFonts w:ascii="宋体" w:hAnsi="宋体" w:cs="宋体" w:eastAsia="宋体" w:hint="default"/>
                <w:sz w:val="18"/>
                <w:szCs w:val="18"/>
              </w:rPr>
              <w:t>关于同业竞 争、关联交 易、资金占 用方面的承 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3"/>
              <w:jc w:val="left"/>
              <w:rPr>
                <w:rFonts w:ascii="宋体" w:hAnsi="宋体" w:cs="宋体" w:eastAsia="宋体" w:hint="default"/>
                <w:sz w:val="18"/>
                <w:szCs w:val="18"/>
              </w:rPr>
            </w:pPr>
            <w:r>
              <w:rPr>
                <w:rFonts w:ascii="宋体" w:hAnsi="宋体" w:cs="宋体" w:eastAsia="宋体" w:hint="default"/>
                <w:sz w:val="18"/>
                <w:szCs w:val="18"/>
              </w:rPr>
              <w:t>①本人目前 没有、将来 也不直接或 间接从事与 发行人及其 控股或实际 控制的子公 司现有及将 来从事的业 务构成同业 竞争的任何 活动，并愿 意对违反上 述承诺而给 发行人造成 的经济损失 承担赔偿责 任。②对于 本人直接和 间接控制</w:t>
            </w:r>
            <w:r>
              <w:rPr>
                <w:rFonts w:ascii="Times New Roman" w:hAnsi="Times New Roman" w:cs="Times New Roman" w:eastAsia="Times New Roman" w:hint="default"/>
                <w:sz w:val="18"/>
                <w:szCs w:val="18"/>
              </w:rPr>
              <w:t>/ </w:t>
            </w:r>
            <w:r>
              <w:rPr>
                <w:rFonts w:ascii="宋体" w:hAnsi="宋体" w:cs="宋体" w:eastAsia="宋体" w:hint="default"/>
                <w:sz w:val="18"/>
                <w:szCs w:val="18"/>
              </w:rPr>
              <w:t>控股的其他 企业，本人 将通过派出 机构和人员</w:t>
            </w:r>
          </w:p>
          <w:p>
            <w:pPr>
              <w:pStyle w:val="TableParagraph"/>
              <w:spacing w:line="314" w:lineRule="auto" w:before="19"/>
              <w:ind w:left="103" w:right="113"/>
              <w:jc w:val="left"/>
              <w:rPr>
                <w:rFonts w:ascii="宋体" w:hAnsi="宋体" w:cs="宋体" w:eastAsia="宋体" w:hint="default"/>
                <w:sz w:val="18"/>
                <w:szCs w:val="18"/>
              </w:rPr>
            </w:pPr>
            <w:r>
              <w:rPr>
                <w:rFonts w:ascii="宋体" w:hAnsi="宋体" w:cs="宋体" w:eastAsia="宋体" w:hint="default"/>
                <w:sz w:val="18"/>
                <w:szCs w:val="18"/>
              </w:rPr>
              <w:t>（包括但不 限于董事、 总经理等） 以及本人在 该等企业中 的控股</w:t>
            </w:r>
            <w:r>
              <w:rPr>
                <w:rFonts w:ascii="Times New Roman" w:hAnsi="Times New Roman" w:cs="Times New Roman" w:eastAsia="Times New Roman" w:hint="default"/>
                <w:sz w:val="18"/>
                <w:szCs w:val="18"/>
              </w:rPr>
              <w:t>/</w:t>
            </w:r>
            <w:r>
              <w:rPr>
                <w:rFonts w:ascii="宋体" w:hAnsi="宋体" w:cs="宋体" w:eastAsia="宋体" w:hint="default"/>
                <w:sz w:val="18"/>
                <w:szCs w:val="18"/>
              </w:rPr>
              <w:t>控 制地位，保</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9999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7"/>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8475"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13"/>
              <w:jc w:val="left"/>
              <w:rPr>
                <w:rFonts w:ascii="宋体" w:hAnsi="宋体" w:cs="宋体" w:eastAsia="宋体" w:hint="default"/>
                <w:sz w:val="18"/>
                <w:szCs w:val="18"/>
              </w:rPr>
            </w:pPr>
            <w:r>
              <w:rPr>
                <w:rFonts w:ascii="宋体" w:hAnsi="宋体" w:cs="宋体" w:eastAsia="宋体" w:hint="default"/>
                <w:sz w:val="18"/>
                <w:szCs w:val="18"/>
              </w:rPr>
              <w:t>证该等企业 履行本承诺 函中与本人 相同的义 务，保证该 等企业不与 发行人进行 同业竞争， 本人并愿意 对违反上述 承诺而给发 行人造成的 经济损失承 担全部连带 的赔偿责 任。③在本 人及本人所 控制的其他 公司与发行 人存在关联 关系期间或 本人构成发 行人的实际 控制人期 间，本承诺 函对本人持 续有效。</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5355"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45"/>
              <w:ind w:left="103" w:right="111"/>
              <w:jc w:val="both"/>
              <w:rPr>
                <w:rFonts w:ascii="宋体" w:hAnsi="宋体" w:cs="宋体" w:eastAsia="宋体" w:hint="default"/>
                <w:sz w:val="18"/>
                <w:szCs w:val="18"/>
              </w:rPr>
            </w:pPr>
            <w:r>
              <w:rPr>
                <w:rFonts w:ascii="宋体" w:hAnsi="宋体" w:cs="宋体" w:eastAsia="宋体" w:hint="default"/>
                <w:sz w:val="18"/>
                <w:szCs w:val="18"/>
              </w:rPr>
              <w:t>上海中信电 子发展有限 公司</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319" w:lineRule="auto"/>
              <w:ind w:left="103" w:right="110"/>
              <w:jc w:val="both"/>
              <w:rPr>
                <w:rFonts w:ascii="宋体" w:hAnsi="宋体" w:cs="宋体" w:eastAsia="宋体" w:hint="default"/>
                <w:sz w:val="18"/>
                <w:szCs w:val="18"/>
              </w:rPr>
            </w:pPr>
            <w:r>
              <w:rPr>
                <w:rFonts w:ascii="宋体" w:hAnsi="宋体" w:cs="宋体" w:eastAsia="宋体" w:hint="default"/>
                <w:sz w:val="18"/>
                <w:szCs w:val="18"/>
              </w:rPr>
              <w:t>关于同业竞 争、关联交 易、资金占 用方面的承 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both"/>
              <w:rPr>
                <w:rFonts w:ascii="宋体" w:hAnsi="宋体" w:cs="宋体" w:eastAsia="宋体" w:hint="default"/>
                <w:sz w:val="18"/>
                <w:szCs w:val="18"/>
              </w:rPr>
            </w:pPr>
            <w:r>
              <w:rPr>
                <w:rFonts w:ascii="宋体" w:hAnsi="宋体" w:cs="宋体" w:eastAsia="宋体" w:hint="default"/>
                <w:spacing w:val="-14"/>
                <w:sz w:val="18"/>
                <w:szCs w:val="18"/>
              </w:rPr>
              <w:t>（</w:t>
            </w:r>
            <w:r>
              <w:rPr>
                <w:rFonts w:ascii="Times New Roman" w:hAnsi="Times New Roman" w:cs="Times New Roman" w:eastAsia="Times New Roman" w:hint="default"/>
                <w:spacing w:val="-14"/>
                <w:sz w:val="18"/>
                <w:szCs w:val="18"/>
              </w:rPr>
              <w:t>1</w:t>
            </w:r>
            <w:r>
              <w:rPr>
                <w:rFonts w:ascii="宋体" w:hAnsi="宋体" w:cs="宋体" w:eastAsia="宋体" w:hint="default"/>
                <w:spacing w:val="-14"/>
                <w:sz w:val="18"/>
                <w:szCs w:val="18"/>
              </w:rPr>
              <w:t>）除已经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向相关中介 机构书面披 露的关联交 易以外，本 公司以及下 属全资、控 股子公司及 其他可实际 控制企业</w:t>
            </w:r>
          </w:p>
          <w:p>
            <w:pPr>
              <w:pStyle w:val="TableParagraph"/>
              <w:spacing w:line="316" w:lineRule="auto" w:before="19"/>
              <w:ind w:left="103" w:right="102"/>
              <w:jc w:val="left"/>
              <w:rPr>
                <w:rFonts w:ascii="宋体" w:hAnsi="宋体" w:cs="宋体" w:eastAsia="宋体" w:hint="default"/>
                <w:sz w:val="18"/>
                <w:szCs w:val="18"/>
              </w:rPr>
            </w:pPr>
            <w:r>
              <w:rPr>
                <w:rFonts w:ascii="宋体" w:hAnsi="宋体" w:cs="宋体" w:eastAsia="宋体" w:hint="default"/>
                <w:sz w:val="18"/>
                <w:szCs w:val="18"/>
              </w:rPr>
              <w:t>（以下简称 “附属企 </w:t>
            </w:r>
            <w:r>
              <w:rPr>
                <w:rFonts w:ascii="宋体" w:hAnsi="宋体" w:cs="宋体" w:eastAsia="宋体" w:hint="default"/>
                <w:spacing w:val="-29"/>
                <w:sz w:val="18"/>
                <w:szCs w:val="18"/>
              </w:rPr>
              <w:t>业”）与信息</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发展之间现 时不存在其 他任何依照 法律法规和</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9999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中国证监会</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的有关规定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应披露而未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披露的关联</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交易</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在本公司作</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为信息发展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控股股东期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间，本公司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及附属企业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将尽量避</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免、减少与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信息发展发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生关联交</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易。如因客</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观情况导致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必要的关联</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交易无法避</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免的，本公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司及附属企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业将严格遵</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守法律法规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及中国证监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会和《上海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中信信息发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展股份有限</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公司章程</w:t>
            </w:r>
            <w:r>
              <w:rPr>
                <w:rFonts w:ascii="宋体" w:hAnsi="宋体" w:cs="宋体" w:eastAsia="宋体" w:hint="default"/>
                <w:spacing w:val="-90"/>
                <w:sz w:val="18"/>
                <w:szCs w:val="18"/>
              </w:rPr>
              <w:t>》</w:t>
            </w:r>
            <w:r>
              <w:rPr>
                <w:rFonts w:ascii="宋体" w:hAnsi="宋体" w:cs="宋体" w:eastAsia="宋体"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《上海中信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信息发展股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份有限公司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关联交易管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理办法》等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相关制度的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规定，按照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公平</w:t>
            </w:r>
            <w:r>
              <w:rPr>
                <w:rFonts w:ascii="宋体" w:hAnsi="宋体" w:cs="宋体" w:eastAsia="宋体" w:hint="default"/>
                <w:spacing w:val="-81"/>
                <w:sz w:val="18"/>
                <w:szCs w:val="18"/>
              </w:rPr>
              <w:t>、</w:t>
            </w:r>
            <w:r>
              <w:rPr>
                <w:rFonts w:ascii="宋体" w:hAnsi="宋体" w:cs="宋体" w:eastAsia="宋体" w:hint="default"/>
                <w:sz w:val="18"/>
                <w:szCs w:val="18"/>
              </w:rPr>
              <w:t>公允、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合理、通常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的商业准则</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进行</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本公司承诺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不利用信息</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发展控股股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东地位，损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害信息发展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及其他股东</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12844"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2"/>
              <w:jc w:val="left"/>
              <w:rPr>
                <w:rFonts w:ascii="宋体" w:hAnsi="宋体" w:cs="宋体" w:eastAsia="宋体" w:hint="default"/>
                <w:sz w:val="18"/>
                <w:szCs w:val="18"/>
              </w:rPr>
            </w:pPr>
            <w:r>
              <w:rPr>
                <w:rFonts w:ascii="宋体" w:hAnsi="宋体" w:cs="宋体" w:eastAsia="宋体" w:hint="default"/>
                <w:sz w:val="18"/>
                <w:szCs w:val="18"/>
              </w:rPr>
              <w:t>的合法利 </w:t>
            </w:r>
            <w:r>
              <w:rPr>
                <w:rFonts w:ascii="宋体" w:hAnsi="宋体" w:cs="宋体" w:eastAsia="宋体" w:hint="default"/>
                <w:spacing w:val="-15"/>
                <w:sz w:val="18"/>
                <w:szCs w:val="18"/>
              </w:rPr>
              <w:t>益。（</w:t>
            </w:r>
            <w:r>
              <w:rPr>
                <w:rFonts w:ascii="Times New Roman" w:hAnsi="Times New Roman" w:cs="Times New Roman" w:eastAsia="Times New Roman" w:hint="default"/>
                <w:spacing w:val="-15"/>
                <w:sz w:val="18"/>
                <w:szCs w:val="18"/>
              </w:rPr>
              <w:t>4</w:t>
            </w:r>
            <w:r>
              <w:rPr>
                <w:rFonts w:ascii="宋体" w:hAnsi="宋体" w:cs="宋体" w:eastAsia="宋体" w:hint="default"/>
                <w:spacing w:val="-15"/>
                <w:sz w:val="18"/>
                <w:szCs w:val="18"/>
              </w:rPr>
              <w:t>）若</w:t>
            </w:r>
            <w:r>
              <w:rPr>
                <w:rFonts w:ascii="宋体" w:hAnsi="宋体" w:cs="宋体" w:eastAsia="宋体" w:hint="default"/>
                <w:sz w:val="18"/>
                <w:szCs w:val="18"/>
              </w:rPr>
              <w:t> 本公司从事 与发行人的 业务有竞争 或可能构成 竞争的业务 或活动，本 公司将转让 竞业业务， 停止竞业活 动，或由发 行人收购相 关业务或活 动的成果； 若本公司不 停止已存在 的或潜在的 侵害，或本 公司与发行 人的关联交 易中未按照 </w:t>
            </w:r>
            <w:r>
              <w:rPr>
                <w:rFonts w:ascii="宋体" w:hAnsi="宋体" w:cs="宋体" w:eastAsia="宋体" w:hint="default"/>
                <w:spacing w:val="-14"/>
                <w:sz w:val="18"/>
                <w:szCs w:val="18"/>
              </w:rPr>
              <w:t>公平、公开、</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公正的原则 给发行人造 成损失，由 发行人将预 计损失从当 年或以后年 度分配给本 公司的分红 中扣除</w:t>
            </w:r>
            <w:r>
              <w:rPr>
                <w:rFonts w:ascii="Times New Roman" w:hAnsi="Times New Roman" w:cs="Times New Roman" w:eastAsia="Times New Roman" w:hint="default"/>
                <w:sz w:val="18"/>
                <w:szCs w:val="18"/>
              </w:rPr>
              <w:t>,</w:t>
            </w:r>
            <w:r>
              <w:rPr>
                <w:rFonts w:ascii="宋体" w:hAnsi="宋体" w:cs="宋体" w:eastAsia="宋体" w:hint="default"/>
                <w:sz w:val="18"/>
                <w:szCs w:val="18"/>
              </w:rPr>
              <w:t>并 归发行人所 有。本公司 以直接和间 接所持发行 人的全部股 份对上述承 诺提供连带 责任保证担 保。</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986"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left="103" w:right="0"/>
              <w:jc w:val="left"/>
              <w:rPr>
                <w:rFonts w:ascii="宋体" w:hAnsi="宋体" w:cs="宋体" w:eastAsia="宋体" w:hint="default"/>
                <w:sz w:val="18"/>
                <w:szCs w:val="18"/>
              </w:rPr>
            </w:pPr>
            <w:r>
              <w:rPr>
                <w:rFonts w:ascii="宋体" w:hAnsi="宋体" w:cs="宋体" w:eastAsia="宋体" w:hint="default"/>
                <w:sz w:val="18"/>
                <w:szCs w:val="18"/>
              </w:rPr>
              <w:t>张曙华</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0"/>
              <w:jc w:val="both"/>
              <w:rPr>
                <w:rFonts w:ascii="宋体" w:hAnsi="宋体" w:cs="宋体" w:eastAsia="宋体" w:hint="default"/>
                <w:sz w:val="18"/>
                <w:szCs w:val="18"/>
              </w:rPr>
            </w:pPr>
            <w:r>
              <w:rPr>
                <w:rFonts w:ascii="宋体" w:hAnsi="宋体" w:cs="宋体" w:eastAsia="宋体" w:hint="default"/>
                <w:sz w:val="18"/>
                <w:szCs w:val="18"/>
              </w:rPr>
              <w:t>关于同业竞 争、关联交 易、资金占</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02"/>
              <w:jc w:val="both"/>
              <w:rPr>
                <w:rFonts w:ascii="宋体" w:hAnsi="宋体" w:cs="宋体" w:eastAsia="宋体" w:hint="default"/>
                <w:sz w:val="18"/>
                <w:szCs w:val="18"/>
              </w:rPr>
            </w:pPr>
            <w:r>
              <w:rPr>
                <w:rFonts w:ascii="宋体" w:hAnsi="宋体" w:cs="宋体" w:eastAsia="宋体" w:hint="default"/>
                <w:spacing w:val="-14"/>
                <w:sz w:val="18"/>
                <w:szCs w:val="18"/>
              </w:rPr>
              <w:t>（</w:t>
            </w:r>
            <w:r>
              <w:rPr>
                <w:rFonts w:ascii="Times New Roman" w:hAnsi="Times New Roman" w:cs="Times New Roman" w:eastAsia="Times New Roman" w:hint="default"/>
                <w:spacing w:val="-14"/>
                <w:sz w:val="18"/>
                <w:szCs w:val="18"/>
              </w:rPr>
              <w:t>1</w:t>
            </w:r>
            <w:r>
              <w:rPr>
                <w:rFonts w:ascii="宋体" w:hAnsi="宋体" w:cs="宋体" w:eastAsia="宋体" w:hint="default"/>
                <w:spacing w:val="-14"/>
                <w:sz w:val="18"/>
                <w:szCs w:val="18"/>
              </w:rPr>
              <w:t>）除已经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向相关中介 机构书面披</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Times New Roman" w:hAnsi="Times New Roman" w:cs="Times New Roman" w:eastAsia="Times New Roman" w:hint="default"/>
                <w:sz w:val="16"/>
                <w:szCs w:val="16"/>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9999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36"/>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13740"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10"/>
              <w:jc w:val="left"/>
              <w:rPr>
                <w:rFonts w:ascii="宋体" w:hAnsi="宋体" w:cs="宋体" w:eastAsia="宋体" w:hint="default"/>
                <w:sz w:val="18"/>
                <w:szCs w:val="18"/>
              </w:rPr>
            </w:pPr>
            <w:r>
              <w:rPr>
                <w:rFonts w:ascii="宋体" w:hAnsi="宋体" w:cs="宋体" w:eastAsia="宋体" w:hint="default"/>
                <w:sz w:val="18"/>
                <w:szCs w:val="18"/>
              </w:rPr>
              <w:t>用方面的承 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13"/>
              <w:jc w:val="left"/>
              <w:rPr>
                <w:rFonts w:ascii="宋体" w:hAnsi="宋体" w:cs="宋体" w:eastAsia="宋体" w:hint="default"/>
                <w:sz w:val="18"/>
                <w:szCs w:val="18"/>
              </w:rPr>
            </w:pPr>
            <w:r>
              <w:rPr>
                <w:rFonts w:ascii="宋体" w:hAnsi="宋体" w:cs="宋体" w:eastAsia="宋体" w:hint="default"/>
                <w:sz w:val="18"/>
                <w:szCs w:val="18"/>
              </w:rPr>
              <w:t>露的关联交 易以外，本 人以及下属 全资、控股 子公司及其 他可实际控 制企业（以 下简称“附 </w:t>
            </w:r>
            <w:r>
              <w:rPr>
                <w:rFonts w:ascii="宋体" w:hAnsi="宋体" w:cs="宋体" w:eastAsia="宋体" w:hint="default"/>
                <w:spacing w:val="-42"/>
                <w:sz w:val="18"/>
                <w:szCs w:val="18"/>
              </w:rPr>
              <w:t>属企业”）与</w:t>
            </w:r>
            <w:r>
              <w:rPr>
                <w:rFonts w:ascii="宋体" w:hAnsi="宋体" w:cs="宋体" w:eastAsia="宋体" w:hint="default"/>
                <w:spacing w:val="-81"/>
                <w:sz w:val="18"/>
                <w:szCs w:val="18"/>
              </w:rPr>
              <w:t> </w:t>
            </w:r>
            <w:r>
              <w:rPr>
                <w:rFonts w:ascii="宋体" w:hAnsi="宋体" w:cs="宋体" w:eastAsia="宋体" w:hint="default"/>
                <w:sz w:val="18"/>
                <w:szCs w:val="18"/>
              </w:rPr>
              <w:t>信息发展之</w:t>
            </w:r>
            <w:r>
              <w:rPr>
                <w:rFonts w:ascii="宋体" w:hAnsi="宋体" w:cs="宋体" w:eastAsia="宋体" w:hint="default"/>
                <w:sz w:val="18"/>
                <w:szCs w:val="18"/>
              </w:rPr>
              <w:t> 间现时不存 在其他任何 依照法律法 规和中国证 监会的有关 规定应披露 而未披露的 关联交易。</w:t>
            </w:r>
          </w:p>
          <w:p>
            <w:pPr>
              <w:pStyle w:val="TableParagraph"/>
              <w:spacing w:line="316" w:lineRule="auto" w:before="19"/>
              <w:ind w:left="103" w:right="102"/>
              <w:jc w:val="left"/>
              <w:rPr>
                <w:rFonts w:ascii="宋体" w:hAnsi="宋体" w:cs="宋体" w:eastAsia="宋体" w:hint="default"/>
                <w:sz w:val="18"/>
                <w:szCs w:val="18"/>
              </w:rPr>
            </w:pPr>
            <w:r>
              <w:rPr>
                <w:rFonts w:ascii="宋体" w:hAnsi="宋体" w:cs="宋体" w:eastAsia="宋体" w:hint="default"/>
                <w:spacing w:val="-14"/>
                <w:sz w:val="18"/>
                <w:szCs w:val="18"/>
              </w:rPr>
              <w:t>（</w:t>
            </w:r>
            <w:r>
              <w:rPr>
                <w:rFonts w:ascii="Times New Roman" w:hAnsi="Times New Roman" w:cs="Times New Roman" w:eastAsia="Times New Roman" w:hint="default"/>
                <w:spacing w:val="-14"/>
                <w:sz w:val="18"/>
                <w:szCs w:val="18"/>
              </w:rPr>
              <w:t>2</w:t>
            </w:r>
            <w:r>
              <w:rPr>
                <w:rFonts w:ascii="宋体" w:hAnsi="宋体" w:cs="宋体" w:eastAsia="宋体" w:hint="default"/>
                <w:spacing w:val="-14"/>
                <w:sz w:val="18"/>
                <w:szCs w:val="18"/>
              </w:rPr>
              <w:t>）在本人</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作为信息发 展实际控制 人期间，本 人及附属企 业将尽量避 免、减少与 信息发展发 生关联交 易。如因客 观情况导致 必要的关联 交易无法避 免的，本人 及附属企业 将严格遵守 法律法规及 中国证监会 和《上海中 信信息发展 股份有限公 </w:t>
            </w:r>
            <w:r>
              <w:rPr>
                <w:rFonts w:ascii="宋体" w:hAnsi="宋体" w:cs="宋体" w:eastAsia="宋体" w:hint="default"/>
                <w:spacing w:val="-18"/>
                <w:sz w:val="18"/>
                <w:szCs w:val="18"/>
              </w:rPr>
              <w:t>司章程》、</w:t>
            </w:r>
          </w:p>
          <w:p>
            <w:pPr>
              <w:pStyle w:val="TableParagraph"/>
              <w:spacing w:line="316" w:lineRule="auto" w:before="19"/>
              <w:ind w:left="103" w:right="113"/>
              <w:jc w:val="both"/>
              <w:rPr>
                <w:rFonts w:ascii="宋体" w:hAnsi="宋体" w:cs="宋体" w:eastAsia="宋体" w:hint="default"/>
                <w:sz w:val="18"/>
                <w:szCs w:val="18"/>
              </w:rPr>
            </w:pPr>
            <w:r>
              <w:rPr>
                <w:rFonts w:ascii="宋体" w:hAnsi="宋体" w:cs="宋体" w:eastAsia="宋体" w:hint="default"/>
                <w:sz w:val="18"/>
                <w:szCs w:val="18"/>
              </w:rPr>
              <w:t>《上海中信 信息发展股 份有限公司 关联交易管</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理办法》等</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相关制度的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规定，按照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公平</w:t>
            </w:r>
            <w:r>
              <w:rPr>
                <w:rFonts w:ascii="宋体" w:hAnsi="宋体" w:cs="宋体" w:eastAsia="宋体" w:hint="default"/>
                <w:spacing w:val="-81"/>
                <w:sz w:val="18"/>
                <w:szCs w:val="18"/>
              </w:rPr>
              <w:t>、</w:t>
            </w:r>
            <w:r>
              <w:rPr>
                <w:rFonts w:ascii="宋体" w:hAnsi="宋体" w:cs="宋体" w:eastAsia="宋体" w:hint="default"/>
                <w:sz w:val="18"/>
                <w:szCs w:val="18"/>
              </w:rPr>
              <w:t>公允、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合理、通常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的商业准则</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进行</w:t>
            </w:r>
            <w:r>
              <w:rPr>
                <w:rFonts w:ascii="宋体" w:hAnsi="宋体" w:cs="宋体" w:eastAsia="宋体" w:hint="default"/>
                <w:spacing w:val="-90"/>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本人承诺不</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利用信息发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展实际控制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人及股东地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位，损害信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息发展及其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他股东的合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法利益</w:t>
            </w:r>
            <w:r>
              <w:rPr>
                <w:rFonts w:ascii="宋体" w:hAnsi="宋体" w:cs="宋体" w:eastAsia="宋体" w:hint="default"/>
                <w:spacing w:val="-171"/>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若本人从事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与发行人的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业务有竞争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或可能构成</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竞争的业务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或活动，本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人将转让竞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业业务，停</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止竞业活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动，或由发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行人收购相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关业务或活</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动的成果；</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若本人不停</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止已存在的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或潜在的侵</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害，或本人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与发行人的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关联交易中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未按照公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平、公开、</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公正的原则</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给发行人造</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成损失，由</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发行人将预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计损失从当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年或以后年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度分配给本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人的分红中</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3171"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13"/>
              <w:jc w:val="left"/>
              <w:rPr>
                <w:rFonts w:ascii="宋体" w:hAnsi="宋体" w:cs="宋体" w:eastAsia="宋体" w:hint="default"/>
                <w:sz w:val="18"/>
                <w:szCs w:val="18"/>
              </w:rPr>
            </w:pPr>
            <w:r>
              <w:rPr>
                <w:rFonts w:ascii="宋体" w:hAnsi="宋体" w:cs="宋体" w:eastAsia="宋体" w:hint="default"/>
                <w:sz w:val="18"/>
                <w:szCs w:val="18"/>
              </w:rPr>
              <w:t>扣除，并归 发行人所 有。本人以 直接和间接 所持发行人 的全部股份 对上述承诺 提供连带责 任保证担 保。</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10659"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307" w:lineRule="auto"/>
              <w:ind w:left="103" w:right="111"/>
              <w:jc w:val="left"/>
              <w:rPr>
                <w:rFonts w:ascii="宋体" w:hAnsi="宋体" w:cs="宋体" w:eastAsia="宋体" w:hint="default"/>
                <w:sz w:val="18"/>
                <w:szCs w:val="18"/>
              </w:rPr>
            </w:pPr>
            <w:r>
              <w:rPr>
                <w:rFonts w:ascii="宋体" w:hAnsi="宋体" w:cs="宋体" w:eastAsia="宋体" w:hint="default"/>
                <w:sz w:val="18"/>
                <w:szCs w:val="18"/>
              </w:rPr>
              <w:t>李志卿</w:t>
            </w:r>
            <w:r>
              <w:rPr>
                <w:rFonts w:ascii="Times New Roman" w:hAnsi="Times New Roman" w:cs="Times New Roman" w:eastAsia="Times New Roman" w:hint="default"/>
                <w:sz w:val="18"/>
                <w:szCs w:val="18"/>
              </w:rPr>
              <w:t>;</w:t>
            </w:r>
            <w:r>
              <w:rPr>
                <w:rFonts w:ascii="宋体" w:hAnsi="宋体" w:cs="宋体" w:eastAsia="宋体" w:hint="default"/>
                <w:sz w:val="18"/>
                <w:szCs w:val="18"/>
              </w:rPr>
              <w:t>上 海中信电子 发展有限公 司</w:t>
            </w:r>
            <w:r>
              <w:rPr>
                <w:rFonts w:ascii="Times New Roman" w:hAnsi="Times New Roman" w:cs="Times New Roman" w:eastAsia="Times New Roman" w:hint="default"/>
                <w:sz w:val="18"/>
                <w:szCs w:val="18"/>
              </w:rPr>
              <w:t>;</w:t>
            </w:r>
            <w:r>
              <w:rPr>
                <w:rFonts w:ascii="宋体" w:hAnsi="宋体" w:cs="宋体" w:eastAsia="宋体" w:hint="default"/>
                <w:sz w:val="18"/>
                <w:szCs w:val="18"/>
              </w:rPr>
              <w:t>上海中 信信息发展 股份有限公 司</w:t>
            </w:r>
            <w:r>
              <w:rPr>
                <w:rFonts w:ascii="Times New Roman" w:hAnsi="Times New Roman" w:cs="Times New Roman" w:eastAsia="Times New Roman" w:hint="default"/>
                <w:sz w:val="18"/>
                <w:szCs w:val="18"/>
              </w:rPr>
              <w:t>;</w:t>
            </w:r>
            <w:r>
              <w:rPr>
                <w:rFonts w:ascii="宋体" w:hAnsi="宋体" w:cs="宋体" w:eastAsia="宋体" w:hint="default"/>
                <w:sz w:val="18"/>
                <w:szCs w:val="18"/>
              </w:rPr>
              <w:t>石富义</w:t>
            </w:r>
            <w:r>
              <w:rPr>
                <w:rFonts w:ascii="Times New Roman" w:hAnsi="Times New Roman" w:cs="Times New Roman" w:eastAsia="Times New Roman" w:hint="default"/>
                <w:sz w:val="18"/>
                <w:szCs w:val="18"/>
              </w:rPr>
              <w:t>; </w:t>
            </w:r>
            <w:r>
              <w:rPr>
                <w:rFonts w:ascii="宋体" w:hAnsi="宋体" w:cs="宋体" w:eastAsia="宋体" w:hint="default"/>
                <w:sz w:val="18"/>
                <w:szCs w:val="18"/>
              </w:rPr>
              <w:t>杨安荣</w:t>
            </w:r>
            <w:r>
              <w:rPr>
                <w:rFonts w:ascii="Times New Roman" w:hAnsi="Times New Roman" w:cs="Times New Roman" w:eastAsia="Times New Roman" w:hint="default"/>
                <w:sz w:val="18"/>
                <w:szCs w:val="18"/>
              </w:rPr>
              <w:t>;</w:t>
            </w:r>
            <w:r>
              <w:rPr>
                <w:rFonts w:ascii="宋体" w:hAnsi="宋体" w:cs="宋体" w:eastAsia="宋体" w:hint="default"/>
                <w:sz w:val="18"/>
                <w:szCs w:val="18"/>
              </w:rPr>
              <w:t>尹 於舜</w:t>
            </w:r>
            <w:r>
              <w:rPr>
                <w:rFonts w:ascii="Times New Roman" w:hAnsi="Times New Roman" w:cs="Times New Roman" w:eastAsia="Times New Roman" w:hint="default"/>
                <w:sz w:val="18"/>
                <w:szCs w:val="18"/>
              </w:rPr>
              <w:t>;</w:t>
            </w:r>
            <w:r>
              <w:rPr>
                <w:rFonts w:ascii="宋体" w:hAnsi="宋体" w:cs="宋体" w:eastAsia="宋体" w:hint="default"/>
                <w:sz w:val="18"/>
                <w:szCs w:val="18"/>
              </w:rPr>
              <w:t>张曙 华</w:t>
            </w:r>
            <w:r>
              <w:rPr>
                <w:rFonts w:ascii="Times New Roman" w:hAnsi="Times New Roman" w:cs="Times New Roman" w:eastAsia="Times New Roman" w:hint="default"/>
                <w:sz w:val="18"/>
                <w:szCs w:val="18"/>
              </w:rPr>
              <w:t>;</w:t>
            </w:r>
            <w:r>
              <w:rPr>
                <w:rFonts w:ascii="宋体" w:hAnsi="宋体" w:cs="宋体" w:eastAsia="宋体" w:hint="default"/>
                <w:sz w:val="18"/>
                <w:szCs w:val="18"/>
              </w:rPr>
              <w:t>张颖</w:t>
            </w:r>
            <w:r>
              <w:rPr>
                <w:rFonts w:ascii="Times New Roman" w:hAnsi="Times New Roman" w:cs="Times New Roman" w:eastAsia="Times New Roman" w:hint="default"/>
                <w:sz w:val="18"/>
                <w:szCs w:val="18"/>
              </w:rPr>
              <w:t>;</w:t>
            </w:r>
            <w:r>
              <w:rPr>
                <w:rFonts w:ascii="宋体" w:hAnsi="宋体" w:cs="宋体" w:eastAsia="宋体" w:hint="default"/>
                <w:sz w:val="18"/>
                <w:szCs w:val="18"/>
              </w:rPr>
              <w:t>张 元利</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302" w:lineRule="auto"/>
              <w:ind w:left="103" w:right="137"/>
              <w:jc w:val="left"/>
              <w:rPr>
                <w:rFonts w:ascii="宋体" w:hAnsi="宋体" w:cs="宋体" w:eastAsia="宋体" w:hint="default"/>
                <w:sz w:val="18"/>
                <w:szCs w:val="18"/>
              </w:rPr>
            </w:pPr>
            <w:r>
              <w:rPr>
                <w:rFonts w:ascii="Times New Roman" w:hAnsi="Times New Roman" w:cs="Times New Roman" w:eastAsia="Times New Roman" w:hint="default"/>
                <w:sz w:val="18"/>
                <w:szCs w:val="18"/>
              </w:rPr>
              <w:t>IPO</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稳定股 价承诺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3"/>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发行人及 其控股股 东、实际控 制人、董事 及高级管理 人员就上市 后三年内可 能出现连续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 日收盘价低 于最近一期 末每股净资 产情形时出 具了《关于 修订公司首 次公开发行 股票并在创 业板上市后 股价稳定预 </w:t>
            </w:r>
            <w:r>
              <w:rPr>
                <w:rFonts w:ascii="宋体" w:hAnsi="宋体" w:cs="宋体" w:eastAsia="宋体" w:hint="default"/>
                <w:spacing w:val="-15"/>
                <w:sz w:val="18"/>
                <w:szCs w:val="18"/>
              </w:rPr>
              <w:t>案的议案》。</w:t>
            </w:r>
            <w:r>
              <w:rPr>
                <w:rFonts w:ascii="宋体" w:hAnsi="宋体" w:cs="宋体" w:eastAsia="宋体" w:hint="default"/>
                <w:sz w:val="18"/>
                <w:szCs w:val="18"/>
              </w:rPr>
              <w:t> 该预案在发 行人完成首 次公开发行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股股票并 上市之日起 生效，有效 期三年。对 于在本预案 有效期内新 聘任的董事</w:t>
            </w:r>
          </w:p>
          <w:p>
            <w:pPr>
              <w:pStyle w:val="TableParagraph"/>
              <w:spacing w:line="316" w:lineRule="auto" w:before="19"/>
              <w:ind w:left="103" w:right="102"/>
              <w:jc w:val="both"/>
              <w:rPr>
                <w:rFonts w:ascii="宋体" w:hAnsi="宋体" w:cs="宋体" w:eastAsia="宋体" w:hint="default"/>
                <w:sz w:val="18"/>
                <w:szCs w:val="18"/>
              </w:rPr>
            </w:pPr>
            <w:r>
              <w:rPr>
                <w:rFonts w:ascii="宋体" w:hAnsi="宋体" w:cs="宋体" w:eastAsia="宋体" w:hint="default"/>
                <w:sz w:val="18"/>
                <w:szCs w:val="18"/>
              </w:rPr>
              <w:t>（独立董事 </w:t>
            </w:r>
            <w:r>
              <w:rPr>
                <w:rFonts w:ascii="宋体" w:hAnsi="宋体" w:cs="宋体" w:eastAsia="宋体" w:hint="default"/>
                <w:spacing w:val="-29"/>
                <w:sz w:val="18"/>
                <w:szCs w:val="18"/>
              </w:rPr>
              <w:t>除外）、高级</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管理人员， 发行人也要</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2015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求其履行发</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行上市时董</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事（独立董</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事除外</w:t>
            </w:r>
            <w:r>
              <w:rPr>
                <w:rFonts w:ascii="宋体" w:hAnsi="宋体" w:cs="宋体" w:eastAsia="宋体" w:hint="default"/>
                <w:spacing w:val="-90"/>
                <w:sz w:val="18"/>
                <w:szCs w:val="18"/>
              </w:rPr>
              <w:t>）</w:t>
            </w:r>
            <w:r>
              <w:rPr>
                <w:rFonts w:ascii="宋体" w:hAnsi="宋体" w:cs="宋体" w:eastAsia="宋体" w:hint="default"/>
                <w:spacing w:val="-81"/>
                <w:sz w:val="18"/>
                <w:szCs w:val="18"/>
              </w:rPr>
              <w:t>、</w:t>
            </w:r>
            <w:r>
              <w:rPr>
                <w:rFonts w:ascii="宋体" w:hAnsi="宋体" w:cs="宋体" w:eastAsia="宋体" w:hint="default"/>
                <w:sz w:val="18"/>
                <w:szCs w:val="18"/>
              </w:rPr>
              <w:t>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级管理人员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已作出的稳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定股价预案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的承诺。预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案具体内容</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如下：发行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人采取的稳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定股价的措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施包括：由</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公司回购股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票；由控股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股东及实际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控制人增持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公司股票；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由公司董事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除外</w:t>
            </w:r>
            <w:r>
              <w:rPr>
                <w:rFonts w:ascii="宋体" w:hAnsi="宋体" w:cs="宋体" w:eastAsia="宋体" w:hint="default"/>
                <w:spacing w:val="-90"/>
                <w:sz w:val="18"/>
                <w:szCs w:val="18"/>
              </w:rPr>
              <w:t>）</w:t>
            </w:r>
            <w:r>
              <w:rPr>
                <w:rFonts w:ascii="宋体" w:hAnsi="宋体" w:cs="宋体" w:eastAsia="宋体" w:hint="default"/>
                <w:spacing w:val="-81"/>
                <w:sz w:val="18"/>
                <w:szCs w:val="18"/>
              </w:rPr>
              <w:t>、</w:t>
            </w:r>
            <w:r>
              <w:rPr>
                <w:rFonts w:ascii="宋体" w:hAnsi="宋体" w:cs="宋体" w:eastAsia="宋体" w:hint="default"/>
                <w:sz w:val="18"/>
                <w:szCs w:val="18"/>
              </w:rPr>
              <w:t>高级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管理人员增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w:t>
            </w:r>
            <w:r>
              <w:rPr>
                <w:rFonts w:ascii="Times New Roman" w:hAnsi="Times New Roman" w:cs="Times New Roman" w:eastAsia="Times New Roman" w:hint="default"/>
                <w:sz w:val="18"/>
                <w:szCs w:val="18"/>
              </w:rPr>
              <w:t>/</w:t>
            </w:r>
            <w:r>
              <w:rPr>
                <w:rFonts w:ascii="宋体" w:hAnsi="宋体" w:cs="宋体" w:eastAsia="宋体" w:hint="default"/>
                <w:sz w:val="18"/>
                <w:szCs w:val="18"/>
              </w:rPr>
              <w:t>买入公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司股票；以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及公司董事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会、股东大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会通过的其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他稳定股价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的措施。上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述措施的实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施须符合相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关法律法规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及监管部门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的规定，在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不会导致发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行人股权结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构不符合上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市公司条件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的基础上，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可综合考虑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单独或合并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实施上述措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施。在前述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事项发生之</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22"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易日内，发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行人应当综</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合考虑公司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经营发展实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际情况、财</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务状况、公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司所处行业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及股价二级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市场表现等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状况，提出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稳定公司股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价的具体方</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案（包括回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Times New Roman" w:hAnsi="Times New Roman" w:cs="Times New Roman" w:eastAsia="Times New Roman" w:hint="default"/>
                <w:sz w:val="18"/>
                <w:szCs w:val="18"/>
              </w:rPr>
              <w:t>/</w:t>
            </w:r>
            <w:r>
              <w:rPr>
                <w:rFonts w:ascii="宋体" w:hAnsi="宋体" w:cs="宋体" w:eastAsia="宋体" w:hint="default"/>
                <w:sz w:val="18"/>
                <w:szCs w:val="18"/>
              </w:rPr>
              <w:t>增持</w:t>
            </w:r>
            <w:r>
              <w:rPr>
                <w:rFonts w:ascii="Times New Roman" w:hAnsi="Times New Roman" w:cs="Times New Roman" w:eastAsia="Times New Roman" w:hint="default"/>
                <w:sz w:val="18"/>
                <w:szCs w:val="18"/>
              </w:rPr>
              <w:t>/</w:t>
            </w:r>
            <w:r>
              <w:rPr>
                <w:rFonts w:ascii="宋体" w:hAnsi="宋体" w:cs="宋体" w:eastAsia="宋体" w:hint="default"/>
                <w:sz w:val="18"/>
                <w:szCs w:val="18"/>
              </w:rPr>
              <w:t>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入股份金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额、数量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等</w:t>
            </w:r>
            <w:r>
              <w:rPr>
                <w:rFonts w:ascii="宋体" w:hAnsi="宋体" w:cs="宋体" w:eastAsia="宋体" w:hint="default"/>
                <w:spacing w:val="-90"/>
                <w:sz w:val="18"/>
                <w:szCs w:val="18"/>
              </w:rPr>
              <w:t>）</w:t>
            </w:r>
            <w:r>
              <w:rPr>
                <w:rFonts w:ascii="宋体" w:hAnsi="宋体" w:cs="宋体" w:eastAsia="宋体" w:hint="default"/>
                <w:spacing w:val="-81"/>
                <w:sz w:val="18"/>
                <w:szCs w:val="18"/>
              </w:rPr>
              <w:t>。</w:t>
            </w:r>
            <w:r>
              <w:rPr>
                <w:rFonts w:ascii="宋体" w:hAnsi="宋体" w:cs="宋体" w:eastAsia="宋体" w:hint="default"/>
                <w:sz w:val="18"/>
                <w:szCs w:val="18"/>
              </w:rPr>
              <w:t>具体股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价稳定措施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及承诺如</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14"/>
                <w:sz w:val="18"/>
                <w:szCs w:val="18"/>
              </w:rPr>
              <w:t>下：</w:t>
            </w:r>
            <w:r>
              <w:rPr>
                <w:rFonts w:ascii="Times New Roman" w:hAnsi="Times New Roman" w:cs="Times New Roman" w:eastAsia="Times New Roman" w:hint="default"/>
                <w:spacing w:val="-14"/>
                <w:sz w:val="18"/>
                <w:szCs w:val="18"/>
              </w:rPr>
              <w:t>1</w:t>
            </w:r>
            <w:r>
              <w:rPr>
                <w:rFonts w:ascii="宋体" w:hAnsi="宋体" w:cs="宋体" w:eastAsia="宋体" w:hint="default"/>
                <w:spacing w:val="-14"/>
                <w:sz w:val="18"/>
                <w:szCs w:val="18"/>
              </w:rPr>
              <w:t>、发行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人回购股票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措施：公司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回购股份的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资金为自有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资金，回购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股份的方式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以证券交易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所集中竞价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交易方式、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要约方式或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中国证监会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认可的其他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方式向社会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公众股东回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购股份。在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达到启动股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价稳定措施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的条件后，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若公司决定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采取回购股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份方式稳定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股价，公司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董事会应在</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22"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日内做出回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购股份的决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议，并在做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出回购股份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决议后的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个工作日内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公告董事会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决议、回购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股份预案，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发布召开股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东大会的通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知。公司单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次用于回购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公司股票的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金额不低于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且单次及或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连续十二个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月回购公司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股份数量不</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超过公司股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本总额的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pacing w:val="-9"/>
                <w:sz w:val="18"/>
                <w:szCs w:val="18"/>
              </w:rPr>
              <w:t>2%</w:t>
            </w:r>
            <w:r>
              <w:rPr>
                <w:rFonts w:ascii="宋体" w:hAnsi="宋体" w:cs="宋体" w:eastAsia="宋体" w:hint="default"/>
                <w:spacing w:val="-9"/>
                <w:sz w:val="18"/>
                <w:szCs w:val="18"/>
              </w:rPr>
              <w:t>。公司股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东大会对回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购股份做出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决议，须经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出席会议的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股东所持表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决权的三分</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之二以上通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过。公司回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购应在公司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股东大会决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议做出之日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起次日开始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启动回购，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并应在履行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相关法定手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续后的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日内实施完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毕。公司回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购方案实施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完毕后，应</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22"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个工作</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日内公告公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司股份变动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报告，并在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日内依</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法注销所回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购的股份，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办理工商变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更登记手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14"/>
                <w:sz w:val="18"/>
                <w:szCs w:val="18"/>
              </w:rPr>
              <w:t>续。</w:t>
            </w:r>
            <w:r>
              <w:rPr>
                <w:rFonts w:ascii="Times New Roman" w:hAnsi="Times New Roman" w:cs="Times New Roman" w:eastAsia="Times New Roman" w:hint="default"/>
                <w:spacing w:val="-14"/>
                <w:sz w:val="18"/>
                <w:szCs w:val="18"/>
              </w:rPr>
              <w:t>2</w:t>
            </w:r>
            <w:r>
              <w:rPr>
                <w:rFonts w:ascii="宋体" w:hAnsi="宋体" w:cs="宋体" w:eastAsia="宋体" w:hint="default"/>
                <w:spacing w:val="-14"/>
                <w:sz w:val="18"/>
                <w:szCs w:val="18"/>
              </w:rPr>
              <w:t>、控股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股东、实际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控制人增持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股票：在达</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到启动股价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稳定措施的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条件后，若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公司决定采</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取由控股股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东、实际控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制人增持公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司股票方式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稳定股价，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控股股东、</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实际控制人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通过深圳证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券交易所证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券交易系统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在二级市场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以买入的方</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式，增持公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司股份，资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金来源为自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筹取得。并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且在增持期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间及法定期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限内不减持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其所持有的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控股股东、</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实际控制人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单次用于增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持公司股票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的金额不低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元；且单次</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及或连续十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二个月增持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公司股份数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量不超过公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司股本总额</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股股东、实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际控制人应</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在增持公告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做出之日起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次日开始启</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动增持，并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应在履行相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关法定手续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后的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内实施完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毕。如未履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行上述承诺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事项，公司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有权责令控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股股东、实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际控制人在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限期内履行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增持股票义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务，控股股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东、实际控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制人仍不履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行的，公司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有权扣减归</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属于控股股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东和实际控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制人的当年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上市公司现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金分红收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14"/>
                <w:sz w:val="18"/>
                <w:szCs w:val="18"/>
              </w:rPr>
              <w:t>益。</w:t>
            </w:r>
            <w:r>
              <w:rPr>
                <w:rFonts w:ascii="Times New Roman" w:hAnsi="Times New Roman" w:cs="Times New Roman" w:eastAsia="Times New Roman" w:hint="default"/>
                <w:spacing w:val="-14"/>
                <w:sz w:val="18"/>
                <w:szCs w:val="18"/>
              </w:rPr>
              <w:t>3</w:t>
            </w:r>
            <w:r>
              <w:rPr>
                <w:rFonts w:ascii="宋体" w:hAnsi="宋体" w:cs="宋体" w:eastAsia="宋体" w:hint="default"/>
                <w:spacing w:val="-14"/>
                <w:sz w:val="18"/>
                <w:szCs w:val="18"/>
              </w:rPr>
              <w:t>、发行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人董事（独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立董事除</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外</w:t>
            </w:r>
            <w:r>
              <w:rPr>
                <w:rFonts w:ascii="宋体" w:hAnsi="宋体" w:cs="宋体" w:eastAsia="宋体" w:hint="default"/>
                <w:spacing w:val="-90"/>
                <w:sz w:val="18"/>
                <w:szCs w:val="18"/>
              </w:rPr>
              <w:t>）</w:t>
            </w:r>
            <w:r>
              <w:rPr>
                <w:rFonts w:ascii="宋体" w:hAnsi="宋体" w:cs="宋体" w:eastAsia="宋体" w:hint="default"/>
                <w:spacing w:val="-81"/>
                <w:sz w:val="18"/>
                <w:szCs w:val="18"/>
              </w:rPr>
              <w:t>、</w:t>
            </w:r>
            <w:r>
              <w:rPr>
                <w:rFonts w:ascii="宋体" w:hAnsi="宋体" w:cs="宋体" w:eastAsia="宋体" w:hint="default"/>
                <w:sz w:val="18"/>
                <w:szCs w:val="18"/>
              </w:rPr>
              <w:t>高级管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理人员增持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买入公司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股票：在达</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到启动股价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稳定措施的</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条件后，若</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公司决定采</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取由董事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除外</w:t>
            </w:r>
            <w:r>
              <w:rPr>
                <w:rFonts w:ascii="宋体" w:hAnsi="宋体" w:cs="宋体" w:eastAsia="宋体" w:hint="default"/>
                <w:spacing w:val="-90"/>
                <w:sz w:val="18"/>
                <w:szCs w:val="18"/>
              </w:rPr>
              <w:t>）</w:t>
            </w:r>
            <w:r>
              <w:rPr>
                <w:rFonts w:ascii="宋体" w:hAnsi="宋体" w:cs="宋体" w:eastAsia="宋体" w:hint="default"/>
                <w:spacing w:val="-81"/>
                <w:sz w:val="18"/>
                <w:szCs w:val="18"/>
              </w:rPr>
              <w:t>、</w:t>
            </w:r>
            <w:r>
              <w:rPr>
                <w:rFonts w:ascii="宋体" w:hAnsi="宋体" w:cs="宋体" w:eastAsia="宋体" w:hint="default"/>
                <w:sz w:val="18"/>
                <w:szCs w:val="18"/>
              </w:rPr>
              <w:t>高级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管理人员增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w:t>
            </w:r>
            <w:r>
              <w:rPr>
                <w:rFonts w:ascii="Times New Roman" w:hAnsi="Times New Roman" w:cs="Times New Roman" w:eastAsia="Times New Roman" w:hint="default"/>
                <w:sz w:val="18"/>
                <w:szCs w:val="18"/>
              </w:rPr>
              <w:t>/</w:t>
            </w:r>
            <w:r>
              <w:rPr>
                <w:rFonts w:ascii="宋体" w:hAnsi="宋体" w:cs="宋体" w:eastAsia="宋体" w:hint="default"/>
                <w:sz w:val="18"/>
                <w:szCs w:val="18"/>
              </w:rPr>
              <w:t>买入公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司股票方式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稳定股价，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公司董事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除外</w:t>
            </w:r>
            <w:r>
              <w:rPr>
                <w:rFonts w:ascii="宋体" w:hAnsi="宋体" w:cs="宋体" w:eastAsia="宋体" w:hint="default"/>
                <w:spacing w:val="-90"/>
                <w:sz w:val="18"/>
                <w:szCs w:val="18"/>
              </w:rPr>
              <w:t>）</w:t>
            </w:r>
            <w:r>
              <w:rPr>
                <w:rFonts w:ascii="宋体" w:hAnsi="宋体" w:cs="宋体" w:eastAsia="宋体" w:hint="default"/>
                <w:spacing w:val="-81"/>
                <w:sz w:val="18"/>
                <w:szCs w:val="18"/>
              </w:rPr>
              <w:t>、</w:t>
            </w:r>
            <w:r>
              <w:rPr>
                <w:rFonts w:ascii="宋体" w:hAnsi="宋体" w:cs="宋体" w:eastAsia="宋体" w:hint="default"/>
                <w:sz w:val="18"/>
                <w:szCs w:val="18"/>
              </w:rPr>
              <w:t>高级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管理人员通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过深圳证券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交易所证券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交易系统在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二级市场以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买入的方</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式，增持</w:t>
            </w:r>
            <w:r>
              <w:rPr>
                <w:rFonts w:ascii="Times New Roman" w:hAnsi="Times New Roman" w:cs="Times New Roman" w:eastAsia="Times New Roman"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买入公司股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份，资金来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源为自筹取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得。并且在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增持</w:t>
            </w:r>
            <w:r>
              <w:rPr>
                <w:rFonts w:ascii="Times New Roman" w:hAnsi="Times New Roman" w:cs="Times New Roman" w:eastAsia="Times New Roman" w:hint="default"/>
                <w:sz w:val="18"/>
                <w:szCs w:val="18"/>
              </w:rPr>
              <w:t>/</w:t>
            </w:r>
            <w:r>
              <w:rPr>
                <w:rFonts w:ascii="宋体" w:hAnsi="宋体" w:cs="宋体" w:eastAsia="宋体" w:hint="default"/>
                <w:sz w:val="18"/>
                <w:szCs w:val="18"/>
              </w:rPr>
              <w:t>买入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期间及法定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期限内不减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持其所持有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的公司股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份。公司董</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事（独立董</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事除外</w:t>
            </w:r>
            <w:r>
              <w:rPr>
                <w:rFonts w:ascii="宋体" w:hAnsi="宋体" w:cs="宋体" w:eastAsia="宋体" w:hint="default"/>
                <w:spacing w:val="-90"/>
                <w:sz w:val="18"/>
                <w:szCs w:val="18"/>
              </w:rPr>
              <w:t>）</w:t>
            </w:r>
            <w:r>
              <w:rPr>
                <w:rFonts w:ascii="宋体" w:hAnsi="宋体" w:cs="宋体" w:eastAsia="宋体" w:hint="default"/>
                <w:spacing w:val="-81"/>
                <w:sz w:val="18"/>
                <w:szCs w:val="18"/>
              </w:rPr>
              <w:t>、</w:t>
            </w:r>
            <w:r>
              <w:rPr>
                <w:rFonts w:ascii="宋体" w:hAnsi="宋体" w:cs="宋体" w:eastAsia="宋体" w:hint="default"/>
                <w:sz w:val="18"/>
                <w:szCs w:val="18"/>
              </w:rPr>
              <w:t>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级管理人员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增持</w:t>
            </w:r>
            <w:r>
              <w:rPr>
                <w:rFonts w:ascii="Times New Roman" w:hAnsi="Times New Roman" w:cs="Times New Roman" w:eastAsia="Times New Roman" w:hint="default"/>
                <w:sz w:val="18"/>
                <w:szCs w:val="18"/>
              </w:rPr>
              <w:t>/</w:t>
            </w:r>
            <w:r>
              <w:rPr>
                <w:rFonts w:ascii="宋体" w:hAnsi="宋体" w:cs="宋体" w:eastAsia="宋体" w:hint="default"/>
                <w:sz w:val="18"/>
                <w:szCs w:val="18"/>
              </w:rPr>
              <w:t>买入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公司股份的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总金额不少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于上一年从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公司领取税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后薪酬总额</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。董</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事（独立董</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事除外</w:t>
            </w:r>
            <w:r>
              <w:rPr>
                <w:rFonts w:ascii="宋体" w:hAnsi="宋体" w:cs="宋体" w:eastAsia="宋体" w:hint="default"/>
                <w:spacing w:val="-90"/>
                <w:sz w:val="18"/>
                <w:szCs w:val="18"/>
              </w:rPr>
              <w:t>）</w:t>
            </w:r>
            <w:r>
              <w:rPr>
                <w:rFonts w:ascii="宋体" w:hAnsi="宋体" w:cs="宋体" w:eastAsia="宋体" w:hint="default"/>
                <w:spacing w:val="-81"/>
                <w:sz w:val="18"/>
                <w:szCs w:val="18"/>
              </w:rPr>
              <w:t>、</w:t>
            </w:r>
            <w:r>
              <w:rPr>
                <w:rFonts w:ascii="宋体" w:hAnsi="宋体" w:cs="宋体" w:eastAsia="宋体" w:hint="default"/>
                <w:sz w:val="18"/>
                <w:szCs w:val="18"/>
              </w:rPr>
              <w:t>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级管理人员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应在增持</w:t>
            </w:r>
            <w:r>
              <w:rPr>
                <w:rFonts w:ascii="Times New Roman" w:hAnsi="Times New Roman" w:cs="Times New Roman" w:eastAsia="Times New Roman"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3"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买入公告做</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12219"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61"/>
              <w:jc w:val="left"/>
              <w:rPr>
                <w:rFonts w:ascii="宋体" w:hAnsi="宋体" w:cs="宋体" w:eastAsia="宋体" w:hint="default"/>
                <w:sz w:val="18"/>
                <w:szCs w:val="18"/>
              </w:rPr>
            </w:pPr>
            <w:r>
              <w:rPr>
                <w:rFonts w:ascii="宋体" w:hAnsi="宋体" w:cs="宋体" w:eastAsia="宋体" w:hint="default"/>
                <w:sz w:val="18"/>
                <w:szCs w:val="18"/>
              </w:rPr>
              <w:t>出之日起次 日开始启动 增持</w:t>
            </w:r>
            <w:r>
              <w:rPr>
                <w:rFonts w:ascii="Times New Roman" w:hAnsi="Times New Roman" w:cs="Times New Roman" w:eastAsia="Times New Roman" w:hint="default"/>
                <w:sz w:val="18"/>
                <w:szCs w:val="18"/>
              </w:rPr>
              <w:t>/</w:t>
            </w:r>
            <w:r>
              <w:rPr>
                <w:rFonts w:ascii="宋体" w:hAnsi="宋体" w:cs="宋体" w:eastAsia="宋体" w:hint="default"/>
                <w:sz w:val="18"/>
                <w:szCs w:val="18"/>
              </w:rPr>
              <w:t>买入， 并应在履行 相关法定手 续后的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 </w:t>
            </w:r>
            <w:r>
              <w:rPr>
                <w:rFonts w:ascii="宋体" w:hAnsi="宋体" w:cs="宋体" w:eastAsia="宋体" w:hint="default"/>
                <w:sz w:val="18"/>
                <w:szCs w:val="18"/>
              </w:rPr>
              <w:t>日内实施完 毕。如未履 行上述承诺 事项，公司 有权责令董 事（独立董 </w:t>
            </w:r>
            <w:r>
              <w:rPr>
                <w:rFonts w:ascii="宋体" w:hAnsi="宋体" w:cs="宋体" w:eastAsia="宋体" w:hint="default"/>
                <w:spacing w:val="-29"/>
                <w:sz w:val="18"/>
                <w:szCs w:val="18"/>
              </w:rPr>
              <w:t>事除外）、高</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级管理人员 在限期内履 行增持</w:t>
            </w:r>
            <w:r>
              <w:rPr>
                <w:rFonts w:ascii="Times New Roman" w:hAnsi="Times New Roman" w:cs="Times New Roman" w:eastAsia="Times New Roman" w:hint="default"/>
                <w:sz w:val="18"/>
                <w:szCs w:val="18"/>
              </w:rPr>
              <w:t>/</w:t>
            </w:r>
            <w:r>
              <w:rPr>
                <w:rFonts w:ascii="宋体" w:hAnsi="宋体" w:cs="宋体" w:eastAsia="宋体" w:hint="default"/>
                <w:sz w:val="18"/>
                <w:szCs w:val="18"/>
              </w:rPr>
              <w:t>买 入股票义 </w:t>
            </w:r>
            <w:r>
              <w:rPr>
                <w:rFonts w:ascii="宋体" w:hAnsi="宋体" w:cs="宋体" w:eastAsia="宋体" w:hint="default"/>
                <w:spacing w:val="-29"/>
                <w:sz w:val="18"/>
                <w:szCs w:val="18"/>
              </w:rPr>
              <w:t>务。董事（独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立董事除 </w:t>
            </w:r>
            <w:r>
              <w:rPr>
                <w:rFonts w:ascii="宋体" w:hAnsi="宋体" w:cs="宋体" w:eastAsia="宋体" w:hint="default"/>
                <w:spacing w:val="-29"/>
                <w:sz w:val="18"/>
                <w:szCs w:val="18"/>
              </w:rPr>
              <w:t>外）、高级管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理人员仍不 履行的，公 司有权扣减 归属于董事</w:t>
            </w:r>
          </w:p>
          <w:p>
            <w:pPr>
              <w:pStyle w:val="TableParagraph"/>
              <w:spacing w:line="316" w:lineRule="auto" w:before="19"/>
              <w:ind w:left="103" w:right="113"/>
              <w:jc w:val="both"/>
              <w:rPr>
                <w:rFonts w:ascii="宋体" w:hAnsi="宋体" w:cs="宋体" w:eastAsia="宋体" w:hint="default"/>
                <w:sz w:val="18"/>
                <w:szCs w:val="18"/>
              </w:rPr>
            </w:pPr>
            <w:r>
              <w:rPr>
                <w:rFonts w:ascii="宋体" w:hAnsi="宋体" w:cs="宋体" w:eastAsia="宋体" w:hint="default"/>
                <w:sz w:val="18"/>
                <w:szCs w:val="18"/>
              </w:rPr>
              <w:t>（独立董事 除外）和高 级管理人员 的当年上市 公司现金分 红收益。情 节严重的， 经股东大会 同意，公司 有权更换相 关董事；公 司董事会有 权解聘相关 高级管理人 员。</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1611"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股权激励承诺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公司</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业绩承诺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113"/>
              <w:jc w:val="left"/>
              <w:rPr>
                <w:rFonts w:ascii="宋体" w:hAnsi="宋体" w:cs="宋体" w:eastAsia="宋体" w:hint="default"/>
                <w:sz w:val="18"/>
                <w:szCs w:val="18"/>
              </w:rPr>
            </w:pPr>
            <w:r>
              <w:rPr>
                <w:rFonts w:ascii="宋体" w:hAnsi="宋体" w:cs="宋体" w:eastAsia="宋体" w:hint="default"/>
                <w:sz w:val="18"/>
                <w:szCs w:val="18"/>
              </w:rPr>
              <w:t>以</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 扣除非经常 性损益后的 净利润为固 定基数，</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2016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5"/>
                <w:szCs w:val="2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年</w:t>
            </w:r>
            <w:r>
              <w:rPr>
                <w:rFonts w:ascii="宋体" w:hAnsi="宋体" w:cs="宋体" w:eastAsia="宋体" w:hint="default"/>
                <w:spacing w:val="-59"/>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4"/>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9723"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10"/>
              <w:ind w:left="103" w:right="107"/>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年扣 除非经常性 损益和股份 支付费用影 响后的净利 润增长率不 低</w:t>
            </w:r>
            <w:r>
              <w:rPr>
                <w:rFonts w:ascii="宋体" w:hAnsi="宋体" w:cs="宋体" w:eastAsia="宋体" w:hint="default"/>
                <w:spacing w:val="-54"/>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；以</w:t>
            </w:r>
            <w:r>
              <w:rPr>
                <w:rFonts w:ascii="宋体" w:hAnsi="宋体" w:cs="宋体" w:eastAsia="宋体" w:hint="default"/>
                <w:spacing w:val="-5"/>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年扣 除非经常性 损益后的净 利润为固定 基数，</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年扣除非经 常性损益和 股份支付费 用影响后的 净利润增长 率不低 </w:t>
            </w:r>
            <w:r>
              <w:rPr>
                <w:rFonts w:ascii="Times New Roman" w:hAnsi="Times New Roman" w:cs="Times New Roman" w:eastAsia="Times New Roman" w:hint="default"/>
                <w:sz w:val="18"/>
                <w:szCs w:val="18"/>
              </w:rPr>
              <w:t>30%</w:t>
            </w:r>
            <w:r>
              <w:rPr>
                <w:rFonts w:ascii="宋体" w:hAnsi="宋体" w:cs="宋体" w:eastAsia="宋体" w:hint="default"/>
                <w:sz w:val="18"/>
                <w:szCs w:val="18"/>
              </w:rPr>
              <w:t>；以</w:t>
            </w:r>
          </w:p>
          <w:p>
            <w:pPr>
              <w:pStyle w:val="TableParagraph"/>
              <w:spacing w:line="314" w:lineRule="auto" w:before="1"/>
              <w:ind w:left="103" w:right="113"/>
              <w:jc w:val="left"/>
              <w:rPr>
                <w:rFonts w:ascii="宋体" w:hAnsi="宋体" w:cs="宋体" w:eastAsia="宋体" w:hint="default"/>
                <w:sz w:val="18"/>
                <w:szCs w:val="18"/>
              </w:rPr>
            </w:pP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年扣 除非经常性 损益后的净 利润为固定 基数，</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年扣除非经 常性损益和 股份支付费 用影响后的 净利润增长 率不低 </w:t>
            </w:r>
            <w:r>
              <w:rPr>
                <w:rFonts w:ascii="Times New Roman" w:hAnsi="Times New Roman" w:cs="Times New Roman" w:eastAsia="Times New Roman" w:hint="default"/>
                <w:sz w:val="18"/>
                <w:szCs w:val="18"/>
              </w:rPr>
              <w:t>60%</w:t>
            </w:r>
            <w:r>
              <w:rPr>
                <w:rFonts w:ascii="宋体" w:hAnsi="宋体" w:cs="宋体" w:eastAsia="宋体" w:hint="default"/>
                <w:sz w:val="18"/>
                <w:szCs w:val="18"/>
              </w:rPr>
              <w:t>。</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4107"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其他对公司中小股东所作承诺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徐云蔚</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319" w:lineRule="auto"/>
              <w:ind w:left="103" w:right="110"/>
              <w:jc w:val="left"/>
              <w:rPr>
                <w:rFonts w:ascii="宋体" w:hAnsi="宋体" w:cs="宋体" w:eastAsia="宋体" w:hint="default"/>
                <w:sz w:val="18"/>
                <w:szCs w:val="18"/>
              </w:rPr>
            </w:pPr>
            <w:r>
              <w:rPr>
                <w:rFonts w:ascii="宋体" w:hAnsi="宋体" w:cs="宋体" w:eastAsia="宋体" w:hint="default"/>
                <w:sz w:val="18"/>
                <w:szCs w:val="18"/>
              </w:rPr>
              <w:t>股份减持承 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3"/>
              <w:jc w:val="left"/>
              <w:rPr>
                <w:rFonts w:ascii="宋体" w:hAnsi="宋体" w:cs="宋体" w:eastAsia="宋体" w:hint="default"/>
                <w:sz w:val="18"/>
                <w:szCs w:val="18"/>
              </w:rPr>
            </w:pPr>
            <w:r>
              <w:rPr>
                <w:rFonts w:ascii="宋体" w:hAnsi="宋体" w:cs="宋体" w:eastAsia="宋体" w:hint="default"/>
                <w:sz w:val="18"/>
                <w:szCs w:val="18"/>
              </w:rPr>
              <w:t>本人在担任 公司的董 事、监事、 高级管理人 员期间，每 年转让的股 份不超过本 人所持有信 息发展股份 总数的 </w:t>
            </w:r>
            <w:r>
              <w:rPr>
                <w:rFonts w:ascii="Times New Roman" w:hAnsi="Times New Roman" w:cs="Times New Roman" w:eastAsia="Times New Roman" w:hint="default"/>
                <w:sz w:val="18"/>
                <w:szCs w:val="18"/>
              </w:rPr>
              <w:t>25%</w:t>
            </w:r>
            <w:r>
              <w:rPr>
                <w:rFonts w:ascii="宋体" w:hAnsi="宋体" w:cs="宋体" w:eastAsia="宋体" w:hint="default"/>
                <w:sz w:val="18"/>
                <w:szCs w:val="18"/>
              </w:rPr>
              <w:t>；离职 后半年内， 不转让本人</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240" w:lineRule="auto"/>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5"/>
                <w:szCs w:val="2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9999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12</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10"/>
      </w:tblGrid>
      <w:tr>
        <w:trPr>
          <w:trHeight w:val="986"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113"/>
              <w:jc w:val="left"/>
              <w:rPr>
                <w:rFonts w:ascii="宋体" w:hAnsi="宋体" w:cs="宋体" w:eastAsia="宋体" w:hint="default"/>
                <w:sz w:val="18"/>
                <w:szCs w:val="18"/>
              </w:rPr>
            </w:pPr>
            <w:r>
              <w:rPr>
                <w:rFonts w:ascii="宋体" w:hAnsi="宋体" w:cs="宋体" w:eastAsia="宋体" w:hint="default"/>
                <w:sz w:val="18"/>
                <w:szCs w:val="18"/>
              </w:rPr>
              <w:t>所持有的信 息发展股 份。</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10" w:type="dxa"/>
            <w:tcBorders>
              <w:top w:val="single" w:sz="4" w:space="0" w:color="000000"/>
              <w:left w:val="single" w:sz="4" w:space="0" w:color="000000"/>
              <w:bottom w:val="single" w:sz="4" w:space="0" w:color="000000"/>
              <w:right w:val="single" w:sz="4" w:space="0" w:color="000000"/>
            </w:tcBorders>
          </w:tcPr>
          <w:p>
            <w:pPr/>
          </w:p>
        </w:tc>
      </w:tr>
      <w:tr>
        <w:trPr>
          <w:trHeight w:val="12844"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徐云蔚</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2" w:lineRule="auto" w:before="113"/>
              <w:ind w:left="103" w:right="137"/>
              <w:jc w:val="left"/>
              <w:rPr>
                <w:rFonts w:ascii="宋体" w:hAnsi="宋体" w:cs="宋体" w:eastAsia="宋体" w:hint="default"/>
                <w:sz w:val="18"/>
                <w:szCs w:val="18"/>
              </w:rPr>
            </w:pPr>
            <w:r>
              <w:rPr>
                <w:rFonts w:ascii="Times New Roman" w:hAnsi="Times New Roman" w:cs="Times New Roman" w:eastAsia="Times New Roman" w:hint="default"/>
                <w:sz w:val="18"/>
                <w:szCs w:val="18"/>
              </w:rPr>
              <w:t>IPO</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稳定股 价承诺</w:t>
            </w: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3"/>
              <w:jc w:val="left"/>
              <w:rPr>
                <w:rFonts w:ascii="宋体" w:hAnsi="宋体" w:cs="宋体" w:eastAsia="宋体" w:hint="default"/>
                <w:sz w:val="18"/>
                <w:szCs w:val="18"/>
              </w:rPr>
            </w:pPr>
            <w:r>
              <w:rPr>
                <w:rFonts w:ascii="宋体" w:hAnsi="宋体" w:cs="宋体" w:eastAsia="宋体" w:hint="default"/>
                <w:sz w:val="18"/>
                <w:szCs w:val="18"/>
              </w:rPr>
              <w:t>发行人及其 控股股东、 实际控制 人、董事及 高级管理人 员就上市后 三年内可能 出现连续</w:t>
            </w:r>
          </w:p>
          <w:p>
            <w:pPr>
              <w:pStyle w:val="TableParagraph"/>
              <w:spacing w:line="316" w:lineRule="auto" w:before="19"/>
              <w:ind w:left="103" w:right="23"/>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 日收盘价低 于最近一期 末每股净资 产情形时出 具了《关于 修订公司首 次公开发行 股票并在创 业板上市后 股价稳定预 </w:t>
            </w:r>
            <w:r>
              <w:rPr>
                <w:rFonts w:ascii="宋体" w:hAnsi="宋体" w:cs="宋体" w:eastAsia="宋体" w:hint="default"/>
                <w:spacing w:val="-15"/>
                <w:sz w:val="18"/>
                <w:szCs w:val="18"/>
              </w:rPr>
              <w:t>案的议案》。</w:t>
            </w:r>
            <w:r>
              <w:rPr>
                <w:rFonts w:ascii="宋体" w:hAnsi="宋体" w:cs="宋体" w:eastAsia="宋体" w:hint="default"/>
                <w:sz w:val="18"/>
                <w:szCs w:val="18"/>
              </w:rPr>
              <w:t> 该预案在发 行人完成首 次公开发行 </w:t>
            </w:r>
            <w:r>
              <w:rPr>
                <w:rFonts w:ascii="Times New Roman" w:hAnsi="Times New Roman" w:cs="Times New Roman" w:eastAsia="Times New Roman" w:hint="default"/>
                <w:sz w:val="18"/>
                <w:szCs w:val="18"/>
              </w:rPr>
              <w:t>A</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股股票并 上市之日起 生效，有效 期三年。对 于在本预案 有效期内新 聘任的董事</w:t>
            </w:r>
          </w:p>
          <w:p>
            <w:pPr>
              <w:pStyle w:val="TableParagraph"/>
              <w:spacing w:line="316" w:lineRule="auto" w:before="19"/>
              <w:ind w:left="103" w:right="102"/>
              <w:jc w:val="both"/>
              <w:rPr>
                <w:rFonts w:ascii="宋体" w:hAnsi="宋体" w:cs="宋体" w:eastAsia="宋体" w:hint="default"/>
                <w:sz w:val="18"/>
                <w:szCs w:val="18"/>
              </w:rPr>
            </w:pPr>
            <w:r>
              <w:rPr>
                <w:rFonts w:ascii="宋体" w:hAnsi="宋体" w:cs="宋体" w:eastAsia="宋体" w:hint="default"/>
                <w:sz w:val="18"/>
                <w:szCs w:val="18"/>
              </w:rPr>
              <w:t>（独立董事 </w:t>
            </w:r>
            <w:r>
              <w:rPr>
                <w:rFonts w:ascii="宋体" w:hAnsi="宋体" w:cs="宋体" w:eastAsia="宋体" w:hint="default"/>
                <w:spacing w:val="-29"/>
                <w:sz w:val="18"/>
                <w:szCs w:val="18"/>
              </w:rPr>
              <w:t>除外）、高级</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管理人员， 发行人也要 求其履行发 行上市时董 事（独立董 </w:t>
            </w:r>
            <w:r>
              <w:rPr>
                <w:rFonts w:ascii="宋体" w:hAnsi="宋体" w:cs="宋体" w:eastAsia="宋体" w:hint="default"/>
                <w:spacing w:val="-29"/>
                <w:sz w:val="18"/>
                <w:szCs w:val="18"/>
              </w:rPr>
              <w:t>事除外）、高</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级管理人员 已作出的稳 定股价预案</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09</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1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5"/>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正常履行</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的承诺。预</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案具体内容</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如下：发行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人采取的稳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定股价的措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施包括：由</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公司回购股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票；由控股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股东及实际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控制人增持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公司股票；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由公司董事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除外</w:t>
            </w:r>
            <w:r>
              <w:rPr>
                <w:rFonts w:ascii="宋体" w:hAnsi="宋体" w:cs="宋体" w:eastAsia="宋体" w:hint="default"/>
                <w:spacing w:val="-90"/>
                <w:sz w:val="18"/>
                <w:szCs w:val="18"/>
              </w:rPr>
              <w:t>）</w:t>
            </w:r>
            <w:r>
              <w:rPr>
                <w:rFonts w:ascii="宋体" w:hAnsi="宋体" w:cs="宋体" w:eastAsia="宋体" w:hint="default"/>
                <w:spacing w:val="-81"/>
                <w:sz w:val="18"/>
                <w:szCs w:val="18"/>
              </w:rPr>
              <w:t>、</w:t>
            </w:r>
            <w:r>
              <w:rPr>
                <w:rFonts w:ascii="宋体" w:hAnsi="宋体" w:cs="宋体" w:eastAsia="宋体" w:hint="default"/>
                <w:sz w:val="18"/>
                <w:szCs w:val="18"/>
              </w:rPr>
              <w:t>高级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管理人员增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w:t>
            </w:r>
            <w:r>
              <w:rPr>
                <w:rFonts w:ascii="Times New Roman" w:hAnsi="Times New Roman" w:cs="Times New Roman" w:eastAsia="Times New Roman" w:hint="default"/>
                <w:sz w:val="18"/>
                <w:szCs w:val="18"/>
              </w:rPr>
              <w:t>/</w:t>
            </w:r>
            <w:r>
              <w:rPr>
                <w:rFonts w:ascii="宋体" w:hAnsi="宋体" w:cs="宋体" w:eastAsia="宋体" w:hint="default"/>
                <w:sz w:val="18"/>
                <w:szCs w:val="18"/>
              </w:rPr>
              <w:t>买入公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司股票；以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及公司董事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会、股东大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会通过的其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他稳定股价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的措施。上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述措施的实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施须符合相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关法律法规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及监管部门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的规定，在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不会导致发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行人股权结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构不符合上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市公司条件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的基础上，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可综合考虑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单独或合并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实施上述措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施。在前述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事项发生之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日起</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易日内，发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行人应当综</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合考虑公司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经营发展实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际情况、财</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务状况、公</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司所处行业</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及股价二级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市场表现等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状况，提出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稳定公司股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价的具体方</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案（包括回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w:t>
            </w:r>
            <w:r>
              <w:rPr>
                <w:rFonts w:ascii="Times New Roman" w:hAnsi="Times New Roman" w:cs="Times New Roman" w:eastAsia="Times New Roman" w:hint="default"/>
                <w:sz w:val="18"/>
                <w:szCs w:val="18"/>
              </w:rPr>
              <w:t>/</w:t>
            </w:r>
            <w:r>
              <w:rPr>
                <w:rFonts w:ascii="宋体" w:hAnsi="宋体" w:cs="宋体" w:eastAsia="宋体" w:hint="default"/>
                <w:sz w:val="18"/>
                <w:szCs w:val="18"/>
              </w:rPr>
              <w:t>增持</w:t>
            </w:r>
            <w:r>
              <w:rPr>
                <w:rFonts w:ascii="Times New Roman" w:hAnsi="Times New Roman" w:cs="Times New Roman" w:eastAsia="Times New Roman" w:hint="default"/>
                <w:sz w:val="18"/>
                <w:szCs w:val="18"/>
              </w:rPr>
              <w:t>/</w:t>
            </w:r>
            <w:r>
              <w:rPr>
                <w:rFonts w:ascii="宋体" w:hAnsi="宋体" w:cs="宋体" w:eastAsia="宋体" w:hint="default"/>
                <w:sz w:val="18"/>
                <w:szCs w:val="18"/>
              </w:rPr>
              <w:t>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入股份金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额、数量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等</w:t>
            </w:r>
            <w:r>
              <w:rPr>
                <w:rFonts w:ascii="宋体" w:hAnsi="宋体" w:cs="宋体" w:eastAsia="宋体" w:hint="default"/>
                <w:spacing w:val="-90"/>
                <w:sz w:val="18"/>
                <w:szCs w:val="18"/>
              </w:rPr>
              <w:t>）</w:t>
            </w:r>
            <w:r>
              <w:rPr>
                <w:rFonts w:ascii="宋体" w:hAnsi="宋体" w:cs="宋体" w:eastAsia="宋体" w:hint="default"/>
                <w:spacing w:val="-81"/>
                <w:sz w:val="18"/>
                <w:szCs w:val="18"/>
              </w:rPr>
              <w:t>。</w:t>
            </w:r>
            <w:r>
              <w:rPr>
                <w:rFonts w:ascii="宋体" w:hAnsi="宋体" w:cs="宋体" w:eastAsia="宋体" w:hint="default"/>
                <w:sz w:val="18"/>
                <w:szCs w:val="18"/>
              </w:rPr>
              <w:t>具体股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价稳定措施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及承诺如</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14"/>
                <w:sz w:val="18"/>
                <w:szCs w:val="18"/>
              </w:rPr>
              <w:t>下：</w:t>
            </w:r>
            <w:r>
              <w:rPr>
                <w:rFonts w:ascii="Times New Roman" w:hAnsi="Times New Roman" w:cs="Times New Roman" w:eastAsia="Times New Roman" w:hint="default"/>
                <w:spacing w:val="-14"/>
                <w:sz w:val="18"/>
                <w:szCs w:val="18"/>
              </w:rPr>
              <w:t>1</w:t>
            </w:r>
            <w:r>
              <w:rPr>
                <w:rFonts w:ascii="宋体" w:hAnsi="宋体" w:cs="宋体" w:eastAsia="宋体" w:hint="default"/>
                <w:spacing w:val="-14"/>
                <w:sz w:val="18"/>
                <w:szCs w:val="18"/>
              </w:rPr>
              <w:t>、发行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人回购股票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措施：公司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回购股份的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资金为自有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资金，回购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股份的方式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以证券交易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所集中竞价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交易方式、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要约方式或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中国证监会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认可的其他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方式向社会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公众股东回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购股份。在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达到启动股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价稳定措施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的条件后，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若公司决定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采取回购股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份方式稳定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股价，公司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董事会应在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个交易</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日内做出回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购股份的决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议，并在做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出回购股份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决议后的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3"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个工作日内</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公告董事会</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决议、回购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股份预案，</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发布召开股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东大会的通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知。公司单</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次用于回购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公司股票的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金额不低于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且单次及或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连续十二个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月回购公司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股份数量不</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超过公司股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本总额的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pacing w:val="-9"/>
                <w:sz w:val="18"/>
                <w:szCs w:val="18"/>
              </w:rPr>
              <w:t>2%</w:t>
            </w:r>
            <w:r>
              <w:rPr>
                <w:rFonts w:ascii="宋体" w:hAnsi="宋体" w:cs="宋体" w:eastAsia="宋体" w:hint="default"/>
                <w:spacing w:val="-9"/>
                <w:sz w:val="18"/>
                <w:szCs w:val="18"/>
              </w:rPr>
              <w:t>。公司股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东大会对回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购股份做出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决议，须经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出席会议的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股东所持表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决权的三分</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之二以上通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过。公司回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购应在公司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股东大会决</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议做出之日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起次日开始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启动回购，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并应在履行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相关法定手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续后的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日内实施完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毕。公司回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购方案实施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完毕后，应</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个工作</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日内公告公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司股份变动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报告，并在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日内依</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法注销所回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购的股份，</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办理工商变</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更登记手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14"/>
                <w:sz w:val="18"/>
                <w:szCs w:val="18"/>
              </w:rPr>
              <w:t>续。</w:t>
            </w:r>
            <w:r>
              <w:rPr>
                <w:rFonts w:ascii="Times New Roman" w:hAnsi="Times New Roman" w:cs="Times New Roman" w:eastAsia="Times New Roman" w:hint="default"/>
                <w:spacing w:val="-14"/>
                <w:sz w:val="18"/>
                <w:szCs w:val="18"/>
              </w:rPr>
              <w:t>2</w:t>
            </w:r>
            <w:r>
              <w:rPr>
                <w:rFonts w:ascii="宋体" w:hAnsi="宋体" w:cs="宋体" w:eastAsia="宋体" w:hint="default"/>
                <w:spacing w:val="-14"/>
                <w:sz w:val="18"/>
                <w:szCs w:val="18"/>
              </w:rPr>
              <w:t>、控股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股东、实际</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控制人增持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股票：在达</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到启动股价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稳定措施的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条件后，若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公司决定采</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取由控股股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东、实际控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制人增持公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司股票方式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稳定股价，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控股股东、</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实际控制人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通过深圳证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券交易所证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券交易系统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在二级市场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以买入的方</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式，增持公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司股份，资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金来源为自</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筹取得。并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且在增持期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间及法定期</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限内不减持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其所持有的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公司股份。</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控股股东、</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实际控制人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单次用于增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持公司股票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的金额不低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元；且单次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及或连续十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二个月增持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公司股份数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量不超过公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司股本总额</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。控</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股股东、实</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际控制人应</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在增持公告</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做出之日起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次日开始启</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动增持，并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应在履行相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关法定手续</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后的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内实施完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毕。如未履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行上述承诺</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事项，公司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有权责令控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股股东、实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际控制人在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限期内履行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增持股票义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务，控股股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东、实际控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制人仍不履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行的，公司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有权扣减归</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属于控股股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东和实际控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制人的当年</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上市公司现</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金分红收</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pacing w:val="-14"/>
                <w:sz w:val="18"/>
                <w:szCs w:val="18"/>
              </w:rPr>
              <w:t>益。</w:t>
            </w:r>
            <w:r>
              <w:rPr>
                <w:rFonts w:ascii="Times New Roman" w:hAnsi="Times New Roman" w:cs="Times New Roman" w:eastAsia="Times New Roman" w:hint="default"/>
                <w:spacing w:val="-14"/>
                <w:sz w:val="18"/>
                <w:szCs w:val="18"/>
              </w:rPr>
              <w:t>3</w:t>
            </w:r>
            <w:r>
              <w:rPr>
                <w:rFonts w:ascii="宋体" w:hAnsi="宋体" w:cs="宋体" w:eastAsia="宋体" w:hint="default"/>
                <w:spacing w:val="-14"/>
                <w:sz w:val="18"/>
                <w:szCs w:val="18"/>
              </w:rPr>
              <w:t>、发行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人董事（独</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立董事除</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外</w:t>
            </w:r>
            <w:r>
              <w:rPr>
                <w:rFonts w:ascii="宋体" w:hAnsi="宋体" w:cs="宋体" w:eastAsia="宋体" w:hint="default"/>
                <w:spacing w:val="-90"/>
                <w:sz w:val="18"/>
                <w:szCs w:val="18"/>
              </w:rPr>
              <w:t>）</w:t>
            </w:r>
            <w:r>
              <w:rPr>
                <w:rFonts w:ascii="宋体" w:hAnsi="宋体" w:cs="宋体" w:eastAsia="宋体" w:hint="default"/>
                <w:spacing w:val="-81"/>
                <w:sz w:val="18"/>
                <w:szCs w:val="18"/>
              </w:rPr>
              <w:t>、</w:t>
            </w:r>
            <w:r>
              <w:rPr>
                <w:rFonts w:ascii="宋体" w:hAnsi="宋体" w:cs="宋体" w:eastAsia="宋体" w:hint="default"/>
                <w:sz w:val="18"/>
                <w:szCs w:val="18"/>
              </w:rPr>
              <w:t>高级管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理人员增持</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买入公司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股票：在达</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到启动股价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稳定措施的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条件后，若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公司决定采</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取由董事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除外</w:t>
            </w:r>
            <w:r>
              <w:rPr>
                <w:rFonts w:ascii="宋体" w:hAnsi="宋体" w:cs="宋体" w:eastAsia="宋体" w:hint="default"/>
                <w:spacing w:val="-90"/>
                <w:sz w:val="18"/>
                <w:szCs w:val="18"/>
              </w:rPr>
              <w:t>）</w:t>
            </w:r>
            <w:r>
              <w:rPr>
                <w:rFonts w:ascii="宋体" w:hAnsi="宋体" w:cs="宋体" w:eastAsia="宋体" w:hint="default"/>
                <w:spacing w:val="-81"/>
                <w:sz w:val="18"/>
                <w:szCs w:val="18"/>
              </w:rPr>
              <w:t>、</w:t>
            </w:r>
            <w:r>
              <w:rPr>
                <w:rFonts w:ascii="宋体" w:hAnsi="宋体" w:cs="宋体" w:eastAsia="宋体" w:hint="default"/>
                <w:sz w:val="18"/>
                <w:szCs w:val="18"/>
              </w:rPr>
              <w:t>高级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管理人员增</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8"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w:t>
            </w:r>
            <w:r>
              <w:rPr>
                <w:rFonts w:ascii="Times New Roman" w:hAnsi="Times New Roman" w:cs="Times New Roman" w:eastAsia="Times New Roman" w:hint="default"/>
                <w:sz w:val="18"/>
                <w:szCs w:val="18"/>
              </w:rPr>
              <w:t>/</w:t>
            </w:r>
            <w:r>
              <w:rPr>
                <w:rFonts w:ascii="宋体" w:hAnsi="宋体" w:cs="宋体" w:eastAsia="宋体" w:hint="default"/>
                <w:sz w:val="18"/>
                <w:szCs w:val="18"/>
              </w:rPr>
              <w:t>买入公</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317" w:hRule="exact"/>
        </w:trPr>
        <w:tc>
          <w:tcPr>
            <w:tcW w:w="2836" w:type="dxa"/>
            <w:vMerge w:val="restart"/>
            <w:tcBorders>
              <w:top w:val="single" w:sz="4" w:space="0" w:color="000000"/>
              <w:left w:val="single" w:sz="4" w:space="0" w:color="000000"/>
              <w:right w:val="single" w:sz="4" w:space="0" w:color="000000"/>
            </w:tcBorders>
            <w:shd w:val="clear" w:color="auto" w:fill="D2D2D2"/>
          </w:tcPr>
          <w:p>
            <w:pPr/>
          </w:p>
        </w:tc>
        <w:tc>
          <w:tcPr>
            <w:tcW w:w="1126" w:type="dxa"/>
            <w:vMerge w:val="restart"/>
            <w:tcBorders>
              <w:top w:val="single" w:sz="4" w:space="0" w:color="000000"/>
              <w:left w:val="single" w:sz="4" w:space="0" w:color="000000"/>
              <w:right w:val="single" w:sz="4" w:space="0" w:color="000000"/>
            </w:tcBorders>
          </w:tcPr>
          <w:p>
            <w:pPr/>
          </w:p>
        </w:tc>
        <w:tc>
          <w:tcPr>
            <w:tcW w:w="1126" w:type="dxa"/>
            <w:vMerge w:val="restart"/>
            <w:tcBorders>
              <w:top w:val="single" w:sz="4" w:space="0" w:color="000000"/>
              <w:left w:val="single" w:sz="4" w:space="0" w:color="000000"/>
              <w:right w:val="single" w:sz="4" w:space="0" w:color="000000"/>
            </w:tcBorders>
          </w:tcPr>
          <w:p>
            <w:pPr/>
          </w:p>
        </w:tc>
        <w:tc>
          <w:tcPr>
            <w:tcW w:w="112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司股票方式</w:t>
            </w:r>
          </w:p>
        </w:tc>
        <w:tc>
          <w:tcPr>
            <w:tcW w:w="1126" w:type="dxa"/>
            <w:vMerge w:val="restart"/>
            <w:tcBorders>
              <w:top w:val="single" w:sz="4" w:space="0" w:color="000000"/>
              <w:left w:val="single" w:sz="4" w:space="0" w:color="000000"/>
              <w:right w:val="single" w:sz="4" w:space="0" w:color="000000"/>
            </w:tcBorders>
          </w:tcPr>
          <w:p>
            <w:pPr/>
          </w:p>
        </w:tc>
        <w:tc>
          <w:tcPr>
            <w:tcW w:w="1121" w:type="dxa"/>
            <w:vMerge w:val="restart"/>
            <w:tcBorders>
              <w:top w:val="single" w:sz="4" w:space="0" w:color="000000"/>
              <w:left w:val="single" w:sz="4" w:space="0" w:color="000000"/>
              <w:right w:val="single" w:sz="4" w:space="0" w:color="000000"/>
            </w:tcBorders>
          </w:tcPr>
          <w:p>
            <w:pPr/>
          </w:p>
        </w:tc>
        <w:tc>
          <w:tcPr>
            <w:tcW w:w="1108" w:type="dxa"/>
            <w:vMerge w:val="restart"/>
            <w:tcBorders>
              <w:top w:val="single" w:sz="4" w:space="0" w:color="000000"/>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稳定股价，</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公司董事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除外</w:t>
            </w:r>
            <w:r>
              <w:rPr>
                <w:rFonts w:ascii="宋体" w:hAnsi="宋体" w:cs="宋体" w:eastAsia="宋体" w:hint="default"/>
                <w:spacing w:val="-90"/>
                <w:sz w:val="18"/>
                <w:szCs w:val="18"/>
              </w:rPr>
              <w:t>）</w:t>
            </w:r>
            <w:r>
              <w:rPr>
                <w:rFonts w:ascii="宋体" w:hAnsi="宋体" w:cs="宋体" w:eastAsia="宋体" w:hint="default"/>
                <w:spacing w:val="-81"/>
                <w:sz w:val="18"/>
                <w:szCs w:val="18"/>
              </w:rPr>
              <w:t>、</w:t>
            </w:r>
            <w:r>
              <w:rPr>
                <w:rFonts w:ascii="宋体" w:hAnsi="宋体" w:cs="宋体" w:eastAsia="宋体" w:hint="default"/>
                <w:sz w:val="18"/>
                <w:szCs w:val="18"/>
              </w:rPr>
              <w:t>高级</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管理人员通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过深圳证券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交易所证券</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交易系统在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二级市场以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买入的方</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式，增持</w:t>
            </w:r>
            <w:r>
              <w:rPr>
                <w:rFonts w:ascii="Times New Roman" w:hAnsi="Times New Roman" w:cs="Times New Roman" w:eastAsia="Times New Roman"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买入公司股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份，资金来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源为自筹取</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得。并且在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增持</w:t>
            </w:r>
            <w:r>
              <w:rPr>
                <w:rFonts w:ascii="Times New Roman" w:hAnsi="Times New Roman" w:cs="Times New Roman" w:eastAsia="Times New Roman" w:hint="default"/>
                <w:sz w:val="18"/>
                <w:szCs w:val="18"/>
              </w:rPr>
              <w:t>/</w:t>
            </w:r>
            <w:r>
              <w:rPr>
                <w:rFonts w:ascii="宋体" w:hAnsi="宋体" w:cs="宋体" w:eastAsia="宋体" w:hint="default"/>
                <w:sz w:val="18"/>
                <w:szCs w:val="18"/>
              </w:rPr>
              <w:t>买入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期间及法定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期限内不减</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持其所持有</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的公司股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份。公司董</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事（独立董</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事除外</w:t>
            </w:r>
            <w:r>
              <w:rPr>
                <w:rFonts w:ascii="宋体" w:hAnsi="宋体" w:cs="宋体" w:eastAsia="宋体" w:hint="default"/>
                <w:spacing w:val="-90"/>
                <w:sz w:val="18"/>
                <w:szCs w:val="18"/>
              </w:rPr>
              <w:t>）</w:t>
            </w:r>
            <w:r>
              <w:rPr>
                <w:rFonts w:ascii="宋体" w:hAnsi="宋体" w:cs="宋体" w:eastAsia="宋体" w:hint="default"/>
                <w:spacing w:val="-81"/>
                <w:sz w:val="18"/>
                <w:szCs w:val="18"/>
              </w:rPr>
              <w:t>、</w:t>
            </w:r>
            <w:r>
              <w:rPr>
                <w:rFonts w:ascii="宋体" w:hAnsi="宋体" w:cs="宋体" w:eastAsia="宋体" w:hint="default"/>
                <w:sz w:val="18"/>
                <w:szCs w:val="18"/>
              </w:rPr>
              <w:t>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级管理人员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增持</w:t>
            </w:r>
            <w:r>
              <w:rPr>
                <w:rFonts w:ascii="Times New Roman" w:hAnsi="Times New Roman" w:cs="Times New Roman" w:eastAsia="Times New Roman" w:hint="default"/>
                <w:sz w:val="18"/>
                <w:szCs w:val="18"/>
              </w:rPr>
              <w:t>/</w:t>
            </w:r>
            <w:r>
              <w:rPr>
                <w:rFonts w:ascii="宋体" w:hAnsi="宋体" w:cs="宋体" w:eastAsia="宋体" w:hint="default"/>
                <w:sz w:val="18"/>
                <w:szCs w:val="18"/>
              </w:rPr>
              <w:t>买入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公司股份的</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总金额不少</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于上一年从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公司领取税</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后薪酬总额</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的</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。董</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事（独立董</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事除外</w:t>
            </w:r>
            <w:r>
              <w:rPr>
                <w:rFonts w:ascii="宋体" w:hAnsi="宋体" w:cs="宋体" w:eastAsia="宋体" w:hint="default"/>
                <w:spacing w:val="-90"/>
                <w:sz w:val="18"/>
                <w:szCs w:val="18"/>
              </w:rPr>
              <w:t>）</w:t>
            </w:r>
            <w:r>
              <w:rPr>
                <w:rFonts w:ascii="宋体" w:hAnsi="宋体" w:cs="宋体" w:eastAsia="宋体" w:hint="default"/>
                <w:spacing w:val="-81"/>
                <w:sz w:val="18"/>
                <w:szCs w:val="18"/>
              </w:rPr>
              <w:t>、</w:t>
            </w:r>
            <w:r>
              <w:rPr>
                <w:rFonts w:ascii="宋体" w:hAnsi="宋体" w:cs="宋体" w:eastAsia="宋体" w:hint="default"/>
                <w:sz w:val="18"/>
                <w:szCs w:val="18"/>
              </w:rPr>
              <w:t>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级管理人员</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应在增持</w:t>
            </w:r>
            <w:r>
              <w:rPr>
                <w:rFonts w:ascii="Times New Roman" w:hAnsi="Times New Roman" w:cs="Times New Roman" w:eastAsia="Times New Roman" w:hint="default"/>
                <w:sz w:val="18"/>
                <w:szCs w:val="18"/>
              </w:rPr>
              <w:t>/</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买入公告做</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出之日起次</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日开始启动</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增持</w:t>
            </w:r>
            <w:r>
              <w:rPr>
                <w:rFonts w:ascii="Times New Roman" w:hAnsi="Times New Roman" w:cs="Times New Roman" w:eastAsia="Times New Roman" w:hint="default"/>
                <w:sz w:val="18"/>
                <w:szCs w:val="18"/>
              </w:rPr>
              <w:t>/</w:t>
            </w:r>
            <w:r>
              <w:rPr>
                <w:rFonts w:ascii="宋体" w:hAnsi="宋体" w:cs="宋体" w:eastAsia="宋体" w:hint="default"/>
                <w:sz w:val="18"/>
                <w:szCs w:val="18"/>
              </w:rPr>
              <w:t>买入，</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0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并应在履行</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2"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宋体" w:hAnsi="宋体" w:cs="宋体" w:eastAsia="宋体" w:hint="default"/>
                <w:sz w:val="18"/>
                <w:szCs w:val="18"/>
              </w:rPr>
              <w:t>相关法定手</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7" w:hRule="exact"/>
        </w:trPr>
        <w:tc>
          <w:tcPr>
            <w:tcW w:w="2836" w:type="dxa"/>
            <w:vMerge/>
            <w:tcBorders>
              <w:left w:val="single" w:sz="4" w:space="0" w:color="000000"/>
              <w:right w:val="single" w:sz="4" w:space="0" w:color="000000"/>
            </w:tcBorders>
            <w:shd w:val="clear" w:color="auto" w:fill="D2D2D2"/>
          </w:tcPr>
          <w:p>
            <w:pPr/>
          </w:p>
        </w:tc>
        <w:tc>
          <w:tcPr>
            <w:tcW w:w="1126" w:type="dxa"/>
            <w:vMerge/>
            <w:tcBorders>
              <w:left w:val="single" w:sz="4" w:space="0" w:color="000000"/>
              <w:right w:val="single" w:sz="4" w:space="0" w:color="000000"/>
            </w:tcBorders>
          </w:tcPr>
          <w:p>
            <w:pPr/>
          </w:p>
        </w:tc>
        <w:tc>
          <w:tcPr>
            <w:tcW w:w="1126" w:type="dxa"/>
            <w:vMerge/>
            <w:tcBorders>
              <w:left w:val="single" w:sz="4" w:space="0" w:color="000000"/>
              <w:right w:val="single" w:sz="4" w:space="0" w:color="000000"/>
            </w:tcBorders>
          </w:tcPr>
          <w:p>
            <w:pPr/>
          </w:p>
        </w:tc>
        <w:tc>
          <w:tcPr>
            <w:tcW w:w="112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续后的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p>
        </w:tc>
        <w:tc>
          <w:tcPr>
            <w:tcW w:w="1126" w:type="dxa"/>
            <w:vMerge/>
            <w:tcBorders>
              <w:left w:val="single" w:sz="4" w:space="0" w:color="000000"/>
              <w:right w:val="single" w:sz="4" w:space="0" w:color="000000"/>
            </w:tcBorders>
          </w:tcPr>
          <w:p>
            <w:pPr/>
          </w:p>
        </w:tc>
        <w:tc>
          <w:tcPr>
            <w:tcW w:w="1121" w:type="dxa"/>
            <w:vMerge/>
            <w:tcBorders>
              <w:left w:val="single" w:sz="4" w:space="0" w:color="000000"/>
              <w:right w:val="single" w:sz="4" w:space="0" w:color="000000"/>
            </w:tcBorders>
          </w:tcPr>
          <w:p>
            <w:pPr/>
          </w:p>
        </w:tc>
        <w:tc>
          <w:tcPr>
            <w:tcW w:w="1108" w:type="dxa"/>
            <w:vMerge/>
            <w:tcBorders>
              <w:left w:val="single" w:sz="4" w:space="0" w:color="000000"/>
              <w:right w:val="single" w:sz="4" w:space="0" w:color="000000"/>
            </w:tcBorders>
          </w:tcPr>
          <w:p>
            <w:pPr/>
          </w:p>
        </w:tc>
      </w:tr>
      <w:tr>
        <w:trPr>
          <w:trHeight w:val="313" w:hRule="exact"/>
        </w:trPr>
        <w:tc>
          <w:tcPr>
            <w:tcW w:w="2836" w:type="dxa"/>
            <w:vMerge/>
            <w:tcBorders>
              <w:left w:val="single" w:sz="4" w:space="0" w:color="000000"/>
              <w:bottom w:val="single" w:sz="4" w:space="0" w:color="000000"/>
              <w:right w:val="single" w:sz="4" w:space="0" w:color="000000"/>
            </w:tcBorders>
            <w:shd w:val="clear" w:color="auto" w:fill="D2D2D2"/>
          </w:tcPr>
          <w:p>
            <w:pPr/>
          </w:p>
        </w:tc>
        <w:tc>
          <w:tcPr>
            <w:tcW w:w="1126" w:type="dxa"/>
            <w:vMerge/>
            <w:tcBorders>
              <w:left w:val="single" w:sz="4" w:space="0" w:color="000000"/>
              <w:bottom w:val="single" w:sz="4" w:space="0" w:color="000000"/>
              <w:right w:val="single" w:sz="4" w:space="0" w:color="000000"/>
            </w:tcBorders>
          </w:tcPr>
          <w:p>
            <w:pPr/>
          </w:p>
        </w:tc>
        <w:tc>
          <w:tcPr>
            <w:tcW w:w="1126" w:type="dxa"/>
            <w:vMerge/>
            <w:tcBorders>
              <w:left w:val="single" w:sz="4" w:space="0" w:color="000000"/>
              <w:bottom w:val="single" w:sz="4" w:space="0" w:color="000000"/>
              <w:right w:val="single" w:sz="4" w:space="0" w:color="000000"/>
            </w:tcBorders>
          </w:tcPr>
          <w:p>
            <w:pPr/>
          </w:p>
        </w:tc>
        <w:tc>
          <w:tcPr>
            <w:tcW w:w="112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5"/>
              <w:ind w:left="103" w:right="0"/>
              <w:jc w:val="left"/>
              <w:rPr>
                <w:rFonts w:ascii="宋体" w:hAnsi="宋体" w:cs="宋体" w:eastAsia="宋体" w:hint="default"/>
                <w:sz w:val="18"/>
                <w:szCs w:val="18"/>
              </w:rPr>
            </w:pPr>
            <w:r>
              <w:rPr>
                <w:rFonts w:ascii="宋体" w:hAnsi="宋体" w:cs="宋体" w:eastAsia="宋体" w:hint="default"/>
                <w:sz w:val="18"/>
                <w:szCs w:val="18"/>
              </w:rPr>
              <w:t>日内实施完</w:t>
            </w:r>
          </w:p>
        </w:tc>
        <w:tc>
          <w:tcPr>
            <w:tcW w:w="1126" w:type="dxa"/>
            <w:vMerge/>
            <w:tcBorders>
              <w:left w:val="single" w:sz="4" w:space="0" w:color="000000"/>
              <w:bottom w:val="single" w:sz="4" w:space="0" w:color="000000"/>
              <w:right w:val="single" w:sz="4" w:space="0" w:color="000000"/>
            </w:tcBorders>
          </w:tcPr>
          <w:p>
            <w:pPr/>
          </w:p>
        </w:tc>
        <w:tc>
          <w:tcPr>
            <w:tcW w:w="1121" w:type="dxa"/>
            <w:vMerge/>
            <w:tcBorders>
              <w:left w:val="single" w:sz="4" w:space="0" w:color="000000"/>
              <w:bottom w:val="single" w:sz="4" w:space="0" w:color="000000"/>
              <w:right w:val="single" w:sz="4" w:space="0" w:color="000000"/>
            </w:tcBorders>
          </w:tcPr>
          <w:p>
            <w:pPr/>
          </w:p>
        </w:tc>
        <w:tc>
          <w:tcPr>
            <w:tcW w:w="1108" w:type="dxa"/>
            <w:vMerge/>
            <w:tcBorders>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36"/>
        <w:gridCol w:w="1126"/>
        <w:gridCol w:w="1126"/>
        <w:gridCol w:w="1127"/>
        <w:gridCol w:w="1126"/>
        <w:gridCol w:w="1121"/>
        <w:gridCol w:w="1108"/>
      </w:tblGrid>
      <w:tr>
        <w:trPr>
          <w:trHeight w:val="10035"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6" w:type="dxa"/>
            <w:tcBorders>
              <w:top w:val="single" w:sz="4" w:space="0" w:color="000000"/>
              <w:left w:val="single" w:sz="4" w:space="0" w:color="000000"/>
              <w:bottom w:val="single" w:sz="4" w:space="0" w:color="000000"/>
              <w:right w:val="single" w:sz="4" w:space="0" w:color="000000"/>
            </w:tcBorders>
          </w:tcPr>
          <w:p>
            <w:pPr/>
          </w:p>
        </w:tc>
        <w:tc>
          <w:tcPr>
            <w:tcW w:w="112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10"/>
              <w:ind w:left="103" w:right="102"/>
              <w:jc w:val="left"/>
              <w:rPr>
                <w:rFonts w:ascii="宋体" w:hAnsi="宋体" w:cs="宋体" w:eastAsia="宋体" w:hint="default"/>
                <w:sz w:val="18"/>
                <w:szCs w:val="18"/>
              </w:rPr>
            </w:pPr>
            <w:r>
              <w:rPr>
                <w:rFonts w:ascii="宋体" w:hAnsi="宋体" w:cs="宋体" w:eastAsia="宋体" w:hint="default"/>
                <w:sz w:val="18"/>
                <w:szCs w:val="18"/>
              </w:rPr>
              <w:t>毕。如未履 行上述承诺 事项，公司 有权责令董 事（独立董 </w:t>
            </w:r>
            <w:r>
              <w:rPr>
                <w:rFonts w:ascii="宋体" w:hAnsi="宋体" w:cs="宋体" w:eastAsia="宋体" w:hint="default"/>
                <w:spacing w:val="-29"/>
                <w:sz w:val="18"/>
                <w:szCs w:val="18"/>
              </w:rPr>
              <w:t>事除外）、高</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级管理人员 在限期内履 行增持</w:t>
            </w:r>
            <w:r>
              <w:rPr>
                <w:rFonts w:ascii="Times New Roman" w:hAnsi="Times New Roman" w:cs="Times New Roman" w:eastAsia="Times New Roman" w:hint="default"/>
                <w:sz w:val="18"/>
                <w:szCs w:val="18"/>
              </w:rPr>
              <w:t>/</w:t>
            </w:r>
            <w:r>
              <w:rPr>
                <w:rFonts w:ascii="宋体" w:hAnsi="宋体" w:cs="宋体" w:eastAsia="宋体" w:hint="default"/>
                <w:sz w:val="18"/>
                <w:szCs w:val="18"/>
              </w:rPr>
              <w:t>买 入股票义 </w:t>
            </w:r>
            <w:r>
              <w:rPr>
                <w:rFonts w:ascii="宋体" w:hAnsi="宋体" w:cs="宋体" w:eastAsia="宋体" w:hint="default"/>
                <w:spacing w:val="-29"/>
                <w:sz w:val="18"/>
                <w:szCs w:val="18"/>
              </w:rPr>
              <w:t>务。董事（独</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立董事除 </w:t>
            </w:r>
            <w:r>
              <w:rPr>
                <w:rFonts w:ascii="宋体" w:hAnsi="宋体" w:cs="宋体" w:eastAsia="宋体" w:hint="default"/>
                <w:spacing w:val="-29"/>
                <w:sz w:val="18"/>
                <w:szCs w:val="18"/>
              </w:rPr>
              <w:t>外）、高级管</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理人员仍不 履行的，公 司有权扣减 归属于董事</w:t>
            </w:r>
          </w:p>
          <w:p>
            <w:pPr>
              <w:pStyle w:val="TableParagraph"/>
              <w:spacing w:line="319" w:lineRule="auto" w:before="19"/>
              <w:ind w:left="103" w:right="113"/>
              <w:jc w:val="both"/>
              <w:rPr>
                <w:rFonts w:ascii="宋体" w:hAnsi="宋体" w:cs="宋体" w:eastAsia="宋体" w:hint="default"/>
                <w:sz w:val="18"/>
                <w:szCs w:val="18"/>
              </w:rPr>
            </w:pPr>
            <w:r>
              <w:rPr>
                <w:rFonts w:ascii="宋体" w:hAnsi="宋体" w:cs="宋体" w:eastAsia="宋体" w:hint="default"/>
                <w:sz w:val="18"/>
                <w:szCs w:val="18"/>
              </w:rPr>
              <w:t>（独立董事 除外）和高 级管理人员 的当年上市 公司现金分 红收益。情 节严重的， 经股东大会 同意，公司 有权更换相 关董事；公 司董事会有 权解聘相关 高级管理人 员。</w:t>
            </w:r>
          </w:p>
        </w:tc>
        <w:tc>
          <w:tcPr>
            <w:tcW w:w="1126" w:type="dxa"/>
            <w:tcBorders>
              <w:top w:val="single" w:sz="4" w:space="0" w:color="000000"/>
              <w:left w:val="single" w:sz="4" w:space="0" w:color="000000"/>
              <w:bottom w:val="single" w:sz="4" w:space="0" w:color="000000"/>
              <w:right w:val="single" w:sz="4" w:space="0" w:color="000000"/>
            </w:tcBorders>
          </w:tcPr>
          <w:p>
            <w:pPr/>
          </w:p>
        </w:tc>
        <w:tc>
          <w:tcPr>
            <w:tcW w:w="1121" w:type="dxa"/>
            <w:tcBorders>
              <w:top w:val="single" w:sz="4" w:space="0" w:color="000000"/>
              <w:left w:val="single" w:sz="4" w:space="0" w:color="000000"/>
              <w:bottom w:val="single" w:sz="4" w:space="0" w:color="000000"/>
              <w:right w:val="single" w:sz="4" w:space="0" w:color="000000"/>
            </w:tcBorders>
          </w:tcPr>
          <w:p>
            <w:pPr/>
          </w:p>
        </w:tc>
        <w:tc>
          <w:tcPr>
            <w:tcW w:w="110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承诺是否按时履行</w:t>
            </w:r>
          </w:p>
        </w:tc>
        <w:tc>
          <w:tcPr>
            <w:tcW w:w="112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是</w:t>
            </w: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21"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10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1026"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pacing w:val="-6"/>
                <w:sz w:val="18"/>
                <w:szCs w:val="18"/>
              </w:rPr>
              <w:t>如承诺超期未履行完毕的，应当详</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细说明未完成履行的具体原因及 下一步的工作计划</w:t>
            </w:r>
          </w:p>
        </w:tc>
        <w:tc>
          <w:tcPr>
            <w:tcW w:w="6733" w:type="dxa"/>
            <w:gridSpan w:val="6"/>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不适用</w:t>
            </w:r>
          </w:p>
        </w:tc>
      </w:tr>
      <w:tr>
        <w:trPr>
          <w:trHeight w:val="402" w:hRule="exact"/>
        </w:trPr>
        <w:tc>
          <w:tcPr>
            <w:tcW w:w="283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733" w:type="dxa"/>
            <w:gridSpan w:val="6"/>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line="240" w:lineRule="auto" w:before="10"/>
        <w:rPr>
          <w:rFonts w:ascii="Times New Roman" w:hAnsi="Times New Roman" w:cs="Times New Roman" w:eastAsia="Times New Roman" w:hint="default"/>
          <w:sz w:val="21"/>
          <w:szCs w:val="21"/>
        </w:rPr>
      </w:pPr>
    </w:p>
    <w:p>
      <w:pPr>
        <w:spacing w:line="259" w:lineRule="auto" w:before="35"/>
        <w:ind w:left="114" w:right="0" w:firstLine="0"/>
        <w:jc w:val="left"/>
        <w:rPr>
          <w:rFonts w:ascii="宋体" w:hAnsi="宋体" w:cs="宋体" w:eastAsia="宋体" w:hint="default"/>
          <w:sz w:val="21"/>
          <w:szCs w:val="21"/>
        </w:rPr>
      </w:pPr>
      <w:bookmarkStart w:name="2、公司资产或项目存在盈利预测，且报告期仍处在盈利预测期间，公司就资产或项目达到" w:id="65"/>
      <w:bookmarkEnd w:id="65"/>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、公司资产或项目存在盈利预测，且报告期仍处在盈利预测期间，公司就资产或项目达到原盈利预测及</w:t>
      </w:r>
      <w:r>
        <w:rPr>
          <w:rFonts w:ascii="宋体" w:hAnsi="宋体" w:cs="宋体" w:eastAsia="宋体" w:hint="default"/>
          <w:b/>
          <w:bCs/>
          <w:spacing w:val="-74"/>
          <w:sz w:val="21"/>
          <w:szCs w:val="21"/>
        </w:rPr>
        <w:t> </w:t>
      </w:r>
      <w:r>
        <w:rPr>
          <w:rFonts w:ascii="宋体" w:hAnsi="宋体" w:cs="宋体" w:eastAsia="宋体" w:hint="default"/>
          <w:b/>
          <w:bCs/>
          <w:spacing w:val="-74"/>
          <w:sz w:val="21"/>
          <w:szCs w:val="21"/>
        </w:rPr>
      </w:r>
      <w:r>
        <w:rPr>
          <w:rFonts w:ascii="宋体" w:hAnsi="宋体" w:cs="宋体" w:eastAsia="宋体" w:hint="default"/>
          <w:b/>
          <w:bCs/>
          <w:sz w:val="21"/>
          <w:szCs w:val="21"/>
        </w:rPr>
        <w:t>其原因做出说明</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1"/>
        <w:rPr>
          <w:rFonts w:ascii="宋体" w:hAnsi="宋体" w:cs="宋体" w:eastAsia="宋体" w:hint="default"/>
          <w:sz w:val="17"/>
          <w:szCs w:val="17"/>
        </w:rPr>
      </w:pPr>
    </w:p>
    <w:p>
      <w:pPr>
        <w:pStyle w:val="Heading4"/>
        <w:spacing w:line="240" w:lineRule="auto" w:before="26"/>
        <w:ind w:right="0"/>
        <w:jc w:val="left"/>
        <w:rPr>
          <w:b w:val="0"/>
          <w:bCs w:val="0"/>
        </w:rPr>
      </w:pPr>
      <w:bookmarkStart w:name="三、控股股东及其关联方对上市公司的非经营性占用资金情况" w:id="66"/>
      <w:bookmarkEnd w:id="66"/>
      <w:r>
        <w:rPr>
          <w:b w:val="0"/>
          <w:bCs w:val="0"/>
        </w:rPr>
      </w:r>
      <w:r>
        <w:rPr/>
        <w:t>三、控股股东及其关联方对上市公司的非经营性占用资金情况</w:t>
      </w:r>
      <w:r>
        <w:rPr>
          <w:b w:val="0"/>
          <w:bCs w:val="0"/>
        </w:rPr>
      </w:r>
    </w:p>
    <w:p>
      <w:pPr>
        <w:spacing w:line="240" w:lineRule="auto" w:before="9"/>
        <w:rPr>
          <w:rFonts w:ascii="宋体" w:hAnsi="宋体" w:cs="宋体" w:eastAsia="宋体" w:hint="default"/>
          <w:b/>
          <w:bCs/>
          <w:sz w:val="26"/>
          <w:szCs w:val="26"/>
        </w:rPr>
      </w:pPr>
    </w:p>
    <w:p>
      <w:pPr>
        <w:spacing w:line="357" w:lineRule="auto" w:before="0"/>
        <w:ind w:left="114" w:right="499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公司报告期不存在控股股东及其关联方对上市公司的非经营性占用资金。</w:t>
      </w:r>
    </w:p>
    <w:p>
      <w:pPr>
        <w:spacing w:line="240" w:lineRule="auto" w:before="5"/>
        <w:rPr>
          <w:rFonts w:ascii="宋体" w:hAnsi="宋体" w:cs="宋体" w:eastAsia="宋体" w:hint="default"/>
          <w:sz w:val="18"/>
          <w:szCs w:val="18"/>
        </w:rPr>
      </w:pPr>
    </w:p>
    <w:p>
      <w:pPr>
        <w:pStyle w:val="Heading4"/>
        <w:spacing w:line="240" w:lineRule="auto"/>
        <w:ind w:right="0"/>
        <w:jc w:val="left"/>
        <w:rPr>
          <w:b w:val="0"/>
          <w:bCs w:val="0"/>
        </w:rPr>
      </w:pPr>
      <w:bookmarkStart w:name="四、董事会对最近一期“非标准审计报告”相关情况的说明" w:id="67"/>
      <w:bookmarkEnd w:id="67"/>
      <w:r>
        <w:rPr>
          <w:b w:val="0"/>
          <w:bCs w:val="0"/>
        </w:rPr>
      </w:r>
      <w:r>
        <w:rPr/>
        <w:t>四、董事会对最近一期“非标准审计报告”相关情况的说明</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4"/>
        <w:spacing w:line="240" w:lineRule="auto"/>
        <w:ind w:right="1393"/>
        <w:jc w:val="left"/>
        <w:rPr>
          <w:b w:val="0"/>
          <w:bCs w:val="0"/>
        </w:rPr>
      </w:pPr>
      <w:bookmarkStart w:name="五、董事会、监事会、独立董事（如有）对会计师事务所本报告期“非标准审计报告”的说" w:id="68"/>
      <w:bookmarkEnd w:id="68"/>
      <w:r>
        <w:rPr>
          <w:b w:val="0"/>
          <w:bCs w:val="0"/>
        </w:rPr>
      </w:r>
      <w:r>
        <w:rPr>
          <w:w w:val="95"/>
        </w:rPr>
        <w:t>五、董事会、监事会、独立董事（如有）对会计师事务所本报告期“非标准审计报告”的说  </w:t>
      </w:r>
      <w:r>
        <w:rPr>
          <w:spacing w:val="111"/>
          <w:w w:val="95"/>
        </w:rPr>
        <w:t> </w:t>
      </w:r>
      <w:r>
        <w:rPr>
          <w:spacing w:val="111"/>
          <w:w w:val="95"/>
        </w:rPr>
      </w:r>
      <w:r>
        <w:rPr/>
        <w:t>明</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3"/>
        <w:rPr>
          <w:rFonts w:ascii="宋体" w:hAnsi="宋体" w:cs="宋体" w:eastAsia="宋体" w:hint="default"/>
          <w:sz w:val="24"/>
          <w:szCs w:val="24"/>
        </w:rPr>
      </w:pPr>
    </w:p>
    <w:p>
      <w:pPr>
        <w:pStyle w:val="Heading4"/>
        <w:spacing w:line="240" w:lineRule="auto"/>
        <w:ind w:right="0"/>
        <w:jc w:val="left"/>
        <w:rPr>
          <w:b w:val="0"/>
          <w:bCs w:val="0"/>
        </w:rPr>
      </w:pPr>
      <w:bookmarkStart w:name="六、董事会关于报告期会计政策、会计估计变更或重大会计差错更正的说明" w:id="69"/>
      <w:bookmarkEnd w:id="69"/>
      <w:r>
        <w:rPr>
          <w:b w:val="0"/>
          <w:bCs w:val="0"/>
        </w:rPr>
      </w:r>
      <w:r>
        <w:rPr/>
        <w:t>六、董事会关于报告期会计政策、会计估计变更或重大会计差错更正的说明</w:t>
      </w:r>
      <w:r>
        <w:rPr>
          <w:b w:val="0"/>
          <w:bCs w:val="0"/>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61" w:lineRule="auto" w:before="89"/>
        <w:ind w:left="1390" w:right="1181" w:hanging="501"/>
        <w:jc w:val="left"/>
        <w:rPr>
          <w:rFonts w:ascii="宋体" w:hAnsi="宋体" w:cs="宋体" w:eastAsia="宋体" w:hint="default"/>
          <w:sz w:val="21"/>
          <w:szCs w:val="21"/>
        </w:rPr>
      </w:pPr>
      <w:r>
        <w:rPr>
          <w:rFonts w:ascii="宋体" w:hAnsi="宋体" w:cs="宋体" w:eastAsia="宋体" w:hint="default"/>
          <w:b/>
          <w:bCs/>
          <w:sz w:val="21"/>
          <w:szCs w:val="21"/>
        </w:rPr>
        <w:t>重要会计政策变更</w:t>
      </w:r>
      <w:r>
        <w:rPr>
          <w:rFonts w:ascii="宋体" w:hAnsi="宋体" w:cs="宋体" w:eastAsia="宋体" w:hint="default"/>
          <w:b/>
          <w:bCs/>
          <w:w w:val="99"/>
          <w:sz w:val="21"/>
          <w:szCs w:val="21"/>
        </w:rPr>
        <w:t> </w:t>
      </w:r>
      <w:r>
        <w:rPr>
          <w:rFonts w:ascii="宋体" w:hAnsi="宋体" w:cs="宋体" w:eastAsia="宋体" w:hint="default"/>
          <w:sz w:val="21"/>
          <w:szCs w:val="21"/>
        </w:rPr>
        <w:t>财政部于</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月</w:t>
      </w:r>
      <w:r>
        <w:rPr>
          <w:rFonts w:ascii="Times New Roman" w:hAnsi="Times New Roman" w:cs="Times New Roman" w:eastAsia="Times New Roman" w:hint="default"/>
          <w:sz w:val="21"/>
          <w:szCs w:val="21"/>
        </w:rPr>
        <w:t>15</w:t>
      </w:r>
      <w:r>
        <w:rPr>
          <w:rFonts w:ascii="宋体" w:hAnsi="宋体" w:cs="宋体" w:eastAsia="宋体" w:hint="default"/>
          <w:sz w:val="21"/>
          <w:szCs w:val="21"/>
        </w:rPr>
        <w:t>日发布了《财政部关于修订印发</w:t>
      </w:r>
      <w:r>
        <w:rPr>
          <w:rFonts w:ascii="Times New Roman" w:hAnsi="Times New Roman" w:cs="Times New Roman" w:eastAsia="Times New Roman" w:hint="default"/>
          <w:sz w:val="21"/>
          <w:szCs w:val="21"/>
        </w:rPr>
        <w:t>2018</w:t>
      </w:r>
      <w:r>
        <w:rPr>
          <w:rFonts w:ascii="宋体" w:hAnsi="宋体" w:cs="宋体" w:eastAsia="宋体" w:hint="default"/>
          <w:sz w:val="21"/>
          <w:szCs w:val="21"/>
        </w:rPr>
        <w:t>年度一般企业财务报表格式的通 </w:t>
      </w:r>
      <w:r>
        <w:rPr>
          <w:rFonts w:ascii="宋体" w:hAnsi="宋体" w:cs="宋体" w:eastAsia="宋体" w:hint="default"/>
          <w:spacing w:val="-7"/>
          <w:sz w:val="21"/>
          <w:szCs w:val="21"/>
        </w:rPr>
        <w:t>知》（财会（</w:t>
      </w:r>
      <w:r>
        <w:rPr>
          <w:rFonts w:ascii="Times New Roman" w:hAnsi="Times New Roman" w:cs="Times New Roman" w:eastAsia="Times New Roman" w:hint="default"/>
          <w:spacing w:val="-7"/>
          <w:sz w:val="21"/>
          <w:szCs w:val="21"/>
        </w:rPr>
        <w:t>2018</w:t>
      </w:r>
      <w:r>
        <w:rPr>
          <w:rFonts w:ascii="宋体" w:hAnsi="宋体" w:cs="宋体" w:eastAsia="宋体" w:hint="default"/>
          <w:spacing w:val="-7"/>
          <w:sz w:val="21"/>
          <w:szCs w:val="21"/>
        </w:rPr>
        <w:t>）</w:t>
      </w:r>
      <w:r>
        <w:rPr>
          <w:rFonts w:ascii="Times New Roman" w:hAnsi="Times New Roman" w:cs="Times New Roman" w:eastAsia="Times New Roman" w:hint="default"/>
          <w:spacing w:val="-7"/>
          <w:sz w:val="21"/>
          <w:szCs w:val="21"/>
        </w:rPr>
        <w:t>15</w:t>
      </w:r>
      <w:r>
        <w:rPr>
          <w:rFonts w:ascii="宋体" w:hAnsi="宋体" w:cs="宋体" w:eastAsia="宋体" w:hint="default"/>
          <w:spacing w:val="-7"/>
          <w:sz w:val="21"/>
          <w:szCs w:val="21"/>
        </w:rPr>
        <w:t>号），对一般企业财务报表格式进行了修订。</w:t>
      </w:r>
      <w:r>
        <w:rPr>
          <w:rFonts w:ascii="宋体" w:hAnsi="宋体" w:cs="宋体" w:eastAsia="宋体" w:hint="default"/>
          <w:spacing w:val="-11"/>
          <w:sz w:val="21"/>
          <w:szCs w:val="21"/>
        </w:rPr>
        <w:t> </w:t>
      </w:r>
      <w:r>
        <w:rPr>
          <w:rFonts w:ascii="宋体" w:hAnsi="宋体" w:cs="宋体" w:eastAsia="宋体" w:hint="default"/>
          <w:sz w:val="21"/>
          <w:szCs w:val="21"/>
        </w:rPr>
        <w:t>本公司执行上述规定的</w:t>
      </w:r>
      <w:r>
        <w:rPr>
          <w:rFonts w:ascii="宋体" w:hAnsi="宋体" w:cs="宋体" w:eastAsia="宋体" w:hint="default"/>
          <w:sz w:val="21"/>
          <w:szCs w:val="21"/>
        </w:rPr>
        <w:t> 主要影响如下：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4"/>
        <w:rPr>
          <w:rFonts w:ascii="宋体" w:hAnsi="宋体" w:cs="宋体" w:eastAsia="宋体" w:hint="default"/>
          <w:sz w:val="21"/>
          <w:szCs w:val="21"/>
        </w:rPr>
      </w:pPr>
    </w:p>
    <w:p>
      <w:pPr>
        <w:spacing w:before="35"/>
        <w:ind w:left="0" w:right="2310" w:firstLine="0"/>
        <w:jc w:val="right"/>
        <w:rPr>
          <w:rFonts w:ascii="宋体" w:hAnsi="宋体" w:cs="宋体" w:eastAsia="宋体" w:hint="default"/>
          <w:sz w:val="21"/>
          <w:szCs w:val="21"/>
        </w:rPr>
      </w:pPr>
      <w:r>
        <w:rPr/>
        <w:pict>
          <v:shape style="position:absolute;margin-left:86.660004pt;margin-top:-219.166336pt;width:389.05pt;height:350.5pt;mso-position-horizontal-relative:page;mso-position-vertical-relative:paragraph;z-index:1168"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35"/>
                    <w:gridCol w:w="3824"/>
                  </w:tblGrid>
                  <w:tr>
                    <w:trPr>
                      <w:trHeight w:val="355" w:hRule="exact"/>
                    </w:trPr>
                    <w:tc>
                      <w:tcPr>
                        <w:tcW w:w="3935"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left="699" w:right="0"/>
                          <w:jc w:val="left"/>
                          <w:rPr>
                            <w:rFonts w:ascii="宋体" w:hAnsi="宋体" w:cs="宋体" w:eastAsia="宋体" w:hint="default"/>
                            <w:sz w:val="21"/>
                            <w:szCs w:val="21"/>
                          </w:rPr>
                        </w:pPr>
                        <w:r>
                          <w:rPr>
                            <w:rFonts w:ascii="宋体" w:hAnsi="宋体" w:cs="宋体" w:eastAsia="宋体" w:hint="default"/>
                            <w:sz w:val="21"/>
                            <w:szCs w:val="21"/>
                          </w:rPr>
                          <w:t>会计政策变更的内容和原因</w:t>
                        </w:r>
                      </w:p>
                    </w:tc>
                    <w:tc>
                      <w:tcPr>
                        <w:tcW w:w="3824" w:type="dxa"/>
                        <w:tcBorders>
                          <w:top w:val="single" w:sz="6" w:space="0" w:color="000000"/>
                          <w:left w:val="single" w:sz="6" w:space="0" w:color="000000"/>
                          <w:bottom w:val="single" w:sz="12" w:space="0" w:color="000000"/>
                          <w:right w:val="nil" w:sz="6" w:space="0" w:color="auto"/>
                        </w:tcBorders>
                      </w:tcPr>
                      <w:p>
                        <w:pPr>
                          <w:pStyle w:val="TableParagraph"/>
                          <w:spacing w:line="271" w:lineRule="exact"/>
                          <w:ind w:left="539" w:right="0"/>
                          <w:jc w:val="left"/>
                          <w:rPr>
                            <w:rFonts w:ascii="宋体" w:hAnsi="宋体" w:cs="宋体" w:eastAsia="宋体" w:hint="default"/>
                            <w:sz w:val="21"/>
                            <w:szCs w:val="21"/>
                          </w:rPr>
                        </w:pPr>
                        <w:r>
                          <w:rPr>
                            <w:rFonts w:ascii="宋体" w:hAnsi="宋体" w:cs="宋体" w:eastAsia="宋体" w:hint="default"/>
                            <w:sz w:val="21"/>
                            <w:szCs w:val="21"/>
                          </w:rPr>
                          <w:t>受影响的报表项目名称和金额</w:t>
                        </w:r>
                      </w:p>
                    </w:tc>
                  </w:tr>
                  <w:tr>
                    <w:trPr>
                      <w:trHeight w:val="5968" w:hRule="exact"/>
                    </w:trPr>
                    <w:tc>
                      <w:tcPr>
                        <w:tcW w:w="3935"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both"/>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1</w:t>
                        </w:r>
                        <w:r>
                          <w:rPr>
                            <w:rFonts w:ascii="宋体" w:hAnsi="宋体" w:cs="宋体" w:eastAsia="宋体" w:hint="default"/>
                            <w:sz w:val="21"/>
                            <w:szCs w:val="21"/>
                          </w:rPr>
                          <w:t>）资产负债表中“应收票据”和“应收</w:t>
                        </w:r>
                      </w:p>
                      <w:p>
                        <w:pPr>
                          <w:pStyle w:val="TableParagraph"/>
                          <w:spacing w:line="273" w:lineRule="auto" w:before="37"/>
                          <w:ind w:left="2" w:right="-19"/>
                          <w:jc w:val="both"/>
                          <w:rPr>
                            <w:rFonts w:ascii="宋体" w:hAnsi="宋体" w:cs="宋体" w:eastAsia="宋体" w:hint="default"/>
                            <w:sz w:val="21"/>
                            <w:szCs w:val="21"/>
                          </w:rPr>
                        </w:pPr>
                        <w:r>
                          <w:rPr>
                            <w:rFonts w:ascii="宋体" w:hAnsi="宋体" w:cs="宋体" w:eastAsia="宋体" w:hint="default"/>
                            <w:spacing w:val="-14"/>
                            <w:sz w:val="21"/>
                            <w:szCs w:val="21"/>
                          </w:rPr>
                          <w:t>账款”合并列示为“应收票据及应收账款”；</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pacing w:val="-15"/>
                            <w:sz w:val="21"/>
                            <w:szCs w:val="21"/>
                          </w:rPr>
                          <w:t>“应付票据”和“应付账款”合并列示为“应</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15"/>
                            <w:sz w:val="21"/>
                            <w:szCs w:val="21"/>
                          </w:rPr>
                          <w:t>付票据及应付账款”；“应收利息”和“应收</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6"/>
                            <w:sz w:val="21"/>
                            <w:szCs w:val="21"/>
                          </w:rPr>
                          <w:t>股利”并入“其他应收款”列示；“应付利</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5"/>
                            <w:sz w:val="21"/>
                            <w:szCs w:val="21"/>
                          </w:rPr>
                          <w:t>息”和“应付股利”并入“其他应付款”列</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6"/>
                            <w:sz w:val="21"/>
                            <w:szCs w:val="21"/>
                          </w:rPr>
                          <w:t>示；“固定资产清理”并入“固定资产”列</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6"/>
                            <w:sz w:val="21"/>
                            <w:szCs w:val="21"/>
                          </w:rPr>
                          <w:t>示；“工程物资”并入“在建工程”列示；</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3"/>
                            <w:sz w:val="21"/>
                            <w:szCs w:val="21"/>
                          </w:rPr>
                          <w:t>“专项应付款”并入“长期应付款”列示。</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比较数据相应调整。</w:t>
                        </w:r>
                      </w:p>
                    </w:tc>
                    <w:tc>
                      <w:tcPr>
                        <w:tcW w:w="3824"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3" w:right="0"/>
                          <w:jc w:val="left"/>
                          <w:rPr>
                            <w:rFonts w:ascii="宋体" w:hAnsi="宋体" w:cs="宋体" w:eastAsia="宋体" w:hint="default"/>
                            <w:sz w:val="21"/>
                            <w:szCs w:val="21"/>
                          </w:rPr>
                        </w:pPr>
                        <w:r>
                          <w:rPr>
                            <w:rFonts w:ascii="宋体" w:hAnsi="宋体" w:cs="宋体" w:eastAsia="宋体" w:hint="default"/>
                            <w:sz w:val="21"/>
                            <w:szCs w:val="21"/>
                          </w:rPr>
                          <w:t>“应收票据”和“应收账款”合并列示为</w:t>
                        </w:r>
                      </w:p>
                      <w:p>
                        <w:pPr>
                          <w:pStyle w:val="TableParagraph"/>
                          <w:spacing w:line="273" w:lineRule="auto" w:before="37"/>
                          <w:ind w:left="3" w:right="8"/>
                          <w:jc w:val="left"/>
                          <w:rPr>
                            <w:rFonts w:ascii="宋体" w:hAnsi="宋体" w:cs="宋体" w:eastAsia="宋体" w:hint="default"/>
                            <w:sz w:val="21"/>
                            <w:szCs w:val="21"/>
                          </w:rPr>
                        </w:pPr>
                        <w:r>
                          <w:rPr>
                            <w:rFonts w:ascii="宋体" w:hAnsi="宋体" w:cs="宋体" w:eastAsia="宋体" w:hint="default"/>
                            <w:spacing w:val="-10"/>
                            <w:sz w:val="21"/>
                            <w:szCs w:val="21"/>
                          </w:rPr>
                          <w:t>“应收票据及应收账款”，期末余额及年初</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余额无影响； “应付票据”和“应付账款”合并列示为 </w:t>
                        </w:r>
                        <w:r>
                          <w:rPr>
                            <w:rFonts w:ascii="宋体" w:hAnsi="宋体" w:cs="宋体" w:eastAsia="宋体" w:hint="default"/>
                            <w:spacing w:val="-7"/>
                            <w:sz w:val="21"/>
                            <w:szCs w:val="21"/>
                          </w:rPr>
                          <w:t>“应付票据及应付账款”，期末余额为</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228,288,347.43</w:t>
                        </w:r>
                        <w:r>
                          <w:rPr>
                            <w:rFonts w:ascii="宋体" w:hAnsi="宋体" w:cs="宋体" w:eastAsia="宋体" w:hint="default"/>
                            <w:sz w:val="21"/>
                            <w:szCs w:val="21"/>
                          </w:rPr>
                          <w:t>元，年初余额为</w:t>
                        </w:r>
                      </w:p>
                      <w:p>
                        <w:pPr>
                          <w:pStyle w:val="TableParagraph"/>
                          <w:spacing w:line="240" w:lineRule="auto" w:before="7"/>
                          <w:ind w:left="3" w:right="0"/>
                          <w:jc w:val="left"/>
                          <w:rPr>
                            <w:rFonts w:ascii="宋体" w:hAnsi="宋体" w:cs="宋体" w:eastAsia="宋体" w:hint="default"/>
                            <w:sz w:val="21"/>
                            <w:szCs w:val="21"/>
                          </w:rPr>
                        </w:pPr>
                        <w:r>
                          <w:rPr>
                            <w:rFonts w:ascii="宋体" w:hAnsi="宋体" w:cs="宋体" w:eastAsia="宋体" w:hint="default"/>
                            <w:sz w:val="21"/>
                            <w:szCs w:val="21"/>
                          </w:rPr>
                          <w:t>254,892,701.47</w:t>
                        </w:r>
                        <w:r>
                          <w:rPr>
                            <w:rFonts w:ascii="宋体" w:hAnsi="宋体" w:cs="宋体" w:eastAsia="宋体" w:hint="default"/>
                            <w:sz w:val="21"/>
                            <w:szCs w:val="21"/>
                          </w:rPr>
                          <w:t>元；</w:t>
                        </w:r>
                      </w:p>
                      <w:p>
                        <w:pPr>
                          <w:pStyle w:val="TableParagraph"/>
                          <w:spacing w:line="273" w:lineRule="auto" w:before="37"/>
                          <w:ind w:left="3" w:right="8"/>
                          <w:jc w:val="left"/>
                          <w:rPr>
                            <w:rFonts w:ascii="宋体" w:hAnsi="宋体" w:cs="宋体" w:eastAsia="宋体" w:hint="default"/>
                            <w:sz w:val="21"/>
                            <w:szCs w:val="21"/>
                          </w:rPr>
                        </w:pPr>
                        <w:r>
                          <w:rPr>
                            <w:rFonts w:ascii="宋体" w:hAnsi="宋体" w:cs="宋体" w:eastAsia="宋体" w:hint="default"/>
                            <w:sz w:val="21"/>
                            <w:szCs w:val="21"/>
                          </w:rPr>
                          <w:t>“应收利息”和“应收股利”并入“其他 应收款”列示，期末余额及年初余额无影 响； “应付利息”和“应付股利”并入“其他 </w:t>
                        </w:r>
                        <w:r>
                          <w:rPr>
                            <w:rFonts w:ascii="宋体" w:hAnsi="宋体" w:cs="宋体" w:eastAsia="宋体" w:hint="default"/>
                            <w:spacing w:val="-4"/>
                            <w:sz w:val="21"/>
                            <w:szCs w:val="21"/>
                          </w:rPr>
                          <w:t>应付款”列示，期末余额为</w:t>
                        </w:r>
                        <w:r>
                          <w:rPr>
                            <w:rFonts w:ascii="宋体" w:hAnsi="宋体" w:cs="宋体" w:eastAsia="宋体" w:hint="default"/>
                            <w:spacing w:val="-4"/>
                            <w:sz w:val="21"/>
                            <w:szCs w:val="21"/>
                          </w:rPr>
                          <w:t>39,257,223.57</w:t>
                        </w:r>
                        <w:r>
                          <w:rPr>
                            <w:rFonts w:ascii="宋体" w:hAnsi="宋体" w:cs="宋体" w:eastAsia="宋体" w:hint="default"/>
                            <w:spacing w:val="-87"/>
                            <w:sz w:val="21"/>
                            <w:szCs w:val="21"/>
                          </w:rPr>
                          <w:t> </w:t>
                        </w:r>
                        <w:r>
                          <w:rPr>
                            <w:rFonts w:ascii="宋体" w:hAnsi="宋体" w:cs="宋体" w:eastAsia="宋体" w:hint="default"/>
                            <w:sz w:val="21"/>
                            <w:szCs w:val="21"/>
                          </w:rPr>
                          <w:t>元，年初余额为</w:t>
                        </w:r>
                        <w:r>
                          <w:rPr>
                            <w:rFonts w:ascii="宋体" w:hAnsi="宋体" w:cs="宋体" w:eastAsia="宋体" w:hint="default"/>
                            <w:sz w:val="21"/>
                            <w:szCs w:val="21"/>
                          </w:rPr>
                          <w:t>67,670,246.66</w:t>
                        </w:r>
                        <w:r>
                          <w:rPr>
                            <w:rFonts w:ascii="宋体" w:hAnsi="宋体" w:cs="宋体" w:eastAsia="宋体" w:hint="default"/>
                            <w:sz w:val="21"/>
                            <w:szCs w:val="21"/>
                          </w:rPr>
                          <w:t>元； </w:t>
                        </w:r>
                        <w:r>
                          <w:rPr>
                            <w:rFonts w:ascii="宋体" w:hAnsi="宋体" w:cs="宋体" w:eastAsia="宋体" w:hint="default"/>
                            <w:spacing w:val="-5"/>
                            <w:sz w:val="21"/>
                            <w:szCs w:val="21"/>
                          </w:rPr>
                          <w:t>“固定资产清理”并入“固定资产”列示</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期末余额及年初余额无影响； “工程物资”并入“在建工程”列示，期 末余额及年初余额无影响； </w:t>
                        </w:r>
                        <w:r>
                          <w:rPr>
                            <w:rFonts w:ascii="宋体" w:hAnsi="宋体" w:cs="宋体" w:eastAsia="宋体" w:hint="default"/>
                            <w:spacing w:val="-5"/>
                            <w:sz w:val="21"/>
                            <w:szCs w:val="21"/>
                          </w:rPr>
                          <w:t>“专项应付款”并入“长期应付款”列示</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期末余额及年初余额无影响；</w:t>
                        </w:r>
                      </w:p>
                    </w:tc>
                  </w:tr>
                  <w:tr>
                    <w:trPr>
                      <w:trHeight w:val="665" w:hRule="exact"/>
                    </w:trPr>
                    <w:tc>
                      <w:tcPr>
                        <w:tcW w:w="3935"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w:t>
                        </w:r>
                        <w:r>
                          <w:rPr>
                            <w:rFonts w:ascii="宋体" w:hAnsi="宋体" w:cs="宋体" w:eastAsia="宋体" w:hint="default"/>
                            <w:sz w:val="21"/>
                            <w:szCs w:val="21"/>
                          </w:rPr>
                          <w:t>）在利润表中新增“研发费用”项目，</w:t>
                        </w:r>
                      </w:p>
                      <w:p>
                        <w:pPr>
                          <w:pStyle w:val="TableParagraph"/>
                          <w:spacing w:line="240" w:lineRule="auto" w:before="37"/>
                          <w:ind w:left="2" w:right="0"/>
                          <w:jc w:val="left"/>
                          <w:rPr>
                            <w:rFonts w:ascii="宋体" w:hAnsi="宋体" w:cs="宋体" w:eastAsia="宋体" w:hint="default"/>
                            <w:sz w:val="21"/>
                            <w:szCs w:val="21"/>
                          </w:rPr>
                        </w:pPr>
                        <w:r>
                          <w:rPr>
                            <w:rFonts w:ascii="宋体" w:hAnsi="宋体" w:cs="宋体" w:eastAsia="宋体" w:hint="default"/>
                            <w:sz w:val="21"/>
                            <w:szCs w:val="21"/>
                          </w:rPr>
                          <w:t>将</w:t>
                        </w:r>
                        <w:r>
                          <w:rPr>
                            <w:rFonts w:ascii="宋体" w:hAnsi="宋体" w:cs="宋体" w:eastAsia="宋体" w:hint="default"/>
                            <w:spacing w:val="-95"/>
                            <w:sz w:val="21"/>
                            <w:szCs w:val="21"/>
                          </w:rPr>
                          <w:t>原</w:t>
                        </w:r>
                        <w:r>
                          <w:rPr>
                            <w:rFonts w:ascii="宋体" w:hAnsi="宋体" w:cs="宋体" w:eastAsia="宋体" w:hint="default"/>
                            <w:sz w:val="21"/>
                            <w:szCs w:val="21"/>
                          </w:rPr>
                          <w:t>“管理费用</w:t>
                        </w:r>
                        <w:r>
                          <w:rPr>
                            <w:rFonts w:ascii="宋体" w:hAnsi="宋体" w:cs="宋体" w:eastAsia="宋体" w:hint="default"/>
                            <w:spacing w:val="-95"/>
                            <w:sz w:val="21"/>
                            <w:szCs w:val="21"/>
                          </w:rPr>
                          <w:t>”</w:t>
                        </w:r>
                        <w:r>
                          <w:rPr>
                            <w:rFonts w:ascii="宋体" w:hAnsi="宋体" w:cs="宋体" w:eastAsia="宋体" w:hint="default"/>
                            <w:sz w:val="21"/>
                            <w:szCs w:val="21"/>
                          </w:rPr>
                          <w:t>中的研发费用重分类</w:t>
                        </w:r>
                        <w:r>
                          <w:rPr>
                            <w:rFonts w:ascii="宋体" w:hAnsi="宋体" w:cs="宋体" w:eastAsia="宋体" w:hint="default"/>
                            <w:spacing w:val="-95"/>
                            <w:sz w:val="21"/>
                            <w:szCs w:val="21"/>
                          </w:rPr>
                          <w:t>至</w:t>
                        </w:r>
                        <w:r>
                          <w:rPr>
                            <w:rFonts w:ascii="宋体" w:hAnsi="宋体" w:cs="宋体" w:eastAsia="宋体" w:hint="default"/>
                            <w:sz w:val="21"/>
                            <w:szCs w:val="21"/>
                          </w:rPr>
                          <w:t>“研</w:t>
                        </w:r>
                      </w:p>
                    </w:tc>
                    <w:tc>
                      <w:tcPr>
                        <w:tcW w:w="3824"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3" w:right="0"/>
                          <w:jc w:val="left"/>
                          <w:rPr>
                            <w:rFonts w:ascii="宋体" w:hAnsi="宋体" w:cs="宋体" w:eastAsia="宋体" w:hint="default"/>
                            <w:sz w:val="21"/>
                            <w:szCs w:val="21"/>
                          </w:rPr>
                        </w:pPr>
                        <w:r>
                          <w:rPr>
                            <w:rFonts w:ascii="宋体" w:hAnsi="宋体" w:cs="宋体" w:eastAsia="宋体" w:hint="default"/>
                            <w:spacing w:val="-5"/>
                            <w:sz w:val="21"/>
                            <w:szCs w:val="21"/>
                          </w:rPr>
                          <w:t>新增“研发费用”项目，调减“管理费用</w:t>
                        </w:r>
                      </w:p>
                      <w:p>
                        <w:pPr>
                          <w:pStyle w:val="TableParagraph"/>
                          <w:spacing w:line="240" w:lineRule="auto" w:before="37"/>
                          <w:ind w:left="3" w:right="0"/>
                          <w:jc w:val="left"/>
                          <w:rPr>
                            <w:rFonts w:ascii="宋体" w:hAnsi="宋体" w:cs="宋体" w:eastAsia="宋体" w:hint="default"/>
                            <w:sz w:val="21"/>
                            <w:szCs w:val="21"/>
                          </w:rPr>
                        </w:pPr>
                        <w:r>
                          <w:rPr>
                            <w:rFonts w:ascii="宋体" w:hAnsi="宋体" w:cs="宋体" w:eastAsia="宋体" w:hint="default"/>
                            <w:spacing w:val="-4"/>
                            <w:sz w:val="21"/>
                            <w:szCs w:val="21"/>
                          </w:rPr>
                          <w:t>本期发生额</w:t>
                        </w:r>
                        <w:r>
                          <w:rPr>
                            <w:rFonts w:ascii="宋体" w:hAnsi="宋体" w:cs="宋体" w:eastAsia="宋体" w:hint="default"/>
                            <w:spacing w:val="-4"/>
                            <w:sz w:val="21"/>
                            <w:szCs w:val="21"/>
                          </w:rPr>
                          <w:t>65,700,762.42</w:t>
                        </w:r>
                        <w:r>
                          <w:rPr>
                            <w:rFonts w:ascii="宋体" w:hAnsi="宋体" w:cs="宋体" w:eastAsia="宋体" w:hint="default"/>
                            <w:spacing w:val="-4"/>
                            <w:sz w:val="21"/>
                            <w:szCs w:val="21"/>
                          </w:rPr>
                          <w:t>元，上期发生额</w:t>
                        </w:r>
                      </w:p>
                    </w:tc>
                  </w:tr>
                </w:tbl>
                <w:p>
                  <w:pPr/>
                </w:p>
              </w:txbxContent>
            </v:textbox>
            <w10:wrap type="none"/>
          </v:shape>
        </w:pict>
      </w:r>
      <w:r>
        <w:rPr>
          <w:rFonts w:ascii="宋体" w:hAnsi="宋体" w:cs="宋体" w:eastAsia="宋体" w:hint="default"/>
          <w:sz w:val="21"/>
          <w:szCs w:val="21"/>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spacing w:before="0"/>
        <w:ind w:left="0" w:right="2310" w:firstLine="0"/>
        <w:jc w:val="right"/>
        <w:rPr>
          <w:rFonts w:ascii="宋体" w:hAnsi="宋体" w:cs="宋体" w:eastAsia="宋体" w:hint="default"/>
          <w:sz w:val="21"/>
          <w:szCs w:val="21"/>
        </w:rPr>
      </w:pPr>
      <w:r>
        <w:rPr>
          <w:rFonts w:ascii="宋体" w:hAnsi="宋体" w:cs="宋体" w:eastAsia="宋体" w:hint="default"/>
          <w:sz w:val="21"/>
          <w:szCs w:val="21"/>
        </w:rPr>
        <w:t>，</w:t>
      </w:r>
    </w:p>
    <w:p>
      <w:pPr>
        <w:spacing w:line="240" w:lineRule="auto" w:before="0"/>
        <w:rPr>
          <w:rFonts w:ascii="宋体" w:hAnsi="宋体" w:cs="宋体" w:eastAsia="宋体" w:hint="default"/>
          <w:sz w:val="27"/>
          <w:szCs w:val="27"/>
        </w:rPr>
      </w:pPr>
    </w:p>
    <w:p>
      <w:pPr>
        <w:spacing w:before="35"/>
        <w:ind w:left="0" w:right="2309" w:firstLine="0"/>
        <w:jc w:val="right"/>
        <w:rPr>
          <w:rFonts w:ascii="宋体" w:hAnsi="宋体" w:cs="宋体" w:eastAsia="宋体" w:hint="default"/>
          <w:sz w:val="21"/>
          <w:szCs w:val="21"/>
        </w:rPr>
      </w:pPr>
      <w:r>
        <w:rPr>
          <w:rFonts w:ascii="宋体" w:hAnsi="宋体" w:cs="宋体" w:eastAsia="宋体" w:hint="default"/>
          <w:sz w:val="21"/>
          <w:szCs w:val="21"/>
        </w:rPr>
        <w:t>”</w:t>
      </w:r>
    </w:p>
    <w:p>
      <w:pPr>
        <w:spacing w:after="0"/>
        <w:jc w:val="right"/>
        <w:rPr>
          <w:rFonts w:ascii="宋体" w:hAnsi="宋体" w:cs="宋体" w:eastAsia="宋体" w:hint="default"/>
          <w:sz w:val="21"/>
          <w:szCs w:val="21"/>
        </w:rPr>
        <w:sectPr>
          <w:pgSz w:w="11910" w:h="16840"/>
          <w:pgMar w:header="822" w:footer="1019" w:top="114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6"/>
        <w:ind w:left="0" w:right="2309" w:firstLine="0"/>
        <w:jc w:val="right"/>
        <w:rPr>
          <w:rFonts w:ascii="宋体" w:hAnsi="宋体" w:cs="宋体" w:eastAsia="宋体" w:hint="default"/>
          <w:sz w:val="21"/>
          <w:szCs w:val="21"/>
        </w:rPr>
      </w:pPr>
      <w:r>
        <w:rPr/>
        <w:pict>
          <v:shape style="position:absolute;margin-left:86.660004pt;margin-top:-102.916328pt;width:389.05pt;height:161.25pt;mso-position-horizontal-relative:page;mso-position-vertical-relative:paragraph;z-index:11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935"/>
                    <w:gridCol w:w="3824"/>
                  </w:tblGrid>
                  <w:tr>
                    <w:trPr>
                      <w:trHeight w:val="2227" w:hRule="exact"/>
                    </w:trPr>
                    <w:tc>
                      <w:tcPr>
                        <w:tcW w:w="3935" w:type="dxa"/>
                        <w:tcBorders>
                          <w:top w:val="single" w:sz="6" w:space="0" w:color="000000"/>
                          <w:left w:val="single" w:sz="6" w:space="0" w:color="000000"/>
                          <w:bottom w:val="single" w:sz="12" w:space="0" w:color="000000"/>
                          <w:right w:val="single" w:sz="6" w:space="0" w:color="000000"/>
                        </w:tcBorders>
                      </w:tcPr>
                      <w:p>
                        <w:pPr>
                          <w:pStyle w:val="TableParagraph"/>
                          <w:spacing w:line="273" w:lineRule="auto"/>
                          <w:ind w:left="2" w:right="-18"/>
                          <w:jc w:val="both"/>
                          <w:rPr>
                            <w:rFonts w:ascii="宋体" w:hAnsi="宋体" w:cs="宋体" w:eastAsia="宋体" w:hint="default"/>
                            <w:sz w:val="21"/>
                            <w:szCs w:val="21"/>
                          </w:rPr>
                        </w:pPr>
                        <w:r>
                          <w:rPr>
                            <w:rFonts w:ascii="宋体" w:hAnsi="宋体" w:cs="宋体" w:eastAsia="宋体" w:hint="default"/>
                            <w:spacing w:val="-4"/>
                            <w:sz w:val="21"/>
                            <w:szCs w:val="21"/>
                          </w:rPr>
                          <w:t>发费用”单独列示；在利润表中财务费用项</w:t>
                        </w:r>
                        <w:r>
                          <w:rPr>
                            <w:rFonts w:ascii="宋体" w:hAnsi="宋体" w:cs="宋体" w:eastAsia="宋体" w:hint="default"/>
                            <w:sz w:val="21"/>
                            <w:szCs w:val="21"/>
                          </w:rPr>
                          <w:t> </w:t>
                        </w:r>
                        <w:r>
                          <w:rPr>
                            <w:rFonts w:ascii="宋体" w:hAnsi="宋体" w:cs="宋体" w:eastAsia="宋体" w:hint="default"/>
                            <w:spacing w:val="-3"/>
                            <w:sz w:val="21"/>
                            <w:szCs w:val="21"/>
                          </w:rPr>
                          <w:t>下新增“其中：利息费用”和“利息收入”</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项目。比较数据相应调整。</w:t>
                        </w:r>
                      </w:p>
                    </w:tc>
                    <w:tc>
                      <w:tcPr>
                        <w:tcW w:w="3824" w:type="dxa"/>
                        <w:tcBorders>
                          <w:top w:val="single" w:sz="6" w:space="0" w:color="000000"/>
                          <w:left w:val="single" w:sz="6" w:space="0" w:color="000000"/>
                          <w:bottom w:val="single" w:sz="12" w:space="0" w:color="000000"/>
                          <w:right w:val="nil" w:sz="6" w:space="0" w:color="auto"/>
                        </w:tcBorders>
                      </w:tcPr>
                      <w:p>
                        <w:pPr>
                          <w:pStyle w:val="TableParagraph"/>
                          <w:spacing w:line="271" w:lineRule="exact"/>
                          <w:ind w:left="3" w:right="0"/>
                          <w:jc w:val="left"/>
                          <w:rPr>
                            <w:rFonts w:ascii="宋体" w:hAnsi="宋体" w:cs="宋体" w:eastAsia="宋体" w:hint="default"/>
                            <w:sz w:val="21"/>
                            <w:szCs w:val="21"/>
                          </w:rPr>
                        </w:pPr>
                        <w:r>
                          <w:rPr>
                            <w:rFonts w:ascii="宋体" w:hAnsi="宋体" w:cs="宋体" w:eastAsia="宋体" w:hint="default"/>
                            <w:sz w:val="21"/>
                            <w:szCs w:val="21"/>
                          </w:rPr>
                          <w:t>60,496,925.34</w:t>
                        </w:r>
                        <w:r>
                          <w:rPr>
                            <w:rFonts w:ascii="宋体" w:hAnsi="宋体" w:cs="宋体" w:eastAsia="宋体" w:hint="default"/>
                            <w:sz w:val="21"/>
                            <w:szCs w:val="21"/>
                          </w:rPr>
                          <w:t>元；</w:t>
                        </w:r>
                      </w:p>
                      <w:p>
                        <w:pPr>
                          <w:pStyle w:val="TableParagraph"/>
                          <w:spacing w:line="273" w:lineRule="auto" w:before="37"/>
                          <w:ind w:left="3" w:right="9"/>
                          <w:jc w:val="left"/>
                          <w:rPr>
                            <w:rFonts w:ascii="宋体" w:hAnsi="宋体" w:cs="宋体" w:eastAsia="宋体" w:hint="default"/>
                            <w:sz w:val="21"/>
                            <w:szCs w:val="21"/>
                          </w:rPr>
                        </w:pPr>
                        <w:r>
                          <w:rPr>
                            <w:rFonts w:ascii="宋体" w:hAnsi="宋体" w:cs="宋体" w:eastAsia="宋体" w:hint="default"/>
                            <w:sz w:val="21"/>
                            <w:szCs w:val="21"/>
                          </w:rPr>
                          <w:t>财务费用项下新增“其中：利息费用”和 “利息收入”项目，其中“利息费用”本 </w:t>
                        </w:r>
                        <w:r>
                          <w:rPr>
                            <w:rFonts w:ascii="宋体" w:hAnsi="宋体" w:cs="宋体" w:eastAsia="宋体" w:hint="default"/>
                            <w:spacing w:val="-4"/>
                            <w:sz w:val="21"/>
                            <w:szCs w:val="21"/>
                          </w:rPr>
                          <w:t>期发生额为</w:t>
                        </w:r>
                        <w:r>
                          <w:rPr>
                            <w:rFonts w:ascii="宋体" w:hAnsi="宋体" w:cs="宋体" w:eastAsia="宋体" w:hint="default"/>
                            <w:spacing w:val="-4"/>
                            <w:sz w:val="21"/>
                            <w:szCs w:val="21"/>
                          </w:rPr>
                          <w:t>10,583,304.36</w:t>
                        </w:r>
                        <w:r>
                          <w:rPr>
                            <w:rFonts w:ascii="宋体" w:hAnsi="宋体" w:cs="宋体" w:eastAsia="宋体" w:hint="default"/>
                            <w:spacing w:val="-4"/>
                            <w:sz w:val="21"/>
                            <w:szCs w:val="21"/>
                          </w:rPr>
                          <w:t>元，上期发生额</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pacing w:val="-5"/>
                            <w:sz w:val="21"/>
                            <w:szCs w:val="21"/>
                          </w:rPr>
                          <w:t>为</w:t>
                        </w:r>
                        <w:r>
                          <w:rPr>
                            <w:rFonts w:ascii="宋体" w:hAnsi="宋体" w:cs="宋体" w:eastAsia="宋体" w:hint="default"/>
                            <w:spacing w:val="-5"/>
                            <w:sz w:val="21"/>
                            <w:szCs w:val="21"/>
                          </w:rPr>
                          <w:t>10,256,935.98</w:t>
                        </w:r>
                        <w:r>
                          <w:rPr>
                            <w:rFonts w:ascii="宋体" w:hAnsi="宋体" w:cs="宋体" w:eastAsia="宋体" w:hint="default"/>
                            <w:spacing w:val="-5"/>
                            <w:sz w:val="21"/>
                            <w:szCs w:val="21"/>
                          </w:rPr>
                          <w:t>元；“利息收入”本期发</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生额为</w:t>
                        </w:r>
                        <w:r>
                          <w:rPr>
                            <w:rFonts w:ascii="宋体" w:hAnsi="宋体" w:cs="宋体" w:eastAsia="宋体" w:hint="default"/>
                            <w:sz w:val="21"/>
                            <w:szCs w:val="21"/>
                          </w:rPr>
                          <w:t>574,450.73</w:t>
                        </w:r>
                        <w:r>
                          <w:rPr>
                            <w:rFonts w:ascii="宋体" w:hAnsi="宋体" w:cs="宋体" w:eastAsia="宋体" w:hint="default"/>
                            <w:sz w:val="21"/>
                            <w:szCs w:val="21"/>
                          </w:rPr>
                          <w:t>元，上期发生额为 </w:t>
                        </w:r>
                        <w:r>
                          <w:rPr>
                            <w:rFonts w:ascii="宋体" w:hAnsi="宋体" w:cs="宋体" w:eastAsia="宋体" w:hint="default"/>
                            <w:sz w:val="21"/>
                            <w:szCs w:val="21"/>
                          </w:rPr>
                          <w:t>514,207.77</w:t>
                        </w:r>
                        <w:r>
                          <w:rPr>
                            <w:rFonts w:ascii="宋体" w:hAnsi="宋体" w:cs="宋体" w:eastAsia="宋体" w:hint="default"/>
                            <w:sz w:val="21"/>
                            <w:szCs w:val="21"/>
                          </w:rPr>
                          <w:t>元。</w:t>
                        </w:r>
                      </w:p>
                    </w:tc>
                  </w:tr>
                  <w:tr>
                    <w:trPr>
                      <w:trHeight w:val="976" w:hRule="exact"/>
                    </w:trPr>
                    <w:tc>
                      <w:tcPr>
                        <w:tcW w:w="3935"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3</w:t>
                        </w:r>
                        <w:r>
                          <w:rPr>
                            <w:rFonts w:ascii="宋体" w:hAnsi="宋体" w:cs="宋体" w:eastAsia="宋体" w:hint="default"/>
                            <w:sz w:val="21"/>
                            <w:szCs w:val="21"/>
                          </w:rPr>
                          <w:t>）所有者权益变动表中新增“设定受益</w:t>
                        </w:r>
                      </w:p>
                      <w:p>
                        <w:pPr>
                          <w:pStyle w:val="TableParagraph"/>
                          <w:spacing w:line="273" w:lineRule="auto" w:before="37"/>
                          <w:ind w:left="2" w:right="2"/>
                          <w:jc w:val="left"/>
                          <w:rPr>
                            <w:rFonts w:ascii="宋体" w:hAnsi="宋体" w:cs="宋体" w:eastAsia="宋体" w:hint="default"/>
                            <w:sz w:val="21"/>
                            <w:szCs w:val="21"/>
                          </w:rPr>
                        </w:pPr>
                        <w:r>
                          <w:rPr>
                            <w:rFonts w:ascii="宋体" w:hAnsi="宋体" w:cs="宋体" w:eastAsia="宋体" w:hint="default"/>
                            <w:spacing w:val="-5"/>
                            <w:sz w:val="21"/>
                            <w:szCs w:val="21"/>
                          </w:rPr>
                          <w:t>计划变动额结转留存收益”项目。比较数据</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相应调整。</w:t>
                        </w:r>
                      </w:p>
                    </w:tc>
                    <w:tc>
                      <w:tcPr>
                        <w:tcW w:w="3824"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3" w:right="0"/>
                          <w:jc w:val="left"/>
                          <w:rPr>
                            <w:rFonts w:ascii="宋体" w:hAnsi="宋体" w:cs="宋体" w:eastAsia="宋体" w:hint="default"/>
                            <w:sz w:val="21"/>
                            <w:szCs w:val="21"/>
                          </w:rPr>
                        </w:pPr>
                        <w:r>
                          <w:rPr>
                            <w:rFonts w:ascii="宋体" w:hAnsi="宋体" w:cs="宋体" w:eastAsia="宋体" w:hint="default"/>
                            <w:spacing w:val="-5"/>
                            <w:sz w:val="21"/>
                            <w:szCs w:val="21"/>
                          </w:rPr>
                          <w:t>新增“设定受益计划变动额结转留存收益</w:t>
                        </w:r>
                      </w:p>
                      <w:p>
                        <w:pPr>
                          <w:pStyle w:val="TableParagraph"/>
                          <w:spacing w:line="240" w:lineRule="auto" w:before="37"/>
                          <w:ind w:left="3" w:right="0"/>
                          <w:jc w:val="left"/>
                          <w:rPr>
                            <w:rFonts w:ascii="宋体" w:hAnsi="宋体" w:cs="宋体" w:eastAsia="宋体" w:hint="default"/>
                            <w:sz w:val="21"/>
                            <w:szCs w:val="21"/>
                          </w:rPr>
                        </w:pPr>
                        <w:r>
                          <w:rPr>
                            <w:rFonts w:ascii="宋体" w:hAnsi="宋体" w:cs="宋体" w:eastAsia="宋体" w:hint="default"/>
                            <w:sz w:val="21"/>
                            <w:szCs w:val="21"/>
                          </w:rPr>
                          <w:t>本期发生额及上期发生额无影响。</w:t>
                        </w:r>
                      </w:p>
                    </w:tc>
                  </w:tr>
                </w:tbl>
                <w:p>
                  <w:pPr/>
                </w:p>
              </w:txbxContent>
            </v:textbox>
            <w10:wrap type="none"/>
          </v:shape>
        </w:pict>
      </w:r>
      <w:r>
        <w:rPr>
          <w:rFonts w:ascii="宋体" w:hAnsi="宋体" w:cs="宋体" w:eastAsia="宋体" w:hint="default"/>
          <w:sz w:val="21"/>
          <w:szCs w:val="21"/>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4"/>
          <w:szCs w:val="14"/>
        </w:rPr>
      </w:pPr>
    </w:p>
    <w:p>
      <w:pPr>
        <w:spacing w:line="273" w:lineRule="auto" w:before="35"/>
        <w:ind w:left="1374" w:right="5712" w:hanging="310"/>
        <w:jc w:val="left"/>
        <w:rPr>
          <w:rFonts w:ascii="宋体" w:hAnsi="宋体" w:cs="宋体" w:eastAsia="宋体" w:hint="default"/>
          <w:sz w:val="21"/>
          <w:szCs w:val="21"/>
        </w:rPr>
      </w:pPr>
      <w:r>
        <w:rPr>
          <w:rFonts w:ascii="宋体" w:hAnsi="宋体" w:cs="宋体" w:eastAsia="宋体" w:hint="default"/>
          <w:b/>
          <w:bCs/>
          <w:sz w:val="21"/>
          <w:szCs w:val="21"/>
        </w:rPr>
        <w:t>2.</w:t>
      </w:r>
      <w:r>
        <w:rPr>
          <w:rFonts w:ascii="宋体" w:hAnsi="宋体" w:cs="宋体" w:eastAsia="宋体" w:hint="default"/>
          <w:b/>
          <w:bCs/>
          <w:sz w:val="21"/>
          <w:szCs w:val="21"/>
        </w:rPr>
        <w:t>重要会计估计变更</w:t>
      </w:r>
      <w:r>
        <w:rPr>
          <w:rFonts w:ascii="宋体" w:hAnsi="宋体" w:cs="宋体" w:eastAsia="宋体" w:hint="default"/>
          <w:b/>
          <w:bCs/>
          <w:w w:val="99"/>
          <w:sz w:val="21"/>
          <w:szCs w:val="21"/>
        </w:rPr>
        <w:t> </w:t>
      </w:r>
      <w:r>
        <w:rPr>
          <w:rFonts w:ascii="宋体" w:hAnsi="宋体" w:cs="宋体" w:eastAsia="宋体" w:hint="default"/>
          <w:sz w:val="21"/>
          <w:szCs w:val="21"/>
        </w:rPr>
        <w:t>本报告期公司主要会计估计未发生变更。</w:t>
      </w:r>
    </w:p>
    <w:p>
      <w:pPr>
        <w:spacing w:line="240" w:lineRule="auto" w:before="11"/>
        <w:rPr>
          <w:rFonts w:ascii="宋体" w:hAnsi="宋体" w:cs="宋体" w:eastAsia="宋体" w:hint="default"/>
          <w:sz w:val="21"/>
          <w:szCs w:val="21"/>
        </w:rPr>
      </w:pPr>
    </w:p>
    <w:p>
      <w:pPr>
        <w:pStyle w:val="Heading4"/>
        <w:spacing w:line="240" w:lineRule="auto"/>
        <w:ind w:right="0"/>
        <w:jc w:val="both"/>
        <w:rPr>
          <w:b w:val="0"/>
          <w:bCs w:val="0"/>
        </w:rPr>
      </w:pPr>
      <w:bookmarkStart w:name="七、与上年度财务报告相比，合并报表范围发生变化的情况说明" w:id="70"/>
      <w:bookmarkEnd w:id="70"/>
      <w:r>
        <w:rPr>
          <w:b w:val="0"/>
          <w:bCs w:val="0"/>
        </w:rPr>
      </w:r>
      <w:r>
        <w:rPr/>
        <w:t>七、与上年度财务报告相比，合并报表范围发生变化的情况说明</w:t>
      </w:r>
      <w:r>
        <w:rPr>
          <w:b w:val="0"/>
          <w:bCs w:val="0"/>
        </w:rPr>
      </w:r>
    </w:p>
    <w:p>
      <w:pPr>
        <w:spacing w:line="240" w:lineRule="auto" w:before="9"/>
        <w:rPr>
          <w:rFonts w:ascii="宋体" w:hAnsi="宋体" w:cs="宋体" w:eastAsia="宋体" w:hint="default"/>
          <w:b/>
          <w:bCs/>
          <w:sz w:val="26"/>
          <w:szCs w:val="26"/>
        </w:rPr>
      </w:pPr>
    </w:p>
    <w:p>
      <w:pPr>
        <w:spacing w:before="0"/>
        <w:ind w:left="114" w:right="0" w:firstLine="0"/>
        <w:jc w:val="both"/>
        <w:rPr>
          <w:rFonts w:ascii="宋体" w:hAnsi="宋体" w:cs="宋体" w:eastAsia="宋体" w:hint="default"/>
          <w:sz w:val="18"/>
          <w:szCs w:val="18"/>
        </w:rPr>
      </w:pPr>
      <w:r>
        <w:rPr>
          <w:rFonts w:ascii="宋体" w:hAnsi="宋体" w:cs="宋体" w:eastAsia="宋体" w:hint="default"/>
          <w:sz w:val="18"/>
          <w:szCs w:val="18"/>
        </w:rPr>
        <w:t>√ 适用 □ 不适用</w:t>
      </w:r>
    </w:p>
    <w:p>
      <w:pPr>
        <w:pStyle w:val="BodyText"/>
        <w:spacing w:line="312" w:lineRule="exact" w:before="96"/>
        <w:ind w:left="594" w:right="1116"/>
        <w:jc w:val="left"/>
      </w:pPr>
      <w:r>
        <w:rPr/>
        <w:t>本期合并范围增加了信发资产管理有限责任公司和智秾信息发展股份有限公司。 </w:t>
      </w:r>
      <w:r>
        <w:rPr>
          <w:spacing w:val="-2"/>
        </w:rPr>
        <w:t>公司于</w:t>
      </w:r>
      <w:r>
        <w:rPr>
          <w:rFonts w:ascii="宋体" w:hAnsi="宋体" w:cs="宋体" w:eastAsia="宋体" w:hint="default"/>
          <w:spacing w:val="-2"/>
        </w:rPr>
        <w:t>2018</w:t>
      </w:r>
      <w:r>
        <w:rPr>
          <w:spacing w:val="-2"/>
        </w:rPr>
        <w:t>年</w:t>
      </w:r>
      <w:r>
        <w:rPr>
          <w:rFonts w:ascii="宋体" w:hAnsi="宋体" w:cs="宋体" w:eastAsia="宋体" w:hint="default"/>
          <w:spacing w:val="-2"/>
        </w:rPr>
        <w:t>7</w:t>
      </w:r>
      <w:r>
        <w:rPr>
          <w:spacing w:val="-2"/>
        </w:rPr>
        <w:t>月</w:t>
      </w:r>
      <w:r>
        <w:rPr>
          <w:rFonts w:ascii="宋体" w:hAnsi="宋体" w:cs="宋体" w:eastAsia="宋体" w:hint="default"/>
          <w:spacing w:val="-2"/>
        </w:rPr>
        <w:t>20</w:t>
      </w:r>
      <w:r>
        <w:rPr>
          <w:spacing w:val="-2"/>
        </w:rPr>
        <w:t>日召开第四届董事会第十六次会议。审议通过了《关于受让信发资产</w:t>
      </w:r>
    </w:p>
    <w:p>
      <w:pPr>
        <w:pStyle w:val="BodyText"/>
        <w:spacing w:line="312" w:lineRule="exact"/>
        <w:ind w:right="1131"/>
        <w:jc w:val="both"/>
      </w:pPr>
      <w:r>
        <w:rPr>
          <w:spacing w:val="-3"/>
        </w:rPr>
        <w:t>管理有限公司</w:t>
      </w:r>
      <w:r>
        <w:rPr>
          <w:rFonts w:ascii="宋体" w:hAnsi="宋体" w:cs="宋体" w:eastAsia="宋体" w:hint="default"/>
          <w:spacing w:val="-3"/>
        </w:rPr>
        <w:t>60%</w:t>
      </w:r>
      <w:r>
        <w:rPr>
          <w:spacing w:val="-3"/>
        </w:rPr>
        <w:t>股权及后续安排暨关联交易的议案》，同意公司受让上海中信电子发展有限</w:t>
      </w:r>
      <w:r>
        <w:rPr>
          <w:spacing w:val="-114"/>
        </w:rPr>
        <w:t> </w:t>
      </w:r>
      <w:r>
        <w:rPr>
          <w:spacing w:val="-114"/>
        </w:rPr>
      </w:r>
      <w:r>
        <w:rPr>
          <w:spacing w:val="-2"/>
        </w:rPr>
        <w:t>公司及张曙华持有的信发资产管理有限责任公司</w:t>
      </w:r>
      <w:r>
        <w:rPr>
          <w:rFonts w:ascii="宋体" w:hAnsi="宋体" w:cs="宋体" w:eastAsia="宋体" w:hint="default"/>
          <w:spacing w:val="-2"/>
        </w:rPr>
        <w:t>60%</w:t>
      </w:r>
      <w:r>
        <w:rPr>
          <w:spacing w:val="-2"/>
        </w:rPr>
        <w:t>的股权，签署附条件生效的《股权转让协</w:t>
      </w:r>
      <w:r>
        <w:rPr>
          <w:spacing w:val="-118"/>
        </w:rPr>
        <w:t> </w:t>
      </w:r>
      <w:r>
        <w:rPr>
          <w:spacing w:val="-118"/>
        </w:rPr>
      </w:r>
      <w:r>
        <w:rPr>
          <w:spacing w:val="-5"/>
        </w:rPr>
        <w:t>议》，并于</w:t>
      </w:r>
      <w:r>
        <w:rPr>
          <w:rFonts w:ascii="宋体" w:hAnsi="宋体" w:cs="宋体" w:eastAsia="宋体" w:hint="default"/>
          <w:spacing w:val="-5"/>
        </w:rPr>
        <w:t>2018</w:t>
      </w:r>
      <w:r>
        <w:rPr>
          <w:spacing w:val="-5"/>
        </w:rPr>
        <w:t>年</w:t>
      </w:r>
      <w:r>
        <w:rPr>
          <w:rFonts w:ascii="宋体" w:hAnsi="宋体" w:cs="宋体" w:eastAsia="宋体" w:hint="default"/>
          <w:spacing w:val="-5"/>
        </w:rPr>
        <w:t>8</w:t>
      </w:r>
      <w:r>
        <w:rPr>
          <w:spacing w:val="-5"/>
        </w:rPr>
        <w:t>月</w:t>
      </w:r>
      <w:r>
        <w:rPr>
          <w:rFonts w:ascii="宋体" w:hAnsi="宋体" w:cs="宋体" w:eastAsia="宋体" w:hint="default"/>
          <w:spacing w:val="-5"/>
        </w:rPr>
        <w:t>27</w:t>
      </w:r>
      <w:r>
        <w:rPr>
          <w:spacing w:val="-5"/>
        </w:rPr>
        <w:t>日办妥工商变更登记。</w:t>
      </w:r>
    </w:p>
    <w:p>
      <w:pPr>
        <w:pStyle w:val="BodyText"/>
        <w:spacing w:line="312" w:lineRule="exact" w:before="41"/>
        <w:ind w:right="0" w:firstLine="480"/>
        <w:jc w:val="left"/>
      </w:pPr>
      <w:r>
        <w:rPr/>
        <w:t>公司于</w:t>
      </w:r>
      <w:r>
        <w:rPr>
          <w:rFonts w:ascii="宋体" w:hAnsi="宋体" w:cs="宋体" w:eastAsia="宋体" w:hint="default"/>
        </w:rPr>
        <w:t>2018</w:t>
      </w:r>
      <w:r>
        <w:rPr/>
        <w:t>年</w:t>
      </w:r>
      <w:r>
        <w:rPr>
          <w:rFonts w:ascii="宋体" w:hAnsi="宋体" w:cs="宋体" w:eastAsia="宋体" w:hint="default"/>
        </w:rPr>
        <w:t>11</w:t>
      </w:r>
      <w:r>
        <w:rPr/>
        <w:t>月</w:t>
      </w:r>
      <w:r>
        <w:rPr>
          <w:rFonts w:ascii="宋体" w:hAnsi="宋体" w:cs="宋体" w:eastAsia="宋体" w:hint="default"/>
        </w:rPr>
        <w:t>19</w:t>
      </w:r>
      <w:r>
        <w:rPr/>
        <w:t>日发起设立智秾信息发展股份有限公司，该公司注册资本为人民币 </w:t>
      </w:r>
      <w:r>
        <w:rPr>
          <w:rFonts w:ascii="宋体" w:hAnsi="宋体" w:cs="宋体" w:eastAsia="宋体" w:hint="default"/>
        </w:rPr>
        <w:t>5,000.00</w:t>
      </w:r>
      <w:r>
        <w:rPr/>
        <w:t>万元，公司认缴出资额为</w:t>
      </w:r>
      <w:r>
        <w:rPr>
          <w:rFonts w:ascii="宋体" w:hAnsi="宋体" w:cs="宋体" w:eastAsia="宋体" w:hint="default"/>
        </w:rPr>
        <w:t>3,500</w:t>
      </w:r>
      <w:r>
        <w:rPr/>
        <w:t>万元，认缴出资比例为</w:t>
      </w:r>
      <w:r>
        <w:rPr>
          <w:rFonts w:ascii="宋体" w:hAnsi="宋体" w:cs="宋体" w:eastAsia="宋体" w:hint="default"/>
        </w:rPr>
        <w:t>70%</w:t>
      </w:r>
      <w:r>
        <w:rPr/>
        <w:t>。</w:t>
      </w:r>
    </w:p>
    <w:p>
      <w:pPr>
        <w:spacing w:line="240" w:lineRule="auto" w:before="9"/>
        <w:rPr>
          <w:rFonts w:ascii="宋体" w:hAnsi="宋体" w:cs="宋体" w:eastAsia="宋体" w:hint="default"/>
          <w:sz w:val="20"/>
          <w:szCs w:val="20"/>
        </w:rPr>
      </w:pPr>
    </w:p>
    <w:p>
      <w:pPr>
        <w:pStyle w:val="Heading4"/>
        <w:spacing w:line="240" w:lineRule="auto"/>
        <w:ind w:right="0"/>
        <w:jc w:val="both"/>
        <w:rPr>
          <w:b w:val="0"/>
          <w:bCs w:val="0"/>
        </w:rPr>
      </w:pPr>
      <w:bookmarkStart w:name="八、聘任、解聘会计师事务所情况" w:id="71"/>
      <w:bookmarkEnd w:id="71"/>
      <w:r>
        <w:rPr>
          <w:b w:val="0"/>
          <w:bCs w:val="0"/>
        </w:rPr>
      </w:r>
      <w:r>
        <w:rPr/>
        <w:t>八、聘任、解聘会计师事务所情况</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both"/>
        <w:rPr>
          <w:rFonts w:ascii="宋体" w:hAnsi="宋体" w:cs="宋体" w:eastAsia="宋体" w:hint="default"/>
          <w:sz w:val="18"/>
          <w:szCs w:val="18"/>
        </w:rPr>
      </w:pPr>
      <w:r>
        <w:rPr>
          <w:rFonts w:ascii="宋体" w:hAnsi="宋体" w:cs="宋体" w:eastAsia="宋体" w:hint="default"/>
          <w:sz w:val="18"/>
          <w:szCs w:val="18"/>
        </w:rPr>
        <w:t>现聘任的会计事务所</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92"/>
        <w:gridCol w:w="4777"/>
      </w:tblGrid>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境内会计师事务所名称</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立信会计事务所（特殊普通合伙）</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境内会计师事务所报酬（万元）</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75</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境内会计师事务所审计服务的连续年限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境内会计师事务所注册会计师姓名</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庄继宁、吴海燕</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境内会计师事务所注册会计师审计服务的连续年限</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2" w:right="0"/>
              <w:jc w:val="left"/>
              <w:rPr>
                <w:rFonts w:ascii="Times New Roman" w:hAnsi="Times New Roman" w:cs="Times New Roman" w:eastAsia="Times New Roman" w:hint="default"/>
                <w:sz w:val="18"/>
                <w:szCs w:val="18"/>
              </w:rPr>
            </w:pPr>
            <w:r>
              <w:rPr>
                <w:rFonts w:ascii="Times New Roman"/>
                <w:sz w:val="18"/>
              </w:rPr>
              <w:t>1</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境外会计师事务所名称（如有）</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境外会计师事务所审计服务的连续年限（如有）</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境外会计师事务所注册会计师姓名（如有）</w:t>
            </w:r>
          </w:p>
        </w:tc>
        <w:tc>
          <w:tcPr>
            <w:tcW w:w="477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是否改聘会计师事务所</w:t>
      </w:r>
    </w:p>
    <w:p>
      <w:pPr>
        <w:spacing w:line="357" w:lineRule="auto" w:before="117"/>
        <w:ind w:left="114" w:right="6252" w:firstLine="0"/>
        <w:jc w:val="left"/>
        <w:rPr>
          <w:rFonts w:ascii="宋体" w:hAnsi="宋体" w:cs="宋体" w:eastAsia="宋体" w:hint="default"/>
          <w:sz w:val="18"/>
          <w:szCs w:val="18"/>
        </w:rPr>
      </w:pPr>
      <w:r>
        <w:rPr>
          <w:rFonts w:ascii="宋体" w:hAnsi="宋体" w:cs="宋体" w:eastAsia="宋体" w:hint="default"/>
          <w:sz w:val="18"/>
          <w:szCs w:val="18"/>
        </w:rPr>
        <w:t>□ 是 √ 否 聘请内部控制审计会计师事务所、财务顾问或保荐人情况</w:t>
      </w:r>
    </w:p>
    <w:p>
      <w:pPr>
        <w:spacing w:before="28"/>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1"/>
        <w:rPr>
          <w:rFonts w:ascii="宋体" w:hAnsi="宋体" w:cs="宋体" w:eastAsia="宋体" w:hint="default"/>
          <w:sz w:val="17"/>
          <w:szCs w:val="17"/>
        </w:rPr>
      </w:pPr>
    </w:p>
    <w:p>
      <w:pPr>
        <w:pStyle w:val="Heading4"/>
        <w:spacing w:line="240" w:lineRule="auto" w:before="26"/>
        <w:ind w:right="0"/>
        <w:jc w:val="left"/>
        <w:rPr>
          <w:b w:val="0"/>
          <w:bCs w:val="0"/>
        </w:rPr>
      </w:pPr>
      <w:bookmarkStart w:name="九、年度报告披露后面临暂停上市和终止上市情况" w:id="72"/>
      <w:bookmarkEnd w:id="72"/>
      <w:r>
        <w:rPr>
          <w:b w:val="0"/>
          <w:bCs w:val="0"/>
        </w:rPr>
      </w:r>
      <w:r>
        <w:rPr/>
        <w:t>九、年度报告披露后面临暂停上市和终止上市情况</w:t>
      </w:r>
      <w:r>
        <w:rPr>
          <w:b w:val="0"/>
          <w:bCs w:val="0"/>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25"/>
          <w:szCs w:val="25"/>
        </w:rPr>
      </w:pPr>
    </w:p>
    <w:p>
      <w:pPr>
        <w:pStyle w:val="Heading4"/>
        <w:spacing w:line="240" w:lineRule="auto"/>
        <w:ind w:right="0"/>
        <w:jc w:val="left"/>
        <w:rPr>
          <w:b w:val="0"/>
          <w:bCs w:val="0"/>
        </w:rPr>
      </w:pPr>
      <w:bookmarkStart w:name="十、破产重整相关事项" w:id="73"/>
      <w:bookmarkEnd w:id="73"/>
      <w:r>
        <w:rPr>
          <w:b w:val="0"/>
          <w:bCs w:val="0"/>
        </w:rPr>
      </w:r>
      <w:r>
        <w:rPr/>
        <w:t>十、破产重整相关事项</w:t>
      </w:r>
      <w:r>
        <w:rPr>
          <w:b w:val="0"/>
          <w:bCs w:val="0"/>
        </w:rPr>
      </w:r>
    </w:p>
    <w:p>
      <w:pPr>
        <w:spacing w:line="240" w:lineRule="auto" w:before="9"/>
        <w:rPr>
          <w:rFonts w:ascii="宋体" w:hAnsi="宋体" w:cs="宋体" w:eastAsia="宋体" w:hint="default"/>
          <w:b/>
          <w:bCs/>
          <w:sz w:val="26"/>
          <w:szCs w:val="26"/>
        </w:rPr>
      </w:pPr>
    </w:p>
    <w:p>
      <w:pPr>
        <w:spacing w:line="357" w:lineRule="auto" w:before="0"/>
        <w:ind w:left="114" w:right="769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公司报告期未发生破产重整相关事项。</w:t>
      </w:r>
    </w:p>
    <w:p>
      <w:pPr>
        <w:spacing w:line="240" w:lineRule="auto" w:before="4"/>
        <w:rPr>
          <w:rFonts w:ascii="宋体" w:hAnsi="宋体" w:cs="宋体" w:eastAsia="宋体" w:hint="default"/>
          <w:sz w:val="18"/>
          <w:szCs w:val="18"/>
        </w:rPr>
      </w:pPr>
    </w:p>
    <w:p>
      <w:pPr>
        <w:pStyle w:val="Heading4"/>
        <w:spacing w:line="240" w:lineRule="auto"/>
        <w:ind w:right="0"/>
        <w:jc w:val="left"/>
        <w:rPr>
          <w:b w:val="0"/>
          <w:bCs w:val="0"/>
        </w:rPr>
      </w:pPr>
      <w:bookmarkStart w:name="十一、重大诉讼、仲裁事项" w:id="74"/>
      <w:bookmarkEnd w:id="74"/>
      <w:r>
        <w:rPr>
          <w:b w:val="0"/>
          <w:bCs w:val="0"/>
        </w:rPr>
      </w:r>
      <w:r>
        <w:rPr/>
        <w:t>十一、重大诉讼、仲裁事项</w:t>
      </w:r>
      <w:r>
        <w:rPr>
          <w:b w:val="0"/>
          <w:bCs w:val="0"/>
        </w:rPr>
      </w:r>
    </w:p>
    <w:p>
      <w:pPr>
        <w:spacing w:line="240" w:lineRule="auto" w:before="9"/>
        <w:rPr>
          <w:rFonts w:ascii="宋体" w:hAnsi="宋体" w:cs="宋体" w:eastAsia="宋体" w:hint="default"/>
          <w:b/>
          <w:bCs/>
          <w:sz w:val="26"/>
          <w:szCs w:val="26"/>
        </w:rPr>
      </w:pPr>
    </w:p>
    <w:p>
      <w:pPr>
        <w:spacing w:line="357" w:lineRule="auto" w:before="0"/>
        <w:ind w:left="114" w:right="7872" w:firstLine="0"/>
        <w:jc w:val="left"/>
        <w:rPr>
          <w:rFonts w:ascii="宋体" w:hAnsi="宋体" w:cs="宋体" w:eastAsia="宋体" w:hint="default"/>
          <w:sz w:val="18"/>
          <w:szCs w:val="18"/>
        </w:rPr>
      </w:pPr>
      <w:r>
        <w:rPr>
          <w:rFonts w:ascii="宋体" w:hAnsi="宋体" w:cs="宋体" w:eastAsia="宋体" w:hint="default"/>
          <w:sz w:val="18"/>
          <w:szCs w:val="18"/>
        </w:rPr>
        <w:t>□ 适用 √ 不适用 本年度公司无重大诉讼、仲裁事项。</w:t>
      </w:r>
    </w:p>
    <w:p>
      <w:pPr>
        <w:spacing w:line="240" w:lineRule="auto" w:before="3"/>
        <w:rPr>
          <w:rFonts w:ascii="宋体" w:hAnsi="宋体" w:cs="宋体" w:eastAsia="宋体" w:hint="default"/>
          <w:sz w:val="18"/>
          <w:szCs w:val="18"/>
        </w:rPr>
      </w:pPr>
    </w:p>
    <w:p>
      <w:pPr>
        <w:pStyle w:val="Heading4"/>
        <w:spacing w:line="240" w:lineRule="auto"/>
        <w:ind w:right="0"/>
        <w:jc w:val="left"/>
        <w:rPr>
          <w:b w:val="0"/>
          <w:bCs w:val="0"/>
        </w:rPr>
      </w:pPr>
      <w:bookmarkStart w:name="十二、处罚及整改情况" w:id="75"/>
      <w:bookmarkEnd w:id="75"/>
      <w:r>
        <w:rPr>
          <w:b w:val="0"/>
          <w:bCs w:val="0"/>
        </w:rPr>
      </w:r>
      <w:r>
        <w:rPr/>
        <w:t>十二、处罚及整改情况</w:t>
      </w:r>
      <w:r>
        <w:rPr>
          <w:b w:val="0"/>
          <w:bCs w:val="0"/>
        </w:rPr>
      </w:r>
    </w:p>
    <w:p>
      <w:pPr>
        <w:spacing w:line="240" w:lineRule="auto" w:before="9"/>
        <w:rPr>
          <w:rFonts w:ascii="宋体" w:hAnsi="宋体" w:cs="宋体" w:eastAsia="宋体" w:hint="default"/>
          <w:b/>
          <w:bCs/>
          <w:sz w:val="26"/>
          <w:szCs w:val="26"/>
        </w:rPr>
      </w:pPr>
    </w:p>
    <w:p>
      <w:pPr>
        <w:spacing w:line="357" w:lineRule="auto" w:before="0"/>
        <w:ind w:left="114" w:right="787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公司报告期不存在处罚及整改情况。</w:t>
      </w:r>
    </w:p>
    <w:p>
      <w:pPr>
        <w:spacing w:line="240" w:lineRule="auto" w:before="4"/>
        <w:rPr>
          <w:rFonts w:ascii="宋体" w:hAnsi="宋体" w:cs="宋体" w:eastAsia="宋体" w:hint="default"/>
          <w:sz w:val="18"/>
          <w:szCs w:val="18"/>
        </w:rPr>
      </w:pPr>
    </w:p>
    <w:p>
      <w:pPr>
        <w:pStyle w:val="Heading4"/>
        <w:spacing w:line="240" w:lineRule="auto"/>
        <w:ind w:right="0"/>
        <w:jc w:val="left"/>
        <w:rPr>
          <w:b w:val="0"/>
          <w:bCs w:val="0"/>
        </w:rPr>
      </w:pPr>
      <w:bookmarkStart w:name="十三、公司及其控股股东、实际控制人的诚信状况" w:id="76"/>
      <w:bookmarkEnd w:id="76"/>
      <w:r>
        <w:rPr>
          <w:b w:val="0"/>
          <w:bCs w:val="0"/>
        </w:rPr>
      </w:r>
      <w:r>
        <w:rPr/>
        <w:t>十三、公司及其控股股东、实际控制人的诚信状况</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4"/>
        <w:spacing w:line="240" w:lineRule="auto"/>
        <w:ind w:right="0"/>
        <w:jc w:val="left"/>
        <w:rPr>
          <w:b w:val="0"/>
          <w:bCs w:val="0"/>
        </w:rPr>
      </w:pPr>
      <w:bookmarkStart w:name="十四、公司股权激励计划、员工持股计划或其他员工激励措施的实施情况" w:id="77"/>
      <w:bookmarkEnd w:id="77"/>
      <w:r>
        <w:rPr>
          <w:b w:val="0"/>
          <w:bCs w:val="0"/>
        </w:rPr>
      </w:r>
      <w:r>
        <w:rPr/>
        <w:t>十四、公司股权激励计划、员工持股计划或其他员工激励措施的实施情况</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338" w:lineRule="auto" w:before="117"/>
        <w:ind w:left="114" w:right="1843"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号——上市公司从事软件与信息技术服务业务》的披露要求 公司报告期无股权激励计划、员工持股计划或其他员工激励措施及其实施情况。</w:t>
      </w:r>
    </w:p>
    <w:p>
      <w:pPr>
        <w:spacing w:line="240" w:lineRule="auto" w:before="4"/>
        <w:rPr>
          <w:rFonts w:ascii="宋体" w:hAnsi="宋体" w:cs="宋体" w:eastAsia="宋体" w:hint="default"/>
          <w:sz w:val="19"/>
          <w:szCs w:val="19"/>
        </w:rPr>
      </w:pPr>
    </w:p>
    <w:p>
      <w:pPr>
        <w:pStyle w:val="Heading4"/>
        <w:spacing w:line="240" w:lineRule="auto"/>
        <w:ind w:right="0"/>
        <w:jc w:val="left"/>
        <w:rPr>
          <w:b w:val="0"/>
          <w:bCs w:val="0"/>
        </w:rPr>
      </w:pPr>
      <w:bookmarkStart w:name="十五、重大关联交易" w:id="78"/>
      <w:bookmarkEnd w:id="78"/>
      <w:r>
        <w:rPr>
          <w:b w:val="0"/>
          <w:bCs w:val="0"/>
        </w:rPr>
      </w:r>
      <w:r>
        <w:rPr/>
        <w:t>十五、重大关联交易</w:t>
      </w:r>
      <w:r>
        <w:rPr>
          <w:b w:val="0"/>
          <w:bCs w:val="0"/>
        </w:rPr>
      </w:r>
    </w:p>
    <w:p>
      <w:pPr>
        <w:spacing w:line="240" w:lineRule="auto" w:before="9"/>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与日常经营相关的关联交易" w:id="79"/>
      <w:bookmarkEnd w:id="79"/>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、与日常经营相关的关联交易</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60" w:lineRule="auto" w:before="0"/>
        <w:ind w:left="114" w:right="595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公司报告期未发生与日常经营相关的关联交易。</w:t>
      </w:r>
    </w:p>
    <w:p>
      <w:pPr>
        <w:spacing w:line="240" w:lineRule="auto" w:before="11"/>
        <w:rPr>
          <w:rFonts w:ascii="宋体" w:hAnsi="宋体" w:cs="宋体" w:eastAsia="宋体" w:hint="default"/>
          <w:sz w:val="19"/>
          <w:szCs w:val="19"/>
        </w:rPr>
      </w:pPr>
    </w:p>
    <w:p>
      <w:pPr>
        <w:spacing w:before="0"/>
        <w:ind w:left="114" w:right="0" w:firstLine="0"/>
        <w:jc w:val="left"/>
        <w:rPr>
          <w:rFonts w:ascii="宋体" w:hAnsi="宋体" w:cs="宋体" w:eastAsia="宋体" w:hint="default"/>
          <w:sz w:val="21"/>
          <w:szCs w:val="21"/>
        </w:rPr>
      </w:pPr>
      <w:bookmarkStart w:name="2、资产或股权收购、出售发生的关联交易" w:id="80"/>
      <w:bookmarkEnd w:id="80"/>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、资产或股权收购、出售发生的关联交易</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line="357" w:lineRule="auto" w:before="0"/>
        <w:ind w:left="114" w:right="643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公司报告期未发生资产或股权收购、出售的关联交易。</w:t>
      </w:r>
    </w:p>
    <w:p>
      <w:pPr>
        <w:spacing w:line="240" w:lineRule="auto" w:before="0"/>
        <w:rPr>
          <w:rFonts w:ascii="宋体" w:hAnsi="宋体" w:cs="宋体" w:eastAsia="宋体" w:hint="default"/>
          <w:sz w:val="20"/>
          <w:szCs w:val="20"/>
        </w:rPr>
      </w:pPr>
    </w:p>
    <w:p>
      <w:pPr>
        <w:spacing w:before="0"/>
        <w:ind w:left="114" w:right="0" w:firstLine="0"/>
        <w:jc w:val="left"/>
        <w:rPr>
          <w:rFonts w:ascii="宋体" w:hAnsi="宋体" w:cs="宋体" w:eastAsia="宋体" w:hint="default"/>
          <w:sz w:val="21"/>
          <w:szCs w:val="21"/>
        </w:rPr>
      </w:pPr>
      <w:bookmarkStart w:name="3、共同对外投资的关联交易" w:id="81"/>
      <w:bookmarkEnd w:id="81"/>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、共同对外投资的关联交易</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3"/>
        <w:rPr>
          <w:rFonts w:ascii="宋体" w:hAnsi="宋体" w:cs="宋体" w:eastAsia="宋体" w:hint="default"/>
          <w:sz w:val="20"/>
          <w:szCs w:val="20"/>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公司报告期未发生共同对外投资的关联交易。</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关联债权债务往来" w:id="82"/>
      <w:bookmarkEnd w:id="82"/>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、关联债权债务往来</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line="357" w:lineRule="auto" w:before="0"/>
        <w:ind w:left="114" w:right="769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公司报告期不存在关联债权债务往来。</w:t>
      </w:r>
    </w:p>
    <w:p>
      <w:pPr>
        <w:spacing w:line="240" w:lineRule="auto" w:before="1"/>
        <w:rPr>
          <w:rFonts w:ascii="宋体" w:hAnsi="宋体" w:cs="宋体" w:eastAsia="宋体" w:hint="default"/>
          <w:sz w:val="20"/>
          <w:szCs w:val="20"/>
        </w:rPr>
      </w:pPr>
    </w:p>
    <w:p>
      <w:pPr>
        <w:spacing w:before="0"/>
        <w:ind w:left="114" w:right="0" w:firstLine="0"/>
        <w:jc w:val="left"/>
        <w:rPr>
          <w:rFonts w:ascii="宋体" w:hAnsi="宋体" w:cs="宋体" w:eastAsia="宋体" w:hint="default"/>
          <w:sz w:val="21"/>
          <w:szCs w:val="21"/>
        </w:rPr>
      </w:pPr>
      <w:bookmarkStart w:name="5、其他重大关联交易" w:id="83"/>
      <w:bookmarkEnd w:id="83"/>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、其他重大关联交易</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23"/>
          <w:szCs w:val="23"/>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重大关联交易临时报告披露网站相关查询</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460"/>
        <w:gridCol w:w="2650"/>
        <w:gridCol w:w="3459"/>
      </w:tblGrid>
      <w:tr>
        <w:trPr>
          <w:trHeight w:val="401"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临时公告名称</w:t>
            </w:r>
          </w:p>
        </w:tc>
        <w:tc>
          <w:tcPr>
            <w:tcW w:w="26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9" w:right="0"/>
              <w:jc w:val="left"/>
              <w:rPr>
                <w:rFonts w:ascii="宋体" w:hAnsi="宋体" w:cs="宋体" w:eastAsia="宋体" w:hint="default"/>
                <w:sz w:val="18"/>
                <w:szCs w:val="18"/>
              </w:rPr>
            </w:pPr>
            <w:r>
              <w:rPr>
                <w:rFonts w:ascii="宋体" w:hAnsi="宋体" w:cs="宋体" w:eastAsia="宋体" w:hint="default"/>
                <w:sz w:val="18"/>
                <w:szCs w:val="18"/>
              </w:rPr>
              <w:t>临时公告披露日期</w:t>
            </w:r>
          </w:p>
        </w:tc>
        <w:tc>
          <w:tcPr>
            <w:tcW w:w="34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24" w:right="0"/>
              <w:jc w:val="left"/>
              <w:rPr>
                <w:rFonts w:ascii="宋体" w:hAnsi="宋体" w:cs="宋体" w:eastAsia="宋体" w:hint="default"/>
                <w:sz w:val="18"/>
                <w:szCs w:val="18"/>
              </w:rPr>
            </w:pPr>
            <w:r>
              <w:rPr>
                <w:rFonts w:ascii="宋体" w:hAnsi="宋体" w:cs="宋体" w:eastAsia="宋体" w:hint="default"/>
                <w:sz w:val="18"/>
                <w:szCs w:val="18"/>
              </w:rPr>
              <w:t>临时公告披露网站名称</w:t>
            </w:r>
          </w:p>
        </w:tc>
      </w:tr>
      <w:tr>
        <w:trPr>
          <w:trHeight w:val="714"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5"/>
              <w:jc w:val="left"/>
              <w:rPr>
                <w:rFonts w:ascii="宋体" w:hAnsi="宋体" w:cs="宋体" w:eastAsia="宋体" w:hint="default"/>
                <w:sz w:val="18"/>
                <w:szCs w:val="18"/>
              </w:rPr>
            </w:pPr>
            <w:r>
              <w:rPr>
                <w:rFonts w:ascii="宋体" w:hAnsi="宋体" w:cs="宋体" w:eastAsia="宋体" w:hint="default"/>
                <w:sz w:val="18"/>
                <w:szCs w:val="18"/>
              </w:rPr>
              <w:t>关于公司对外投资设立公司暨关联交易的 公告</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103" w:right="194"/>
              <w:jc w:val="left"/>
              <w:rPr>
                <w:rFonts w:ascii="宋体" w:hAnsi="宋体" w:cs="宋体" w:eastAsia="宋体" w:hint="default"/>
                <w:sz w:val="18"/>
                <w:szCs w:val="18"/>
              </w:rPr>
            </w:pPr>
            <w:r>
              <w:rPr>
                <w:rFonts w:ascii="宋体" w:hAnsi="宋体" w:cs="宋体" w:eastAsia="宋体" w:hint="default"/>
                <w:sz w:val="18"/>
                <w:szCs w:val="18"/>
              </w:rPr>
              <w:t>关于公司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年度日常关联交易预计的 公告</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1026"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5"/>
              <w:jc w:val="both"/>
              <w:rPr>
                <w:rFonts w:ascii="宋体" w:hAnsi="宋体" w:cs="宋体" w:eastAsia="宋体" w:hint="default"/>
                <w:sz w:val="18"/>
                <w:szCs w:val="18"/>
              </w:rPr>
            </w:pPr>
            <w:r>
              <w:rPr>
                <w:rFonts w:ascii="宋体" w:hAnsi="宋体" w:cs="宋体" w:eastAsia="宋体" w:hint="default"/>
                <w:sz w:val="18"/>
                <w:szCs w:val="18"/>
              </w:rPr>
              <w:t>关于公司实际控制人及其配偶为公司及公 司子公司提供无偿融资担保暨关联交易的 公告</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4"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关于受让信发资产管理有限责任公司</w:t>
            </w:r>
            <w:r>
              <w:rPr>
                <w:rFonts w:ascii="宋体" w:hAnsi="宋体" w:cs="宋体" w:eastAsia="宋体" w:hint="default"/>
                <w:spacing w:val="-56"/>
                <w:sz w:val="18"/>
                <w:szCs w:val="18"/>
              </w:rPr>
              <w:t> </w:t>
            </w:r>
            <w:r>
              <w:rPr>
                <w:rFonts w:ascii="Times New Roman" w:hAnsi="Times New Roman" w:cs="Times New Roman" w:eastAsia="Times New Roman" w:hint="default"/>
                <w:sz w:val="18"/>
                <w:szCs w:val="18"/>
              </w:rPr>
              <w:t>60%</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股权及后续安排暨关联交易的公告</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r>
        <w:trPr>
          <w:trHeight w:val="715" w:hRule="exact"/>
        </w:trPr>
        <w:tc>
          <w:tcPr>
            <w:tcW w:w="346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05"/>
              <w:jc w:val="left"/>
              <w:rPr>
                <w:rFonts w:ascii="宋体" w:hAnsi="宋体" w:cs="宋体" w:eastAsia="宋体" w:hint="default"/>
                <w:sz w:val="18"/>
                <w:szCs w:val="18"/>
              </w:rPr>
            </w:pPr>
            <w:r>
              <w:rPr>
                <w:rFonts w:ascii="宋体" w:hAnsi="宋体" w:cs="宋体" w:eastAsia="宋体" w:hint="default"/>
                <w:sz w:val="18"/>
                <w:szCs w:val="18"/>
              </w:rPr>
              <w:t>发行股份购买资产并募集配套资金暨关联 交易预案</w:t>
            </w:r>
          </w:p>
        </w:tc>
        <w:tc>
          <w:tcPr>
            <w:tcW w:w="26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34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巨潮资讯网</w:t>
            </w:r>
          </w:p>
        </w:tc>
      </w:tr>
    </w:tbl>
    <w:p>
      <w:pPr>
        <w:spacing w:line="240" w:lineRule="auto" w:before="2"/>
        <w:rPr>
          <w:rFonts w:ascii="宋体" w:hAnsi="宋体" w:cs="宋体" w:eastAsia="宋体" w:hint="default"/>
          <w:sz w:val="18"/>
          <w:szCs w:val="18"/>
        </w:rPr>
      </w:pPr>
    </w:p>
    <w:p>
      <w:pPr>
        <w:pStyle w:val="Heading4"/>
        <w:spacing w:line="240" w:lineRule="auto" w:before="26"/>
        <w:ind w:right="0"/>
        <w:jc w:val="left"/>
        <w:rPr>
          <w:b w:val="0"/>
          <w:bCs w:val="0"/>
        </w:rPr>
      </w:pPr>
      <w:bookmarkStart w:name="十六、重大合同及其履行情况" w:id="84"/>
      <w:bookmarkEnd w:id="84"/>
      <w:r>
        <w:rPr>
          <w:b w:val="0"/>
          <w:bCs w:val="0"/>
        </w:rPr>
      </w:r>
      <w:r>
        <w:rPr/>
        <w:t>十六、重大合同及其履行情况</w:t>
      </w:r>
      <w:r>
        <w:rPr>
          <w:b w:val="0"/>
          <w:bCs w:val="0"/>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托管、承包、租赁事项情况" w:id="85"/>
      <w:bookmarkEnd w:id="85"/>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、托管、承包、租赁事项情况</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托管情况" w:id="86"/>
      <w:bookmarkEnd w:id="8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）托管情况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57" w:lineRule="auto" w:before="0"/>
        <w:ind w:left="114" w:right="841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公司报告期不存在托管情况。</w:t>
      </w:r>
    </w:p>
    <w:p>
      <w:pPr>
        <w:spacing w:line="240" w:lineRule="auto" w:before="1"/>
        <w:rPr>
          <w:rFonts w:ascii="宋体" w:hAnsi="宋体" w:cs="宋体" w:eastAsia="宋体" w:hint="default"/>
          <w:sz w:val="20"/>
          <w:szCs w:val="20"/>
        </w:rPr>
      </w:pPr>
    </w:p>
    <w:p>
      <w:pPr>
        <w:spacing w:before="0"/>
        <w:ind w:left="114" w:right="0" w:firstLine="0"/>
        <w:jc w:val="left"/>
        <w:rPr>
          <w:rFonts w:ascii="宋体" w:hAnsi="宋体" w:cs="宋体" w:eastAsia="宋体" w:hint="default"/>
          <w:sz w:val="21"/>
          <w:szCs w:val="21"/>
        </w:rPr>
      </w:pPr>
      <w:bookmarkStart w:name="（2）承包情况" w:id="87"/>
      <w:bookmarkEnd w:id="8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）承包情况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60" w:lineRule="auto" w:before="0"/>
        <w:ind w:left="114" w:right="841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公司报告期不存在承包情况。</w:t>
      </w:r>
    </w:p>
    <w:p>
      <w:pPr>
        <w:spacing w:after="0" w:line="36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3）租赁情况" w:id="88"/>
      <w:bookmarkEnd w:id="8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）租赁情况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line="357" w:lineRule="auto" w:before="0"/>
        <w:ind w:left="114" w:right="841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公司报告期不存在租赁情况。</w:t>
      </w:r>
    </w:p>
    <w:p>
      <w:pPr>
        <w:spacing w:line="240" w:lineRule="auto" w:before="1"/>
        <w:rPr>
          <w:rFonts w:ascii="宋体" w:hAnsi="宋体" w:cs="宋体" w:eastAsia="宋体" w:hint="default"/>
          <w:sz w:val="20"/>
          <w:szCs w:val="20"/>
        </w:rPr>
      </w:pPr>
    </w:p>
    <w:p>
      <w:pPr>
        <w:spacing w:before="0"/>
        <w:ind w:left="114" w:right="0" w:firstLine="0"/>
        <w:jc w:val="left"/>
        <w:rPr>
          <w:rFonts w:ascii="宋体" w:hAnsi="宋体" w:cs="宋体" w:eastAsia="宋体" w:hint="default"/>
          <w:sz w:val="21"/>
          <w:szCs w:val="21"/>
        </w:rPr>
      </w:pPr>
      <w:bookmarkStart w:name="2、重大担保" w:id="89"/>
      <w:bookmarkEnd w:id="89"/>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、重大担保</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1）担保情况" w:id="90"/>
      <w:bookmarkEnd w:id="9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）担保情况</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709"/>
        <w:gridCol w:w="923"/>
        <w:gridCol w:w="922"/>
        <w:gridCol w:w="1302"/>
        <w:gridCol w:w="1057"/>
        <w:gridCol w:w="1041"/>
        <w:gridCol w:w="1048"/>
        <w:gridCol w:w="790"/>
        <w:gridCol w:w="783"/>
      </w:tblGrid>
      <w:tr>
        <w:trPr>
          <w:trHeight w:val="40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32" w:right="0"/>
              <w:jc w:val="left"/>
              <w:rPr>
                <w:rFonts w:ascii="宋体" w:hAnsi="宋体" w:cs="宋体" w:eastAsia="宋体" w:hint="default"/>
                <w:sz w:val="18"/>
                <w:szCs w:val="18"/>
              </w:rPr>
            </w:pPr>
            <w:r>
              <w:rPr>
                <w:rFonts w:ascii="宋体" w:hAnsi="宋体" w:cs="宋体" w:eastAsia="宋体" w:hint="default"/>
                <w:sz w:val="18"/>
                <w:szCs w:val="18"/>
              </w:rPr>
              <w:t>公司及其子公司对外担保情况（不包括对子公司的担保）</w:t>
            </w:r>
          </w:p>
        </w:tc>
      </w:tr>
      <w:tr>
        <w:trPr>
          <w:trHeight w:val="1338"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9" w:right="181"/>
              <w:jc w:val="both"/>
              <w:rPr>
                <w:rFonts w:ascii="宋体" w:hAnsi="宋体" w:cs="宋体" w:eastAsia="宋体" w:hint="default"/>
                <w:sz w:val="18"/>
                <w:szCs w:val="18"/>
              </w:rPr>
            </w:pPr>
            <w:r>
              <w:rPr>
                <w:rFonts w:ascii="宋体" w:hAnsi="宋体" w:cs="宋体" w:eastAsia="宋体" w:hint="default"/>
                <w:sz w:val="18"/>
                <w:szCs w:val="18"/>
              </w:rPr>
              <w:t>担保额 度相关 公告披 露日期</w:t>
            </w:r>
          </w:p>
        </w:tc>
        <w:tc>
          <w:tcPr>
            <w:tcW w:w="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371" w:right="178" w:hanging="180"/>
              <w:jc w:val="left"/>
              <w:rPr>
                <w:rFonts w:ascii="宋体" w:hAnsi="宋体" w:cs="宋体" w:eastAsia="宋体" w:hint="default"/>
                <w:sz w:val="18"/>
                <w:szCs w:val="18"/>
              </w:rPr>
            </w:pPr>
            <w:r>
              <w:rPr>
                <w:rFonts w:ascii="宋体" w:hAnsi="宋体" w:cs="宋体" w:eastAsia="宋体" w:hint="default"/>
                <w:sz w:val="18"/>
                <w:szCs w:val="18"/>
              </w:rPr>
              <w:t>担保额 度</w:t>
            </w:r>
          </w:p>
        </w:tc>
        <w:tc>
          <w:tcPr>
            <w:tcW w:w="1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346" w:right="158" w:hanging="180"/>
              <w:jc w:val="left"/>
              <w:rPr>
                <w:rFonts w:ascii="宋体" w:hAnsi="宋体" w:cs="宋体" w:eastAsia="宋体" w:hint="default"/>
                <w:sz w:val="18"/>
                <w:szCs w:val="18"/>
              </w:rPr>
            </w:pPr>
            <w:r>
              <w:rPr>
                <w:rFonts w:ascii="宋体" w:hAnsi="宋体" w:cs="宋体" w:eastAsia="宋体" w:hint="default"/>
                <w:sz w:val="18"/>
                <w:szCs w:val="18"/>
              </w:rPr>
              <w:t>实际担保 金额</w:t>
            </w:r>
          </w:p>
        </w:tc>
        <w:tc>
          <w:tcPr>
            <w:tcW w:w="10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6"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45"/>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23" w:right="114"/>
              <w:jc w:val="left"/>
              <w:rPr>
                <w:rFonts w:ascii="宋体" w:hAnsi="宋体" w:cs="宋体" w:eastAsia="宋体" w:hint="default"/>
                <w:sz w:val="18"/>
                <w:szCs w:val="18"/>
              </w:rPr>
            </w:pPr>
            <w:r>
              <w:rPr>
                <w:rFonts w:ascii="宋体" w:hAnsi="宋体" w:cs="宋体" w:eastAsia="宋体" w:hint="default"/>
                <w:sz w:val="18"/>
                <w:szCs w:val="18"/>
              </w:rPr>
              <w:t>是否履 行完毕</w:t>
            </w:r>
          </w:p>
        </w:tc>
        <w:tc>
          <w:tcPr>
            <w:tcW w:w="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17" w:right="114"/>
              <w:jc w:val="both"/>
              <w:rPr>
                <w:rFonts w:ascii="宋体" w:hAnsi="宋体" w:cs="宋体" w:eastAsia="宋体" w:hint="default"/>
                <w:sz w:val="18"/>
                <w:szCs w:val="18"/>
              </w:rPr>
            </w:pPr>
            <w:r>
              <w:rPr>
                <w:rFonts w:ascii="宋体" w:hAnsi="宋体" w:cs="宋体" w:eastAsia="宋体" w:hint="default"/>
                <w:sz w:val="18"/>
                <w:szCs w:val="18"/>
              </w:rPr>
              <w:t>是否为 关联方 担保</w:t>
            </w:r>
          </w:p>
        </w:tc>
      </w:tr>
      <w:tr>
        <w:trPr>
          <w:trHeight w:val="402"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公司对子公司的担保情况</w:t>
            </w:r>
          </w:p>
        </w:tc>
      </w:tr>
      <w:tr>
        <w:trPr>
          <w:trHeight w:val="1338"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6" w:right="185"/>
              <w:jc w:val="both"/>
              <w:rPr>
                <w:rFonts w:ascii="宋体" w:hAnsi="宋体" w:cs="宋体" w:eastAsia="宋体" w:hint="default"/>
                <w:sz w:val="18"/>
                <w:szCs w:val="18"/>
              </w:rPr>
            </w:pPr>
            <w:r>
              <w:rPr>
                <w:rFonts w:ascii="宋体" w:hAnsi="宋体" w:cs="宋体" w:eastAsia="宋体" w:hint="default"/>
                <w:sz w:val="18"/>
                <w:szCs w:val="18"/>
              </w:rPr>
              <w:t>担保额 度相关 公告披 露日期</w:t>
            </w:r>
          </w:p>
        </w:tc>
        <w:tc>
          <w:tcPr>
            <w:tcW w:w="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368" w:right="183" w:hanging="180"/>
              <w:jc w:val="left"/>
              <w:rPr>
                <w:rFonts w:ascii="宋体" w:hAnsi="宋体" w:cs="宋体" w:eastAsia="宋体" w:hint="default"/>
                <w:sz w:val="18"/>
                <w:szCs w:val="18"/>
              </w:rPr>
            </w:pPr>
            <w:r>
              <w:rPr>
                <w:rFonts w:ascii="宋体" w:hAnsi="宋体" w:cs="宋体" w:eastAsia="宋体" w:hint="default"/>
                <w:sz w:val="18"/>
                <w:szCs w:val="18"/>
              </w:rPr>
              <w:t>担保额 度</w:t>
            </w:r>
          </w:p>
        </w:tc>
        <w:tc>
          <w:tcPr>
            <w:tcW w:w="1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346" w:right="158" w:hanging="180"/>
              <w:jc w:val="left"/>
              <w:rPr>
                <w:rFonts w:ascii="宋体" w:hAnsi="宋体" w:cs="宋体" w:eastAsia="宋体" w:hint="default"/>
                <w:sz w:val="18"/>
                <w:szCs w:val="18"/>
              </w:rPr>
            </w:pPr>
            <w:r>
              <w:rPr>
                <w:rFonts w:ascii="宋体" w:hAnsi="宋体" w:cs="宋体" w:eastAsia="宋体" w:hint="default"/>
                <w:sz w:val="18"/>
                <w:szCs w:val="18"/>
              </w:rPr>
              <w:t>实际担保 金额</w:t>
            </w:r>
          </w:p>
        </w:tc>
        <w:tc>
          <w:tcPr>
            <w:tcW w:w="10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6" w:right="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48"/>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19" w:right="118"/>
              <w:jc w:val="left"/>
              <w:rPr>
                <w:rFonts w:ascii="宋体" w:hAnsi="宋体" w:cs="宋体" w:eastAsia="宋体" w:hint="default"/>
                <w:sz w:val="18"/>
                <w:szCs w:val="18"/>
              </w:rPr>
            </w:pPr>
            <w:r>
              <w:rPr>
                <w:rFonts w:ascii="宋体" w:hAnsi="宋体" w:cs="宋体" w:eastAsia="宋体" w:hint="default"/>
                <w:sz w:val="18"/>
                <w:szCs w:val="18"/>
              </w:rPr>
              <w:t>是否履 行完毕</w:t>
            </w:r>
          </w:p>
        </w:tc>
        <w:tc>
          <w:tcPr>
            <w:tcW w:w="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17" w:right="114"/>
              <w:jc w:val="both"/>
              <w:rPr>
                <w:rFonts w:ascii="宋体" w:hAnsi="宋体" w:cs="宋体" w:eastAsia="宋体" w:hint="default"/>
                <w:sz w:val="18"/>
                <w:szCs w:val="18"/>
              </w:rPr>
            </w:pPr>
            <w:r>
              <w:rPr>
                <w:rFonts w:ascii="宋体" w:hAnsi="宋体" w:cs="宋体" w:eastAsia="宋体" w:hint="default"/>
                <w:sz w:val="18"/>
                <w:szCs w:val="18"/>
              </w:rPr>
              <w:t>是否为 关联方 担保</w:t>
            </w:r>
          </w:p>
        </w:tc>
      </w:tr>
      <w:tr>
        <w:trPr>
          <w:trHeight w:val="1026" w:hRule="exact"/>
        </w:trPr>
        <w:tc>
          <w:tcPr>
            <w:tcW w:w="17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03" w:right="154"/>
              <w:jc w:val="left"/>
              <w:rPr>
                <w:rFonts w:ascii="宋体" w:hAnsi="宋体" w:cs="宋体" w:eastAsia="宋体" w:hint="default"/>
                <w:sz w:val="18"/>
                <w:szCs w:val="18"/>
              </w:rPr>
            </w:pPr>
            <w:r>
              <w:rPr>
                <w:rFonts w:ascii="宋体" w:hAnsi="宋体" w:cs="宋体" w:eastAsia="宋体" w:hint="default"/>
                <w:sz w:val="18"/>
                <w:szCs w:val="18"/>
              </w:rPr>
              <w:t>光典信息发展有限 公司</w:t>
            </w:r>
          </w:p>
        </w:tc>
        <w:tc>
          <w:tcPr>
            <w:tcW w:w="9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31</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9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20" w:right="0"/>
              <w:jc w:val="left"/>
              <w:rPr>
                <w:rFonts w:ascii="Times New Roman" w:hAnsi="Times New Roman" w:cs="Times New Roman" w:eastAsia="Times New Roman" w:hint="default"/>
                <w:sz w:val="18"/>
                <w:szCs w:val="18"/>
              </w:rPr>
            </w:pPr>
            <w:r>
              <w:rPr>
                <w:rFonts w:ascii="Times New Roman"/>
                <w:sz w:val="18"/>
              </w:rPr>
              <w:t>16,500</w:t>
            </w:r>
          </w:p>
        </w:tc>
        <w:tc>
          <w:tcPr>
            <w:tcW w:w="1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455" w:right="0"/>
              <w:jc w:val="left"/>
              <w:rPr>
                <w:rFonts w:ascii="Times New Roman" w:hAnsi="Times New Roman" w:cs="Times New Roman" w:eastAsia="Times New Roman" w:hint="default"/>
                <w:sz w:val="18"/>
                <w:szCs w:val="18"/>
              </w:rPr>
            </w:pPr>
            <w:r>
              <w:rPr>
                <w:rFonts w:ascii="Times New Roman"/>
                <w:sz w:val="18"/>
              </w:rPr>
              <w:t>16,500</w:t>
            </w:r>
          </w:p>
        </w:tc>
        <w:tc>
          <w:tcPr>
            <w:tcW w:w="104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09" w:right="199"/>
              <w:jc w:val="left"/>
              <w:rPr>
                <w:rFonts w:ascii="宋体" w:hAnsi="宋体" w:cs="宋体" w:eastAsia="宋体" w:hint="default"/>
                <w:sz w:val="18"/>
                <w:szCs w:val="18"/>
              </w:rPr>
            </w:pPr>
            <w:r>
              <w:rPr>
                <w:rFonts w:ascii="宋体" w:hAnsi="宋体" w:cs="宋体" w:eastAsia="宋体" w:hint="default"/>
                <w:sz w:val="18"/>
                <w:szCs w:val="18"/>
              </w:rPr>
              <w:t>连带责任 保证</w:t>
            </w:r>
          </w:p>
        </w:tc>
        <w:tc>
          <w:tcPr>
            <w:tcW w:w="10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0" w:right="0"/>
              <w:jc w:val="left"/>
              <w:rPr>
                <w:rFonts w:ascii="宋体" w:hAnsi="宋体" w:cs="宋体" w:eastAsia="宋体" w:hint="default"/>
                <w:sz w:val="18"/>
                <w:szCs w:val="18"/>
              </w:rPr>
            </w:pPr>
            <w:r>
              <w:rPr>
                <w:rFonts w:ascii="宋体" w:hAnsi="宋体" w:cs="宋体" w:eastAsia="宋体" w:hint="default"/>
                <w:sz w:val="18"/>
                <w:szCs w:val="18"/>
              </w:rPr>
              <w:t>否</w:t>
            </w:r>
          </w:p>
        </w:tc>
        <w:tc>
          <w:tcPr>
            <w:tcW w:w="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6"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26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77"/>
              <w:jc w:val="left"/>
              <w:rPr>
                <w:rFonts w:ascii="宋体" w:hAnsi="宋体" w:cs="宋体" w:eastAsia="宋体" w:hint="default"/>
                <w:sz w:val="18"/>
                <w:szCs w:val="18"/>
              </w:rPr>
            </w:pPr>
            <w:r>
              <w:rPr>
                <w:rFonts w:ascii="宋体" w:hAnsi="宋体" w:cs="宋体" w:eastAsia="宋体" w:hint="default"/>
                <w:sz w:val="18"/>
                <w:szCs w:val="18"/>
              </w:rPr>
              <w:t>报告期内审批对子公司担保额 度合计（</w:t>
            </w:r>
            <w:r>
              <w:rPr>
                <w:rFonts w:ascii="Times New Roman" w:hAnsi="Times New Roman" w:cs="Times New Roman" w:eastAsia="Times New Roman" w:hint="default"/>
                <w:sz w:val="18"/>
                <w:szCs w:val="18"/>
              </w:rPr>
              <w:t>B1</w:t>
            </w:r>
            <w:r>
              <w:rPr>
                <w:rFonts w:ascii="宋体" w:hAnsi="宋体" w:cs="宋体" w:eastAsia="宋体" w:hint="default"/>
                <w:sz w:val="18"/>
                <w:szCs w:val="18"/>
              </w:rPr>
              <w:t>）</w:t>
            </w:r>
          </w:p>
        </w:tc>
        <w:tc>
          <w:tcPr>
            <w:tcW w:w="2224" w:type="dxa"/>
            <w:gridSpan w:val="2"/>
            <w:tcBorders>
              <w:top w:val="single" w:sz="4" w:space="0" w:color="000000"/>
              <w:left w:val="single" w:sz="4" w:space="0" w:color="000000"/>
              <w:bottom w:val="single" w:sz="4" w:space="0" w:color="000000"/>
              <w:right w:val="single" w:sz="4" w:space="0" w:color="000000"/>
            </w:tcBorders>
          </w:tcPr>
          <w:p>
            <w:pP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jc w:val="left"/>
              <w:rPr>
                <w:rFonts w:ascii="宋体" w:hAnsi="宋体" w:cs="宋体" w:eastAsia="宋体" w:hint="default"/>
                <w:sz w:val="18"/>
                <w:szCs w:val="18"/>
              </w:rPr>
            </w:pPr>
            <w:r>
              <w:rPr>
                <w:rFonts w:ascii="宋体" w:hAnsi="宋体" w:cs="宋体" w:eastAsia="宋体" w:hint="default"/>
                <w:sz w:val="18"/>
                <w:szCs w:val="18"/>
              </w:rPr>
              <w:t>报告期内对子公司担保 实际发生额合计（</w:t>
            </w:r>
            <w:r>
              <w:rPr>
                <w:rFonts w:ascii="Times New Roman" w:hAnsi="Times New Roman" w:cs="Times New Roman" w:eastAsia="Times New Roman" w:hint="default"/>
                <w:sz w:val="18"/>
                <w:szCs w:val="18"/>
              </w:rPr>
              <w:t>B2</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3,500</w:t>
            </w:r>
          </w:p>
        </w:tc>
      </w:tr>
      <w:tr>
        <w:trPr>
          <w:trHeight w:val="719" w:hRule="exact"/>
        </w:trPr>
        <w:tc>
          <w:tcPr>
            <w:tcW w:w="26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77"/>
              <w:jc w:val="left"/>
              <w:rPr>
                <w:rFonts w:ascii="宋体" w:hAnsi="宋体" w:cs="宋体" w:eastAsia="宋体" w:hint="default"/>
                <w:sz w:val="18"/>
                <w:szCs w:val="18"/>
              </w:rPr>
            </w:pPr>
            <w:r>
              <w:rPr>
                <w:rFonts w:ascii="宋体" w:hAnsi="宋体" w:cs="宋体" w:eastAsia="宋体" w:hint="default"/>
                <w:sz w:val="18"/>
                <w:szCs w:val="18"/>
              </w:rPr>
              <w:t>报告期末已审批的对子公司担 保额度合计（</w:t>
            </w:r>
            <w:r>
              <w:rPr>
                <w:rFonts w:ascii="Times New Roman" w:hAnsi="Times New Roman" w:cs="Times New Roman" w:eastAsia="Times New Roman" w:hint="default"/>
                <w:sz w:val="18"/>
                <w:szCs w:val="18"/>
              </w:rPr>
              <w:t>B3</w:t>
            </w:r>
            <w:r>
              <w:rPr>
                <w:rFonts w:ascii="宋体" w:hAnsi="宋体" w:cs="宋体" w:eastAsia="宋体" w:hint="default"/>
                <w:sz w:val="18"/>
                <w:szCs w:val="18"/>
              </w:rPr>
              <w:t>）</w:t>
            </w:r>
          </w:p>
        </w:tc>
        <w:tc>
          <w:tcPr>
            <w:tcW w:w="22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16,500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82"/>
              <w:jc w:val="left"/>
              <w:rPr>
                <w:rFonts w:ascii="宋体" w:hAnsi="宋体" w:cs="宋体" w:eastAsia="宋体" w:hint="default"/>
                <w:sz w:val="18"/>
                <w:szCs w:val="18"/>
              </w:rPr>
            </w:pPr>
            <w:r>
              <w:rPr>
                <w:rFonts w:ascii="宋体" w:hAnsi="宋体" w:cs="宋体" w:eastAsia="宋体" w:hint="default"/>
                <w:sz w:val="18"/>
                <w:szCs w:val="18"/>
              </w:rPr>
              <w:t>报告期末对子公司实际 担保余额合计（</w:t>
            </w:r>
            <w:r>
              <w:rPr>
                <w:rFonts w:ascii="Times New Roman" w:hAnsi="Times New Roman" w:cs="Times New Roman" w:eastAsia="Times New Roman" w:hint="default"/>
                <w:sz w:val="18"/>
                <w:szCs w:val="18"/>
              </w:rPr>
              <w:t>B4</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16,500</w:t>
            </w:r>
          </w:p>
        </w:tc>
      </w:tr>
      <w:tr>
        <w:trPr>
          <w:trHeight w:val="397"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子公司对子公司的担保情况</w:t>
            </w:r>
          </w:p>
        </w:tc>
      </w:tr>
      <w:tr>
        <w:trPr>
          <w:trHeight w:val="1338" w:hRule="exact"/>
        </w:trPr>
        <w:tc>
          <w:tcPr>
            <w:tcW w:w="170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担保对象名称</w:t>
            </w:r>
          </w:p>
        </w:tc>
        <w:tc>
          <w:tcPr>
            <w:tcW w:w="9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189"/>
              <w:jc w:val="both"/>
              <w:rPr>
                <w:rFonts w:ascii="宋体" w:hAnsi="宋体" w:cs="宋体" w:eastAsia="宋体" w:hint="default"/>
                <w:sz w:val="18"/>
                <w:szCs w:val="18"/>
              </w:rPr>
            </w:pPr>
            <w:r>
              <w:rPr>
                <w:rFonts w:ascii="宋体" w:hAnsi="宋体" w:cs="宋体" w:eastAsia="宋体" w:hint="default"/>
                <w:sz w:val="18"/>
                <w:szCs w:val="18"/>
              </w:rPr>
              <w:t>担保额 度相关 公告披 露日期</w:t>
            </w:r>
          </w:p>
        </w:tc>
        <w:tc>
          <w:tcPr>
            <w:tcW w:w="9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356" w:right="195" w:hanging="180"/>
              <w:jc w:val="left"/>
              <w:rPr>
                <w:rFonts w:ascii="宋体" w:hAnsi="宋体" w:cs="宋体" w:eastAsia="宋体" w:hint="default"/>
                <w:sz w:val="18"/>
                <w:szCs w:val="18"/>
              </w:rPr>
            </w:pPr>
            <w:r>
              <w:rPr>
                <w:rFonts w:ascii="宋体" w:hAnsi="宋体" w:cs="宋体" w:eastAsia="宋体" w:hint="default"/>
                <w:sz w:val="18"/>
                <w:szCs w:val="18"/>
              </w:rPr>
              <w:t>担保额 度</w:t>
            </w:r>
          </w:p>
        </w:tc>
        <w:tc>
          <w:tcPr>
            <w:tcW w:w="1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left="100" w:right="0"/>
              <w:jc w:val="left"/>
              <w:rPr>
                <w:rFonts w:ascii="宋体" w:hAnsi="宋体" w:cs="宋体" w:eastAsia="宋体" w:hint="default"/>
                <w:sz w:val="18"/>
                <w:szCs w:val="18"/>
              </w:rPr>
            </w:pPr>
            <w:r>
              <w:rPr>
                <w:rFonts w:ascii="宋体" w:hAnsi="宋体" w:cs="宋体" w:eastAsia="宋体" w:hint="default"/>
                <w:sz w:val="18"/>
                <w:szCs w:val="18"/>
              </w:rPr>
              <w:t>实际发生日期</w:t>
            </w:r>
          </w:p>
        </w:tc>
        <w:tc>
          <w:tcPr>
            <w:tcW w:w="1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337" w:right="169" w:hanging="180"/>
              <w:jc w:val="left"/>
              <w:rPr>
                <w:rFonts w:ascii="宋体" w:hAnsi="宋体" w:cs="宋体" w:eastAsia="宋体" w:hint="default"/>
                <w:sz w:val="18"/>
                <w:szCs w:val="18"/>
              </w:rPr>
            </w:pPr>
            <w:r>
              <w:rPr>
                <w:rFonts w:ascii="宋体" w:hAnsi="宋体" w:cs="宋体" w:eastAsia="宋体" w:hint="default"/>
                <w:sz w:val="18"/>
                <w:szCs w:val="18"/>
              </w:rPr>
              <w:t>实际担保 金额</w:t>
            </w:r>
          </w:p>
        </w:tc>
        <w:tc>
          <w:tcPr>
            <w:tcW w:w="104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10"/>
              <w:jc w:val="center"/>
              <w:rPr>
                <w:rFonts w:ascii="宋体" w:hAnsi="宋体" w:cs="宋体" w:eastAsia="宋体" w:hint="default"/>
                <w:sz w:val="18"/>
                <w:szCs w:val="18"/>
              </w:rPr>
            </w:pPr>
            <w:r>
              <w:rPr>
                <w:rFonts w:ascii="宋体" w:hAnsi="宋体" w:cs="宋体" w:eastAsia="宋体" w:hint="default"/>
                <w:sz w:val="18"/>
                <w:szCs w:val="18"/>
              </w:rPr>
              <w:t>担保类型</w:t>
            </w:r>
          </w:p>
        </w:tc>
        <w:tc>
          <w:tcPr>
            <w:tcW w:w="10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1"/>
                <w:szCs w:val="21"/>
              </w:rPr>
            </w:pPr>
          </w:p>
          <w:p>
            <w:pPr>
              <w:pStyle w:val="TableParagraph"/>
              <w:spacing w:line="240" w:lineRule="auto"/>
              <w:ind w:right="248"/>
              <w:jc w:val="right"/>
              <w:rPr>
                <w:rFonts w:ascii="宋体" w:hAnsi="宋体" w:cs="宋体" w:eastAsia="宋体" w:hint="default"/>
                <w:sz w:val="18"/>
                <w:szCs w:val="18"/>
              </w:rPr>
            </w:pPr>
            <w:r>
              <w:rPr>
                <w:rFonts w:ascii="宋体" w:hAnsi="宋体" w:cs="宋体" w:eastAsia="宋体" w:hint="default"/>
                <w:sz w:val="18"/>
                <w:szCs w:val="18"/>
              </w:rPr>
              <w:t>担保期</w:t>
            </w:r>
          </w:p>
        </w:tc>
        <w:tc>
          <w:tcPr>
            <w:tcW w:w="7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15" w:right="123"/>
              <w:jc w:val="left"/>
              <w:rPr>
                <w:rFonts w:ascii="宋体" w:hAnsi="宋体" w:cs="宋体" w:eastAsia="宋体" w:hint="default"/>
                <w:sz w:val="18"/>
                <w:szCs w:val="18"/>
              </w:rPr>
            </w:pPr>
            <w:r>
              <w:rPr>
                <w:rFonts w:ascii="宋体" w:hAnsi="宋体" w:cs="宋体" w:eastAsia="宋体" w:hint="default"/>
                <w:sz w:val="18"/>
                <w:szCs w:val="18"/>
              </w:rPr>
              <w:t>是否履 行完毕</w:t>
            </w:r>
          </w:p>
        </w:tc>
        <w:tc>
          <w:tcPr>
            <w:tcW w:w="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12" w:right="119"/>
              <w:jc w:val="both"/>
              <w:rPr>
                <w:rFonts w:ascii="宋体" w:hAnsi="宋体" w:cs="宋体" w:eastAsia="宋体" w:hint="default"/>
                <w:sz w:val="18"/>
                <w:szCs w:val="18"/>
              </w:rPr>
            </w:pPr>
            <w:r>
              <w:rPr>
                <w:rFonts w:ascii="宋体" w:hAnsi="宋体" w:cs="宋体" w:eastAsia="宋体" w:hint="default"/>
                <w:sz w:val="18"/>
                <w:szCs w:val="18"/>
              </w:rPr>
              <w:t>是否为 关联方 担保</w:t>
            </w:r>
          </w:p>
        </w:tc>
      </w:tr>
      <w:tr>
        <w:trPr>
          <w:trHeight w:val="397" w:hRule="exact"/>
        </w:trPr>
        <w:tc>
          <w:tcPr>
            <w:tcW w:w="9575"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公司担保总额（即前三大项的合计）</w:t>
            </w:r>
          </w:p>
        </w:tc>
      </w:tr>
      <w:tr>
        <w:trPr>
          <w:trHeight w:val="719" w:hRule="exact"/>
        </w:trPr>
        <w:tc>
          <w:tcPr>
            <w:tcW w:w="26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报告期内审批担保额度合计</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A1+B1+C1</w:t>
            </w:r>
            <w:r>
              <w:rPr>
                <w:rFonts w:ascii="宋体" w:hAnsi="宋体" w:cs="宋体" w:eastAsia="宋体" w:hint="default"/>
                <w:sz w:val="18"/>
                <w:szCs w:val="18"/>
              </w:rPr>
              <w:t>）</w:t>
            </w:r>
          </w:p>
        </w:tc>
        <w:tc>
          <w:tcPr>
            <w:tcW w:w="2224" w:type="dxa"/>
            <w:gridSpan w:val="2"/>
            <w:tcBorders>
              <w:top w:val="single" w:sz="4" w:space="0" w:color="000000"/>
              <w:left w:val="single" w:sz="4" w:space="0" w:color="000000"/>
              <w:bottom w:val="single" w:sz="4" w:space="0" w:color="000000"/>
              <w:right w:val="single" w:sz="4" w:space="0" w:color="000000"/>
            </w:tcBorders>
          </w:tcPr>
          <w:p>
            <w:pP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6"/>
              <w:ind w:left="103" w:right="182"/>
              <w:jc w:val="left"/>
              <w:rPr>
                <w:rFonts w:ascii="宋体" w:hAnsi="宋体" w:cs="宋体" w:eastAsia="宋体" w:hint="default"/>
                <w:sz w:val="18"/>
                <w:szCs w:val="18"/>
              </w:rPr>
            </w:pPr>
            <w:r>
              <w:rPr>
                <w:rFonts w:ascii="宋体" w:hAnsi="宋体" w:cs="宋体" w:eastAsia="宋体" w:hint="default"/>
                <w:sz w:val="18"/>
                <w:szCs w:val="18"/>
              </w:rPr>
              <w:t>报告期内担保实际发生 额合计（</w:t>
            </w:r>
            <w:r>
              <w:rPr>
                <w:rFonts w:ascii="Times New Roman" w:hAnsi="Times New Roman" w:cs="Times New Roman" w:eastAsia="Times New Roman" w:hint="default"/>
                <w:sz w:val="18"/>
                <w:szCs w:val="18"/>
              </w:rPr>
              <w:t>A2+B2+C2</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3,500</w:t>
            </w:r>
          </w:p>
        </w:tc>
      </w:tr>
      <w:tr>
        <w:trPr>
          <w:trHeight w:val="714" w:hRule="exact"/>
        </w:trPr>
        <w:tc>
          <w:tcPr>
            <w:tcW w:w="2632"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77"/>
              <w:jc w:val="left"/>
              <w:rPr>
                <w:rFonts w:ascii="宋体" w:hAnsi="宋体" w:cs="宋体" w:eastAsia="宋体" w:hint="default"/>
                <w:sz w:val="18"/>
                <w:szCs w:val="18"/>
              </w:rPr>
            </w:pPr>
            <w:r>
              <w:rPr>
                <w:rFonts w:ascii="宋体" w:hAnsi="宋体" w:cs="宋体" w:eastAsia="宋体" w:hint="default"/>
                <w:sz w:val="18"/>
                <w:szCs w:val="18"/>
              </w:rPr>
              <w:t>报告期末已审批的担保额度合 计（</w:t>
            </w:r>
            <w:r>
              <w:rPr>
                <w:rFonts w:ascii="Times New Roman" w:hAnsi="Times New Roman" w:cs="Times New Roman" w:eastAsia="Times New Roman" w:hint="default"/>
                <w:sz w:val="18"/>
                <w:szCs w:val="18"/>
              </w:rPr>
              <w:t>A3+B3+C3</w:t>
            </w:r>
            <w:r>
              <w:rPr>
                <w:rFonts w:ascii="宋体" w:hAnsi="宋体" w:cs="宋体" w:eastAsia="宋体" w:hint="default"/>
                <w:sz w:val="18"/>
                <w:szCs w:val="18"/>
              </w:rPr>
              <w:t>）</w:t>
            </w:r>
          </w:p>
        </w:tc>
        <w:tc>
          <w:tcPr>
            <w:tcW w:w="222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16,500</w:t>
            </w:r>
          </w:p>
        </w:tc>
        <w:tc>
          <w:tcPr>
            <w:tcW w:w="209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82"/>
              <w:jc w:val="left"/>
              <w:rPr>
                <w:rFonts w:ascii="宋体" w:hAnsi="宋体" w:cs="宋体" w:eastAsia="宋体" w:hint="default"/>
                <w:sz w:val="18"/>
                <w:szCs w:val="18"/>
              </w:rPr>
            </w:pPr>
            <w:r>
              <w:rPr>
                <w:rFonts w:ascii="宋体" w:hAnsi="宋体" w:cs="宋体" w:eastAsia="宋体" w:hint="default"/>
                <w:sz w:val="18"/>
                <w:szCs w:val="18"/>
              </w:rPr>
              <w:t>报告期末实际担保余额 合计（</w:t>
            </w:r>
            <w:r>
              <w:rPr>
                <w:rFonts w:ascii="Times New Roman" w:hAnsi="Times New Roman" w:cs="Times New Roman" w:eastAsia="Times New Roman" w:hint="default"/>
                <w:sz w:val="18"/>
                <w:szCs w:val="18"/>
              </w:rPr>
              <w:t>A4+B4+C4</w:t>
            </w:r>
            <w:r>
              <w:rPr>
                <w:rFonts w:ascii="宋体" w:hAnsi="宋体" w:cs="宋体" w:eastAsia="宋体" w:hint="default"/>
                <w:sz w:val="18"/>
                <w:szCs w:val="18"/>
              </w:rPr>
              <w:t>）</w:t>
            </w:r>
          </w:p>
        </w:tc>
        <w:tc>
          <w:tcPr>
            <w:tcW w:w="2621"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16,500</w:t>
            </w:r>
          </w:p>
        </w:tc>
      </w:tr>
      <w:tr>
        <w:trPr>
          <w:trHeight w:val="402" w:hRule="exact"/>
        </w:trPr>
        <w:tc>
          <w:tcPr>
            <w:tcW w:w="48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实际担保总额（即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A4+B4+C4</w:t>
            </w:r>
            <w:r>
              <w:rPr>
                <w:rFonts w:ascii="宋体" w:hAnsi="宋体" w:cs="宋体" w:eastAsia="宋体" w:hint="default"/>
                <w:sz w:val="18"/>
                <w:szCs w:val="18"/>
              </w:rPr>
              <w:t>）占公司净资产的比例</w:t>
            </w:r>
          </w:p>
        </w:tc>
        <w:tc>
          <w:tcPr>
            <w:tcW w:w="471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36.46%</w:t>
            </w:r>
          </w:p>
        </w:tc>
      </w:tr>
    </w:tbl>
    <w:p>
      <w:pPr>
        <w:spacing w:after="0" w:line="240" w:lineRule="auto"/>
        <w:jc w:val="right"/>
        <w:rPr>
          <w:rFonts w:ascii="Times New Roman" w:hAnsi="Times New Roman" w:cs="Times New Roman" w:eastAsia="Times New Roman" w:hint="default"/>
          <w:sz w:val="18"/>
          <w:szCs w:val="18"/>
        </w:rPr>
        <w:sectPr>
          <w:pgSz w:w="11910" w:h="16840"/>
          <w:pgMar w:header="822" w:footer="1019" w:top="1140" w:bottom="1200" w:left="1020" w:right="0"/>
        </w:sectPr>
      </w:pPr>
    </w:p>
    <w:p>
      <w:pPr>
        <w:spacing w:line="240" w:lineRule="auto" w:before="1"/>
        <w:rPr>
          <w:rFonts w:ascii="宋体" w:hAnsi="宋体" w:cs="宋体" w:eastAsia="宋体" w:hint="default"/>
          <w:sz w:val="23"/>
          <w:szCs w:val="23"/>
        </w:rPr>
      </w:pPr>
    </w:p>
    <w:p>
      <w:pPr>
        <w:spacing w:line="402" w:lineRule="exact"/>
        <w:ind w:left="114" w:right="0" w:firstLine="0"/>
        <w:rPr>
          <w:rFonts w:ascii="宋体" w:hAnsi="宋体" w:cs="宋体" w:eastAsia="宋体" w:hint="default"/>
          <w:sz w:val="20"/>
          <w:szCs w:val="20"/>
        </w:rPr>
      </w:pPr>
      <w:r>
        <w:rPr>
          <w:rFonts w:ascii="宋体" w:hAnsi="宋体" w:cs="宋体" w:eastAsia="宋体" w:hint="default"/>
          <w:position w:val="-7"/>
          <w:sz w:val="20"/>
          <w:szCs w:val="20"/>
        </w:rPr>
        <w:pict>
          <v:shape style="width:478.75pt;height:20.1pt;mso-position-horizontal-relative:char;mso-position-vertical-relative:line" type="#_x0000_t202" filled="true" fillcolor="#d2d2d2" stroked="true" strokeweight=".47998pt" strokecolor="#000000">
            <w10:anchorlock/>
            <v:textbox inset="0,0,0,0">
              <w:txbxContent>
                <w:p>
                  <w:pPr>
                    <w:spacing w:before="51"/>
                    <w:ind w:left="103" w:right="0" w:firstLine="0"/>
                    <w:jc w:val="left"/>
                    <w:rPr>
                      <w:rFonts w:ascii="宋体" w:hAnsi="宋体" w:cs="宋体" w:eastAsia="宋体" w:hint="default"/>
                      <w:sz w:val="18"/>
                      <w:szCs w:val="18"/>
                    </w:rPr>
                  </w:pPr>
                  <w:r>
                    <w:rPr>
                      <w:rFonts w:ascii="宋体" w:hAnsi="宋体" w:cs="宋体" w:eastAsia="宋体" w:hint="default"/>
                      <w:sz w:val="18"/>
                      <w:szCs w:val="18"/>
                    </w:rPr>
                    <w:t>其中：</w:t>
                  </w:r>
                </w:p>
              </w:txbxContent>
            </v:textbox>
            <v:fill type="solid"/>
          </v:shape>
        </w:pict>
      </w:r>
      <w:r>
        <w:rPr>
          <w:rFonts w:ascii="宋体" w:hAnsi="宋体" w:cs="宋体" w:eastAsia="宋体" w:hint="default"/>
          <w:position w:val="-7"/>
          <w:sz w:val="20"/>
          <w:szCs w:val="20"/>
        </w:rPr>
      </w:r>
    </w:p>
    <w:p>
      <w:pPr>
        <w:spacing w:before="56"/>
        <w:ind w:left="114" w:right="0" w:firstLine="0"/>
        <w:jc w:val="left"/>
        <w:rPr>
          <w:rFonts w:ascii="宋体" w:hAnsi="宋体" w:cs="宋体" w:eastAsia="宋体" w:hint="default"/>
          <w:sz w:val="18"/>
          <w:szCs w:val="18"/>
        </w:rPr>
      </w:pPr>
      <w:r>
        <w:rPr>
          <w:rFonts w:ascii="宋体" w:hAnsi="宋体" w:cs="宋体" w:eastAsia="宋体" w:hint="default"/>
          <w:sz w:val="18"/>
          <w:szCs w:val="18"/>
        </w:rPr>
        <w:t>采用复合方式担保的具体情况说明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违规对外担保情况" w:id="91"/>
      <w:bookmarkEnd w:id="9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）违规对外担保情况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line="357" w:lineRule="auto" w:before="0"/>
        <w:ind w:left="114" w:right="769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公司报告期无违规对外担保情况。</w:t>
      </w:r>
    </w:p>
    <w:p>
      <w:pPr>
        <w:spacing w:line="240" w:lineRule="auto" w:before="13"/>
        <w:rPr>
          <w:rFonts w:ascii="宋体" w:hAnsi="宋体" w:cs="宋体" w:eastAsia="宋体" w:hint="default"/>
          <w:sz w:val="19"/>
          <w:szCs w:val="19"/>
        </w:rPr>
      </w:pPr>
    </w:p>
    <w:p>
      <w:pPr>
        <w:spacing w:before="0"/>
        <w:ind w:left="114" w:right="0" w:firstLine="0"/>
        <w:jc w:val="left"/>
        <w:rPr>
          <w:rFonts w:ascii="宋体" w:hAnsi="宋体" w:cs="宋体" w:eastAsia="宋体" w:hint="default"/>
          <w:sz w:val="21"/>
          <w:szCs w:val="21"/>
        </w:rPr>
      </w:pPr>
      <w:bookmarkStart w:name="3、委托他人进行现金资产管理情况" w:id="92"/>
      <w:bookmarkEnd w:id="92"/>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、委托他人进行现金资产管理情况</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委托理财情况" w:id="93"/>
      <w:bookmarkEnd w:id="9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）委托理财情况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60" w:lineRule="auto" w:before="0"/>
        <w:ind w:left="114" w:right="841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公司报告期不存在委托理财。</w:t>
      </w:r>
    </w:p>
    <w:p>
      <w:pPr>
        <w:spacing w:line="240" w:lineRule="auto" w:before="11"/>
        <w:rPr>
          <w:rFonts w:ascii="宋体" w:hAnsi="宋体" w:cs="宋体" w:eastAsia="宋体" w:hint="default"/>
          <w:sz w:val="19"/>
          <w:szCs w:val="19"/>
        </w:rPr>
      </w:pPr>
    </w:p>
    <w:p>
      <w:pPr>
        <w:spacing w:before="0"/>
        <w:ind w:left="114" w:right="0" w:firstLine="0"/>
        <w:jc w:val="left"/>
        <w:rPr>
          <w:rFonts w:ascii="宋体" w:hAnsi="宋体" w:cs="宋体" w:eastAsia="宋体" w:hint="default"/>
          <w:sz w:val="21"/>
          <w:szCs w:val="21"/>
        </w:rPr>
      </w:pPr>
      <w:bookmarkStart w:name="（2）委托贷款情况" w:id="94"/>
      <w:bookmarkEnd w:id="9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）委托贷款情况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line="357" w:lineRule="auto" w:before="0"/>
        <w:ind w:left="114" w:right="841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公司报告期不存在委托贷款。</w:t>
      </w:r>
    </w:p>
    <w:p>
      <w:pPr>
        <w:spacing w:line="240" w:lineRule="auto" w:before="13"/>
        <w:rPr>
          <w:rFonts w:ascii="宋体" w:hAnsi="宋体" w:cs="宋体" w:eastAsia="宋体" w:hint="default"/>
          <w:sz w:val="19"/>
          <w:szCs w:val="19"/>
        </w:rPr>
      </w:pPr>
    </w:p>
    <w:p>
      <w:pPr>
        <w:spacing w:before="0"/>
        <w:ind w:left="114" w:right="0" w:firstLine="0"/>
        <w:jc w:val="left"/>
        <w:rPr>
          <w:rFonts w:ascii="宋体" w:hAnsi="宋体" w:cs="宋体" w:eastAsia="宋体" w:hint="default"/>
          <w:sz w:val="21"/>
          <w:szCs w:val="21"/>
        </w:rPr>
      </w:pPr>
      <w:bookmarkStart w:name="4、其他重大合同" w:id="95"/>
      <w:bookmarkEnd w:id="95"/>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、其他重大合同</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line="357" w:lineRule="auto" w:before="0"/>
        <w:ind w:left="114" w:right="805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公司报告期不存在其他重大合同。</w:t>
      </w:r>
    </w:p>
    <w:p>
      <w:pPr>
        <w:spacing w:line="240" w:lineRule="auto" w:before="4"/>
        <w:rPr>
          <w:rFonts w:ascii="宋体" w:hAnsi="宋体" w:cs="宋体" w:eastAsia="宋体" w:hint="default"/>
          <w:sz w:val="18"/>
          <w:szCs w:val="18"/>
        </w:rPr>
      </w:pPr>
    </w:p>
    <w:p>
      <w:pPr>
        <w:pStyle w:val="Heading4"/>
        <w:spacing w:line="240" w:lineRule="auto"/>
        <w:ind w:right="0"/>
        <w:jc w:val="left"/>
        <w:rPr>
          <w:b w:val="0"/>
          <w:bCs w:val="0"/>
        </w:rPr>
      </w:pPr>
      <w:bookmarkStart w:name="十七、社会责任情况" w:id="96"/>
      <w:bookmarkEnd w:id="96"/>
      <w:r>
        <w:rPr>
          <w:b w:val="0"/>
          <w:bCs w:val="0"/>
        </w:rPr>
      </w:r>
      <w:r>
        <w:rPr/>
        <w:t>十七、社会责任情况</w:t>
      </w:r>
      <w:r>
        <w:rPr>
          <w:b w:val="0"/>
          <w:bCs w:val="0"/>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履行社会责任情况" w:id="97"/>
      <w:bookmarkEnd w:id="97"/>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、履行社会责任情况</w:t>
      </w:r>
      <w:r>
        <w:rPr>
          <w:rFonts w:ascii="宋体" w:hAnsi="宋体" w:cs="宋体" w:eastAsia="宋体" w:hint="default"/>
          <w:sz w:val="21"/>
          <w:szCs w:val="21"/>
        </w:rPr>
      </w:r>
    </w:p>
    <w:p>
      <w:pPr>
        <w:spacing w:line="240" w:lineRule="auto" w:before="2"/>
        <w:rPr>
          <w:rFonts w:ascii="宋体" w:hAnsi="宋体" w:cs="宋体" w:eastAsia="宋体" w:hint="default"/>
          <w:b/>
          <w:bCs/>
          <w:sz w:val="25"/>
          <w:szCs w:val="25"/>
        </w:rPr>
      </w:pPr>
    </w:p>
    <w:p>
      <w:pPr>
        <w:pStyle w:val="BodyText"/>
        <w:spacing w:line="312" w:lineRule="exact"/>
        <w:ind w:right="1170" w:firstLine="480"/>
        <w:jc w:val="both"/>
      </w:pPr>
      <w:r>
        <w:rPr/>
        <w:t>社会责任是企业的经营之本，在遵纪守法、合规经营的同时，公司高度重视企业责任的 </w:t>
      </w:r>
      <w:r>
        <w:rPr>
          <w:spacing w:val="-17"/>
        </w:rPr>
        <w:t>履行。公司根据《公司法》、《证券法》、《股票上市规则》、《主板上市公司规范运作指引》等</w:t>
      </w:r>
      <w:r>
        <w:rPr>
          <w:spacing w:val="-109"/>
        </w:rPr>
        <w:t> </w:t>
      </w:r>
      <w:r>
        <w:rPr>
          <w:spacing w:val="-109"/>
        </w:rPr>
      </w:r>
      <w:r>
        <w:rPr/>
        <w:t>法律法规、部门规章、规范性文件和《公司章程》的规定，规范公司治理结构和建立健全内 部控制制度，依法召开股东大会、董事会、监事会，严格履行信息披露义务，积极承担社会 责任，采取有效措施保护投资者特别是中小投资者的合法权益。</w:t>
      </w:r>
    </w:p>
    <w:p>
      <w:pPr>
        <w:pStyle w:val="BodyText"/>
        <w:spacing w:line="312" w:lineRule="exact"/>
        <w:ind w:right="1131" w:firstLine="480"/>
        <w:jc w:val="both"/>
      </w:pPr>
      <w:r>
        <w:rPr>
          <w:rFonts w:ascii="宋体" w:hAnsi="宋体" w:cs="宋体" w:eastAsia="宋体" w:hint="default"/>
          <w:spacing w:val="-3"/>
        </w:rPr>
        <w:t>1</w:t>
      </w:r>
      <w:r>
        <w:rPr>
          <w:spacing w:val="-3"/>
        </w:rPr>
        <w:t>、股东及债权人权益保护：公司依法召开股东大会，根据《深圳证券交易所上市公司股</w:t>
      </w:r>
      <w:r>
        <w:rPr/>
        <w:t> 东大会网络投票实施细则》的规定积极提供网络投票的方式扩大股东参与股东大会的比例。 公司严格依法履行信息披露义务，积极配合监管机关的各类调查、检查及问询工作。公司在 经营决策过程中，充分考虑债权人的合法权益。</w:t>
      </w:r>
    </w:p>
    <w:p>
      <w:pPr>
        <w:pStyle w:val="BodyText"/>
        <w:spacing w:line="312" w:lineRule="exact"/>
        <w:ind w:right="1133" w:firstLine="480"/>
        <w:jc w:val="both"/>
      </w:pPr>
      <w:r>
        <w:rPr>
          <w:rFonts w:ascii="宋体" w:hAnsi="宋体" w:cs="宋体" w:eastAsia="宋体" w:hint="default"/>
          <w:spacing w:val="-9"/>
        </w:rPr>
        <w:t>2</w:t>
      </w:r>
      <w:r>
        <w:rPr>
          <w:spacing w:val="-9"/>
        </w:rPr>
        <w:t>、职工权益保护：公司严格按照《劳动法》、《劳动合同法》等法律法规的要求录用职工</w:t>
      </w:r>
      <w:r>
        <w:rPr/>
        <w:t> 并依法为职工缴纳社会保险。公司还为新员工提供了系统性的入职培训让新入职的员工更好</w:t>
      </w:r>
    </w:p>
    <w:p>
      <w:pPr>
        <w:pStyle w:val="BodyText"/>
        <w:spacing w:line="312" w:lineRule="exact"/>
        <w:ind w:right="1152"/>
        <w:jc w:val="left"/>
      </w:pPr>
      <w:r>
        <w:rPr/>
        <w:t>的了解公司。公司依法安排生产经营时间，按规定为职工提供各类合法假期。在每年“</w:t>
      </w:r>
      <w:r>
        <w:rPr>
          <w:rFonts w:ascii="宋体" w:hAnsi="宋体" w:cs="宋体" w:eastAsia="宋体" w:hint="default"/>
        </w:rPr>
        <w:t>3.8 </w:t>
      </w:r>
      <w:r>
        <w:rPr/>
        <w:t>妇女节”公司为全体女性员工送上礼品以体现对女性同胞的关爱。公司建立了科学化、规范 化、系统化的培训管理体系，积极筹划各类培训工作以促使员工不断提升职业技能，同时提 供经费以鼓励员工积极参加各类社会培训以取得相关执业资格。公司每年一度的年会为全体</w:t>
      </w:r>
    </w:p>
    <w:p>
      <w:pPr>
        <w:spacing w:after="0" w:line="312" w:lineRule="exact"/>
        <w:jc w:val="left"/>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312" w:lineRule="exact" w:before="56"/>
        <w:ind w:right="1152"/>
        <w:jc w:val="left"/>
      </w:pPr>
      <w:r>
        <w:rPr/>
        <w:t>员工提供了展现才艺的舞台，也为员工之间、员工与企业之间提供了建立深厚情谊的机会， 促进了员工良好人际关系的发展和公司舒适工作环境创建。</w:t>
      </w:r>
    </w:p>
    <w:p>
      <w:pPr>
        <w:pStyle w:val="BodyText"/>
        <w:spacing w:line="312" w:lineRule="exact"/>
        <w:ind w:right="0" w:firstLine="480"/>
        <w:jc w:val="left"/>
      </w:pPr>
      <w:r>
        <w:rPr>
          <w:rFonts w:ascii="宋体" w:hAnsi="宋体" w:cs="宋体" w:eastAsia="宋体" w:hint="default"/>
          <w:spacing w:val="-6"/>
        </w:rPr>
        <w:t>3</w:t>
      </w:r>
      <w:r>
        <w:rPr>
          <w:spacing w:val="-6"/>
        </w:rPr>
        <w:t>、重视投资者关系管理：公司重视投资者关系管理工作，贯彻真实、准确、完整、及时、</w:t>
      </w:r>
      <w:r>
        <w:rPr/>
        <w:t> 公平的原则，认真履行信息披露义务，塑造公司在资本市场的良好形象。公司通过路演、投</w:t>
      </w:r>
    </w:p>
    <w:p>
      <w:pPr>
        <w:pStyle w:val="BodyText"/>
        <w:spacing w:line="312" w:lineRule="exact"/>
        <w:ind w:right="1152"/>
        <w:jc w:val="left"/>
      </w:pPr>
      <w:r>
        <w:rPr/>
        <w:t>资者热线电话、投资者专用电子信箱、现场调研等多种渠道，积极与投资者交流互动，提高 了投资者对公司的认知度。</w:t>
      </w:r>
    </w:p>
    <w:p>
      <w:pPr>
        <w:pStyle w:val="BodyText"/>
        <w:spacing w:line="312" w:lineRule="exact"/>
        <w:ind w:right="0" w:firstLine="480"/>
        <w:jc w:val="left"/>
      </w:pPr>
      <w:r>
        <w:rPr/>
        <w:t>今后我们将继续在社会责任各方面努力，在追求经济效益的同时，最大化的履行社会责 </w:t>
      </w:r>
      <w:r>
        <w:rPr>
          <w:spacing w:val="-3"/>
        </w:rPr>
        <w:t>任，促进公司进步与社会、环境的协调发展，实现企业经济价值与社会价值之间的良性互动，</w:t>
      </w:r>
      <w:r>
        <w:rPr>
          <w:spacing w:val="-81"/>
        </w:rPr>
        <w:t> </w:t>
      </w:r>
      <w:r>
        <w:rPr>
          <w:spacing w:val="-81"/>
        </w:rPr>
      </w:r>
      <w:r>
        <w:rPr/>
        <w:t>创造共享价值，推动企业与社会的可持续发展。</w:t>
      </w:r>
    </w:p>
    <w:p>
      <w:pPr>
        <w:spacing w:line="240" w:lineRule="auto" w:before="7"/>
        <w:rPr>
          <w:rFonts w:ascii="宋体" w:hAnsi="宋体" w:cs="宋体" w:eastAsia="宋体" w:hint="default"/>
          <w:sz w:val="22"/>
          <w:szCs w:val="22"/>
        </w:rPr>
      </w:pPr>
    </w:p>
    <w:p>
      <w:pPr>
        <w:spacing w:before="0"/>
        <w:ind w:left="114" w:right="0" w:firstLine="0"/>
        <w:jc w:val="left"/>
        <w:rPr>
          <w:rFonts w:ascii="宋体" w:hAnsi="宋体" w:cs="宋体" w:eastAsia="宋体" w:hint="default"/>
          <w:sz w:val="21"/>
          <w:szCs w:val="21"/>
        </w:rPr>
      </w:pPr>
      <w:bookmarkStart w:name="2、履行精准扶贫社会责任情况" w:id="98"/>
      <w:bookmarkEnd w:id="98"/>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、履行精准扶贫社会责任情况</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精准扶贫规划" w:id="99"/>
      <w:bookmarkEnd w:id="9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）精准扶贫规划</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line="316" w:lineRule="auto" w:before="0"/>
        <w:ind w:left="114" w:right="0" w:firstLine="0"/>
        <w:jc w:val="left"/>
        <w:rPr>
          <w:rFonts w:ascii="宋体" w:hAnsi="宋体" w:cs="宋体" w:eastAsia="宋体" w:hint="default"/>
          <w:sz w:val="18"/>
          <w:szCs w:val="18"/>
        </w:rPr>
      </w:pPr>
      <w:r>
        <w:rPr>
          <w:rFonts w:ascii="宋体" w:hAnsi="宋体" w:cs="宋体" w:eastAsia="宋体" w:hint="default"/>
          <w:spacing w:val="-4"/>
          <w:sz w:val="18"/>
          <w:szCs w:val="18"/>
        </w:rPr>
        <w:t>随着党的十九大发出了坚决打赢脱贫攻坚战的号令，要确保到</w:t>
      </w:r>
      <w:r>
        <w:rPr>
          <w:rFonts w:ascii="宋体" w:hAnsi="宋体" w:cs="宋体" w:eastAsia="宋体" w:hint="default"/>
          <w:spacing w:val="-4"/>
          <w:sz w:val="18"/>
          <w:szCs w:val="18"/>
        </w:rPr>
        <w:t>2020</w:t>
      </w:r>
      <w:r>
        <w:rPr>
          <w:rFonts w:ascii="宋体" w:hAnsi="宋体" w:cs="宋体" w:eastAsia="宋体" w:hint="default"/>
          <w:spacing w:val="-4"/>
          <w:sz w:val="18"/>
          <w:szCs w:val="18"/>
        </w:rPr>
        <w:t>年我国现行标准下农村贫困人口实现脱贫，做到“脱真贫、</w:t>
      </w:r>
      <w:r>
        <w:rPr>
          <w:rFonts w:ascii="宋体" w:hAnsi="宋体" w:cs="宋体" w:eastAsia="宋体" w:hint="default"/>
          <w:spacing w:val="-36"/>
          <w:sz w:val="18"/>
          <w:szCs w:val="18"/>
        </w:rPr>
        <w:t> </w:t>
      </w:r>
      <w:r>
        <w:rPr>
          <w:rFonts w:ascii="宋体" w:hAnsi="宋体" w:cs="宋体" w:eastAsia="宋体" w:hint="default"/>
          <w:spacing w:val="-36"/>
          <w:sz w:val="18"/>
          <w:szCs w:val="18"/>
        </w:rPr>
      </w:r>
      <w:r>
        <w:rPr>
          <w:rFonts w:ascii="宋体" w:hAnsi="宋体" w:cs="宋体" w:eastAsia="宋体" w:hint="default"/>
          <w:spacing w:val="-2"/>
          <w:sz w:val="18"/>
          <w:szCs w:val="18"/>
        </w:rPr>
        <w:t>真脱贫”。信息发展积极响应国家号召，在上海市相关部门帮助指导下，秉承“造血为主、输血为辅”的理念，实施精准扶</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贫战略，相关扶贫工作取得积极成效。 </w:t>
      </w:r>
      <w:r>
        <w:rPr>
          <w:rFonts w:ascii="宋体" w:hAnsi="宋体" w:cs="宋体" w:eastAsia="宋体" w:hint="default"/>
          <w:spacing w:val="-2"/>
          <w:sz w:val="18"/>
          <w:szCs w:val="18"/>
        </w:rPr>
        <w:t>公司曾在</w:t>
      </w:r>
      <w:r>
        <w:rPr>
          <w:rFonts w:ascii="宋体" w:hAnsi="宋体" w:cs="宋体" w:eastAsia="宋体" w:hint="default"/>
          <w:spacing w:val="-2"/>
          <w:sz w:val="18"/>
          <w:szCs w:val="18"/>
        </w:rPr>
        <w:t>2016</w:t>
      </w:r>
      <w:r>
        <w:rPr>
          <w:rFonts w:ascii="宋体" w:hAnsi="宋体" w:cs="宋体" w:eastAsia="宋体" w:hint="default"/>
          <w:spacing w:val="-2"/>
          <w:sz w:val="18"/>
          <w:szCs w:val="18"/>
        </w:rPr>
        <w:t>年为四川广安地区提供扶贫服务，</w:t>
      </w:r>
      <w:r>
        <w:rPr>
          <w:rFonts w:ascii="宋体" w:hAnsi="宋体" w:cs="宋体" w:eastAsia="宋体" w:hint="default"/>
          <w:spacing w:val="-2"/>
          <w:sz w:val="18"/>
          <w:szCs w:val="18"/>
        </w:rPr>
        <w:t>2017</w:t>
      </w:r>
      <w:r>
        <w:rPr>
          <w:rFonts w:ascii="宋体" w:hAnsi="宋体" w:cs="宋体" w:eastAsia="宋体" w:hint="default"/>
          <w:spacing w:val="-2"/>
          <w:sz w:val="18"/>
          <w:szCs w:val="18"/>
        </w:rPr>
        <w:t>年更进一步针对当地四川广安市龙安乡群策村制定产供销一体化的互联</w:t>
      </w:r>
      <w:r>
        <w:rPr>
          <w:rFonts w:ascii="宋体" w:hAnsi="宋体" w:cs="宋体" w:eastAsia="宋体" w:hint="default"/>
          <w:spacing w:val="-56"/>
          <w:sz w:val="18"/>
          <w:szCs w:val="18"/>
        </w:rPr>
        <w:t> </w:t>
      </w:r>
      <w:r>
        <w:rPr>
          <w:rFonts w:ascii="宋体" w:hAnsi="宋体" w:cs="宋体" w:eastAsia="宋体" w:hint="default"/>
          <w:sz w:val="18"/>
          <w:szCs w:val="18"/>
        </w:rPr>
        <w:t>网</w:t>
      </w:r>
      <w:r>
        <w:rPr>
          <w:rFonts w:ascii="宋体" w:hAnsi="宋体" w:cs="宋体" w:eastAsia="宋体" w:hint="default"/>
          <w:sz w:val="18"/>
          <w:szCs w:val="18"/>
        </w:rPr>
        <w:t>+</w:t>
      </w:r>
      <w:r>
        <w:rPr>
          <w:rFonts w:ascii="宋体" w:hAnsi="宋体" w:cs="宋体" w:eastAsia="宋体" w:hint="default"/>
          <w:sz w:val="18"/>
          <w:szCs w:val="18"/>
        </w:rPr>
        <w:t>追溯</w:t>
      </w:r>
      <w:r>
        <w:rPr>
          <w:rFonts w:ascii="宋体" w:hAnsi="宋体" w:cs="宋体" w:eastAsia="宋体" w:hint="default"/>
          <w:sz w:val="18"/>
          <w:szCs w:val="18"/>
        </w:rPr>
        <w:t>+</w:t>
      </w:r>
      <w:r>
        <w:rPr>
          <w:rFonts w:ascii="宋体" w:hAnsi="宋体" w:cs="宋体" w:eastAsia="宋体" w:hint="default"/>
          <w:sz w:val="18"/>
          <w:szCs w:val="18"/>
        </w:rPr>
        <w:t>精准扶贫计划，该计划主要是对于当地特产龙安柚提供“品控</w:t>
      </w:r>
      <w:r>
        <w:rPr>
          <w:rFonts w:ascii="宋体" w:hAnsi="宋体" w:cs="宋体" w:eastAsia="宋体" w:hint="default"/>
          <w:sz w:val="18"/>
          <w:szCs w:val="18"/>
        </w:rPr>
        <w:t>+</w:t>
      </w:r>
      <w:r>
        <w:rPr>
          <w:rFonts w:ascii="宋体" w:hAnsi="宋体" w:cs="宋体" w:eastAsia="宋体" w:hint="default"/>
          <w:sz w:val="18"/>
          <w:szCs w:val="18"/>
        </w:rPr>
        <w:t>品宣</w:t>
      </w:r>
      <w:r>
        <w:rPr>
          <w:rFonts w:ascii="宋体" w:hAnsi="宋体" w:cs="宋体" w:eastAsia="宋体" w:hint="default"/>
          <w:sz w:val="18"/>
          <w:szCs w:val="18"/>
        </w:rPr>
        <w:t>+</w:t>
      </w:r>
      <w:r>
        <w:rPr>
          <w:rFonts w:ascii="宋体" w:hAnsi="宋体" w:cs="宋体" w:eastAsia="宋体" w:hint="default"/>
          <w:sz w:val="18"/>
          <w:szCs w:val="18"/>
        </w:rPr>
        <w:t>品塑</w:t>
      </w:r>
      <w:r>
        <w:rPr>
          <w:rFonts w:ascii="宋体" w:hAnsi="宋体" w:cs="宋体" w:eastAsia="宋体" w:hint="default"/>
          <w:sz w:val="18"/>
          <w:szCs w:val="18"/>
        </w:rPr>
        <w:t>+</w:t>
      </w:r>
      <w:r>
        <w:rPr>
          <w:rFonts w:ascii="宋体" w:hAnsi="宋体" w:cs="宋体" w:eastAsia="宋体" w:hint="default"/>
          <w:sz w:val="18"/>
          <w:szCs w:val="18"/>
        </w:rPr>
        <w:t>品销”的新模式，通过追溯到户、对接 </w:t>
      </w:r>
      <w:r>
        <w:rPr>
          <w:rFonts w:ascii="宋体" w:hAnsi="宋体" w:cs="宋体" w:eastAsia="宋体" w:hint="default"/>
          <w:spacing w:val="-2"/>
          <w:sz w:val="18"/>
          <w:szCs w:val="18"/>
        </w:rPr>
        <w:t>线上微店电商平台和生鲜电商平台、全程跟踪监控柚子从种植到开花到采摘的过程、规范柚子收购标准等一系列举措，全力</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打造“群策”产业新升级的局面，提升产品附加值。 </w:t>
      </w:r>
      <w:r>
        <w:rPr>
          <w:rFonts w:ascii="宋体" w:hAnsi="宋体" w:cs="宋体" w:eastAsia="宋体" w:hint="default"/>
          <w:spacing w:val="-2"/>
          <w:sz w:val="18"/>
          <w:szCs w:val="18"/>
        </w:rPr>
        <w:t>公司提供的“群策”产业精准扶贫计划，一方面让真正的原产地产品直送到达消费者手中，为农民增收，推动农产品向质优</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价高的品牌化方向发展；另一方面，帮助产区完成互联网</w:t>
      </w:r>
      <w:r>
        <w:rPr>
          <w:rFonts w:ascii="宋体" w:hAnsi="宋体" w:cs="宋体" w:eastAsia="宋体" w:hint="default"/>
          <w:sz w:val="18"/>
          <w:szCs w:val="18"/>
        </w:rPr>
        <w:t>+</w:t>
      </w:r>
      <w:r>
        <w:rPr>
          <w:rFonts w:ascii="宋体" w:hAnsi="宋体" w:cs="宋体" w:eastAsia="宋体" w:hint="default"/>
          <w:sz w:val="18"/>
          <w:szCs w:val="18"/>
        </w:rPr>
        <w:t>的转型升级，提高产品溢价空间，增强消费者对品牌的信任，协 助产品创造更高价值，加快当地群众迈向小康生活的步伐。 </w:t>
      </w:r>
      <w:r>
        <w:rPr>
          <w:rFonts w:ascii="宋体" w:hAnsi="宋体" w:cs="宋体" w:eastAsia="宋体" w:hint="default"/>
          <w:spacing w:val="-5"/>
          <w:sz w:val="18"/>
          <w:szCs w:val="18"/>
        </w:rPr>
        <w:t>未来将深入开展好沪滇遵扶贫协作和对口支援工作，充分发挥各自资源优势，扎实推进“云品入沪”、“遵品入户”产销对接</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pacing w:val="-2"/>
          <w:sz w:val="18"/>
          <w:szCs w:val="18"/>
        </w:rPr>
        <w:t>精准扶贫，发挥社会效应，对接对口贫困地区政府，召集一批企、事业单位，成立“上海商务扶贫联盟”，为精准扶贫事业</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共同添砖加瓦。实现滞销农产品在上海平价菜专柜直销。</w:t>
      </w:r>
    </w:p>
    <w:p>
      <w:pPr>
        <w:spacing w:line="240" w:lineRule="auto" w:before="7"/>
        <w:rPr>
          <w:rFonts w:ascii="宋体" w:hAnsi="宋体" w:cs="宋体" w:eastAsia="宋体" w:hint="default"/>
          <w:sz w:val="22"/>
          <w:szCs w:val="22"/>
        </w:rPr>
      </w:pPr>
    </w:p>
    <w:p>
      <w:pPr>
        <w:spacing w:before="0"/>
        <w:ind w:left="114" w:right="0" w:firstLine="0"/>
        <w:jc w:val="left"/>
        <w:rPr>
          <w:rFonts w:ascii="宋体" w:hAnsi="宋体" w:cs="宋体" w:eastAsia="宋体" w:hint="default"/>
          <w:sz w:val="21"/>
          <w:szCs w:val="21"/>
        </w:rPr>
      </w:pPr>
      <w:bookmarkStart w:name="（2）年度精准扶贫概要" w:id="100"/>
      <w:bookmarkEnd w:id="10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）年度精准扶贫概要</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536"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）精准扶贫规划</w:t>
      </w:r>
      <w:r>
        <w:rPr>
          <w:rFonts w:ascii="宋体" w:hAnsi="宋体" w:cs="宋体" w:eastAsia="宋体" w:hint="default"/>
          <w:sz w:val="21"/>
          <w:szCs w:val="21"/>
        </w:rPr>
      </w:r>
    </w:p>
    <w:p>
      <w:pPr>
        <w:spacing w:line="240" w:lineRule="auto" w:before="3"/>
        <w:rPr>
          <w:rFonts w:ascii="宋体" w:hAnsi="宋体" w:cs="宋体" w:eastAsia="宋体" w:hint="default"/>
          <w:b/>
          <w:bCs/>
          <w:sz w:val="26"/>
          <w:szCs w:val="26"/>
        </w:rPr>
      </w:pPr>
    </w:p>
    <w:p>
      <w:pPr>
        <w:pStyle w:val="BodyText"/>
        <w:spacing w:line="312" w:lineRule="exact"/>
        <w:ind w:right="1132" w:firstLine="480"/>
        <w:jc w:val="both"/>
      </w:pPr>
      <w:r>
        <w:rPr/>
        <w:t>随着党的十九大发出了坚决打赢脱贫攻坚战的号令，要确保到</w:t>
      </w:r>
      <w:r>
        <w:rPr>
          <w:rFonts w:ascii="宋体" w:hAnsi="宋体" w:cs="宋体" w:eastAsia="宋体" w:hint="default"/>
        </w:rPr>
        <w:t>2020</w:t>
      </w:r>
      <w:r>
        <w:rPr/>
        <w:t>年我国现行标准下农 </w:t>
      </w:r>
      <w:r>
        <w:rPr>
          <w:spacing w:val="-5"/>
        </w:rPr>
        <w:t>村贫困人口实现脱贫，做到“脱真贫、真脱贫”。信息发展积极响应国家号召，在上海市相关</w:t>
      </w:r>
      <w:r>
        <w:rPr/>
        <w:t> 部门帮助指导下，秉承“造血为主、输血为辅”的理念，实施精准扶贫战略，相关扶贫工作 取得积极成效。</w:t>
      </w:r>
    </w:p>
    <w:p>
      <w:pPr>
        <w:pStyle w:val="BodyText"/>
        <w:spacing w:line="312" w:lineRule="exact"/>
        <w:ind w:right="1011" w:firstLine="480"/>
        <w:jc w:val="both"/>
      </w:pPr>
      <w:r>
        <w:rPr/>
        <w:t>公司曾在</w:t>
      </w:r>
      <w:r>
        <w:rPr>
          <w:rFonts w:ascii="宋体" w:hAnsi="宋体" w:cs="宋体" w:eastAsia="宋体" w:hint="default"/>
        </w:rPr>
        <w:t>2016</w:t>
      </w:r>
      <w:r>
        <w:rPr/>
        <w:t>年为四川广安地区提供扶贫服务，</w:t>
      </w:r>
      <w:r>
        <w:rPr>
          <w:rFonts w:ascii="宋体" w:hAnsi="宋体" w:cs="宋体" w:eastAsia="宋体" w:hint="default"/>
        </w:rPr>
        <w:t>2017</w:t>
      </w:r>
      <w:r>
        <w:rPr/>
        <w:t>年更进一步针对当地四川广安市龙 安乡群策村制定产供销一体化的互联网</w:t>
      </w:r>
      <w:r>
        <w:rPr>
          <w:rFonts w:ascii="宋体" w:hAnsi="宋体" w:cs="宋体" w:eastAsia="宋体" w:hint="default"/>
        </w:rPr>
        <w:t>+</w:t>
      </w:r>
      <w:r>
        <w:rPr/>
        <w:t>追溯</w:t>
      </w:r>
      <w:r>
        <w:rPr>
          <w:rFonts w:ascii="宋体" w:hAnsi="宋体" w:cs="宋体" w:eastAsia="宋体" w:hint="default"/>
        </w:rPr>
        <w:t>+</w:t>
      </w:r>
      <w:r>
        <w:rPr/>
        <w:t>精准扶贫计划，该计划主要是对于当地特产龙 安柚提供“品控</w:t>
      </w:r>
      <w:r>
        <w:rPr>
          <w:rFonts w:ascii="宋体" w:hAnsi="宋体" w:cs="宋体" w:eastAsia="宋体" w:hint="default"/>
        </w:rPr>
        <w:t>+</w:t>
      </w:r>
      <w:r>
        <w:rPr/>
        <w:t>品宣</w:t>
      </w:r>
      <w:r>
        <w:rPr>
          <w:rFonts w:ascii="宋体" w:hAnsi="宋体" w:cs="宋体" w:eastAsia="宋体" w:hint="default"/>
        </w:rPr>
        <w:t>+</w:t>
      </w:r>
      <w:r>
        <w:rPr/>
        <w:t>品塑</w:t>
      </w:r>
      <w:r>
        <w:rPr>
          <w:rFonts w:ascii="宋体" w:hAnsi="宋体" w:cs="宋体" w:eastAsia="宋体" w:hint="default"/>
        </w:rPr>
        <w:t>+</w:t>
      </w:r>
      <w:r>
        <w:rPr/>
        <w:t>品销”的新模式，通过追溯到户、对接线上微店电商平台和生鲜 </w:t>
      </w:r>
      <w:r>
        <w:rPr>
          <w:spacing w:val="-2"/>
        </w:rPr>
        <w:t>电商平台、全程跟踪监控柚子从种植到开花到采摘的过程、规范柚子收购标准等一系列举措，</w:t>
      </w:r>
    </w:p>
    <w:p>
      <w:pPr>
        <w:pStyle w:val="BodyText"/>
        <w:spacing w:line="312" w:lineRule="exact"/>
        <w:ind w:left="594" w:right="1152" w:hanging="480"/>
        <w:jc w:val="left"/>
      </w:pPr>
      <w:r>
        <w:rPr/>
        <w:t>全力打造“群策”产业新升级的局面，提升产品附加值。 公司提供的“群策”产业精准扶贫计划，一方面让真正的原产地产品直送到达消费者手</w:t>
      </w:r>
    </w:p>
    <w:p>
      <w:pPr>
        <w:pStyle w:val="BodyText"/>
        <w:spacing w:line="312" w:lineRule="exact"/>
        <w:ind w:right="0"/>
        <w:jc w:val="left"/>
      </w:pPr>
      <w:r>
        <w:rPr/>
        <w:t>中，为农民增收，推动农产品向质优价高的品牌化方向发展；另一方面，帮助产区完成互联 </w:t>
      </w:r>
      <w:r>
        <w:rPr>
          <w:spacing w:val="-3"/>
        </w:rPr>
        <w:t>网</w:t>
      </w:r>
      <w:r>
        <w:rPr>
          <w:rFonts w:ascii="宋体" w:hAnsi="宋体" w:cs="宋体" w:eastAsia="宋体" w:hint="default"/>
          <w:spacing w:val="-3"/>
        </w:rPr>
        <w:t>+</w:t>
      </w:r>
      <w:r>
        <w:rPr>
          <w:spacing w:val="-3"/>
        </w:rPr>
        <w:t>的转型升级，提高产品溢价空间，增强消费者对品牌的信任，协助产品创造更高价值，加</w:t>
      </w:r>
    </w:p>
    <w:p>
      <w:pPr>
        <w:spacing w:after="0" w:line="312" w:lineRule="exact"/>
        <w:jc w:val="left"/>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312" w:lineRule="exact" w:before="56"/>
        <w:ind w:left="594" w:right="1152" w:hanging="480"/>
        <w:jc w:val="left"/>
      </w:pPr>
      <w:r>
        <w:rPr/>
        <w:t>快当地群众迈向小康生活的步伐。 未来将深入开展好沪滇遵扶贫协作和对口支援工作，充分发挥各自资源优势，扎实推进</w:t>
      </w:r>
    </w:p>
    <w:p>
      <w:pPr>
        <w:pStyle w:val="BodyText"/>
        <w:spacing w:line="312" w:lineRule="exact"/>
        <w:ind w:right="1117"/>
        <w:jc w:val="left"/>
      </w:pPr>
      <w:r>
        <w:rPr/>
        <w:t>“云品入沪</w:t>
      </w:r>
      <w:r>
        <w:rPr>
          <w:spacing w:val="-120"/>
        </w:rPr>
        <w:t>”、</w:t>
      </w:r>
      <w:r>
        <w:rPr/>
        <w:t>“遵品入户”产销对接精准扶贫，发挥社会效应，对接对口贫困地区政府，召</w:t>
      </w:r>
      <w:r>
        <w:rPr/>
        <w:t> 集一批企</w:t>
      </w:r>
      <w:r>
        <w:rPr>
          <w:spacing w:val="-17"/>
        </w:rPr>
        <w:t>、</w:t>
      </w:r>
      <w:r>
        <w:rPr/>
        <w:t>事业单位</w:t>
      </w:r>
      <w:r>
        <w:rPr>
          <w:spacing w:val="-17"/>
        </w:rPr>
        <w:t>，</w:t>
      </w:r>
      <w:r>
        <w:rPr/>
        <w:t>成</w:t>
      </w:r>
      <w:r>
        <w:rPr>
          <w:spacing w:val="-17"/>
        </w:rPr>
        <w:t>立</w:t>
      </w:r>
      <w:r>
        <w:rPr/>
        <w:t>“上海商务扶贫联盟</w:t>
      </w:r>
      <w:r>
        <w:rPr>
          <w:spacing w:val="-120"/>
        </w:rPr>
        <w:t>”</w:t>
      </w:r>
      <w:r>
        <w:rPr>
          <w:spacing w:val="-17"/>
        </w:rPr>
        <w:t>，</w:t>
      </w:r>
      <w:r>
        <w:rPr/>
        <w:t>为精准扶贫事业共同添砖加瓦</w:t>
      </w:r>
      <w:r>
        <w:rPr>
          <w:spacing w:val="-17"/>
        </w:rPr>
        <w:t>。</w:t>
      </w:r>
      <w:r>
        <w:rPr/>
        <w:t>实现滞销</w:t>
      </w:r>
    </w:p>
    <w:p>
      <w:pPr>
        <w:pStyle w:val="BodyText"/>
        <w:spacing w:line="284" w:lineRule="exact"/>
        <w:ind w:right="0"/>
        <w:jc w:val="left"/>
      </w:pPr>
      <w:r>
        <w:rPr/>
        <w:t>农产品在上海平价菜专柜直销。</w:t>
      </w:r>
    </w:p>
    <w:p>
      <w:pPr>
        <w:spacing w:line="240" w:lineRule="auto" w:before="8"/>
        <w:rPr>
          <w:rFonts w:ascii="宋体" w:hAnsi="宋体" w:cs="宋体" w:eastAsia="宋体" w:hint="default"/>
          <w:sz w:val="24"/>
          <w:szCs w:val="24"/>
        </w:rPr>
      </w:pPr>
    </w:p>
    <w:p>
      <w:pPr>
        <w:spacing w:before="0"/>
        <w:ind w:left="536"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）年度精准扶贫概要</w:t>
      </w:r>
      <w:r>
        <w:rPr>
          <w:rFonts w:ascii="宋体" w:hAnsi="宋体" w:cs="宋体" w:eastAsia="宋体" w:hint="default"/>
          <w:sz w:val="21"/>
          <w:szCs w:val="21"/>
        </w:rPr>
      </w:r>
    </w:p>
    <w:p>
      <w:pPr>
        <w:spacing w:line="240" w:lineRule="auto" w:before="3"/>
        <w:rPr>
          <w:rFonts w:ascii="宋体" w:hAnsi="宋体" w:cs="宋体" w:eastAsia="宋体" w:hint="default"/>
          <w:b/>
          <w:bCs/>
          <w:sz w:val="26"/>
          <w:szCs w:val="26"/>
        </w:rPr>
      </w:pPr>
    </w:p>
    <w:p>
      <w:pPr>
        <w:pStyle w:val="BodyText"/>
        <w:spacing w:line="312" w:lineRule="exact"/>
        <w:ind w:right="1117" w:firstLine="480"/>
        <w:jc w:val="left"/>
      </w:pPr>
      <w:r>
        <w:rPr>
          <w:rFonts w:ascii="宋体" w:hAnsi="宋体" w:cs="宋体" w:eastAsia="宋体" w:hint="default"/>
          <w:spacing w:val="-3"/>
        </w:rPr>
        <w:t>2018</w:t>
      </w:r>
      <w:r>
        <w:rPr>
          <w:spacing w:val="-3"/>
        </w:rPr>
        <w:t>年年初，到</w:t>
      </w:r>
      <w:r>
        <w:rPr>
          <w:rFonts w:ascii="宋体" w:hAnsi="宋体" w:cs="宋体" w:eastAsia="宋体" w:hint="default"/>
          <w:spacing w:val="-3"/>
        </w:rPr>
        <w:t>4</w:t>
      </w:r>
      <w:r>
        <w:rPr>
          <w:spacing w:val="-3"/>
        </w:rPr>
        <w:t>月份，公司多次实地调研遵义道真的农产品产业现状，并首先与道真利</w:t>
      </w:r>
      <w:r>
        <w:rPr/>
        <w:t> 民合作社签订精准扶贫产销对接协议，正式开展遵义农产品产业扶贫工作。帮助遵义进入上 </w:t>
      </w:r>
      <w:r>
        <w:rPr>
          <w:spacing w:val="-5"/>
        </w:rPr>
        <w:t>海标准化菜市场的平价菜专柜（当时还不是扶贫专柜），首批进入的是道真蜜本南瓜，然后是</w:t>
      </w:r>
      <w:r>
        <w:rPr/>
        <w:t> 道真高山散花菜。当时还处于品质、标准的磨合期，量不大，但已经同时进入了全上海</w:t>
      </w:r>
      <w:r>
        <w:rPr>
          <w:rFonts w:ascii="宋体" w:hAnsi="宋体" w:cs="宋体" w:eastAsia="宋体" w:hint="default"/>
        </w:rPr>
        <w:t>200 </w:t>
      </w:r>
      <w:r>
        <w:rPr/>
        <w:t>个菜市场一起销售，覆盖了几乎中环以内的大部分上海消费者。道真的农产品标准化项目就 是从年初开始逐步开始的，为后面的全产业链升级打下了基础。</w:t>
      </w:r>
    </w:p>
    <w:p>
      <w:pPr>
        <w:pStyle w:val="BodyText"/>
        <w:spacing w:line="312" w:lineRule="exact"/>
        <w:ind w:right="1171" w:firstLine="480"/>
        <w:jc w:val="both"/>
      </w:pPr>
      <w:r>
        <w:rPr>
          <w:rFonts w:ascii="宋体" w:hAnsi="宋体" w:cs="宋体" w:eastAsia="宋体" w:hint="default"/>
        </w:rPr>
        <w:t>2018</w:t>
      </w:r>
      <w:r>
        <w:rPr/>
        <w:t>年</w:t>
      </w:r>
      <w:r>
        <w:rPr>
          <w:rFonts w:ascii="宋体" w:hAnsi="宋体" w:cs="宋体" w:eastAsia="宋体" w:hint="default"/>
        </w:rPr>
        <w:t>5</w:t>
      </w:r>
      <w:r>
        <w:rPr/>
        <w:t>月</w:t>
      </w:r>
      <w:r>
        <w:rPr>
          <w:rFonts w:ascii="宋体" w:hAnsi="宋体" w:cs="宋体" w:eastAsia="宋体" w:hint="default"/>
        </w:rPr>
        <w:t>5</w:t>
      </w:r>
      <w:r>
        <w:rPr/>
        <w:t>日，调研遵义农产品产业情况，也为了成立上海商务扶贫联盟做前期准备， 公司随上海市经信委参加沪遵产业合作成果汇报会；同时，进一步提升遵义道真蔬菜生产与 流通标准化工作。</w:t>
      </w:r>
    </w:p>
    <w:p>
      <w:pPr>
        <w:pStyle w:val="BodyText"/>
        <w:spacing w:line="312" w:lineRule="exact"/>
        <w:ind w:right="1032" w:firstLine="480"/>
        <w:jc w:val="left"/>
      </w:pPr>
      <w:r>
        <w:rPr>
          <w:rFonts w:ascii="宋体" w:hAnsi="宋体" w:cs="宋体" w:eastAsia="宋体" w:hint="default"/>
        </w:rPr>
        <w:t>2018</w:t>
      </w:r>
      <w:r>
        <w:rPr/>
        <w:t>年</w:t>
      </w:r>
      <w:r>
        <w:rPr>
          <w:rFonts w:ascii="宋体" w:hAnsi="宋体" w:cs="宋体" w:eastAsia="宋体" w:hint="default"/>
        </w:rPr>
        <w:t>5</w:t>
      </w:r>
      <w:r>
        <w:rPr/>
        <w:t>月</w:t>
      </w:r>
      <w:r>
        <w:rPr>
          <w:rFonts w:ascii="宋体" w:hAnsi="宋体" w:cs="宋体" w:eastAsia="宋体" w:hint="default"/>
        </w:rPr>
        <w:t>10</w:t>
      </w:r>
      <w:r>
        <w:rPr/>
        <w:t>日，公司在上海参加遵义市政府与商务局召开的遵义红、湄潭翠芽推荐会， 为后续引入遵义茶叶做准备。</w:t>
      </w:r>
    </w:p>
    <w:p>
      <w:pPr>
        <w:pStyle w:val="BodyText"/>
        <w:spacing w:line="312" w:lineRule="exact"/>
        <w:ind w:right="1049" w:firstLine="480"/>
        <w:jc w:val="both"/>
      </w:pPr>
      <w:r>
        <w:rPr/>
        <w:t>云南大理洱源紫皮大蒜滞销近千万吨，蒜农含泪盼销路，严重影响农民生活，社会各界 </w:t>
      </w:r>
      <w:r>
        <w:rPr>
          <w:spacing w:val="-2"/>
        </w:rPr>
        <w:t>展开爱心助农行动。</w:t>
      </w:r>
      <w:r>
        <w:rPr>
          <w:rFonts w:ascii="宋体" w:hAnsi="宋体" w:cs="宋体" w:eastAsia="宋体" w:hint="default"/>
          <w:spacing w:val="-2"/>
        </w:rPr>
        <w:t>2018</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16</w:t>
      </w:r>
      <w:r>
        <w:rPr>
          <w:spacing w:val="-2"/>
        </w:rPr>
        <w:t>日，联盟筹备小组公司、上蔬集团、上疏永辉、大润发、上</w:t>
      </w:r>
      <w:r>
        <w:rPr>
          <w:spacing w:val="-116"/>
        </w:rPr>
        <w:t> </w:t>
      </w:r>
      <w:r>
        <w:rPr>
          <w:spacing w:val="-116"/>
        </w:rPr>
      </w:r>
      <w:r>
        <w:rPr>
          <w:spacing w:val="-3"/>
        </w:rPr>
        <w:t>农批、强丰等</w:t>
      </w:r>
      <w:r>
        <w:rPr>
          <w:rFonts w:ascii="宋体" w:hAnsi="宋体" w:cs="宋体" w:eastAsia="宋体" w:hint="default"/>
          <w:spacing w:val="-3"/>
        </w:rPr>
        <w:t>6</w:t>
      </w:r>
      <w:r>
        <w:rPr>
          <w:spacing w:val="-3"/>
        </w:rPr>
        <w:t>家企业赶往云南大理洱源展开现场对接工作，食行生鲜、康品汇、清美一起参</w:t>
      </w:r>
    </w:p>
    <w:p>
      <w:pPr>
        <w:pStyle w:val="BodyText"/>
        <w:spacing w:line="312" w:lineRule="exact"/>
        <w:ind w:right="1032"/>
        <w:jc w:val="left"/>
      </w:pPr>
      <w:r>
        <w:rPr/>
        <w:t>与销售工作，帮助蒜农直接销售</w:t>
      </w:r>
      <w:r>
        <w:rPr>
          <w:rFonts w:ascii="宋体" w:hAnsi="宋体" w:cs="宋体" w:eastAsia="宋体" w:hint="default"/>
        </w:rPr>
        <w:t>60</w:t>
      </w:r>
      <w:r>
        <w:rPr/>
        <w:t>吨紫皮大蒜，通过上海媒体等宣传间接拉动销售近</w:t>
      </w:r>
      <w:r>
        <w:rPr>
          <w:rFonts w:ascii="宋体" w:hAnsi="宋体" w:cs="宋体" w:eastAsia="宋体" w:hint="default"/>
        </w:rPr>
        <w:t>500</w:t>
      </w:r>
      <w:r>
        <w:rPr/>
        <w:t>吨。 公司这次牵头赴云南处理紫皮大蒜滞销问题，也为后续用联盟形式处理产销对接提供了一个 很好的范本。</w:t>
      </w:r>
    </w:p>
    <w:p>
      <w:pPr>
        <w:pStyle w:val="BodyText"/>
        <w:spacing w:line="312" w:lineRule="exact"/>
        <w:ind w:right="1008" w:firstLine="480"/>
        <w:jc w:val="left"/>
      </w:pPr>
      <w:r>
        <w:rPr/>
        <w:t>鉴于各企业在对接云南滞销农产品销售工作时所发挥的协同作用，于</w:t>
      </w:r>
      <w:r>
        <w:rPr>
          <w:rFonts w:ascii="宋体" w:hAnsi="宋体" w:cs="宋体" w:eastAsia="宋体" w:hint="default"/>
        </w:rPr>
        <w:t>2018</w:t>
      </w:r>
      <w:r>
        <w:rPr/>
        <w:t>年</w:t>
      </w:r>
      <w:r>
        <w:rPr>
          <w:rFonts w:ascii="宋体" w:hAnsi="宋体" w:cs="宋体" w:eastAsia="宋体" w:hint="default"/>
        </w:rPr>
        <w:t>5</w:t>
      </w:r>
      <w:r>
        <w:rPr/>
        <w:t>月</w:t>
      </w:r>
      <w:r>
        <w:rPr>
          <w:rFonts w:ascii="宋体" w:hAnsi="宋体" w:cs="宋体" w:eastAsia="宋体" w:hint="default"/>
        </w:rPr>
        <w:t>31</w:t>
      </w:r>
      <w:r>
        <w:rPr/>
        <w:t>日，响 </w:t>
      </w:r>
      <w:r>
        <w:rPr>
          <w:spacing w:val="-8"/>
        </w:rPr>
        <w:t>应国家扶贫攻坚的重要精神，在上海市商务委的指导下，上海商务扶贫联盟（以下称“联盟”）</w:t>
      </w:r>
      <w:r>
        <w:rPr>
          <w:spacing w:val="-107"/>
        </w:rPr>
        <w:t> </w:t>
      </w:r>
      <w:r>
        <w:rPr>
          <w:spacing w:val="-107"/>
        </w:rPr>
      </w:r>
      <w:r>
        <w:rPr/>
        <w:t>由市商务委副主任、市粮食局党委书记、局长殷欧揭牌，正式成立。上海商务扶贫联盟是由 致力于扶贫事业的农产品产业相关企业和劳务就业相关企业自发组成的非法人组织，具体承 担上海商务扶贫办公室的农产品产业升级运营工作。公司作为上海商务扶贫联盟的理事长单 位，组织联盟成员，协调推进上海与对口帮扶包含遵义等</w:t>
      </w:r>
      <w:r>
        <w:rPr>
          <w:rFonts w:ascii="宋体" w:hAnsi="宋体" w:cs="宋体" w:eastAsia="宋体" w:hint="default"/>
        </w:rPr>
        <w:t>7</w:t>
      </w:r>
      <w:r>
        <w:rPr/>
        <w:t>省市地区的农产品产业升级等产供 销全产业链发展工作，打通帮扶地区农产品产业升级的产供销通路，打通上海本地和外延基 地优质农产品的销售渠道，实现有利于帮扶协作地区贫困户脱贫致富，增强上海市民获得感 和体验感，助力政府帮扶协作工作。</w:t>
      </w:r>
    </w:p>
    <w:p>
      <w:pPr>
        <w:pStyle w:val="BodyText"/>
        <w:spacing w:line="312" w:lineRule="exact"/>
        <w:ind w:right="0" w:firstLine="480"/>
        <w:jc w:val="left"/>
      </w:pPr>
      <w:r>
        <w:rPr/>
        <w:t>首批联盟成员共有</w:t>
      </w:r>
      <w:r>
        <w:rPr>
          <w:rFonts w:ascii="宋体" w:hAnsi="宋体" w:cs="宋体" w:eastAsia="宋体" w:hint="default"/>
        </w:rPr>
        <w:t>50</w:t>
      </w:r>
      <w:r>
        <w:rPr/>
        <w:t>家单位，其中联盟副理事长单位有：上海蔬菜（集团）有限公司、 上海农产品中心批发市场经营管理有限公司、上海随易网络有限公司、上海强丰实业有限公 司、上海盒马网络科技有限公司、上海国兴农现代农业发展股份有限公司、上海中信信息发 展股份有限公司、上海高校后勤服务股份有限公司、上海田野农副产品配送服务有限公司、 家乐宝电子商务有限公司、好生活（上海）农副产品配送服务有限公司、上海康品汇生鲜食 </w:t>
      </w:r>
      <w:r>
        <w:rPr>
          <w:spacing w:val="-3"/>
        </w:rPr>
        <w:t>品有限公司、上海大润发有限公司、上海上蔬永辉生鲜食品有限公司、瀚立商业管理（上海）</w:t>
      </w:r>
    </w:p>
    <w:p>
      <w:pPr>
        <w:pStyle w:val="BodyText"/>
        <w:spacing w:line="312" w:lineRule="exact"/>
        <w:ind w:right="1152"/>
        <w:jc w:val="left"/>
      </w:pPr>
      <w:r>
        <w:rPr/>
        <w:t>有限公司、上海悦管家网络科技有限公司、上海富宇家庭服务有限公司、上海家事佳家庭服 务有限公司。</w:t>
      </w:r>
    </w:p>
    <w:p>
      <w:pPr>
        <w:pStyle w:val="BodyText"/>
        <w:spacing w:line="312" w:lineRule="exact"/>
        <w:ind w:right="1116" w:firstLine="480"/>
        <w:jc w:val="left"/>
      </w:pPr>
      <w:r>
        <w:rPr>
          <w:rFonts w:ascii="宋体" w:hAnsi="宋体" w:cs="宋体" w:eastAsia="宋体" w:hint="default"/>
          <w:spacing w:val="-2"/>
        </w:rPr>
        <w:t>2018</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20</w:t>
      </w:r>
      <w:r>
        <w:rPr>
          <w:spacing w:val="-2"/>
        </w:rPr>
        <w:t>日，上海市商务委员会副主任、上海市粮食局党组书记、局长殷欧带队，上</w:t>
      </w:r>
      <w:r>
        <w:rPr/>
        <w:t> 海商务扶贫联盟（公司、上蔬集团、上农批、高校后勤、食行生鲜、富宇家政等）和其他生</w:t>
      </w:r>
    </w:p>
    <w:p>
      <w:pPr>
        <w:spacing w:after="0" w:line="312" w:lineRule="exact"/>
        <w:jc w:val="left"/>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237" w:lineRule="auto" w:before="28"/>
        <w:ind w:right="1132"/>
        <w:jc w:val="both"/>
      </w:pPr>
      <w:r>
        <w:rPr/>
        <w:t>鲜生产销售企业（联华超市、六和勤强、万有全等）随上海市商务委赴遵义做扶贫调研，参 </w:t>
      </w:r>
      <w:r>
        <w:rPr>
          <w:spacing w:val="-5"/>
        </w:rPr>
        <w:t>加沪遵扶贫协作遵品入沪工作座谈会。“沪遵合作”项目正式启动。会上遵义市政府正式成立</w:t>
      </w:r>
      <w:r>
        <w:rPr>
          <w:spacing w:val="-118"/>
        </w:rPr>
        <w:t> </w:t>
      </w:r>
      <w:r>
        <w:rPr>
          <w:spacing w:val="-118"/>
        </w:rPr>
      </w:r>
      <w:r>
        <w:rPr/>
        <w:t>了遵义农产品促销专班，办公室设在遵义市商务局内，上海商务扶贫联盟与遵义农产品促销 专班签订了产销对接合作协议，标志着上海与遵义的农产品产销对接工作在两地政府背书下</w:t>
      </w:r>
      <w:r>
        <w:rPr/>
        <w:t> 正式开展工作；遵义采用了政府＋龙头企业＋贫困户、多级农产品促销专班组织架构与上海 商务扶贫联盟对接，首次从组织上正式开展工作。重点调研了习水麻羊、赤水晒醋晒酱油等 产业。</w:t>
      </w:r>
    </w:p>
    <w:p>
      <w:pPr>
        <w:pStyle w:val="BodyText"/>
        <w:spacing w:line="312" w:lineRule="exact" w:before="29"/>
        <w:ind w:right="1002" w:firstLine="480"/>
        <w:jc w:val="left"/>
      </w:pPr>
      <w:r>
        <w:rPr>
          <w:rFonts w:ascii="宋体" w:hAnsi="宋体" w:cs="宋体" w:eastAsia="宋体" w:hint="default"/>
          <w:spacing w:val="-5"/>
        </w:rPr>
        <w:t>2018</w:t>
      </w:r>
      <w:r>
        <w:rPr>
          <w:spacing w:val="-5"/>
        </w:rPr>
        <w:t>年</w:t>
      </w:r>
      <w:r>
        <w:rPr>
          <w:rFonts w:ascii="宋体" w:hAnsi="宋体" w:cs="宋体" w:eastAsia="宋体" w:hint="default"/>
          <w:spacing w:val="-5"/>
        </w:rPr>
        <w:t>7</w:t>
      </w:r>
      <w:r>
        <w:rPr>
          <w:spacing w:val="-5"/>
        </w:rPr>
        <w:t>月，联盟联合民主党派致公党，前往贵州做扶贫调研，开启了联盟借助各种政府、</w:t>
      </w:r>
      <w:r>
        <w:rPr/>
        <w:t> 社会资源进行产业扶贫之路。</w:t>
      </w:r>
    </w:p>
    <w:p>
      <w:pPr>
        <w:pStyle w:val="BodyText"/>
        <w:spacing w:line="312" w:lineRule="exact"/>
        <w:ind w:right="1131" w:firstLine="480"/>
        <w:jc w:val="both"/>
      </w:pPr>
      <w:r>
        <w:rPr>
          <w:rFonts w:ascii="宋体" w:hAnsi="宋体" w:cs="宋体" w:eastAsia="宋体" w:hint="default"/>
          <w:spacing w:val="-2"/>
        </w:rPr>
        <w:t>2018</w:t>
      </w:r>
      <w:r>
        <w:rPr>
          <w:spacing w:val="-2"/>
        </w:rPr>
        <w:t>年</w:t>
      </w:r>
      <w:r>
        <w:rPr>
          <w:rFonts w:ascii="宋体" w:hAnsi="宋体" w:cs="宋体" w:eastAsia="宋体" w:hint="default"/>
          <w:spacing w:val="-2"/>
        </w:rPr>
        <w:t>8</w:t>
      </w:r>
      <w:r>
        <w:rPr>
          <w:spacing w:val="-2"/>
        </w:rPr>
        <w:t>月，道真县委书记周灵邀请联盟理事长单位公司到访道真，进行全产业链扶贫培</w:t>
      </w:r>
      <w:r>
        <w:rPr/>
        <w:t> 训路演，标志着联盟与遵义专班签约后，第一个全产业链建设项目正式落地道真，同时第一 批“遵品入沪”扶贫产品道真南瓜</w:t>
      </w:r>
      <w:r>
        <w:rPr>
          <w:rFonts w:ascii="宋体" w:hAnsi="宋体" w:cs="宋体" w:eastAsia="宋体" w:hint="default"/>
        </w:rPr>
        <w:t>30</w:t>
      </w:r>
      <w:r>
        <w:rPr/>
        <w:t>吨发出车。</w:t>
      </w:r>
    </w:p>
    <w:p>
      <w:pPr>
        <w:pStyle w:val="BodyText"/>
        <w:spacing w:line="312" w:lineRule="exact"/>
        <w:ind w:right="1171" w:firstLine="480"/>
        <w:jc w:val="both"/>
      </w:pPr>
      <w:r>
        <w:rPr>
          <w:rFonts w:ascii="宋体" w:hAnsi="宋体" w:cs="宋体" w:eastAsia="宋体" w:hint="default"/>
        </w:rPr>
        <w:t>2018</w:t>
      </w:r>
      <w:r>
        <w:rPr/>
        <w:t>年</w:t>
      </w:r>
      <w:r>
        <w:rPr>
          <w:rFonts w:ascii="宋体" w:hAnsi="宋体" w:cs="宋体" w:eastAsia="宋体" w:hint="default"/>
        </w:rPr>
        <w:t>8</w:t>
      </w:r>
      <w:r>
        <w:rPr/>
        <w:t>月</w:t>
      </w:r>
      <w:r>
        <w:rPr>
          <w:rFonts w:ascii="宋体" w:hAnsi="宋体" w:cs="宋体" w:eastAsia="宋体" w:hint="default"/>
        </w:rPr>
        <w:t>8</w:t>
      </w:r>
      <w:r>
        <w:rPr/>
        <w:t>日，在杨浦区区委书记李跃旗见证下，由公司负责的道真蔬菜全产业链建设 项目正式启动。经过上半年不断探索，总结出农产品产业扶贫不仅仅是解决销售问题，必须 由产供销全环节介入，全方位提升生产、流通、销售能力。</w:t>
      </w:r>
    </w:p>
    <w:p>
      <w:pPr>
        <w:pStyle w:val="BodyText"/>
        <w:spacing w:line="312" w:lineRule="exact"/>
        <w:ind w:right="1131" w:firstLine="480"/>
        <w:jc w:val="both"/>
      </w:pPr>
      <w:r>
        <w:rPr>
          <w:rFonts w:ascii="宋体" w:hAnsi="宋体" w:cs="宋体" w:eastAsia="宋体" w:hint="default"/>
          <w:spacing w:val="-2"/>
        </w:rPr>
        <w:t>2018</w:t>
      </w:r>
      <w:r>
        <w:rPr>
          <w:spacing w:val="-2"/>
        </w:rPr>
        <w:t>年</w:t>
      </w:r>
      <w:r>
        <w:rPr>
          <w:rFonts w:ascii="宋体" w:hAnsi="宋体" w:cs="宋体" w:eastAsia="宋体" w:hint="default"/>
          <w:spacing w:val="-2"/>
        </w:rPr>
        <w:t>8</w:t>
      </w:r>
      <w:r>
        <w:rPr>
          <w:spacing w:val="-2"/>
        </w:rPr>
        <w:t>月</w:t>
      </w:r>
      <w:r>
        <w:rPr>
          <w:rFonts w:ascii="宋体" w:hAnsi="宋体" w:cs="宋体" w:eastAsia="宋体" w:hint="default"/>
          <w:spacing w:val="-2"/>
        </w:rPr>
        <w:t>15</w:t>
      </w:r>
      <w:r>
        <w:rPr>
          <w:spacing w:val="-2"/>
        </w:rPr>
        <w:t>日，上海市商务委员会副主任、上海市粮食局党组书记、局长殷欧带队，上</w:t>
      </w:r>
      <w:r>
        <w:rPr/>
        <w:t> 海商务扶贫联盟（公司、上蔬集团、上农批等）到云南调研，推进上海云南精准扶贫产销对 </w:t>
      </w:r>
      <w:r>
        <w:rPr>
          <w:spacing w:val="-5"/>
        </w:rPr>
        <w:t>接工作。继上海和遵义后，“沪滇合作”项目正式启动。至此，联盟在市商委的指导下，实现</w:t>
      </w:r>
      <w:r>
        <w:rPr/>
        <w:t> 沪滇遵合作落地和全产业链建设项目。</w:t>
      </w:r>
    </w:p>
    <w:p>
      <w:pPr>
        <w:pStyle w:val="BodyText"/>
        <w:spacing w:line="312" w:lineRule="exact"/>
        <w:ind w:right="1007" w:firstLine="480"/>
        <w:jc w:val="left"/>
      </w:pPr>
      <w:r>
        <w:rPr>
          <w:rFonts w:ascii="宋体" w:hAnsi="宋体" w:cs="宋体" w:eastAsia="宋体" w:hint="default"/>
          <w:spacing w:val="-5"/>
        </w:rPr>
        <w:t>2018</w:t>
      </w:r>
      <w:r>
        <w:rPr>
          <w:spacing w:val="-5"/>
        </w:rPr>
        <w:t>年</w:t>
      </w:r>
      <w:r>
        <w:rPr>
          <w:rFonts w:ascii="宋体" w:hAnsi="宋体" w:cs="宋体" w:eastAsia="宋体" w:hint="default"/>
          <w:spacing w:val="-5"/>
        </w:rPr>
        <w:t>9</w:t>
      </w:r>
      <w:r>
        <w:rPr>
          <w:spacing w:val="-5"/>
        </w:rPr>
        <w:t>月，联盟在上海静安区、杨浦区建立</w:t>
      </w:r>
      <w:r>
        <w:rPr>
          <w:rFonts w:ascii="宋体" w:hAnsi="宋体" w:cs="宋体" w:eastAsia="宋体" w:hint="default"/>
          <w:spacing w:val="-5"/>
        </w:rPr>
        <w:t>10</w:t>
      </w:r>
      <w:r>
        <w:rPr>
          <w:spacing w:val="-5"/>
        </w:rPr>
        <w:t>个帮扶协作专柜试点，第一批“滇品入沪”</w:t>
      </w:r>
      <w:r>
        <w:rPr/>
        <w:t> 扶贫产品剑川花心洋芋</w:t>
      </w:r>
      <w:r>
        <w:rPr>
          <w:rFonts w:ascii="宋体" w:hAnsi="宋体" w:cs="宋体" w:eastAsia="宋体" w:hint="default"/>
        </w:rPr>
        <w:t>20</w:t>
      </w:r>
      <w:r>
        <w:rPr/>
        <w:t>吨发车，同时联盟预计在未来</w:t>
      </w:r>
      <w:r>
        <w:rPr>
          <w:rFonts w:ascii="宋体" w:hAnsi="宋体" w:cs="宋体" w:eastAsia="宋体" w:hint="default"/>
        </w:rPr>
        <w:t>6</w:t>
      </w:r>
      <w:r>
        <w:rPr/>
        <w:t>个月内推进全上海首批</w:t>
      </w:r>
      <w:r>
        <w:rPr>
          <w:rFonts w:ascii="宋体" w:hAnsi="宋体" w:cs="宋体" w:eastAsia="宋体" w:hint="default"/>
        </w:rPr>
        <w:t>100</w:t>
      </w:r>
      <w:r>
        <w:rPr/>
        <w:t>个专柜建 设项目。</w:t>
      </w:r>
    </w:p>
    <w:p>
      <w:pPr>
        <w:pStyle w:val="BodyText"/>
        <w:spacing w:line="312" w:lineRule="exact"/>
        <w:ind w:right="1132" w:firstLine="480"/>
        <w:jc w:val="both"/>
      </w:pPr>
      <w:r>
        <w:rPr>
          <w:rFonts w:ascii="宋体" w:hAnsi="宋体" w:cs="宋体" w:eastAsia="宋体" w:hint="default"/>
          <w:spacing w:val="-3"/>
        </w:rPr>
        <w:t>2018</w:t>
      </w:r>
      <w:r>
        <w:rPr>
          <w:spacing w:val="-3"/>
        </w:rPr>
        <w:t>年</w:t>
      </w:r>
      <w:r>
        <w:rPr>
          <w:rFonts w:ascii="宋体" w:hAnsi="宋体" w:cs="宋体" w:eastAsia="宋体" w:hint="default"/>
          <w:spacing w:val="-3"/>
        </w:rPr>
        <w:t>9</w:t>
      </w:r>
      <w:r>
        <w:rPr>
          <w:spacing w:val="-3"/>
        </w:rPr>
        <w:t>月，实施道真蔬菜标准化项目，帮助道真蔬菜做食品安全评估和提升服务，对其</w:t>
      </w:r>
      <w:r>
        <w:rPr/>
        <w:t> 中</w:t>
      </w:r>
      <w:r>
        <w:rPr>
          <w:rFonts w:ascii="宋体" w:hAnsi="宋体" w:cs="宋体" w:eastAsia="宋体" w:hint="default"/>
        </w:rPr>
        <w:t>10</w:t>
      </w:r>
      <w:r>
        <w:rPr/>
        <w:t>个蔬菜品种做流通标准化项目。其中，农产品流通管理标准和能力建设包含建立采收、 分拣、预冷、初加工、包装、仓储、物流等相关服务标准；指导完善必要的设施和装备，比 </w:t>
      </w:r>
      <w:r>
        <w:rPr>
          <w:spacing w:val="-3"/>
        </w:rPr>
        <w:t>如冷库（</w:t>
      </w:r>
      <w:r>
        <w:rPr>
          <w:rFonts w:ascii="宋体" w:hAnsi="宋体" w:cs="宋体" w:eastAsia="宋体" w:hint="default"/>
          <w:spacing w:val="-3"/>
        </w:rPr>
        <w:t>-5</w:t>
      </w:r>
      <w:r>
        <w:rPr>
          <w:spacing w:val="-3"/>
        </w:rPr>
        <w:t>摄氏度、</w:t>
      </w:r>
      <w:r>
        <w:rPr>
          <w:rFonts w:ascii="宋体" w:hAnsi="宋体" w:cs="宋体" w:eastAsia="宋体" w:hint="default"/>
          <w:spacing w:val="-3"/>
        </w:rPr>
        <w:t>-10-0</w:t>
      </w:r>
      <w:r>
        <w:rPr>
          <w:spacing w:val="-3"/>
        </w:rPr>
        <w:t>摄氏度等）、仓库、分拣车间、加工车间、物流平台、冷链车、其</w:t>
      </w:r>
      <w:r>
        <w:rPr>
          <w:spacing w:val="-108"/>
        </w:rPr>
        <w:t> </w:t>
      </w:r>
      <w:r>
        <w:rPr>
          <w:spacing w:val="-108"/>
        </w:rPr>
      </w:r>
      <w:r>
        <w:rPr/>
        <w:t>他设备等。农产品规格分类标准和能力建设包含感官要求、理化要求、包装要求、运输规范 等相关标准；</w:t>
      </w:r>
      <w:r>
        <w:rPr>
          <w:rFonts w:ascii="宋体" w:hAnsi="宋体" w:cs="宋体" w:eastAsia="宋体" w:hint="default"/>
        </w:rPr>
        <w:t>10</w:t>
      </w:r>
      <w:r>
        <w:rPr/>
        <w:t>个蔬菜品种，密本南瓜、花椰菜、菜椒、菜豆、甘蓝、西兰花等，分毛菜和 净菜，给予具体菜品的流通标准化输出。</w:t>
      </w:r>
    </w:p>
    <w:p>
      <w:pPr>
        <w:pStyle w:val="BodyText"/>
        <w:spacing w:line="312" w:lineRule="exact"/>
        <w:ind w:right="1133" w:firstLine="480"/>
        <w:jc w:val="both"/>
      </w:pPr>
      <w:r>
        <w:rPr>
          <w:rFonts w:ascii="宋体" w:hAnsi="宋体" w:cs="宋体" w:eastAsia="宋体" w:hint="default"/>
          <w:spacing w:val="-3"/>
        </w:rPr>
        <w:t>2018</w:t>
      </w:r>
      <w:r>
        <w:rPr>
          <w:spacing w:val="-3"/>
        </w:rPr>
        <w:t>年</w:t>
      </w:r>
      <w:r>
        <w:rPr>
          <w:rFonts w:ascii="宋体" w:hAnsi="宋体" w:cs="宋体" w:eastAsia="宋体" w:hint="default"/>
          <w:spacing w:val="-3"/>
        </w:rPr>
        <w:t>9</w:t>
      </w:r>
      <w:r>
        <w:rPr>
          <w:spacing w:val="-3"/>
        </w:rPr>
        <w:t>月，公司对接习水，对红稗羹、岩蜂蜜、老种小黄豆和小黑豆、习水麻羊系列等</w:t>
      </w:r>
      <w:r>
        <w:rPr/>
        <w:t> 进行深度调研和对接，对老种小黄豆和小黑豆进行了流通标准化和包装设计。</w:t>
      </w:r>
    </w:p>
    <w:p>
      <w:pPr>
        <w:pStyle w:val="BodyText"/>
        <w:spacing w:line="312" w:lineRule="exact"/>
        <w:ind w:right="1171" w:firstLine="480"/>
        <w:jc w:val="both"/>
      </w:pPr>
      <w:r>
        <w:rPr>
          <w:rFonts w:ascii="宋体" w:hAnsi="宋体" w:cs="宋体" w:eastAsia="宋体" w:hint="default"/>
        </w:rPr>
        <w:t>2018</w:t>
      </w:r>
      <w:r>
        <w:rPr/>
        <w:t>年中秋节，公司把赤水晒醋晒酱油首次带入上海的福利礼品市场，中秋节当期共计 销售</w:t>
      </w:r>
      <w:r>
        <w:rPr>
          <w:rFonts w:ascii="宋体" w:hAnsi="宋体" w:cs="宋体" w:eastAsia="宋体" w:hint="default"/>
        </w:rPr>
        <w:t>10000</w:t>
      </w:r>
      <w:r>
        <w:rPr/>
        <w:t>件。</w:t>
      </w:r>
    </w:p>
    <w:p>
      <w:pPr>
        <w:pStyle w:val="BodyText"/>
        <w:spacing w:line="312" w:lineRule="exact"/>
        <w:ind w:right="1169" w:firstLine="480"/>
        <w:jc w:val="both"/>
      </w:pPr>
      <w:r>
        <w:rPr>
          <w:rFonts w:ascii="宋体" w:hAnsi="宋体" w:cs="宋体" w:eastAsia="宋体" w:hint="default"/>
        </w:rPr>
        <w:t>2018</w:t>
      </w:r>
      <w:r>
        <w:rPr/>
        <w:t>年</w:t>
      </w:r>
      <w:r>
        <w:rPr>
          <w:rFonts w:ascii="宋体" w:hAnsi="宋体" w:cs="宋体" w:eastAsia="宋体" w:hint="default"/>
        </w:rPr>
        <w:t>10</w:t>
      </w:r>
      <w:r>
        <w:rPr/>
        <w:t>月</w:t>
      </w:r>
      <w:r>
        <w:rPr>
          <w:rFonts w:ascii="宋体" w:hAnsi="宋体" w:cs="宋体" w:eastAsia="宋体" w:hint="default"/>
        </w:rPr>
        <w:t>17</w:t>
      </w:r>
      <w:r>
        <w:rPr/>
        <w:t>日，国家扶贫日。由上海市合作交流办、上海市商务委发起，由上海商务 扶贫联盟运营的第一个上海帮扶协作品质农产品专柜在静安区菜市场开始试运行，专柜首批 商品是来自遵义的道真蜜本南瓜、赤水晒醋和晒酱油。目前在杨浦、静安，总计</w:t>
      </w:r>
      <w:r>
        <w:rPr>
          <w:rFonts w:ascii="宋体" w:hAnsi="宋体" w:cs="宋体" w:eastAsia="宋体" w:hint="default"/>
        </w:rPr>
        <w:t>10</w:t>
      </w:r>
      <w:r>
        <w:rPr/>
        <w:t>个帮扶专 柜进行试点。同时，上海</w:t>
      </w:r>
      <w:r>
        <w:rPr>
          <w:rFonts w:ascii="宋体" w:hAnsi="宋体" w:cs="宋体" w:eastAsia="宋体" w:hint="default"/>
        </w:rPr>
        <w:t>2018</w:t>
      </w:r>
      <w:r>
        <w:rPr/>
        <w:t>对口帮扶特色商品展销会，遵义企业来访上海，联盟进行推介 和签约，联盟和遵义市商务局签订产销对接协议。</w:t>
      </w:r>
    </w:p>
    <w:p>
      <w:pPr>
        <w:pStyle w:val="BodyText"/>
        <w:spacing w:line="312" w:lineRule="exact"/>
        <w:ind w:right="1169" w:firstLine="480"/>
        <w:jc w:val="both"/>
      </w:pPr>
      <w:r>
        <w:rPr>
          <w:rFonts w:ascii="宋体" w:hAnsi="宋体" w:cs="宋体" w:eastAsia="宋体" w:hint="default"/>
        </w:rPr>
        <w:t>2018</w:t>
      </w:r>
      <w:r>
        <w:rPr/>
        <w:t>年</w:t>
      </w:r>
      <w:r>
        <w:rPr>
          <w:rFonts w:ascii="宋体" w:hAnsi="宋体" w:cs="宋体" w:eastAsia="宋体" w:hint="default"/>
        </w:rPr>
        <w:t>10</w:t>
      </w:r>
      <w:r>
        <w:rPr/>
        <w:t>月</w:t>
      </w:r>
      <w:r>
        <w:rPr>
          <w:rFonts w:ascii="宋体" w:hAnsi="宋体" w:cs="宋体" w:eastAsia="宋体" w:hint="default"/>
        </w:rPr>
        <w:t>25</w:t>
      </w:r>
      <w:r>
        <w:rPr/>
        <w:t>日，云南省副秘书长、省扶贫办罗主任邀请联盟对上海对口云南</w:t>
      </w:r>
      <w:r>
        <w:rPr>
          <w:rFonts w:ascii="宋体" w:hAnsi="宋体" w:cs="宋体" w:eastAsia="宋体" w:hint="default"/>
        </w:rPr>
        <w:t>13</w:t>
      </w:r>
      <w:r>
        <w:rPr/>
        <w:t>州市的 援滇干部做培训。于是公司代表上海商务扶贫联盟为上海援滇</w:t>
      </w:r>
      <w:r>
        <w:rPr>
          <w:rFonts w:ascii="宋体" w:hAnsi="宋体" w:cs="宋体" w:eastAsia="宋体" w:hint="default"/>
        </w:rPr>
        <w:t>13</w:t>
      </w:r>
      <w:r>
        <w:rPr/>
        <w:t>个州市干部做精准扶贫上海 云南产销对接培训。核心内容是以政府＋龙头企业＋贫困户为组织的专班及机制是基础，标</w:t>
      </w:r>
    </w:p>
    <w:p>
      <w:pPr>
        <w:pStyle w:val="BodyText"/>
        <w:spacing w:line="312" w:lineRule="exact"/>
        <w:ind w:right="1170"/>
        <w:jc w:val="both"/>
      </w:pPr>
      <w:r>
        <w:rPr/>
        <w:t>志着联盟开始在云南推进全产业链扶贫计划；从源头到销售终端的全产业追溯机制是解决消 费信心的关键。</w:t>
      </w:r>
    </w:p>
    <w:p>
      <w:pPr>
        <w:pStyle w:val="BodyText"/>
        <w:spacing w:line="283" w:lineRule="exact"/>
        <w:ind w:left="594" w:right="0"/>
        <w:jc w:val="left"/>
      </w:pPr>
      <w:r>
        <w:rPr>
          <w:rFonts w:ascii="宋体" w:hAnsi="宋体" w:cs="宋体" w:eastAsia="宋体" w:hint="default"/>
        </w:rPr>
        <w:t>2018</w:t>
      </w:r>
      <w:r>
        <w:rPr/>
        <w:t>年</w:t>
      </w:r>
      <w:r>
        <w:rPr>
          <w:rFonts w:ascii="宋体" w:hAnsi="宋体" w:cs="宋体" w:eastAsia="宋体" w:hint="default"/>
        </w:rPr>
        <w:t>11</w:t>
      </w:r>
      <w:r>
        <w:rPr/>
        <w:t>月，联盟成员公司、本来生活、国兴农代表上海参展团，赴长沙参加第十六届</w:t>
      </w:r>
    </w:p>
    <w:p>
      <w:pPr>
        <w:spacing w:after="0" w:line="283" w:lineRule="exact"/>
        <w:jc w:val="left"/>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312" w:lineRule="exact" w:before="56"/>
        <w:ind w:right="1131"/>
        <w:jc w:val="both"/>
      </w:pPr>
      <w:r>
        <w:rPr/>
        <w:t>农交会，推广扶贫产品。扶贫成果受到各方领导检阅并肯定。随后，公司决定在上海杨思的 </w:t>
      </w:r>
      <w:r>
        <w:rPr>
          <w:spacing w:val="-2"/>
        </w:rPr>
        <w:t>共享配送中心计划建设</w:t>
      </w:r>
      <w:r>
        <w:rPr>
          <w:rFonts w:ascii="宋体" w:hAnsi="宋体" w:cs="宋体" w:eastAsia="宋体" w:hint="default"/>
          <w:spacing w:val="-2"/>
        </w:rPr>
        <w:t>200</w:t>
      </w:r>
      <w:r>
        <w:rPr>
          <w:spacing w:val="-2"/>
        </w:rPr>
        <w:t>㎡门店做帮扶协作展示馆，标志着联盟有了属于自己的专属扶贫商</w:t>
      </w:r>
      <w:r>
        <w:rPr>
          <w:spacing w:val="-118"/>
        </w:rPr>
        <w:t> </w:t>
      </w:r>
      <w:r>
        <w:rPr>
          <w:spacing w:val="-118"/>
        </w:rPr>
      </w:r>
      <w:r>
        <w:rPr/>
        <w:t>品展示馆。</w:t>
      </w:r>
    </w:p>
    <w:p>
      <w:pPr>
        <w:pStyle w:val="BodyText"/>
        <w:spacing w:line="283" w:lineRule="exact"/>
        <w:ind w:right="0" w:firstLine="480"/>
        <w:jc w:val="left"/>
      </w:pPr>
      <w:r>
        <w:rPr>
          <w:rFonts w:ascii="宋体" w:hAnsi="宋体" w:cs="宋体" w:eastAsia="宋体" w:hint="default"/>
        </w:rPr>
        <w:t>2018</w:t>
      </w:r>
      <w:r>
        <w:rPr/>
        <w:t>年</w:t>
      </w:r>
      <w:r>
        <w:rPr>
          <w:rFonts w:ascii="宋体" w:hAnsi="宋体" w:cs="宋体" w:eastAsia="宋体" w:hint="default"/>
        </w:rPr>
        <w:t>11</w:t>
      </w:r>
      <w:r>
        <w:rPr/>
        <w:t>月</w:t>
      </w:r>
      <w:r>
        <w:rPr>
          <w:rFonts w:ascii="宋体" w:hAnsi="宋体" w:cs="宋体" w:eastAsia="宋体" w:hint="default"/>
        </w:rPr>
        <w:t>20</w:t>
      </w:r>
      <w:r>
        <w:rPr/>
        <w:t>日，联盟借助上海静安区工商联，对接扶贫项目赴云南文山，重点考察小</w:t>
      </w:r>
    </w:p>
    <w:p>
      <w:pPr>
        <w:pStyle w:val="BodyText"/>
        <w:spacing w:line="312" w:lineRule="exact" w:before="30"/>
        <w:ind w:right="1131"/>
        <w:jc w:val="both"/>
      </w:pPr>
      <w:r>
        <w:rPr>
          <w:spacing w:val="-3"/>
        </w:rPr>
        <w:t>黄姜、红淮</w:t>
      </w:r>
      <w:r>
        <w:rPr>
          <w:rFonts w:ascii="宋体" w:hAnsi="宋体" w:cs="宋体" w:eastAsia="宋体" w:hint="default"/>
          <w:spacing w:val="-3"/>
        </w:rPr>
        <w:t>2</w:t>
      </w:r>
      <w:r>
        <w:rPr>
          <w:spacing w:val="-3"/>
        </w:rPr>
        <w:t>号、灵芝山药等蔬菜品种，深度调研当地龙头企业，实现联盟精准扶贫产供销对</w:t>
      </w:r>
      <w:r>
        <w:rPr>
          <w:spacing w:val="-81"/>
        </w:rPr>
        <w:t> </w:t>
      </w:r>
      <w:r>
        <w:rPr>
          <w:spacing w:val="-81"/>
        </w:rPr>
      </w:r>
      <w:r>
        <w:rPr/>
        <w:t>接有效模式。</w:t>
      </w:r>
    </w:p>
    <w:p>
      <w:pPr>
        <w:pStyle w:val="BodyText"/>
        <w:spacing w:line="312" w:lineRule="exact"/>
        <w:ind w:right="1169" w:firstLine="480"/>
        <w:jc w:val="both"/>
      </w:pP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13</w:t>
      </w:r>
      <w:r>
        <w:rPr/>
        <w:t>日，公司作为道真蔬菜全产业链项目运营方和上海商务扶贫联盟理事长单 位，由公司总经理王华作为四位报告团成员之一，向杨浦区四套班子成员和</w:t>
      </w:r>
      <w:r>
        <w:rPr>
          <w:rFonts w:ascii="宋体" w:hAnsi="宋体" w:cs="宋体" w:eastAsia="宋体" w:hint="default"/>
        </w:rPr>
        <w:t>1000</w:t>
      </w:r>
      <w:r>
        <w:rPr/>
        <w:t>位杨浦区科 级以上干部做了扶贫干部周灵书记先进事迹报告会，总结农产品全产业链项目对于扶贫工作 的重要性。</w:t>
      </w:r>
    </w:p>
    <w:p>
      <w:pPr>
        <w:pStyle w:val="BodyText"/>
        <w:spacing w:line="312" w:lineRule="exact"/>
        <w:ind w:right="1032" w:firstLine="480"/>
        <w:jc w:val="left"/>
      </w:pP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14</w:t>
      </w:r>
      <w:r>
        <w:rPr/>
        <w:t>日，由遵义市商务局组织召开农副产品品牌打造包装设计和营销推广业务 培训会，由上海商务扶贫联盟组织行业专家对现场</w:t>
      </w:r>
      <w:r>
        <w:rPr>
          <w:rFonts w:ascii="宋体" w:hAnsi="宋体" w:cs="宋体" w:eastAsia="宋体" w:hint="default"/>
        </w:rPr>
        <w:t>200</w:t>
      </w:r>
      <w:r>
        <w:rPr/>
        <w:t>多家合作社、企业学员进行业务培训， 把一年来在遵义农产品产业升级项目中的经验总结分享给大家。</w:t>
      </w:r>
    </w:p>
    <w:p>
      <w:pPr>
        <w:pStyle w:val="BodyText"/>
        <w:spacing w:line="237" w:lineRule="auto" w:before="13"/>
        <w:ind w:right="1134"/>
        <w:jc w:val="both"/>
        <w:rPr>
          <w:rFonts w:ascii="Times New Roman" w:hAnsi="Times New Roman" w:cs="Times New Roman" w:eastAsia="Times New Roman" w:hint="default"/>
          <w:sz w:val="18"/>
          <w:szCs w:val="18"/>
        </w:rPr>
      </w:pPr>
      <w:r>
        <w:rPr>
          <w:rFonts w:ascii="宋体" w:hAnsi="宋体" w:cs="宋体" w:eastAsia="宋体" w:hint="default"/>
        </w:rPr>
        <w:t>2018</w:t>
      </w:r>
      <w:r>
        <w:rPr/>
        <w:t>年年底，公司牵头道真蔬菜对接杨浦区委办局公务员福利项目，目前正在项目推进中，</w:t>
      </w:r>
      <w:r>
        <w:rPr>
          <w:spacing w:val="-117"/>
        </w:rPr>
        <w:t> </w:t>
      </w:r>
      <w:r>
        <w:rPr>
          <w:spacing w:val="-117"/>
        </w:rPr>
      </w:r>
      <w:r>
        <w:rPr/>
        <w:t>有望在春节前实施完成，预计可以为杨浦区</w:t>
      </w:r>
      <w:r>
        <w:rPr>
          <w:rFonts w:ascii="宋体" w:hAnsi="宋体" w:cs="宋体" w:eastAsia="宋体" w:hint="default"/>
        </w:rPr>
        <w:t>1600</w:t>
      </w:r>
      <w:r>
        <w:rPr/>
        <w:t>位公务员带来道真蔬菜的体验机会，并为后</w:t>
      </w:r>
      <w:r>
        <w:rPr>
          <w:spacing w:val="-114"/>
        </w:rPr>
        <w:t> </w:t>
      </w:r>
      <w:r>
        <w:rPr>
          <w:spacing w:val="-114"/>
        </w:rPr>
      </w:r>
      <w:r>
        <w:rPr/>
        <w:t>续遵义农产品进入机关推广做好准备</w:t>
      </w:r>
      <w:r>
        <w:rPr>
          <w:rFonts w:ascii="Times New Roman" w:hAnsi="Times New Roman" w:cs="Times New Roman" w:eastAsia="Times New Roman" w:hint="default"/>
          <w:sz w:val="18"/>
          <w:szCs w:val="18"/>
        </w:rPr>
        <w:t>w"</w:t>
      </w:r>
    </w:p>
    <w:p>
      <w:pPr>
        <w:spacing w:line="240" w:lineRule="auto" w:before="7"/>
        <w:rPr>
          <w:rFonts w:ascii="Times New Roman" w:hAnsi="Times New Roman" w:cs="Times New Roman" w:eastAsia="Times New Roman" w:hint="default"/>
          <w:sz w:val="27"/>
          <w:szCs w:val="27"/>
        </w:rPr>
      </w:pPr>
    </w:p>
    <w:p>
      <w:pPr>
        <w:spacing w:before="0"/>
        <w:ind w:left="114" w:right="0" w:firstLine="0"/>
        <w:jc w:val="both"/>
        <w:rPr>
          <w:rFonts w:ascii="宋体" w:hAnsi="宋体" w:cs="宋体" w:eastAsia="宋体" w:hint="default"/>
          <w:sz w:val="21"/>
          <w:szCs w:val="21"/>
        </w:rPr>
      </w:pPr>
      <w:bookmarkStart w:name="（3）精准扶贫成效" w:id="101"/>
      <w:bookmarkEnd w:id="10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）精准扶贫成效</w:t>
      </w:r>
      <w:r>
        <w:rPr>
          <w:rFonts w:ascii="宋体" w:hAnsi="宋体" w:cs="宋体" w:eastAsia="宋体" w:hint="default"/>
          <w:sz w:val="21"/>
          <w:szCs w:val="21"/>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624"/>
        <w:gridCol w:w="1553"/>
        <w:gridCol w:w="4391"/>
      </w:tblGrid>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指标</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计量单位</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数量</w:t>
            </w:r>
            <w:r>
              <w:rPr>
                <w:rFonts w:ascii="Times New Roman" w:hAnsi="Times New Roman" w:cs="Times New Roman" w:eastAsia="Times New Roman" w:hint="default"/>
                <w:sz w:val="18"/>
                <w:szCs w:val="18"/>
              </w:rPr>
              <w:t>/</w:t>
            </w:r>
            <w:r>
              <w:rPr>
                <w:rFonts w:ascii="宋体" w:hAnsi="宋体" w:cs="宋体" w:eastAsia="宋体" w:hint="default"/>
                <w:sz w:val="18"/>
                <w:szCs w:val="18"/>
              </w:rPr>
              <w:t>开展情况</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一、总体情况</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二、分项投入</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产业发展脱贫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转移就业脱贫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易地搬迁脱贫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教育扶贫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健康扶贫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生态保护扶贫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兜底保障</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8.</w:t>
            </w:r>
            <w:r>
              <w:rPr>
                <w:rFonts w:ascii="宋体" w:hAnsi="宋体" w:cs="宋体" w:eastAsia="宋体" w:hint="default"/>
                <w:sz w:val="18"/>
                <w:szCs w:val="18"/>
              </w:rPr>
              <w:t>社会扶贫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9.</w:t>
            </w:r>
            <w:r>
              <w:rPr>
                <w:rFonts w:ascii="宋体" w:hAnsi="宋体" w:cs="宋体" w:eastAsia="宋体" w:hint="default"/>
                <w:sz w:val="18"/>
                <w:szCs w:val="18"/>
              </w:rPr>
              <w:t>其他项目</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r>
      <w:tr>
        <w:trPr>
          <w:trHeight w:val="402" w:hRule="exact"/>
        </w:trPr>
        <w:tc>
          <w:tcPr>
            <w:tcW w:w="36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三、所获奖项（内容、级别）</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c>
          <w:tcPr>
            <w:tcW w:w="4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w:t>
            </w:r>
          </w:p>
        </w:tc>
      </w:tr>
    </w:tbl>
    <w:p>
      <w:pPr>
        <w:spacing w:line="240" w:lineRule="auto" w:before="3"/>
        <w:rPr>
          <w:rFonts w:ascii="宋体" w:hAnsi="宋体" w:cs="宋体" w:eastAsia="宋体" w:hint="default"/>
          <w:b/>
          <w:bCs/>
          <w:sz w:val="19"/>
          <w:szCs w:val="19"/>
        </w:rPr>
      </w:pPr>
    </w:p>
    <w:p>
      <w:pPr>
        <w:spacing w:before="35"/>
        <w:ind w:left="114" w:right="0" w:firstLine="0"/>
        <w:jc w:val="both"/>
        <w:rPr>
          <w:rFonts w:ascii="宋体" w:hAnsi="宋体" w:cs="宋体" w:eastAsia="宋体" w:hint="default"/>
          <w:sz w:val="21"/>
          <w:szCs w:val="21"/>
        </w:rPr>
      </w:pPr>
      <w:bookmarkStart w:name="（4）后续精准扶贫计划" w:id="102"/>
      <w:bookmarkEnd w:id="10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）后续精准扶贫计划</w:t>
      </w:r>
      <w:r>
        <w:rPr>
          <w:rFonts w:ascii="宋体" w:hAnsi="宋体" w:cs="宋体" w:eastAsia="宋体" w:hint="default"/>
          <w:sz w:val="21"/>
          <w:szCs w:val="21"/>
        </w:rPr>
      </w:r>
    </w:p>
    <w:p>
      <w:pPr>
        <w:spacing w:line="240" w:lineRule="auto" w:before="9"/>
        <w:rPr>
          <w:rFonts w:ascii="宋体" w:hAnsi="宋体" w:cs="宋体" w:eastAsia="宋体" w:hint="default"/>
          <w:b/>
          <w:bCs/>
          <w:sz w:val="22"/>
          <w:szCs w:val="22"/>
        </w:rPr>
      </w:pPr>
    </w:p>
    <w:p>
      <w:pPr>
        <w:pStyle w:val="BodyText"/>
        <w:spacing w:line="240" w:lineRule="auto"/>
        <w:ind w:left="594" w:right="1152"/>
        <w:jc w:val="left"/>
      </w:pPr>
      <w:r>
        <w:rPr>
          <w:spacing w:val="-6"/>
        </w:rPr>
        <w:t>一人的力量是有限的，而“众人拾柴火焰高”。</w:t>
      </w:r>
      <w:r>
        <w:rPr>
          <w:spacing w:val="-114"/>
        </w:rPr>
        <w:t> </w:t>
      </w:r>
      <w:r>
        <w:rPr>
          <w:spacing w:val="-114"/>
        </w:rPr>
      </w:r>
      <w:r>
        <w:rPr>
          <w:rFonts w:ascii="宋体" w:hAnsi="宋体" w:cs="宋体" w:eastAsia="宋体" w:hint="default"/>
        </w:rPr>
        <w:t>2019</w:t>
      </w:r>
      <w:r>
        <w:rPr/>
        <w:t>年联盟刚起步，重点工作放在产销对接机制的建立上，但对于实际农产品的推进亦</w:t>
      </w:r>
    </w:p>
    <w:p>
      <w:pPr>
        <w:pStyle w:val="BodyText"/>
        <w:spacing w:line="312" w:lineRule="exact" w:before="28"/>
        <w:ind w:right="1130"/>
        <w:jc w:val="both"/>
      </w:pPr>
      <w:r>
        <w:rPr>
          <w:spacing w:val="-2"/>
        </w:rPr>
        <w:t>有具体展开，截至目前对接遵义共销售以高原蜜本南瓜为主的生鲜农产品</w:t>
      </w:r>
      <w:r>
        <w:rPr>
          <w:rFonts w:ascii="宋体" w:hAnsi="宋体" w:cs="宋体" w:eastAsia="宋体" w:hint="default"/>
          <w:spacing w:val="-2"/>
        </w:rPr>
        <w:t>500</w:t>
      </w:r>
      <w:r>
        <w:rPr>
          <w:spacing w:val="-2"/>
        </w:rPr>
        <w:t>吨，对接以赤水</w:t>
      </w:r>
      <w:r>
        <w:rPr>
          <w:spacing w:val="-117"/>
        </w:rPr>
        <w:t> </w:t>
      </w:r>
      <w:r>
        <w:rPr>
          <w:spacing w:val="-117"/>
        </w:rPr>
      </w:r>
      <w:r>
        <w:rPr>
          <w:spacing w:val="-2"/>
        </w:rPr>
        <w:t>酱油、晒醋为代表的标准化商品共计</w:t>
      </w:r>
      <w:r>
        <w:rPr>
          <w:rFonts w:ascii="宋体" w:hAnsi="宋体" w:cs="宋体" w:eastAsia="宋体" w:hint="default"/>
          <w:spacing w:val="-2"/>
        </w:rPr>
        <w:t>10000</w:t>
      </w:r>
      <w:r>
        <w:rPr>
          <w:spacing w:val="-2"/>
        </w:rPr>
        <w:t>件；对接云南以茄果类、根茎类蔬菜为主的生鲜农</w:t>
      </w:r>
      <w:r>
        <w:rPr>
          <w:spacing w:val="-118"/>
        </w:rPr>
        <w:t> </w:t>
      </w:r>
      <w:r>
        <w:rPr>
          <w:spacing w:val="-118"/>
        </w:rPr>
      </w:r>
      <w:r>
        <w:rPr>
          <w:spacing w:val="-2"/>
        </w:rPr>
        <w:t>产品</w:t>
      </w:r>
      <w:r>
        <w:rPr>
          <w:rFonts w:ascii="宋体" w:hAnsi="宋体" w:cs="宋体" w:eastAsia="宋体" w:hint="default"/>
          <w:spacing w:val="-2"/>
        </w:rPr>
        <w:t>200</w:t>
      </w:r>
      <w:r>
        <w:rPr>
          <w:spacing w:val="-2"/>
        </w:rPr>
        <w:t>吨；还着重对接了云南菌菇类干货。重点是为了深入开展好沪滇遵扶贫协作和对口支</w:t>
      </w:r>
    </w:p>
    <w:p>
      <w:pPr>
        <w:spacing w:after="0" w:line="312" w:lineRule="exact"/>
        <w:jc w:val="both"/>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312" w:lineRule="exact" w:before="56"/>
        <w:ind w:right="1169"/>
        <w:jc w:val="both"/>
      </w:pPr>
      <w:r>
        <w:rPr>
          <w:spacing w:val="-6"/>
        </w:rPr>
        <w:t>援工作，上海商务扶贫联盟充分发挥各自资源优势，扎实推进“云品入沪”、“遵品入沪”产</w:t>
      </w:r>
      <w:r>
        <w:rPr>
          <w:spacing w:val="-114"/>
        </w:rPr>
        <w:t> </w:t>
      </w:r>
      <w:r>
        <w:rPr>
          <w:spacing w:val="-114"/>
        </w:rPr>
      </w:r>
      <w:r>
        <w:rPr/>
        <w:t>销对接精准扶贫，运用上海市商务委在精准扶贫工作中的龙头作用，发挥社会效应，为精准 扶贫事业共同添砖加瓦，以产业发展带动贫困地区自我发展能力和脱贫造血功能持续增强， 实现区域贫困户稳定增收、精准脱贫。</w:t>
      </w:r>
    </w:p>
    <w:p>
      <w:pPr>
        <w:pStyle w:val="BodyText"/>
        <w:spacing w:line="312" w:lineRule="exact"/>
        <w:ind w:right="1000" w:firstLine="480"/>
        <w:jc w:val="left"/>
      </w:pPr>
      <w:r>
        <w:rPr>
          <w:spacing w:val="-4"/>
        </w:rPr>
        <w:t>长三角重要产品（区块链）追溯联盟（</w:t>
      </w:r>
      <w:r>
        <w:rPr>
          <w:rFonts w:ascii="宋体" w:hAnsi="宋体" w:cs="宋体" w:eastAsia="宋体" w:hint="default"/>
          <w:spacing w:val="-4"/>
        </w:rPr>
        <w:t>YANGTZE</w:t>
      </w:r>
      <w:r>
        <w:rPr>
          <w:rFonts w:ascii="宋体" w:hAnsi="宋体" w:cs="宋体" w:eastAsia="宋体" w:hint="default"/>
          <w:spacing w:val="-59"/>
        </w:rPr>
        <w:t> </w:t>
      </w:r>
      <w:r>
        <w:rPr>
          <w:rFonts w:ascii="宋体" w:hAnsi="宋体" w:cs="宋体" w:eastAsia="宋体" w:hint="default"/>
        </w:rPr>
        <w:t>DELTA</w:t>
      </w:r>
      <w:r>
        <w:rPr>
          <w:rFonts w:ascii="宋体" w:hAnsi="宋体" w:cs="宋体" w:eastAsia="宋体" w:hint="default"/>
          <w:spacing w:val="-59"/>
        </w:rPr>
        <w:t> </w:t>
      </w:r>
      <w:r>
        <w:rPr>
          <w:rFonts w:ascii="宋体" w:hAnsi="宋体" w:cs="宋体" w:eastAsia="宋体" w:hint="default"/>
        </w:rPr>
        <w:t>IMPORTANT</w:t>
      </w:r>
      <w:r>
        <w:rPr>
          <w:rFonts w:ascii="宋体" w:hAnsi="宋体" w:cs="宋体" w:eastAsia="宋体" w:hint="default"/>
          <w:spacing w:val="-59"/>
        </w:rPr>
        <w:t> </w:t>
      </w:r>
      <w:r>
        <w:rPr>
          <w:rFonts w:ascii="宋体" w:hAnsi="宋体" w:cs="宋体" w:eastAsia="宋体" w:hint="default"/>
        </w:rPr>
        <w:t>PRODUCTS</w:t>
      </w:r>
      <w:r>
        <w:rPr>
          <w:rFonts w:ascii="宋体" w:hAnsi="宋体" w:cs="宋体" w:eastAsia="宋体" w:hint="default"/>
          <w:spacing w:val="-59"/>
        </w:rPr>
        <w:t> </w:t>
      </w:r>
      <w:r>
        <w:rPr>
          <w:rFonts w:ascii="宋体" w:hAnsi="宋体" w:cs="宋体" w:eastAsia="宋体" w:hint="default"/>
        </w:rPr>
        <w:t>&amp;</w:t>
      </w:r>
      <w:r>
        <w:rPr>
          <w:rFonts w:ascii="宋体" w:hAnsi="宋体" w:cs="宋体" w:eastAsia="宋体" w:hint="default"/>
          <w:spacing w:val="-59"/>
        </w:rPr>
        <w:t> </w:t>
      </w:r>
      <w:r>
        <w:rPr>
          <w:rFonts w:ascii="宋体" w:hAnsi="宋体" w:cs="宋体" w:eastAsia="宋体" w:hint="default"/>
        </w:rPr>
        <w:t>BLOCK</w:t>
      </w:r>
      <w:r>
        <w:rPr>
          <w:rFonts w:ascii="宋体" w:hAnsi="宋体" w:cs="宋体" w:eastAsia="宋体" w:hint="default"/>
          <w:spacing w:val="-59"/>
        </w:rPr>
        <w:t> </w:t>
      </w:r>
      <w:r>
        <w:rPr>
          <w:rFonts w:ascii="宋体" w:hAnsi="宋体" w:cs="宋体" w:eastAsia="宋体" w:hint="default"/>
        </w:rPr>
        <w:t>CHAIN</w:t>
      </w:r>
      <w:r>
        <w:rPr>
          <w:rFonts w:ascii="宋体" w:hAnsi="宋体" w:cs="宋体" w:eastAsia="宋体" w:hint="default"/>
        </w:rPr>
        <w:t> TRACE</w:t>
      </w:r>
      <w:r>
        <w:rPr>
          <w:rFonts w:ascii="宋体" w:hAnsi="宋体" w:cs="宋体" w:eastAsia="宋体" w:hint="default"/>
          <w:spacing w:val="-34"/>
        </w:rPr>
        <w:t> </w:t>
      </w:r>
      <w:r>
        <w:rPr>
          <w:rFonts w:ascii="宋体" w:hAnsi="宋体" w:cs="宋体" w:eastAsia="宋体" w:hint="default"/>
          <w:spacing w:val="-6"/>
        </w:rPr>
        <w:t>ORGANIZATION</w:t>
      </w:r>
      <w:r>
        <w:rPr>
          <w:spacing w:val="-6"/>
        </w:rPr>
        <w:t>）（以下简称“联盟”）成立于</w:t>
      </w:r>
      <w:r>
        <w:rPr>
          <w:rFonts w:ascii="宋体" w:hAnsi="宋体" w:cs="宋体" w:eastAsia="宋体" w:hint="default"/>
          <w:spacing w:val="-6"/>
        </w:rPr>
        <w:t>2018</w:t>
      </w:r>
      <w:r>
        <w:rPr>
          <w:spacing w:val="-6"/>
        </w:rPr>
        <w:t>年</w:t>
      </w:r>
      <w:r>
        <w:rPr>
          <w:rFonts w:ascii="宋体" w:hAnsi="宋体" w:cs="宋体" w:eastAsia="宋体" w:hint="default"/>
          <w:spacing w:val="-6"/>
        </w:rPr>
        <w:t>11</w:t>
      </w:r>
      <w:r>
        <w:rPr>
          <w:spacing w:val="-6"/>
        </w:rPr>
        <w:t>月</w:t>
      </w:r>
      <w:r>
        <w:rPr>
          <w:rFonts w:ascii="宋体" w:hAnsi="宋体" w:cs="宋体" w:eastAsia="宋体" w:hint="default"/>
          <w:spacing w:val="-6"/>
        </w:rPr>
        <w:t>16</w:t>
      </w:r>
      <w:r>
        <w:rPr>
          <w:spacing w:val="-6"/>
        </w:rPr>
        <w:t>日。联盟是在商务部、上海、</w:t>
      </w:r>
      <w:r>
        <w:rPr>
          <w:spacing w:val="-117"/>
        </w:rPr>
        <w:t> </w:t>
      </w:r>
      <w:r>
        <w:rPr>
          <w:spacing w:val="-117"/>
        </w:rPr>
      </w:r>
      <w:r>
        <w:rPr/>
        <w:t>江苏、浙江、安徽等三省一市商务主管部门指导下，各成员单位自愿的基础上组成的，为了 推动长三角跨区域、跨部门重要产品追溯信息互联、互通、互认，实现长三角区域重要产品 的追溯标准和技术运用的非营利性社会组织，也是积极响应“长三角一体化”国家战略的具 体实践。</w:t>
      </w:r>
    </w:p>
    <w:p>
      <w:pPr>
        <w:spacing w:line="240" w:lineRule="auto" w:before="7"/>
        <w:rPr>
          <w:rFonts w:ascii="宋体" w:hAnsi="宋体" w:cs="宋体" w:eastAsia="宋体" w:hint="default"/>
          <w:sz w:val="22"/>
          <w:szCs w:val="22"/>
        </w:rPr>
      </w:pPr>
    </w:p>
    <w:p>
      <w:pPr>
        <w:spacing w:before="0"/>
        <w:ind w:left="114" w:right="0" w:firstLine="0"/>
        <w:jc w:val="left"/>
        <w:rPr>
          <w:rFonts w:ascii="宋体" w:hAnsi="宋体" w:cs="宋体" w:eastAsia="宋体" w:hint="default"/>
          <w:sz w:val="21"/>
          <w:szCs w:val="21"/>
        </w:rPr>
      </w:pPr>
      <w:bookmarkStart w:name="3、环境保护相关的情况" w:id="103"/>
      <w:bookmarkEnd w:id="103"/>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、环境保护相关的情况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57" w:lineRule="auto" w:before="0"/>
        <w:ind w:left="114" w:right="5712" w:firstLine="0"/>
        <w:jc w:val="left"/>
        <w:rPr>
          <w:rFonts w:ascii="宋体" w:hAnsi="宋体" w:cs="宋体" w:eastAsia="宋体" w:hint="default"/>
          <w:sz w:val="18"/>
          <w:szCs w:val="18"/>
        </w:rPr>
      </w:pPr>
      <w:r>
        <w:rPr>
          <w:rFonts w:ascii="宋体" w:hAnsi="宋体" w:cs="宋体" w:eastAsia="宋体" w:hint="default"/>
          <w:sz w:val="18"/>
          <w:szCs w:val="18"/>
        </w:rPr>
        <w:t>上市公司及其子公司是否属于环境保护部门公布的重点排污单位 否</w:t>
      </w:r>
    </w:p>
    <w:p>
      <w:pPr>
        <w:spacing w:before="28"/>
        <w:ind w:left="114" w:right="0" w:firstLine="0"/>
        <w:jc w:val="left"/>
        <w:rPr>
          <w:rFonts w:ascii="宋体" w:hAnsi="宋体" w:cs="宋体" w:eastAsia="宋体" w:hint="default"/>
          <w:sz w:val="18"/>
          <w:szCs w:val="18"/>
        </w:rPr>
      </w:pPr>
      <w:r>
        <w:rPr>
          <w:rFonts w:ascii="宋体" w:hAnsi="宋体" w:cs="宋体" w:eastAsia="宋体" w:hint="default"/>
          <w:sz w:val="18"/>
          <w:szCs w:val="18"/>
        </w:rPr>
        <w:t>不属于重点排污单位的相关环境信息</w:t>
      </w:r>
    </w:p>
    <w:p>
      <w:pPr>
        <w:spacing w:line="240" w:lineRule="auto" w:before="2"/>
        <w:rPr>
          <w:rFonts w:ascii="宋体" w:hAnsi="宋体" w:cs="宋体" w:eastAsia="宋体" w:hint="default"/>
          <w:sz w:val="25"/>
          <w:szCs w:val="25"/>
        </w:rPr>
      </w:pPr>
    </w:p>
    <w:p>
      <w:pPr>
        <w:pStyle w:val="Heading4"/>
        <w:spacing w:line="240" w:lineRule="auto"/>
        <w:ind w:right="0"/>
        <w:jc w:val="left"/>
        <w:rPr>
          <w:b w:val="0"/>
          <w:bCs w:val="0"/>
        </w:rPr>
      </w:pPr>
      <w:bookmarkStart w:name="十八、其他重大事项的说明" w:id="104"/>
      <w:bookmarkEnd w:id="104"/>
      <w:r>
        <w:rPr>
          <w:b w:val="0"/>
          <w:bCs w:val="0"/>
        </w:rPr>
      </w:r>
      <w:r>
        <w:rPr/>
        <w:t>十八、其他重大事项的说明</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pStyle w:val="BodyText"/>
        <w:spacing w:line="312" w:lineRule="exact" w:before="96"/>
        <w:ind w:right="0" w:firstLine="480"/>
        <w:jc w:val="left"/>
      </w:pPr>
      <w:r>
        <w:rPr>
          <w:spacing w:val="-3"/>
        </w:rPr>
        <w:t>报告期内，公司原独立董事黄亚钧先生任期已满</w:t>
      </w:r>
      <w:r>
        <w:rPr>
          <w:rFonts w:ascii="宋体" w:hAnsi="宋体" w:cs="宋体" w:eastAsia="宋体" w:hint="default"/>
          <w:spacing w:val="-3"/>
        </w:rPr>
        <w:t>6</w:t>
      </w:r>
      <w:r>
        <w:rPr>
          <w:spacing w:val="-3"/>
        </w:rPr>
        <w:t>年辞去公司独立董事一职，公司补选祝</w:t>
      </w:r>
      <w:r>
        <w:rPr/>
        <w:t> 小兵龙先生为公司第四届董事会独立董事。公司已于</w:t>
      </w:r>
      <w:r>
        <w:rPr>
          <w:rFonts w:ascii="宋体" w:hAnsi="宋体" w:cs="宋体" w:eastAsia="宋体" w:hint="default"/>
        </w:rPr>
        <w:t>2018</w:t>
      </w:r>
      <w:r>
        <w:rPr/>
        <w:t>年</w:t>
      </w:r>
      <w:r>
        <w:rPr>
          <w:rFonts w:ascii="宋体" w:hAnsi="宋体" w:cs="宋体" w:eastAsia="宋体" w:hint="default"/>
        </w:rPr>
        <w:t>10</w:t>
      </w:r>
      <w:r>
        <w:rPr/>
        <w:t>月</w:t>
      </w:r>
      <w:r>
        <w:rPr>
          <w:rFonts w:ascii="宋体" w:hAnsi="宋体" w:cs="宋体" w:eastAsia="宋体" w:hint="default"/>
        </w:rPr>
        <w:t>28</w:t>
      </w:r>
      <w:r>
        <w:rPr/>
        <w:t>日在巨潮资讯网</w:t>
      </w:r>
    </w:p>
    <w:p>
      <w:pPr>
        <w:pStyle w:val="BodyText"/>
        <w:spacing w:line="312" w:lineRule="exact"/>
        <w:ind w:left="594" w:right="1152" w:hanging="480"/>
        <w:jc w:val="left"/>
      </w:pPr>
      <w:r>
        <w:rPr>
          <w:spacing w:val="-3"/>
        </w:rPr>
        <w:t>（</w:t>
      </w:r>
      <w:hyperlink r:id="rId11">
        <w:r>
          <w:rPr>
            <w:rFonts w:ascii="宋体" w:hAnsi="宋体" w:cs="宋体" w:eastAsia="宋体" w:hint="default"/>
            <w:spacing w:val="-3"/>
          </w:rPr>
          <w:t>http://www.cninfo.com.cn/</w:t>
        </w:r>
      </w:hyperlink>
      <w:r>
        <w:rPr>
          <w:spacing w:val="-3"/>
        </w:rPr>
        <w:t>）披露《第四届董事会二十二次会议决议的公告》。</w:t>
      </w:r>
      <w:r>
        <w:rPr>
          <w:spacing w:val="-93"/>
        </w:rPr>
        <w:t> </w:t>
      </w:r>
      <w:r>
        <w:rPr>
          <w:spacing w:val="-93"/>
        </w:rPr>
      </w:r>
      <w:r>
        <w:rPr/>
        <w:t>报告期内，公司第四届董事会第十九次会议及</w:t>
      </w:r>
      <w:r>
        <w:rPr>
          <w:rFonts w:ascii="宋体" w:hAnsi="宋体" w:cs="宋体" w:eastAsia="宋体" w:hint="default"/>
        </w:rPr>
        <w:t>2018</w:t>
      </w:r>
      <w:r>
        <w:rPr/>
        <w:t>年第六次临时股东大会均审议通过了</w:t>
      </w:r>
    </w:p>
    <w:p>
      <w:pPr>
        <w:pStyle w:val="BodyText"/>
        <w:spacing w:line="312" w:lineRule="exact"/>
        <w:ind w:right="994"/>
        <w:jc w:val="left"/>
      </w:pPr>
      <w:r>
        <w:rPr/>
        <w:t>《关于回购公司股份的预案</w:t>
      </w:r>
      <w:r>
        <w:rPr>
          <w:spacing w:val="-120"/>
        </w:rPr>
        <w:t>》</w:t>
      </w:r>
      <w:r>
        <w:rPr>
          <w:spacing w:val="-41"/>
        </w:rPr>
        <w:t>。</w:t>
      </w:r>
      <w:r>
        <w:rPr/>
        <w:t>公司已于</w:t>
      </w:r>
      <w:r>
        <w:rPr>
          <w:rFonts w:ascii="宋体" w:hAnsi="宋体" w:cs="宋体" w:eastAsia="宋体" w:hint="default"/>
        </w:rPr>
        <w:t>2018</w:t>
      </w:r>
      <w:r>
        <w:rPr/>
        <w:t>月</w:t>
      </w:r>
      <w:r>
        <w:rPr>
          <w:rFonts w:ascii="宋体" w:hAnsi="宋体" w:cs="宋体" w:eastAsia="宋体" w:hint="default"/>
        </w:rPr>
        <w:t>9</w:t>
      </w:r>
      <w:r>
        <w:rPr/>
        <w:t>月</w:t>
      </w:r>
      <w:r>
        <w:rPr>
          <w:rFonts w:ascii="宋体" w:hAnsi="宋体" w:cs="宋体" w:eastAsia="宋体" w:hint="default"/>
        </w:rPr>
        <w:t>21</w:t>
      </w:r>
      <w:r>
        <w:rPr/>
        <w:t>日披</w:t>
      </w:r>
      <w:r>
        <w:rPr>
          <w:spacing w:val="-41"/>
        </w:rPr>
        <w:t>露</w:t>
      </w:r>
      <w:r>
        <w:rPr/>
        <w:t>《关于回购公司股份预案的公告》</w:t>
      </w:r>
      <w:r>
        <w:rPr/>
        <w:t> 等；</w:t>
      </w:r>
      <w:r>
        <w:rPr>
          <w:rFonts w:ascii="宋体" w:hAnsi="宋体" w:cs="宋体" w:eastAsia="宋体" w:hint="default"/>
        </w:rPr>
        <w:t>2018</w:t>
      </w:r>
      <w:r>
        <w:rPr/>
        <w:t>年</w:t>
      </w:r>
      <w:r>
        <w:rPr>
          <w:rFonts w:ascii="宋体" w:hAnsi="宋体" w:cs="宋体" w:eastAsia="宋体" w:hint="default"/>
        </w:rPr>
        <w:t>10</w:t>
      </w:r>
      <w:r>
        <w:rPr/>
        <w:t>月</w:t>
      </w:r>
      <w:r>
        <w:rPr>
          <w:rFonts w:ascii="宋体" w:hAnsi="宋体" w:cs="宋体" w:eastAsia="宋体" w:hint="default"/>
        </w:rPr>
        <w:t>27</w:t>
      </w:r>
      <w:r>
        <w:rPr/>
        <w:t>日披露《关于回购公司股份的报告书</w:t>
      </w:r>
      <w:r>
        <w:rPr>
          <w:spacing w:val="-120"/>
        </w:rPr>
        <w:t>》</w:t>
      </w:r>
      <w:r>
        <w:rPr/>
        <w:t>；</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5</w:t>
      </w:r>
      <w:r>
        <w:rPr/>
        <w:t>日披露《关于首次回 购公司股份的公告</w:t>
      </w:r>
      <w:r>
        <w:rPr>
          <w:spacing w:val="-120"/>
        </w:rPr>
        <w:t>》</w:t>
      </w:r>
      <w:r>
        <w:rPr/>
        <w:t>，上述具体内容详见巨潮资讯网（</w:t>
      </w:r>
      <w:hyperlink r:id="rId11">
        <w:r>
          <w:rPr>
            <w:rFonts w:ascii="宋体" w:hAnsi="宋体" w:cs="宋体" w:eastAsia="宋体" w:hint="default"/>
          </w:rPr>
          <w:t>http://www.cninfo.com.cn/</w:t>
        </w:r>
      </w:hyperlink>
      <w:r>
        <w:rPr>
          <w:spacing w:val="-120"/>
        </w:rPr>
        <w:t>）。</w:t>
      </w:r>
      <w:r>
        <w:rPr/>
      </w:r>
    </w:p>
    <w:p>
      <w:pPr>
        <w:pStyle w:val="BodyText"/>
        <w:spacing w:line="237" w:lineRule="auto" w:before="13"/>
        <w:ind w:right="1135" w:firstLine="480"/>
        <w:jc w:val="both"/>
      </w:pPr>
      <w:r>
        <w:rPr/>
        <w:t>报告期内，公司于</w:t>
      </w:r>
      <w:r>
        <w:rPr>
          <w:rFonts w:ascii="宋体" w:hAnsi="宋体" w:cs="宋体" w:eastAsia="宋体" w:hint="default"/>
        </w:rPr>
        <w:t>2018</w:t>
      </w:r>
      <w:r>
        <w:rPr/>
        <w:t>年</w:t>
      </w:r>
      <w:r>
        <w:rPr>
          <w:rFonts w:ascii="宋体" w:hAnsi="宋体" w:cs="宋体" w:eastAsia="宋体" w:hint="default"/>
        </w:rPr>
        <w:t>12</w:t>
      </w:r>
      <w:r>
        <w:rPr/>
        <w:t>月</w:t>
      </w:r>
      <w:r>
        <w:rPr>
          <w:rFonts w:ascii="宋体" w:hAnsi="宋体" w:cs="宋体" w:eastAsia="宋体" w:hint="default"/>
        </w:rPr>
        <w:t>26</w:t>
      </w:r>
      <w:r>
        <w:rPr/>
        <w:t>日召开第四届董事会第二十二次会议、第四届监事会第 十七次会议审议通过了《关于公司本次发行股份购买资产并募集配套资金构成关联交易的议 案》等相关议案。同时在中国证监会指定创业板信息披露媒体巨潮资讯网披露。</w:t>
      </w:r>
    </w:p>
    <w:p>
      <w:pPr>
        <w:spacing w:line="240" w:lineRule="auto" w:before="12"/>
        <w:rPr>
          <w:rFonts w:ascii="宋体" w:hAnsi="宋体" w:cs="宋体" w:eastAsia="宋体" w:hint="default"/>
          <w:sz w:val="22"/>
          <w:szCs w:val="22"/>
        </w:rPr>
      </w:pPr>
    </w:p>
    <w:p>
      <w:pPr>
        <w:pStyle w:val="Heading4"/>
        <w:spacing w:line="240" w:lineRule="auto"/>
        <w:ind w:right="0"/>
        <w:jc w:val="left"/>
        <w:rPr>
          <w:b w:val="0"/>
          <w:bCs w:val="0"/>
        </w:rPr>
      </w:pPr>
      <w:bookmarkStart w:name="十九、公司子公司重大事项" w:id="105"/>
      <w:bookmarkEnd w:id="105"/>
      <w:r>
        <w:rPr>
          <w:b w:val="0"/>
          <w:bCs w:val="0"/>
        </w:rPr>
      </w:r>
      <w:r>
        <w:rPr/>
        <w:t>十九、公司子公司重大事项</w:t>
      </w:r>
      <w:r>
        <w:rPr>
          <w:b w:val="0"/>
          <w:bCs w:val="0"/>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Heading1"/>
        <w:spacing w:line="240" w:lineRule="auto"/>
        <w:ind w:left="2926" w:right="0"/>
        <w:jc w:val="left"/>
        <w:rPr>
          <w:b w:val="0"/>
          <w:bCs w:val="0"/>
        </w:rPr>
      </w:pPr>
      <w:bookmarkStart w:name="第六节 股份变动及股东情况" w:id="106"/>
      <w:bookmarkEnd w:id="106"/>
      <w:r>
        <w:rPr>
          <w:b w:val="0"/>
          <w:bCs w:val="0"/>
        </w:rPr>
      </w:r>
      <w:bookmarkStart w:name="_bookmark4" w:id="107"/>
      <w:bookmarkEnd w:id="107"/>
      <w:r>
        <w:rPr>
          <w:b w:val="0"/>
          <w:bCs w:val="0"/>
        </w:rPr>
      </w:r>
      <w:r>
        <w:rPr/>
        <w:t>第六节</w:t>
      </w:r>
      <w:r>
        <w:rPr>
          <w:spacing w:val="-10"/>
        </w:rPr>
        <w:t> </w:t>
      </w:r>
      <w:r>
        <w:rPr/>
        <w:t>股份变动及股东情况</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4"/>
        <w:spacing w:line="240" w:lineRule="auto" w:before="26"/>
        <w:ind w:right="0"/>
        <w:jc w:val="left"/>
        <w:rPr>
          <w:b w:val="0"/>
          <w:bCs w:val="0"/>
        </w:rPr>
      </w:pPr>
      <w:bookmarkStart w:name="一、股份变动情况" w:id="108"/>
      <w:bookmarkEnd w:id="108"/>
      <w:r>
        <w:rPr>
          <w:b w:val="0"/>
          <w:bCs w:val="0"/>
        </w:rPr>
      </w:r>
      <w:r>
        <w:rPr/>
        <w:t>一、股份变动情况</w:t>
      </w:r>
      <w:r>
        <w:rPr>
          <w:b w:val="0"/>
          <w:bCs w:val="0"/>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股份变动情况" w:id="109"/>
      <w:bookmarkEnd w:id="109"/>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、股份变动情况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228"/>
        <w:gridCol w:w="823"/>
        <w:gridCol w:w="824"/>
        <w:gridCol w:w="822"/>
        <w:gridCol w:w="822"/>
        <w:gridCol w:w="822"/>
        <w:gridCol w:w="822"/>
        <w:gridCol w:w="822"/>
        <w:gridCol w:w="794"/>
        <w:gridCol w:w="794"/>
      </w:tblGrid>
      <w:tr>
        <w:trPr>
          <w:trHeight w:val="402" w:hRule="exact"/>
        </w:trPr>
        <w:tc>
          <w:tcPr>
            <w:tcW w:w="2228" w:type="dxa"/>
            <w:vMerge w:val="restart"/>
            <w:tcBorders>
              <w:top w:val="single" w:sz="4" w:space="0" w:color="000000"/>
              <w:left w:val="single" w:sz="4" w:space="0" w:color="000000"/>
              <w:right w:val="single" w:sz="4" w:space="0" w:color="000000"/>
            </w:tcBorders>
            <w:shd w:val="clear" w:color="auto" w:fill="D2D2D2"/>
          </w:tcPr>
          <w:p>
            <w:pPr/>
          </w:p>
        </w:tc>
        <w:tc>
          <w:tcPr>
            <w:tcW w:w="1647"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68" w:right="0"/>
              <w:jc w:val="left"/>
              <w:rPr>
                <w:rFonts w:ascii="宋体" w:hAnsi="宋体" w:cs="宋体" w:eastAsia="宋体" w:hint="default"/>
                <w:sz w:val="18"/>
                <w:szCs w:val="18"/>
              </w:rPr>
            </w:pPr>
            <w:r>
              <w:rPr>
                <w:rFonts w:ascii="宋体" w:hAnsi="宋体" w:cs="宋体" w:eastAsia="宋体" w:hint="default"/>
                <w:sz w:val="18"/>
                <w:szCs w:val="18"/>
              </w:rPr>
              <w:t>本次变动前</w:t>
            </w:r>
          </w:p>
        </w:tc>
        <w:tc>
          <w:tcPr>
            <w:tcW w:w="411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9" w:right="0"/>
              <w:jc w:val="left"/>
              <w:rPr>
                <w:rFonts w:ascii="宋体" w:hAnsi="宋体" w:cs="宋体" w:eastAsia="宋体" w:hint="default"/>
                <w:sz w:val="18"/>
                <w:szCs w:val="18"/>
              </w:rPr>
            </w:pPr>
            <w:r>
              <w:rPr>
                <w:rFonts w:ascii="宋体" w:hAnsi="宋体" w:cs="宋体" w:eastAsia="宋体" w:hint="default"/>
                <w:sz w:val="18"/>
                <w:szCs w:val="18"/>
              </w:rPr>
              <w:t>本次变动增减（＋，－）</w:t>
            </w:r>
          </w:p>
        </w:tc>
        <w:tc>
          <w:tcPr>
            <w:tcW w:w="15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38" w:right="0"/>
              <w:jc w:val="left"/>
              <w:rPr>
                <w:rFonts w:ascii="宋体" w:hAnsi="宋体" w:cs="宋体" w:eastAsia="宋体" w:hint="default"/>
                <w:sz w:val="18"/>
                <w:szCs w:val="18"/>
              </w:rPr>
            </w:pPr>
            <w:r>
              <w:rPr>
                <w:rFonts w:ascii="宋体" w:hAnsi="宋体" w:cs="宋体" w:eastAsia="宋体" w:hint="default"/>
                <w:sz w:val="18"/>
                <w:szCs w:val="18"/>
              </w:rPr>
              <w:t>本次变动后</w:t>
            </w:r>
          </w:p>
        </w:tc>
      </w:tr>
      <w:tr>
        <w:trPr>
          <w:trHeight w:val="714" w:hRule="exact"/>
        </w:trPr>
        <w:tc>
          <w:tcPr>
            <w:tcW w:w="2228" w:type="dxa"/>
            <w:vMerge/>
            <w:tcBorders>
              <w:left w:val="single" w:sz="4" w:space="0" w:color="000000"/>
              <w:bottom w:val="single" w:sz="4" w:space="0" w:color="000000"/>
              <w:right w:val="single" w:sz="4" w:space="0" w:color="000000"/>
            </w:tcBorders>
            <w:shd w:val="clear" w:color="auto" w:fill="D2D2D2"/>
          </w:tcPr>
          <w:p>
            <w:pPr/>
          </w:p>
        </w:tc>
        <w:tc>
          <w:tcPr>
            <w:tcW w:w="82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8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15" w:right="134" w:hanging="180"/>
              <w:jc w:val="left"/>
              <w:rPr>
                <w:rFonts w:ascii="宋体" w:hAnsi="宋体" w:cs="宋体" w:eastAsia="宋体" w:hint="default"/>
                <w:sz w:val="18"/>
                <w:szCs w:val="18"/>
              </w:rPr>
            </w:pPr>
            <w:r>
              <w:rPr>
                <w:rFonts w:ascii="宋体" w:hAnsi="宋体" w:cs="宋体" w:eastAsia="宋体" w:hint="default"/>
                <w:sz w:val="18"/>
                <w:szCs w:val="18"/>
              </w:rPr>
              <w:t>发行新 股</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25" w:right="134" w:hanging="90"/>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82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5" w:right="0"/>
              <w:jc w:val="left"/>
              <w:rPr>
                <w:rFonts w:ascii="宋体" w:hAnsi="宋体" w:cs="宋体" w:eastAsia="宋体" w:hint="default"/>
                <w:sz w:val="18"/>
                <w:szCs w:val="18"/>
              </w:rPr>
            </w:pPr>
            <w:r>
              <w:rPr>
                <w:rFonts w:ascii="宋体" w:hAnsi="宋体" w:cs="宋体" w:eastAsia="宋体" w:hint="default"/>
                <w:sz w:val="18"/>
                <w:szCs w:val="18"/>
              </w:rPr>
              <w:t>小计</w:t>
            </w:r>
          </w:p>
        </w:tc>
        <w:tc>
          <w:tcPr>
            <w:tcW w:w="7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2"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7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12" w:right="0"/>
              <w:jc w:val="left"/>
              <w:rPr>
                <w:rFonts w:ascii="宋体" w:hAnsi="宋体" w:cs="宋体" w:eastAsia="宋体" w:hint="default"/>
                <w:sz w:val="18"/>
                <w:szCs w:val="18"/>
              </w:rPr>
            </w:pPr>
            <w:r>
              <w:rPr>
                <w:rFonts w:ascii="宋体" w:hAnsi="宋体" w:cs="宋体" w:eastAsia="宋体" w:hint="default"/>
                <w:sz w:val="18"/>
                <w:szCs w:val="18"/>
              </w:rPr>
              <w:t>比例</w:t>
            </w:r>
          </w:p>
        </w:tc>
      </w:tr>
      <w:tr>
        <w:trPr>
          <w:trHeight w:val="714"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0" w:right="0"/>
              <w:jc w:val="left"/>
              <w:rPr>
                <w:rFonts w:ascii="Times New Roman" w:hAnsi="Times New Roman" w:cs="Times New Roman" w:eastAsia="Times New Roman" w:hint="default"/>
                <w:sz w:val="18"/>
                <w:szCs w:val="18"/>
              </w:rPr>
            </w:pPr>
            <w:r>
              <w:rPr>
                <w:rFonts w:ascii="Times New Roman"/>
                <w:sz w:val="18"/>
              </w:rPr>
              <w:t>39,695,</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490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58.12%</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31,756,</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392</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9" w:right="0"/>
              <w:jc w:val="left"/>
              <w:rPr>
                <w:rFonts w:ascii="Times New Roman" w:hAnsi="Times New Roman" w:cs="Times New Roman" w:eastAsia="Times New Roman" w:hint="default"/>
                <w:sz w:val="18"/>
                <w:szCs w:val="18"/>
              </w:rPr>
            </w:pPr>
            <w:r>
              <w:rPr>
                <w:rFonts w:ascii="Times New Roman"/>
                <w:sz w:val="18"/>
              </w:rPr>
              <w:t>-46,568,</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016</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6" w:right="0"/>
              <w:jc w:val="left"/>
              <w:rPr>
                <w:rFonts w:ascii="Times New Roman" w:hAnsi="Times New Roman" w:cs="Times New Roman" w:eastAsia="Times New Roman" w:hint="default"/>
                <w:sz w:val="18"/>
                <w:szCs w:val="18"/>
              </w:rPr>
            </w:pPr>
            <w:r>
              <w:rPr>
                <w:rFonts w:ascii="Times New Roman"/>
                <w:sz w:val="18"/>
              </w:rPr>
              <w:t>-14,811,</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624</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 w:right="0"/>
              <w:jc w:val="left"/>
              <w:rPr>
                <w:rFonts w:ascii="Times New Roman" w:hAnsi="Times New Roman" w:cs="Times New Roman" w:eastAsia="Times New Roman" w:hint="default"/>
                <w:sz w:val="18"/>
                <w:szCs w:val="18"/>
              </w:rPr>
            </w:pPr>
            <w:r>
              <w:rPr>
                <w:rFonts w:ascii="Times New Roman"/>
                <w:sz w:val="18"/>
              </w:rPr>
              <w:t>24,883,</w:t>
            </w:r>
          </w:p>
          <w:p>
            <w:pPr>
              <w:pStyle w:val="TableParagraph"/>
              <w:spacing w:line="240" w:lineRule="auto" w:before="105"/>
              <w:ind w:left="411" w:right="0"/>
              <w:jc w:val="left"/>
              <w:rPr>
                <w:rFonts w:ascii="Times New Roman" w:hAnsi="Times New Roman" w:cs="Times New Roman" w:eastAsia="Times New Roman" w:hint="default"/>
                <w:sz w:val="18"/>
                <w:szCs w:val="18"/>
              </w:rPr>
            </w:pPr>
            <w:r>
              <w:rPr>
                <w:rFonts w:ascii="Times New Roman"/>
                <w:sz w:val="18"/>
              </w:rPr>
              <w:t>866</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20.40%</w:t>
            </w:r>
          </w:p>
        </w:tc>
      </w:tr>
      <w:tr>
        <w:trPr>
          <w:trHeight w:val="402"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0" w:right="0"/>
              <w:jc w:val="left"/>
              <w:rPr>
                <w:rFonts w:ascii="Times New Roman" w:hAnsi="Times New Roman" w:cs="Times New Roman" w:eastAsia="Times New Roman" w:hint="default"/>
                <w:sz w:val="18"/>
                <w:szCs w:val="18"/>
              </w:rPr>
            </w:pPr>
            <w:r>
              <w:rPr>
                <w:rFonts w:ascii="Times New Roman"/>
                <w:sz w:val="18"/>
              </w:rPr>
              <w:t>39,695,</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490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58.12%</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31,756,</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392</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9" w:right="0"/>
              <w:jc w:val="left"/>
              <w:rPr>
                <w:rFonts w:ascii="Times New Roman" w:hAnsi="Times New Roman" w:cs="Times New Roman" w:eastAsia="Times New Roman" w:hint="default"/>
                <w:sz w:val="18"/>
                <w:szCs w:val="18"/>
              </w:rPr>
            </w:pPr>
            <w:r>
              <w:rPr>
                <w:rFonts w:ascii="Times New Roman"/>
                <w:sz w:val="18"/>
              </w:rPr>
              <w:t>-46,568,</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016</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6" w:right="0"/>
              <w:jc w:val="left"/>
              <w:rPr>
                <w:rFonts w:ascii="Times New Roman" w:hAnsi="Times New Roman" w:cs="Times New Roman" w:eastAsia="Times New Roman" w:hint="default"/>
                <w:sz w:val="18"/>
                <w:szCs w:val="18"/>
              </w:rPr>
            </w:pPr>
            <w:r>
              <w:rPr>
                <w:rFonts w:ascii="Times New Roman"/>
                <w:sz w:val="18"/>
              </w:rPr>
              <w:t>-14,811,</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624</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 w:right="0"/>
              <w:jc w:val="left"/>
              <w:rPr>
                <w:rFonts w:ascii="Times New Roman" w:hAnsi="Times New Roman" w:cs="Times New Roman" w:eastAsia="Times New Roman" w:hint="default"/>
                <w:sz w:val="18"/>
                <w:szCs w:val="18"/>
              </w:rPr>
            </w:pPr>
            <w:r>
              <w:rPr>
                <w:rFonts w:ascii="Times New Roman"/>
                <w:sz w:val="18"/>
              </w:rPr>
              <w:t>24,883,</w:t>
            </w:r>
          </w:p>
          <w:p>
            <w:pPr>
              <w:pStyle w:val="TableParagraph"/>
              <w:spacing w:line="240" w:lineRule="auto" w:before="105"/>
              <w:ind w:left="411" w:right="0"/>
              <w:jc w:val="left"/>
              <w:rPr>
                <w:rFonts w:ascii="Times New Roman" w:hAnsi="Times New Roman" w:cs="Times New Roman" w:eastAsia="Times New Roman" w:hint="default"/>
                <w:sz w:val="18"/>
                <w:szCs w:val="18"/>
              </w:rPr>
            </w:pPr>
            <w:r>
              <w:rPr>
                <w:rFonts w:ascii="Times New Roman"/>
                <w:sz w:val="18"/>
              </w:rPr>
              <w:t>866</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20.40%</w:t>
            </w:r>
          </w:p>
        </w:tc>
      </w:tr>
      <w:tr>
        <w:trPr>
          <w:trHeight w:val="714"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其中：境内法人持股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0" w:right="0"/>
              <w:jc w:val="left"/>
              <w:rPr>
                <w:rFonts w:ascii="Times New Roman" w:hAnsi="Times New Roman" w:cs="Times New Roman" w:eastAsia="Times New Roman" w:hint="default"/>
                <w:sz w:val="18"/>
                <w:szCs w:val="18"/>
              </w:rPr>
            </w:pPr>
            <w:r>
              <w:rPr>
                <w:rFonts w:ascii="Times New Roman"/>
                <w:sz w:val="18"/>
              </w:rPr>
              <w:t>21,242,</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400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31.10%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16,993,</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920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9" w:right="0"/>
              <w:jc w:val="left"/>
              <w:rPr>
                <w:rFonts w:ascii="Times New Roman" w:hAnsi="Times New Roman" w:cs="Times New Roman" w:eastAsia="Times New Roman" w:hint="default"/>
                <w:sz w:val="18"/>
                <w:szCs w:val="18"/>
              </w:rPr>
            </w:pPr>
            <w:r>
              <w:rPr>
                <w:rFonts w:ascii="Times New Roman"/>
                <w:sz w:val="18"/>
              </w:rPr>
              <w:t>-38,236,</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320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9" w:right="0"/>
              <w:jc w:val="left"/>
              <w:rPr>
                <w:rFonts w:ascii="Times New Roman" w:hAnsi="Times New Roman" w:cs="Times New Roman" w:eastAsia="Times New Roman" w:hint="default"/>
                <w:sz w:val="18"/>
                <w:szCs w:val="18"/>
              </w:rPr>
            </w:pPr>
            <w:r>
              <w:rPr>
                <w:rFonts w:ascii="Times New Roman"/>
                <w:sz w:val="18"/>
              </w:rPr>
              <w:t>-21,242,</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400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312"/>
              <w:jc w:val="right"/>
              <w:rPr>
                <w:rFonts w:ascii="宋体" w:hAnsi="宋体" w:cs="宋体" w:eastAsia="宋体" w:hint="default"/>
                <w:sz w:val="18"/>
                <w:szCs w:val="18"/>
              </w:rPr>
            </w:pPr>
            <w:r>
              <w:rPr>
                <w:rFonts w:ascii="宋体" w:hAnsi="宋体" w:cs="宋体" w:eastAsia="宋体" w:hint="default"/>
                <w:sz w:val="18"/>
                <w:szCs w:val="18"/>
              </w:rPr>
              <w:t>境内自然人持股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0" w:right="0"/>
              <w:jc w:val="left"/>
              <w:rPr>
                <w:rFonts w:ascii="Times New Roman" w:hAnsi="Times New Roman" w:cs="Times New Roman" w:eastAsia="Times New Roman" w:hint="default"/>
                <w:sz w:val="18"/>
                <w:szCs w:val="18"/>
              </w:rPr>
            </w:pPr>
            <w:r>
              <w:rPr>
                <w:rFonts w:ascii="Times New Roman"/>
                <w:sz w:val="18"/>
              </w:rPr>
              <w:t>18,453,</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090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27.02%</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14,762,</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472</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9" w:right="0"/>
              <w:jc w:val="left"/>
              <w:rPr>
                <w:rFonts w:ascii="Times New Roman" w:hAnsi="Times New Roman" w:cs="Times New Roman" w:eastAsia="Times New Roman" w:hint="default"/>
                <w:sz w:val="18"/>
                <w:szCs w:val="18"/>
              </w:rPr>
            </w:pPr>
            <w:r>
              <w:rPr>
                <w:rFonts w:ascii="Times New Roman"/>
                <w:sz w:val="18"/>
              </w:rPr>
              <w:t>-8,331,6</w:t>
            </w:r>
          </w:p>
          <w:p>
            <w:pPr>
              <w:pStyle w:val="TableParagraph"/>
              <w:spacing w:line="240" w:lineRule="auto" w:before="105"/>
              <w:ind w:left="529" w:right="0"/>
              <w:jc w:val="left"/>
              <w:rPr>
                <w:rFonts w:ascii="Times New Roman" w:hAnsi="Times New Roman" w:cs="Times New Roman" w:eastAsia="Times New Roman" w:hint="default"/>
                <w:sz w:val="18"/>
                <w:szCs w:val="18"/>
              </w:rPr>
            </w:pPr>
            <w:r>
              <w:rPr>
                <w:rFonts w:ascii="Times New Roman"/>
                <w:sz w:val="18"/>
              </w:rPr>
              <w:t>96</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6,430,7</w:t>
            </w:r>
          </w:p>
          <w:p>
            <w:pPr>
              <w:pStyle w:val="TableParagraph"/>
              <w:spacing w:line="240" w:lineRule="auto" w:before="105"/>
              <w:ind w:left="529" w:right="0"/>
              <w:jc w:val="left"/>
              <w:rPr>
                <w:rFonts w:ascii="Times New Roman" w:hAnsi="Times New Roman" w:cs="Times New Roman" w:eastAsia="Times New Roman" w:hint="default"/>
                <w:sz w:val="18"/>
                <w:szCs w:val="18"/>
              </w:rPr>
            </w:pPr>
            <w:r>
              <w:rPr>
                <w:rFonts w:ascii="Times New Roman"/>
                <w:sz w:val="18"/>
              </w:rPr>
              <w:t>76</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 w:right="0"/>
              <w:jc w:val="left"/>
              <w:rPr>
                <w:rFonts w:ascii="Times New Roman" w:hAnsi="Times New Roman" w:cs="Times New Roman" w:eastAsia="Times New Roman" w:hint="default"/>
                <w:sz w:val="18"/>
                <w:szCs w:val="18"/>
              </w:rPr>
            </w:pPr>
            <w:r>
              <w:rPr>
                <w:rFonts w:ascii="Times New Roman"/>
                <w:sz w:val="18"/>
              </w:rPr>
              <w:t>24,883,</w:t>
            </w:r>
          </w:p>
          <w:p>
            <w:pPr>
              <w:pStyle w:val="TableParagraph"/>
              <w:spacing w:line="240" w:lineRule="auto" w:before="105"/>
              <w:ind w:left="411" w:right="0"/>
              <w:jc w:val="left"/>
              <w:rPr>
                <w:rFonts w:ascii="Times New Roman" w:hAnsi="Times New Roman" w:cs="Times New Roman" w:eastAsia="Times New Roman" w:hint="default"/>
                <w:sz w:val="18"/>
                <w:szCs w:val="18"/>
              </w:rPr>
            </w:pPr>
            <w:r>
              <w:rPr>
                <w:rFonts w:ascii="Times New Roman"/>
                <w:sz w:val="18"/>
              </w:rPr>
              <w:t>866</w:t>
            </w:r>
          </w:p>
        </w:tc>
        <w:tc>
          <w:tcPr>
            <w:tcW w:w="7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其中：境外法人持股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12"/>
              <w:jc w:val="right"/>
              <w:rPr>
                <w:rFonts w:ascii="宋体" w:hAnsi="宋体" w:cs="宋体" w:eastAsia="宋体" w:hint="default"/>
                <w:sz w:val="18"/>
                <w:szCs w:val="18"/>
              </w:rPr>
            </w:pPr>
            <w:r>
              <w:rPr>
                <w:rFonts w:ascii="宋体" w:hAnsi="宋体" w:cs="宋体" w:eastAsia="宋体" w:hint="default"/>
                <w:sz w:val="18"/>
                <w:szCs w:val="18"/>
              </w:rPr>
              <w:t>境外自然人持股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0" w:right="0"/>
              <w:jc w:val="left"/>
              <w:rPr>
                <w:rFonts w:ascii="Times New Roman" w:hAnsi="Times New Roman" w:cs="Times New Roman" w:eastAsia="Times New Roman" w:hint="default"/>
                <w:sz w:val="18"/>
                <w:szCs w:val="18"/>
              </w:rPr>
            </w:pPr>
            <w:r>
              <w:rPr>
                <w:rFonts w:ascii="Times New Roman"/>
                <w:sz w:val="18"/>
              </w:rPr>
              <w:t>28,604,</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510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41.88%</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22,883,</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608</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45,621,</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936</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68,505,</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544</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97,110,</w:t>
            </w:r>
          </w:p>
          <w:p>
            <w:pPr>
              <w:pStyle w:val="TableParagraph"/>
              <w:spacing w:line="240" w:lineRule="auto" w:before="105"/>
              <w:ind w:left="411" w:right="0"/>
              <w:jc w:val="left"/>
              <w:rPr>
                <w:rFonts w:ascii="Times New Roman" w:hAnsi="Times New Roman" w:cs="Times New Roman" w:eastAsia="Times New Roman" w:hint="default"/>
                <w:sz w:val="18"/>
                <w:szCs w:val="18"/>
              </w:rPr>
            </w:pPr>
            <w:r>
              <w:rPr>
                <w:rFonts w:ascii="Times New Roman"/>
                <w:sz w:val="18"/>
              </w:rPr>
              <w:t>054</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79.60%</w:t>
            </w:r>
          </w:p>
        </w:tc>
      </w:tr>
      <w:tr>
        <w:trPr>
          <w:trHeight w:val="714"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0" w:right="0"/>
              <w:jc w:val="left"/>
              <w:rPr>
                <w:rFonts w:ascii="Times New Roman" w:hAnsi="Times New Roman" w:cs="Times New Roman" w:eastAsia="Times New Roman" w:hint="default"/>
                <w:sz w:val="18"/>
                <w:szCs w:val="18"/>
              </w:rPr>
            </w:pPr>
            <w:r>
              <w:rPr>
                <w:rFonts w:ascii="Times New Roman"/>
                <w:sz w:val="18"/>
              </w:rPr>
              <w:t>28,604,</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510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41.88%</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22,883,</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608</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45,621,</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936</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68,505,</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544</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8" w:right="0"/>
              <w:jc w:val="left"/>
              <w:rPr>
                <w:rFonts w:ascii="Times New Roman" w:hAnsi="Times New Roman" w:cs="Times New Roman" w:eastAsia="Times New Roman" w:hint="default"/>
                <w:sz w:val="18"/>
                <w:szCs w:val="18"/>
              </w:rPr>
            </w:pPr>
            <w:r>
              <w:rPr>
                <w:rFonts w:ascii="Times New Roman"/>
                <w:sz w:val="18"/>
              </w:rPr>
              <w:t>97,110,</w:t>
            </w:r>
          </w:p>
          <w:p>
            <w:pPr>
              <w:pStyle w:val="TableParagraph"/>
              <w:spacing w:line="240" w:lineRule="auto" w:before="105"/>
              <w:ind w:left="411" w:right="0"/>
              <w:jc w:val="left"/>
              <w:rPr>
                <w:rFonts w:ascii="Times New Roman" w:hAnsi="Times New Roman" w:cs="Times New Roman" w:eastAsia="Times New Roman" w:hint="default"/>
                <w:sz w:val="18"/>
                <w:szCs w:val="18"/>
              </w:rPr>
            </w:pPr>
            <w:r>
              <w:rPr>
                <w:rFonts w:ascii="Times New Roman"/>
                <w:sz w:val="18"/>
              </w:rPr>
              <w:t>054</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79.60%</w:t>
            </w:r>
          </w:p>
        </w:tc>
      </w:tr>
      <w:tr>
        <w:trPr>
          <w:trHeight w:val="402"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714" w:hRule="exact"/>
        </w:trPr>
        <w:tc>
          <w:tcPr>
            <w:tcW w:w="22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三、股份总数</w:t>
            </w:r>
          </w:p>
        </w:tc>
        <w:tc>
          <w:tcPr>
            <w:tcW w:w="82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0" w:right="0"/>
              <w:jc w:val="left"/>
              <w:rPr>
                <w:rFonts w:ascii="Times New Roman" w:hAnsi="Times New Roman" w:cs="Times New Roman" w:eastAsia="Times New Roman" w:hint="default"/>
                <w:sz w:val="18"/>
                <w:szCs w:val="18"/>
              </w:rPr>
            </w:pPr>
            <w:r>
              <w:rPr>
                <w:rFonts w:ascii="Times New Roman"/>
                <w:sz w:val="18"/>
              </w:rPr>
              <w:t>68,300,</w:t>
            </w:r>
          </w:p>
          <w:p>
            <w:pPr>
              <w:pStyle w:val="TableParagraph"/>
              <w:spacing w:line="240" w:lineRule="auto" w:before="105"/>
              <w:ind w:left="440" w:right="0"/>
              <w:jc w:val="left"/>
              <w:rPr>
                <w:rFonts w:ascii="Times New Roman" w:hAnsi="Times New Roman" w:cs="Times New Roman" w:eastAsia="Times New Roman" w:hint="default"/>
                <w:sz w:val="18"/>
                <w:szCs w:val="18"/>
              </w:rPr>
            </w:pPr>
            <w:r>
              <w:rPr>
                <w:rFonts w:ascii="Times New Roman"/>
                <w:sz w:val="18"/>
              </w:rPr>
              <w:t>000</w:t>
            </w:r>
          </w:p>
        </w:tc>
        <w:tc>
          <w:tcPr>
            <w:tcW w:w="8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54,640,</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000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-946,08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82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9" w:right="0"/>
              <w:jc w:val="left"/>
              <w:rPr>
                <w:rFonts w:ascii="Times New Roman" w:hAnsi="Times New Roman" w:cs="Times New Roman" w:eastAsia="Times New Roman" w:hint="default"/>
                <w:sz w:val="18"/>
                <w:szCs w:val="18"/>
              </w:rPr>
            </w:pPr>
            <w:r>
              <w:rPr>
                <w:rFonts w:ascii="Times New Roman"/>
                <w:sz w:val="18"/>
              </w:rPr>
              <w:t>53,693,</w:t>
            </w:r>
          </w:p>
          <w:p>
            <w:pPr>
              <w:pStyle w:val="TableParagraph"/>
              <w:spacing w:line="240" w:lineRule="auto" w:before="105"/>
              <w:ind w:left="439" w:right="0"/>
              <w:jc w:val="left"/>
              <w:rPr>
                <w:rFonts w:ascii="Times New Roman" w:hAnsi="Times New Roman" w:cs="Times New Roman" w:eastAsia="Times New Roman" w:hint="default"/>
                <w:sz w:val="18"/>
                <w:szCs w:val="18"/>
              </w:rPr>
            </w:pPr>
            <w:r>
              <w:rPr>
                <w:rFonts w:ascii="Times New Roman"/>
                <w:sz w:val="18"/>
              </w:rPr>
              <w:t>920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7" w:right="0"/>
              <w:jc w:val="left"/>
              <w:rPr>
                <w:rFonts w:ascii="Times New Roman" w:hAnsi="Times New Roman" w:cs="Times New Roman" w:eastAsia="Times New Roman" w:hint="default"/>
                <w:sz w:val="18"/>
                <w:szCs w:val="18"/>
              </w:rPr>
            </w:pPr>
            <w:r>
              <w:rPr>
                <w:rFonts w:ascii="Times New Roman"/>
                <w:sz w:val="18"/>
              </w:rPr>
              <w:t>121,99</w:t>
            </w:r>
          </w:p>
          <w:p>
            <w:pPr>
              <w:pStyle w:val="TableParagraph"/>
              <w:spacing w:line="240" w:lineRule="auto" w:before="105"/>
              <w:ind w:left="277" w:right="0"/>
              <w:jc w:val="left"/>
              <w:rPr>
                <w:rFonts w:ascii="Times New Roman" w:hAnsi="Times New Roman" w:cs="Times New Roman" w:eastAsia="Times New Roman" w:hint="default"/>
                <w:sz w:val="18"/>
                <w:szCs w:val="18"/>
              </w:rPr>
            </w:pPr>
            <w:r>
              <w:rPr>
                <w:rFonts w:ascii="Times New Roman"/>
                <w:sz w:val="18"/>
              </w:rPr>
              <w:t>3,920</w:t>
            </w:r>
          </w:p>
        </w:tc>
        <w:tc>
          <w:tcPr>
            <w:tcW w:w="7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股份变动的原因</w:t>
      </w:r>
    </w:p>
    <w:p>
      <w:pPr>
        <w:spacing w:before="117"/>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pStyle w:val="BodyText"/>
        <w:spacing w:line="313" w:lineRule="exact" w:before="65"/>
        <w:ind w:left="594" w:right="0"/>
        <w:jc w:val="left"/>
      </w:pPr>
      <w:r>
        <w:rPr>
          <w:rFonts w:ascii="宋体" w:hAnsi="宋体" w:cs="宋体" w:eastAsia="宋体" w:hint="default"/>
        </w:rPr>
        <w:t>1</w:t>
      </w:r>
      <w:r>
        <w:rPr/>
        <w:t>、首次公开发行前已发行股份上市流通</w:t>
      </w:r>
    </w:p>
    <w:p>
      <w:pPr>
        <w:pStyle w:val="BodyText"/>
        <w:spacing w:line="313" w:lineRule="exact"/>
        <w:ind w:left="594" w:right="0"/>
        <w:jc w:val="left"/>
      </w:pP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13</w:t>
      </w:r>
      <w:r>
        <w:rPr/>
        <w:t>日，根据首次公开发行前已发行股份上市流通规则，对以下股东进行解除股</w:t>
      </w:r>
    </w:p>
    <w:p>
      <w:pPr>
        <w:spacing w:after="0" w:line="313" w:lineRule="exact"/>
        <w:jc w:val="left"/>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237" w:lineRule="auto" w:before="28"/>
        <w:ind w:right="1131"/>
        <w:jc w:val="both"/>
      </w:pPr>
      <w:r>
        <w:rPr>
          <w:spacing w:val="-3"/>
        </w:rPr>
        <w:t>份限售：上海中信电子发展股份有限公司（以下简称</w:t>
      </w:r>
      <w:r>
        <w:rPr>
          <w:rFonts w:ascii="宋体" w:hAnsi="宋体" w:cs="宋体" w:eastAsia="宋体" w:hint="default"/>
          <w:spacing w:val="-3"/>
        </w:rPr>
        <w:t>"</w:t>
      </w:r>
      <w:r>
        <w:rPr>
          <w:spacing w:val="-3"/>
        </w:rPr>
        <w:t>中信电子</w:t>
      </w:r>
      <w:r>
        <w:rPr>
          <w:rFonts w:ascii="宋体" w:hAnsi="宋体" w:cs="宋体" w:eastAsia="宋体" w:hint="default"/>
          <w:spacing w:val="-3"/>
        </w:rPr>
        <w:t>"</w:t>
      </w:r>
      <w:r>
        <w:rPr>
          <w:spacing w:val="-3"/>
        </w:rPr>
        <w:t>）、张曙华，共计</w:t>
      </w:r>
      <w:r>
        <w:rPr>
          <w:rFonts w:ascii="宋体" w:hAnsi="宋体" w:cs="宋体" w:eastAsia="宋体" w:hint="default"/>
          <w:spacing w:val="-3"/>
        </w:rPr>
        <w:t>2</w:t>
      </w:r>
      <w:r>
        <w:rPr>
          <w:spacing w:val="-3"/>
        </w:rPr>
        <w:t>名股东，</w:t>
      </w:r>
      <w:r>
        <w:rPr>
          <w:spacing w:val="-114"/>
        </w:rPr>
        <w:t> </w:t>
      </w:r>
      <w:r>
        <w:rPr/>
        <w:t>其中法人股东</w:t>
      </w:r>
      <w:r>
        <w:rPr>
          <w:rFonts w:ascii="宋体" w:hAnsi="宋体" w:cs="宋体" w:eastAsia="宋体" w:hint="default"/>
        </w:rPr>
        <w:t>1</w:t>
      </w:r>
      <w:r>
        <w:rPr/>
        <w:t>名，自然人股东</w:t>
      </w:r>
      <w:r>
        <w:rPr>
          <w:rFonts w:ascii="宋体" w:hAnsi="宋体" w:cs="宋体" w:eastAsia="宋体" w:hint="default"/>
        </w:rPr>
        <w:t>1</w:t>
      </w:r>
      <w:r>
        <w:rPr/>
        <w:t>名。本次解除限售的股份数量为</w:t>
      </w:r>
      <w:r>
        <w:rPr>
          <w:rFonts w:ascii="宋体" w:hAnsi="宋体" w:cs="宋体" w:eastAsia="宋体" w:hint="default"/>
        </w:rPr>
        <w:t>36,312,480</w:t>
      </w:r>
      <w:r>
        <w:rPr/>
        <w:t>股，占当时公司 总股本的</w:t>
      </w:r>
      <w:r>
        <w:rPr>
          <w:rFonts w:ascii="宋体" w:hAnsi="宋体" w:cs="宋体" w:eastAsia="宋体" w:hint="default"/>
        </w:rPr>
        <w:t>53.1661%</w:t>
      </w:r>
      <w:r>
        <w:rPr/>
        <w:t>。实际可上市流通数量为</w:t>
      </w:r>
      <w:r>
        <w:rPr>
          <w:spacing w:val="-20"/>
        </w:rPr>
        <w:t> </w:t>
      </w:r>
      <w:r>
        <w:rPr>
          <w:rFonts w:ascii="宋体" w:hAnsi="宋体" w:cs="宋体" w:eastAsia="宋体" w:hint="default"/>
          <w:spacing w:val="-3"/>
        </w:rPr>
        <w:t>5,310,600</w:t>
      </w:r>
      <w:r>
        <w:rPr>
          <w:spacing w:val="-3"/>
        </w:rPr>
        <w:t>股，占当时公司总股本的</w:t>
      </w:r>
      <w:r>
        <w:rPr>
          <w:rFonts w:ascii="宋体" w:hAnsi="宋体" w:cs="宋体" w:eastAsia="宋体" w:hint="default"/>
          <w:spacing w:val="-3"/>
        </w:rPr>
        <w:t>7.7754%</w:t>
      </w:r>
      <w:r>
        <w:rPr>
          <w:spacing w:val="-3"/>
        </w:rPr>
        <w:t>。具</w:t>
      </w:r>
      <w:r>
        <w:rPr>
          <w:spacing w:val="-28"/>
        </w:rPr>
        <w:t> </w:t>
      </w:r>
      <w:r>
        <w:rPr>
          <w:spacing w:val="-2"/>
        </w:rPr>
        <w:t>体内容详见公司于</w:t>
      </w:r>
      <w:r>
        <w:rPr>
          <w:rFonts w:ascii="宋体" w:hAnsi="宋体" w:cs="宋体" w:eastAsia="宋体" w:hint="default"/>
          <w:spacing w:val="-2"/>
        </w:rPr>
        <w:t>2018</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13</w:t>
      </w:r>
      <w:r>
        <w:rPr>
          <w:spacing w:val="-2"/>
        </w:rPr>
        <w:t>日刊登在巨潮资讯网上的《关于部分首次公开发行前已发行股</w:t>
      </w:r>
      <w:r>
        <w:rPr>
          <w:spacing w:val="-114"/>
        </w:rPr>
        <w:t> </w:t>
      </w:r>
      <w:r>
        <w:rPr>
          <w:spacing w:val="-114"/>
        </w:rPr>
      </w:r>
      <w:r>
        <w:rPr>
          <w:spacing w:val="-13"/>
        </w:rPr>
        <w:t>份上市流通的提示性公告》（公告编号：</w:t>
      </w:r>
      <w:r>
        <w:rPr>
          <w:rFonts w:ascii="宋体" w:hAnsi="宋体" w:cs="宋体" w:eastAsia="宋体" w:hint="default"/>
          <w:spacing w:val="-13"/>
        </w:rPr>
        <w:t>2018-065</w:t>
      </w:r>
      <w:r>
        <w:rPr>
          <w:spacing w:val="-13"/>
        </w:rPr>
        <w:t>）。</w:t>
      </w:r>
      <w:r>
        <w:rPr/>
      </w:r>
    </w:p>
    <w:p>
      <w:pPr>
        <w:pStyle w:val="BodyText"/>
        <w:spacing w:line="312" w:lineRule="exact" w:before="29"/>
        <w:ind w:left="594" w:right="1158"/>
        <w:jc w:val="left"/>
      </w:pPr>
      <w:r>
        <w:rPr>
          <w:rFonts w:ascii="宋体" w:hAnsi="宋体" w:cs="宋体" w:eastAsia="宋体" w:hint="default"/>
        </w:rPr>
        <w:t>2</w:t>
      </w:r>
      <w:r>
        <w:rPr/>
        <w:t>、注销回购股权激励股权 </w:t>
      </w:r>
      <w:r>
        <w:rPr>
          <w:spacing w:val="-3"/>
        </w:rPr>
        <w:t>公司于</w:t>
      </w:r>
      <w:r>
        <w:rPr>
          <w:rFonts w:ascii="宋体" w:hAnsi="宋体" w:cs="宋体" w:eastAsia="宋体" w:hint="default"/>
          <w:spacing w:val="-3"/>
        </w:rPr>
        <w:t>2018</w:t>
      </w:r>
      <w:r>
        <w:rPr>
          <w:spacing w:val="-3"/>
        </w:rPr>
        <w:t>年</w:t>
      </w:r>
      <w:r>
        <w:rPr>
          <w:rFonts w:ascii="宋体" w:hAnsi="宋体" w:cs="宋体" w:eastAsia="宋体" w:hint="default"/>
          <w:spacing w:val="-3"/>
        </w:rPr>
        <w:t>6</w:t>
      </w:r>
      <w:r>
        <w:rPr>
          <w:spacing w:val="-3"/>
        </w:rPr>
        <w:t>月</w:t>
      </w:r>
      <w:r>
        <w:rPr>
          <w:rFonts w:ascii="宋体" w:hAnsi="宋体" w:cs="宋体" w:eastAsia="宋体" w:hint="default"/>
          <w:spacing w:val="-3"/>
        </w:rPr>
        <w:t>23</w:t>
      </w:r>
      <w:r>
        <w:rPr>
          <w:spacing w:val="-3"/>
        </w:rPr>
        <w:t>日披露了《关于部分限制性股票回购注销完成的公告》。注销已回购</w:t>
      </w:r>
    </w:p>
    <w:p>
      <w:pPr>
        <w:pStyle w:val="BodyText"/>
        <w:spacing w:line="282" w:lineRule="exact"/>
        <w:ind w:right="0"/>
        <w:jc w:val="both"/>
      </w:pPr>
      <w:r>
        <w:rPr/>
        <w:t>的</w:t>
      </w:r>
      <w:r>
        <w:rPr>
          <w:rFonts w:ascii="宋体" w:hAnsi="宋体" w:cs="宋体" w:eastAsia="宋体" w:hint="default"/>
        </w:rPr>
        <w:t>525,600</w:t>
      </w:r>
      <w:r>
        <w:rPr/>
        <w:t>股。</w:t>
      </w:r>
    </w:p>
    <w:p>
      <w:pPr>
        <w:pStyle w:val="BodyText"/>
        <w:spacing w:line="312" w:lineRule="exact" w:before="29"/>
        <w:ind w:left="594" w:right="1116"/>
        <w:jc w:val="left"/>
      </w:pPr>
      <w:r>
        <w:rPr>
          <w:rFonts w:ascii="宋体" w:hAnsi="宋体" w:cs="宋体" w:eastAsia="宋体" w:hint="default"/>
        </w:rPr>
        <w:t>3</w:t>
      </w:r>
      <w:r>
        <w:rPr/>
        <w:t>、股权激励的解锁和行权 </w:t>
      </w:r>
      <w:r>
        <w:rPr>
          <w:spacing w:val="-2"/>
        </w:rPr>
        <w:t>公司于</w:t>
      </w:r>
      <w:r>
        <w:rPr>
          <w:rFonts w:ascii="宋体" w:hAnsi="宋体" w:cs="宋体" w:eastAsia="宋体" w:hint="default"/>
          <w:spacing w:val="-2"/>
        </w:rPr>
        <w:t>2018</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22</w:t>
      </w:r>
      <w:r>
        <w:rPr>
          <w:spacing w:val="-2"/>
        </w:rPr>
        <w:t>日披露了《于首期限制性股票激励计划第一个解锁期解锁股份上市流</w:t>
      </w:r>
    </w:p>
    <w:p>
      <w:pPr>
        <w:pStyle w:val="BodyText"/>
        <w:spacing w:line="312" w:lineRule="exact"/>
        <w:ind w:left="594" w:right="4040" w:hanging="480"/>
        <w:jc w:val="left"/>
      </w:pPr>
      <w:r>
        <w:rPr>
          <w:spacing w:val="-4"/>
        </w:rPr>
        <w:t>通的提示性公告》。可上市流通的限制性股票数量为</w:t>
      </w:r>
      <w:r>
        <w:rPr>
          <w:rFonts w:ascii="宋体" w:hAnsi="宋体" w:cs="宋体" w:eastAsia="宋体" w:hint="default"/>
          <w:spacing w:val="-4"/>
        </w:rPr>
        <w:t>417,600</w:t>
      </w:r>
      <w:r>
        <w:rPr>
          <w:spacing w:val="-4"/>
        </w:rPr>
        <w:t>股。</w:t>
      </w:r>
      <w:r>
        <w:rPr>
          <w:spacing w:val="-112"/>
        </w:rPr>
        <w:t> </w:t>
      </w:r>
      <w:r>
        <w:rPr>
          <w:rFonts w:ascii="宋体" w:hAnsi="宋体" w:cs="宋体" w:eastAsia="宋体" w:hint="default"/>
        </w:rPr>
        <w:t>4</w:t>
      </w:r>
      <w:r>
        <w:rPr/>
        <w:t>、利润分配</w:t>
      </w:r>
    </w:p>
    <w:p>
      <w:pPr>
        <w:pStyle w:val="BodyText"/>
        <w:spacing w:line="237" w:lineRule="auto" w:before="13"/>
        <w:ind w:right="1094" w:firstLine="480"/>
        <w:jc w:val="both"/>
      </w:pPr>
      <w:r>
        <w:rPr/>
        <w:t>公司于</w:t>
      </w:r>
      <w:r>
        <w:rPr>
          <w:rFonts w:ascii="宋体" w:hAnsi="宋体" w:cs="宋体" w:eastAsia="宋体" w:hint="default"/>
        </w:rPr>
        <w:t>2018</w:t>
      </w:r>
      <w:r>
        <w:rPr/>
        <w:t>年</w:t>
      </w:r>
      <w:r>
        <w:rPr>
          <w:rFonts w:ascii="宋体" w:hAnsi="宋体" w:cs="宋体" w:eastAsia="宋体" w:hint="default"/>
        </w:rPr>
        <w:t>5</w:t>
      </w:r>
      <w:r>
        <w:rPr/>
        <w:t>月</w:t>
      </w:r>
      <w:r>
        <w:rPr>
          <w:rFonts w:ascii="宋体" w:hAnsi="宋体" w:cs="宋体" w:eastAsia="宋体" w:hint="default"/>
        </w:rPr>
        <w:t>8</w:t>
      </w:r>
      <w:r>
        <w:rPr/>
        <w:t>日召开了</w:t>
      </w:r>
      <w:r>
        <w:rPr>
          <w:rFonts w:ascii="宋体" w:hAnsi="宋体" w:cs="宋体" w:eastAsia="宋体" w:hint="default"/>
        </w:rPr>
        <w:t>2017</w:t>
      </w:r>
      <w:r>
        <w:rPr/>
        <w:t>年年度股东大会，审议通过了《公司</w:t>
      </w:r>
      <w:r>
        <w:rPr>
          <w:rFonts w:ascii="宋体" w:hAnsi="宋体" w:cs="宋体" w:eastAsia="宋体" w:hint="default"/>
        </w:rPr>
        <w:t>2017</w:t>
      </w:r>
      <w:r>
        <w:rPr/>
        <w:t>年度利润分配</w:t>
      </w:r>
      <w:r>
        <w:rPr>
          <w:spacing w:val="1"/>
        </w:rPr>
        <w:t> </w:t>
      </w:r>
      <w:r>
        <w:rPr/>
        <w:t>方</w:t>
      </w:r>
      <w:r>
        <w:rPr>
          <w:spacing w:val="-86"/>
        </w:rPr>
        <w:t> </w:t>
      </w:r>
      <w:r>
        <w:rPr/>
        <w:t>案</w:t>
      </w:r>
      <w:r>
        <w:rPr>
          <w:spacing w:val="-86"/>
        </w:rPr>
        <w:t> </w:t>
      </w:r>
      <w:r>
        <w:rPr>
          <w:spacing w:val="-42"/>
        </w:rPr>
        <w:t>》。</w:t>
      </w:r>
      <w:r>
        <w:rPr>
          <w:spacing w:val="-87"/>
        </w:rPr>
        <w:t> </w:t>
      </w:r>
      <w:r>
        <w:rPr/>
        <w:t>公</w:t>
      </w:r>
      <w:r>
        <w:rPr>
          <w:spacing w:val="-86"/>
        </w:rPr>
        <w:t> </w:t>
      </w:r>
      <w:r>
        <w:rPr/>
        <w:t>司</w:t>
      </w:r>
      <w:r>
        <w:rPr>
          <w:spacing w:val="-86"/>
        </w:rPr>
        <w:t> </w:t>
      </w:r>
      <w:r>
        <w:rPr/>
        <w:t>以</w:t>
      </w:r>
      <w:r>
        <w:rPr>
          <w:spacing w:val="-84"/>
        </w:rPr>
        <w:t> </w:t>
      </w:r>
      <w:r>
        <w:rPr>
          <w:rFonts w:ascii="宋体" w:hAnsi="宋体" w:cs="宋体" w:eastAsia="宋体" w:hint="default"/>
        </w:rPr>
        <w:t>2017</w:t>
      </w:r>
      <w:r>
        <w:rPr>
          <w:rFonts w:ascii="宋体" w:hAnsi="宋体" w:cs="宋体" w:eastAsia="宋体" w:hint="default"/>
          <w:spacing w:val="-85"/>
        </w:rPr>
        <w:t> </w:t>
      </w:r>
      <w:r>
        <w:rPr/>
        <w:t>年</w:t>
      </w:r>
      <w:r>
        <w:rPr>
          <w:spacing w:val="-86"/>
        </w:rPr>
        <w:t> </w:t>
      </w:r>
      <w:r>
        <w:rPr/>
        <w:t>末</w:t>
      </w:r>
      <w:r>
        <w:rPr>
          <w:spacing w:val="-86"/>
        </w:rPr>
        <w:t> </w:t>
      </w:r>
      <w:r>
        <w:rPr/>
        <w:t>总</w:t>
      </w:r>
      <w:r>
        <w:rPr>
          <w:spacing w:val="-87"/>
        </w:rPr>
        <w:t> </w:t>
      </w:r>
      <w:r>
        <w:rPr/>
        <w:t>股</w:t>
      </w:r>
      <w:r>
        <w:rPr>
          <w:spacing w:val="-86"/>
        </w:rPr>
        <w:t> </w:t>
      </w:r>
      <w:r>
        <w:rPr/>
        <w:t>本</w:t>
      </w:r>
      <w:r>
        <w:rPr>
          <w:spacing w:val="-85"/>
        </w:rPr>
        <w:t> </w:t>
      </w:r>
      <w:r>
        <w:rPr>
          <w:rFonts w:ascii="宋体" w:hAnsi="宋体" w:cs="宋体" w:eastAsia="宋体" w:hint="default"/>
        </w:rPr>
        <w:t>68,300,000</w:t>
      </w:r>
      <w:r>
        <w:rPr>
          <w:rFonts w:ascii="宋体" w:hAnsi="宋体" w:cs="宋体" w:eastAsia="宋体" w:hint="default"/>
          <w:spacing w:val="-85"/>
        </w:rPr>
        <w:t> </w:t>
      </w:r>
      <w:r>
        <w:rPr/>
        <w:t>股</w:t>
      </w:r>
      <w:r>
        <w:rPr>
          <w:spacing w:val="-86"/>
        </w:rPr>
        <w:t> </w:t>
      </w:r>
      <w:r>
        <w:rPr/>
        <w:t>扣</w:t>
      </w:r>
      <w:r>
        <w:rPr>
          <w:spacing w:val="-87"/>
        </w:rPr>
        <w:t> </w:t>
      </w:r>
      <w:r>
        <w:rPr/>
        <w:t>除</w:t>
      </w:r>
      <w:r>
        <w:rPr>
          <w:spacing w:val="-86"/>
        </w:rPr>
        <w:t> </w:t>
      </w:r>
      <w:r>
        <w:rPr/>
        <w:t>将</w:t>
      </w:r>
      <w:r>
        <w:rPr>
          <w:spacing w:val="-86"/>
        </w:rPr>
        <w:t> </w:t>
      </w:r>
      <w:r>
        <w:rPr/>
        <w:t>注</w:t>
      </w:r>
      <w:r>
        <w:rPr>
          <w:spacing w:val="-86"/>
        </w:rPr>
        <w:t> </w:t>
      </w:r>
      <w:r>
        <w:rPr/>
        <w:t>销</w:t>
      </w:r>
      <w:r>
        <w:rPr>
          <w:spacing w:val="-87"/>
        </w:rPr>
        <w:t> </w:t>
      </w:r>
      <w:r>
        <w:rPr/>
        <w:t>的</w:t>
      </w:r>
      <w:r>
        <w:rPr>
          <w:spacing w:val="-86"/>
        </w:rPr>
        <w:t> </w:t>
      </w:r>
      <w:r>
        <w:rPr/>
        <w:t>回</w:t>
      </w:r>
      <w:r>
        <w:rPr>
          <w:spacing w:val="-86"/>
        </w:rPr>
        <w:t> </w:t>
      </w:r>
      <w:r>
        <w:rPr/>
        <w:t>购</w:t>
      </w:r>
      <w:r>
        <w:rPr>
          <w:spacing w:val="-86"/>
        </w:rPr>
        <w:t> </w:t>
      </w:r>
      <w:r>
        <w:rPr/>
        <w:t>股</w:t>
      </w:r>
      <w:r>
        <w:rPr>
          <w:spacing w:val="-87"/>
        </w:rPr>
        <w:t> </w:t>
      </w:r>
      <w:r>
        <w:rPr/>
        <w:t>份</w:t>
      </w:r>
      <w:r>
        <w:rPr>
          <w:spacing w:val="-83"/>
        </w:rPr>
        <w:t> </w:t>
      </w:r>
      <w:r>
        <w:rPr>
          <w:rFonts w:ascii="宋体" w:hAnsi="宋体" w:cs="宋体" w:eastAsia="宋体" w:hint="default"/>
        </w:rPr>
        <w:t>525,600</w:t>
      </w:r>
      <w:r>
        <w:rPr>
          <w:rFonts w:ascii="宋体" w:hAnsi="宋体" w:cs="宋体" w:eastAsia="宋体" w:hint="default"/>
          <w:spacing w:val="-87"/>
        </w:rPr>
        <w:t> </w:t>
      </w:r>
      <w:r>
        <w:rPr>
          <w:spacing w:val="24"/>
        </w:rPr>
        <w:t>股后的</w:t>
      </w:r>
      <w:r>
        <w:rPr>
          <w:spacing w:val="-84"/>
        </w:rPr>
        <w:t> </w:t>
      </w:r>
      <w:r>
        <w:rPr>
          <w:rFonts w:ascii="宋体" w:hAnsi="宋体" w:cs="宋体" w:eastAsia="宋体" w:hint="default"/>
        </w:rPr>
        <w:t>67,774,400</w:t>
      </w:r>
      <w:r>
        <w:rPr/>
        <w:t>股为基数，拟向全体股东每</w:t>
      </w:r>
      <w:r>
        <w:rPr>
          <w:rFonts w:ascii="宋体" w:hAnsi="宋体" w:cs="宋体" w:eastAsia="宋体" w:hint="default"/>
        </w:rPr>
        <w:t>10</w:t>
      </w:r>
      <w:r>
        <w:rPr/>
        <w:t>股转增</w:t>
      </w:r>
      <w:r>
        <w:rPr>
          <w:rFonts w:ascii="宋体" w:hAnsi="宋体" w:cs="宋体" w:eastAsia="宋体" w:hint="default"/>
        </w:rPr>
        <w:t>8</w:t>
      </w:r>
      <w:r>
        <w:rPr/>
        <w:t>股</w:t>
      </w:r>
    </w:p>
    <w:p>
      <w:pPr>
        <w:spacing w:before="88"/>
        <w:ind w:left="114" w:right="0" w:firstLine="0"/>
        <w:jc w:val="both"/>
        <w:rPr>
          <w:rFonts w:ascii="宋体" w:hAnsi="宋体" w:cs="宋体" w:eastAsia="宋体" w:hint="default"/>
          <w:sz w:val="18"/>
          <w:szCs w:val="18"/>
        </w:rPr>
      </w:pPr>
      <w:r>
        <w:rPr>
          <w:rFonts w:ascii="宋体" w:hAnsi="宋体" w:cs="宋体" w:eastAsia="宋体" w:hint="default"/>
          <w:sz w:val="18"/>
          <w:szCs w:val="18"/>
        </w:rPr>
        <w:t>股份变动的批准情况</w:t>
      </w:r>
    </w:p>
    <w:p>
      <w:pPr>
        <w:spacing w:before="116"/>
        <w:ind w:left="114" w:right="0" w:firstLine="0"/>
        <w:jc w:val="both"/>
        <w:rPr>
          <w:rFonts w:ascii="宋体" w:hAnsi="宋体" w:cs="宋体" w:eastAsia="宋体" w:hint="default"/>
          <w:sz w:val="18"/>
          <w:szCs w:val="18"/>
        </w:rPr>
      </w:pPr>
      <w:r>
        <w:rPr>
          <w:rFonts w:ascii="宋体" w:hAnsi="宋体" w:cs="宋体" w:eastAsia="宋体" w:hint="default"/>
          <w:sz w:val="18"/>
          <w:szCs w:val="18"/>
        </w:rPr>
        <w:t>√ 适用 □ 不适用</w:t>
      </w:r>
    </w:p>
    <w:p>
      <w:pPr>
        <w:pStyle w:val="BodyText"/>
        <w:spacing w:line="312" w:lineRule="exact" w:before="96"/>
        <w:ind w:right="1171" w:firstLine="480"/>
        <w:jc w:val="both"/>
      </w:pPr>
      <w:r>
        <w:rPr>
          <w:rFonts w:ascii="宋体" w:hAnsi="宋体" w:cs="宋体" w:eastAsia="宋体" w:hint="default"/>
        </w:rPr>
        <w:t>1</w:t>
      </w:r>
      <w:r>
        <w:rPr/>
        <w:t>、</w:t>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16</w:t>
      </w:r>
      <w:r>
        <w:rPr/>
        <w:t>日，公司第四届董事会第十次会议和第四届监事会第七次会议审议通过 </w:t>
      </w:r>
      <w:r>
        <w:rPr>
          <w:spacing w:val="-4"/>
        </w:rPr>
        <w:t>了《关于回购注销部分限制性股票的议案》，公司独立董事对此发表了同意的独立意见。</w:t>
      </w:r>
    </w:p>
    <w:p>
      <w:pPr>
        <w:pStyle w:val="BodyText"/>
        <w:spacing w:line="312" w:lineRule="exact"/>
        <w:ind w:right="1132" w:firstLine="480"/>
        <w:jc w:val="both"/>
      </w:pPr>
      <w:r>
        <w:rPr>
          <w:rFonts w:ascii="宋体" w:hAnsi="宋体" w:cs="宋体" w:eastAsia="宋体" w:hint="default"/>
          <w:spacing w:val="-2"/>
        </w:rPr>
        <w:t>2</w:t>
      </w:r>
      <w:r>
        <w:rPr>
          <w:spacing w:val="-2"/>
        </w:rPr>
        <w:t>、</w:t>
      </w:r>
      <w:r>
        <w:rPr>
          <w:rFonts w:ascii="宋体" w:hAnsi="宋体" w:cs="宋体" w:eastAsia="宋体" w:hint="default"/>
          <w:spacing w:val="-2"/>
        </w:rPr>
        <w:t>2018</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8</w:t>
      </w:r>
      <w:r>
        <w:rPr>
          <w:spacing w:val="-2"/>
        </w:rPr>
        <w:t>日，公司召开</w:t>
      </w:r>
      <w:r>
        <w:rPr>
          <w:rFonts w:ascii="宋体" w:hAnsi="宋体" w:cs="宋体" w:eastAsia="宋体" w:hint="default"/>
          <w:spacing w:val="-2"/>
        </w:rPr>
        <w:t>2017</w:t>
      </w:r>
      <w:r>
        <w:rPr>
          <w:spacing w:val="-2"/>
        </w:rPr>
        <w:t>年年度股东大会审议并通过《关于回购注销部分限制性</w:t>
      </w:r>
      <w:r>
        <w:rPr/>
        <w:t> </w:t>
      </w:r>
      <w:r>
        <w:rPr>
          <w:spacing w:val="-5"/>
        </w:rPr>
        <w:t>股票的议案》，公司独立董事对此发表了同意的独立意见。</w:t>
      </w:r>
    </w:p>
    <w:p>
      <w:pPr>
        <w:pStyle w:val="BodyText"/>
        <w:spacing w:line="283" w:lineRule="exact"/>
        <w:ind w:left="594" w:right="0"/>
        <w:jc w:val="left"/>
      </w:pPr>
      <w:r>
        <w:rPr>
          <w:rFonts w:ascii="宋体" w:hAnsi="宋体" w:cs="宋体" w:eastAsia="宋体" w:hint="default"/>
        </w:rPr>
        <w:t>3</w:t>
      </w:r>
      <w:r>
        <w:rPr/>
        <w:t>、</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15</w:t>
      </w:r>
      <w:r>
        <w:rPr/>
        <w:t>日，公司召开的第四届董事会第十四次会议和第四届监事会第十一次会</w:t>
      </w:r>
    </w:p>
    <w:p>
      <w:pPr>
        <w:pStyle w:val="BodyText"/>
        <w:spacing w:line="312" w:lineRule="exact" w:before="30"/>
        <w:ind w:right="1008"/>
        <w:jc w:val="left"/>
      </w:pPr>
      <w:r>
        <w:rPr>
          <w:spacing w:val="-8"/>
        </w:rPr>
        <w:t>议，审议通过了《关于首期限制性股票激励计划第一个解锁限售期解除限售条件成就的议案》，</w:t>
      </w:r>
      <w:r>
        <w:rPr>
          <w:spacing w:val="-106"/>
        </w:rPr>
        <w:t> </w:t>
      </w:r>
      <w:r>
        <w:rPr>
          <w:spacing w:val="-106"/>
        </w:rPr>
      </w:r>
      <w:r>
        <w:rPr/>
        <w:t>公司独立董事对此发表了同意的独立意见。</w:t>
      </w:r>
    </w:p>
    <w:p>
      <w:pPr>
        <w:pStyle w:val="BodyText"/>
        <w:spacing w:line="240" w:lineRule="auto" w:before="10"/>
        <w:ind w:right="1129" w:firstLine="480"/>
        <w:jc w:val="both"/>
      </w:pPr>
      <w:r>
        <w:rPr>
          <w:rFonts w:ascii="宋体" w:hAnsi="宋体" w:cs="宋体" w:eastAsia="宋体" w:hint="default"/>
          <w:spacing w:val="-2"/>
        </w:rPr>
        <w:t>4</w:t>
      </w:r>
      <w:r>
        <w:rPr>
          <w:spacing w:val="-2"/>
        </w:rPr>
        <w:t>、</w:t>
      </w:r>
      <w:r>
        <w:rPr>
          <w:rFonts w:ascii="宋体" w:hAnsi="宋体" w:cs="宋体" w:eastAsia="宋体" w:hint="default"/>
          <w:spacing w:val="-2"/>
        </w:rPr>
        <w:t>2018</w:t>
      </w:r>
      <w:r>
        <w:rPr>
          <w:spacing w:val="-2"/>
        </w:rPr>
        <w:t>年</w:t>
      </w:r>
      <w:r>
        <w:rPr>
          <w:rFonts w:ascii="宋体" w:hAnsi="宋体" w:cs="宋体" w:eastAsia="宋体" w:hint="default"/>
          <w:spacing w:val="-2"/>
        </w:rPr>
        <w:t>5</w:t>
      </w:r>
      <w:r>
        <w:rPr>
          <w:spacing w:val="-2"/>
        </w:rPr>
        <w:t>月</w:t>
      </w:r>
      <w:r>
        <w:rPr>
          <w:rFonts w:ascii="宋体" w:hAnsi="宋体" w:cs="宋体" w:eastAsia="宋体" w:hint="default"/>
          <w:spacing w:val="-2"/>
        </w:rPr>
        <w:t>8</w:t>
      </w:r>
      <w:r>
        <w:rPr>
          <w:spacing w:val="-2"/>
        </w:rPr>
        <w:t>日，公司召开</w:t>
      </w:r>
      <w:r>
        <w:rPr>
          <w:rFonts w:ascii="宋体" w:hAnsi="宋体" w:cs="宋体" w:eastAsia="宋体" w:hint="default"/>
          <w:spacing w:val="-2"/>
        </w:rPr>
        <w:t>2017</w:t>
      </w:r>
      <w:r>
        <w:rPr>
          <w:spacing w:val="-2"/>
        </w:rPr>
        <w:t>年年度股东大会审议并通过《关于公司</w:t>
      </w:r>
      <w:r>
        <w:rPr>
          <w:rFonts w:ascii="宋体" w:hAnsi="宋体" w:cs="宋体" w:eastAsia="宋体" w:hint="default"/>
          <w:spacing w:val="-2"/>
        </w:rPr>
        <w:t>2017</w:t>
      </w:r>
      <w:r>
        <w:rPr>
          <w:spacing w:val="-2"/>
        </w:rPr>
        <w:t>年度利润分</w:t>
      </w:r>
      <w:r>
        <w:rPr/>
        <w:t> </w:t>
      </w:r>
      <w:r>
        <w:rPr>
          <w:spacing w:val="-2"/>
        </w:rPr>
        <w:t>配方案的议案》，公司以</w:t>
      </w:r>
      <w:r>
        <w:rPr>
          <w:rFonts w:ascii="宋体" w:hAnsi="宋体" w:cs="宋体" w:eastAsia="宋体" w:hint="default"/>
          <w:spacing w:val="-2"/>
        </w:rPr>
        <w:t>2017</w:t>
      </w:r>
      <w:r>
        <w:rPr>
          <w:spacing w:val="-2"/>
        </w:rPr>
        <w:t>年末总股本</w:t>
      </w:r>
      <w:r>
        <w:rPr>
          <w:rFonts w:ascii="宋体" w:hAnsi="宋体" w:cs="宋体" w:eastAsia="宋体" w:hint="default"/>
          <w:spacing w:val="-2"/>
        </w:rPr>
        <w:t>68,300,000</w:t>
      </w:r>
      <w:r>
        <w:rPr>
          <w:spacing w:val="-2"/>
        </w:rPr>
        <w:t>股扣除将注销的回购股份</w:t>
      </w:r>
      <w:r>
        <w:rPr>
          <w:rFonts w:ascii="宋体" w:hAnsi="宋体" w:cs="宋体" w:eastAsia="宋体" w:hint="default"/>
          <w:spacing w:val="-2"/>
        </w:rPr>
        <w:t>525,600</w:t>
      </w:r>
      <w:r>
        <w:rPr>
          <w:spacing w:val="-2"/>
        </w:rPr>
        <w:t>股后的</w:t>
      </w:r>
      <w:r>
        <w:rPr>
          <w:spacing w:val="-113"/>
        </w:rPr>
        <w:t> </w:t>
      </w:r>
      <w:r>
        <w:rPr>
          <w:rFonts w:ascii="宋体" w:hAnsi="宋体" w:cs="宋体" w:eastAsia="宋体" w:hint="default"/>
        </w:rPr>
        <w:t>67,774,400</w:t>
      </w:r>
      <w:r>
        <w:rPr/>
        <w:t>股为基数，拟向全体股东每</w:t>
      </w:r>
      <w:r>
        <w:rPr>
          <w:rFonts w:ascii="宋体" w:hAnsi="宋体" w:cs="宋体" w:eastAsia="宋体" w:hint="default"/>
        </w:rPr>
        <w:t>10</w:t>
      </w:r>
      <w:r>
        <w:rPr/>
        <w:t>股转增</w:t>
      </w:r>
      <w:r>
        <w:rPr>
          <w:rFonts w:ascii="宋体" w:hAnsi="宋体" w:cs="宋体" w:eastAsia="宋体" w:hint="default"/>
        </w:rPr>
        <w:t>8</w:t>
      </w:r>
      <w:r>
        <w:rPr/>
        <w:t>股</w:t>
      </w:r>
    </w:p>
    <w:p>
      <w:pPr>
        <w:spacing w:line="240" w:lineRule="auto" w:before="7"/>
        <w:rPr>
          <w:rFonts w:ascii="宋体" w:hAnsi="宋体" w:cs="宋体" w:eastAsia="宋体" w:hint="default"/>
          <w:sz w:val="33"/>
          <w:szCs w:val="33"/>
        </w:rPr>
      </w:pPr>
    </w:p>
    <w:p>
      <w:pPr>
        <w:spacing w:before="0"/>
        <w:ind w:left="114" w:right="0" w:firstLine="0"/>
        <w:jc w:val="both"/>
        <w:rPr>
          <w:rFonts w:ascii="宋体" w:hAnsi="宋体" w:cs="宋体" w:eastAsia="宋体" w:hint="default"/>
          <w:sz w:val="18"/>
          <w:szCs w:val="18"/>
        </w:rPr>
      </w:pPr>
      <w:r>
        <w:rPr>
          <w:rFonts w:ascii="宋体" w:hAnsi="宋体" w:cs="宋体" w:eastAsia="宋体" w:hint="default"/>
          <w:sz w:val="18"/>
          <w:szCs w:val="18"/>
        </w:rPr>
        <w:t>股份变动的过户情况</w:t>
      </w:r>
    </w:p>
    <w:p>
      <w:pPr>
        <w:spacing w:before="117"/>
        <w:ind w:left="114" w:right="0" w:firstLine="0"/>
        <w:jc w:val="both"/>
        <w:rPr>
          <w:rFonts w:ascii="宋体" w:hAnsi="宋体" w:cs="宋体" w:eastAsia="宋体" w:hint="default"/>
          <w:sz w:val="18"/>
          <w:szCs w:val="18"/>
        </w:rPr>
      </w:pPr>
      <w:r>
        <w:rPr>
          <w:rFonts w:ascii="宋体" w:hAnsi="宋体" w:cs="宋体" w:eastAsia="宋体" w:hint="default"/>
          <w:sz w:val="18"/>
          <w:szCs w:val="18"/>
        </w:rPr>
        <w:t>√ 适用 □ 不适用</w:t>
      </w:r>
    </w:p>
    <w:p>
      <w:pPr>
        <w:pStyle w:val="BodyText"/>
        <w:spacing w:line="312" w:lineRule="exact" w:before="96"/>
        <w:ind w:right="1169" w:firstLine="480"/>
        <w:jc w:val="both"/>
      </w:pPr>
      <w:r>
        <w:rPr>
          <w:rFonts w:ascii="宋体" w:hAnsi="宋体" w:cs="宋体" w:eastAsia="宋体" w:hint="default"/>
        </w:rPr>
        <w:t>1</w:t>
      </w:r>
      <w:r>
        <w:rPr/>
        <w:t>、公司股权激励计划回购注销，已于</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22</w:t>
      </w:r>
      <w:r>
        <w:rPr/>
        <w:t>日在中国证券登记结算有限责任公司 深圳分公司完成回购注销</w:t>
      </w:r>
    </w:p>
    <w:p>
      <w:pPr>
        <w:spacing w:before="59"/>
        <w:ind w:left="114" w:right="0" w:firstLine="0"/>
        <w:jc w:val="both"/>
        <w:rPr>
          <w:rFonts w:ascii="宋体" w:hAnsi="宋体" w:cs="宋体" w:eastAsia="宋体" w:hint="default"/>
          <w:sz w:val="18"/>
          <w:szCs w:val="18"/>
        </w:rPr>
      </w:pPr>
      <w:r>
        <w:rPr>
          <w:rFonts w:ascii="宋体" w:hAnsi="宋体" w:cs="宋体" w:eastAsia="宋体" w:hint="default"/>
          <w:sz w:val="18"/>
          <w:szCs w:val="18"/>
        </w:rPr>
        <w:t>股份回购的实施进展情况</w:t>
      </w:r>
    </w:p>
    <w:p>
      <w:pPr>
        <w:spacing w:before="117"/>
        <w:ind w:left="114" w:right="0" w:firstLine="0"/>
        <w:jc w:val="both"/>
        <w:rPr>
          <w:rFonts w:ascii="宋体" w:hAnsi="宋体" w:cs="宋体" w:eastAsia="宋体" w:hint="default"/>
          <w:sz w:val="18"/>
          <w:szCs w:val="18"/>
        </w:rPr>
      </w:pPr>
      <w:r>
        <w:rPr>
          <w:rFonts w:ascii="宋体" w:hAnsi="宋体" w:cs="宋体" w:eastAsia="宋体" w:hint="default"/>
          <w:sz w:val="18"/>
          <w:szCs w:val="18"/>
        </w:rPr>
        <w:t>√ 适用 □ 不适用</w:t>
      </w:r>
    </w:p>
    <w:p>
      <w:pPr>
        <w:pStyle w:val="BodyText"/>
        <w:spacing w:line="237" w:lineRule="auto" w:before="68"/>
        <w:ind w:right="1130" w:firstLine="480"/>
        <w:jc w:val="both"/>
      </w:pPr>
      <w:r>
        <w:rPr>
          <w:rFonts w:ascii="宋体" w:hAnsi="宋体" w:cs="宋体" w:eastAsia="宋体" w:hint="default"/>
        </w:rPr>
        <w:t>1</w:t>
      </w:r>
      <w:r>
        <w:rPr/>
        <w:t>、</w:t>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16</w:t>
      </w:r>
      <w:r>
        <w:rPr/>
        <w:t>日，公司第四届董事会第十次会议和第四届监事会第七次会议审议通过 </w:t>
      </w:r>
      <w:r>
        <w:rPr>
          <w:spacing w:val="-5"/>
        </w:rPr>
        <w:t>了《关于回购注销部分限制性股票的议案》，公司独立董事对此发表了同意的独立意见。公司</w:t>
      </w:r>
      <w:r>
        <w:rPr/>
        <w:t> </w:t>
      </w:r>
      <w:r>
        <w:rPr>
          <w:spacing w:val="-5"/>
        </w:rPr>
        <w:t>于</w:t>
      </w:r>
      <w:r>
        <w:rPr>
          <w:rFonts w:ascii="宋体" w:hAnsi="宋体" w:cs="宋体" w:eastAsia="宋体" w:hint="default"/>
          <w:spacing w:val="-5"/>
        </w:rPr>
        <w:t>2018</w:t>
      </w:r>
      <w:r>
        <w:rPr>
          <w:spacing w:val="-5"/>
        </w:rPr>
        <w:t>年</w:t>
      </w:r>
      <w:r>
        <w:rPr>
          <w:rFonts w:ascii="宋体" w:hAnsi="宋体" w:cs="宋体" w:eastAsia="宋体" w:hint="default"/>
          <w:spacing w:val="-5"/>
        </w:rPr>
        <w:t>6</w:t>
      </w:r>
      <w:r>
        <w:rPr>
          <w:spacing w:val="-5"/>
        </w:rPr>
        <w:t>月</w:t>
      </w:r>
      <w:r>
        <w:rPr>
          <w:rFonts w:ascii="宋体" w:hAnsi="宋体" w:cs="宋体" w:eastAsia="宋体" w:hint="default"/>
          <w:spacing w:val="-5"/>
        </w:rPr>
        <w:t>23</w:t>
      </w:r>
      <w:r>
        <w:rPr>
          <w:spacing w:val="-5"/>
        </w:rPr>
        <w:t>日披露了《关于部分限制性股票回购注销完成的公告》。注销已回购的</w:t>
      </w:r>
      <w:r>
        <w:rPr>
          <w:rFonts w:ascii="宋体" w:hAnsi="宋体" w:cs="宋体" w:eastAsia="宋体" w:hint="default"/>
          <w:spacing w:val="-5"/>
        </w:rPr>
        <w:t>525,600</w:t>
      </w:r>
      <w:r>
        <w:rPr>
          <w:rFonts w:ascii="宋体" w:hAnsi="宋体" w:cs="宋体" w:eastAsia="宋体" w:hint="default"/>
          <w:spacing w:val="-82"/>
        </w:rPr>
        <w:t> </w:t>
      </w:r>
      <w:r>
        <w:rPr/>
        <w:t>股。</w:t>
      </w:r>
    </w:p>
    <w:p>
      <w:pPr>
        <w:pStyle w:val="BodyText"/>
        <w:spacing w:line="312" w:lineRule="exact" w:before="67"/>
        <w:ind w:right="1131" w:firstLine="480"/>
        <w:jc w:val="both"/>
      </w:pPr>
      <w:r>
        <w:rPr>
          <w:rFonts w:ascii="宋体" w:hAnsi="宋体" w:cs="宋体" w:eastAsia="宋体" w:hint="default"/>
        </w:rPr>
        <w:t>2</w:t>
      </w:r>
      <w:r>
        <w:rPr/>
        <w:t>、公司于</w:t>
      </w:r>
      <w:r>
        <w:rPr>
          <w:rFonts w:ascii="宋体" w:hAnsi="宋体" w:cs="宋体" w:eastAsia="宋体" w:hint="default"/>
        </w:rPr>
        <w:t>2018</w:t>
      </w:r>
      <w:r>
        <w:rPr/>
        <w:t>年</w:t>
      </w:r>
      <w:r>
        <w:rPr>
          <w:rFonts w:ascii="宋体" w:hAnsi="宋体" w:cs="宋体" w:eastAsia="宋体" w:hint="default"/>
        </w:rPr>
        <w:t>9</w:t>
      </w:r>
      <w:r>
        <w:rPr/>
        <w:t>月</w:t>
      </w:r>
      <w:r>
        <w:rPr>
          <w:rFonts w:ascii="宋体" w:hAnsi="宋体" w:cs="宋体" w:eastAsia="宋体" w:hint="default"/>
        </w:rPr>
        <w:t>20</w:t>
      </w:r>
      <w:r>
        <w:rPr/>
        <w:t>日召开第四届董事会第十九次会议审议通过了《关于回购公司股 </w:t>
      </w:r>
      <w:r>
        <w:rPr>
          <w:spacing w:val="-5"/>
        </w:rPr>
        <w:t>份的议案》，该议案已经</w:t>
      </w:r>
      <w:r>
        <w:rPr>
          <w:rFonts w:ascii="宋体" w:hAnsi="宋体" w:cs="宋体" w:eastAsia="宋体" w:hint="default"/>
          <w:spacing w:val="-5"/>
        </w:rPr>
        <w:t>2018</w:t>
      </w:r>
      <w:r>
        <w:rPr>
          <w:spacing w:val="-5"/>
        </w:rPr>
        <w:t>年</w:t>
      </w:r>
      <w:r>
        <w:rPr>
          <w:rFonts w:ascii="宋体" w:hAnsi="宋体" w:cs="宋体" w:eastAsia="宋体" w:hint="default"/>
          <w:spacing w:val="-5"/>
        </w:rPr>
        <w:t>10</w:t>
      </w:r>
      <w:r>
        <w:rPr>
          <w:spacing w:val="-5"/>
        </w:rPr>
        <w:t>月</w:t>
      </w:r>
      <w:r>
        <w:rPr>
          <w:rFonts w:ascii="宋体" w:hAnsi="宋体" w:cs="宋体" w:eastAsia="宋体" w:hint="default"/>
          <w:spacing w:val="-5"/>
        </w:rPr>
        <w:t>17</w:t>
      </w:r>
      <w:r>
        <w:rPr>
          <w:spacing w:val="-5"/>
        </w:rPr>
        <w:t>日召开的公司</w:t>
      </w:r>
      <w:r>
        <w:rPr>
          <w:rFonts w:ascii="宋体" w:hAnsi="宋体" w:cs="宋体" w:eastAsia="宋体" w:hint="default"/>
          <w:spacing w:val="-5"/>
        </w:rPr>
        <w:t>2018</w:t>
      </w:r>
      <w:r>
        <w:rPr>
          <w:spacing w:val="-5"/>
        </w:rPr>
        <w:t>年第六次临时股东大会审议通过。公</w:t>
      </w:r>
      <w:r>
        <w:rPr>
          <w:spacing w:val="-87"/>
        </w:rPr>
        <w:t> </w:t>
      </w:r>
      <w:r>
        <w:rPr>
          <w:spacing w:val="-87"/>
        </w:rPr>
      </w:r>
      <w:r>
        <w:rPr/>
        <w:t>司回购股份资金总额为人民币</w:t>
      </w:r>
      <w:r>
        <w:rPr>
          <w:rFonts w:ascii="宋体" w:hAnsi="宋体" w:cs="宋体" w:eastAsia="宋体" w:hint="default"/>
        </w:rPr>
        <w:t>2,000</w:t>
      </w:r>
      <w:r>
        <w:rPr/>
        <w:t>万元</w:t>
      </w:r>
      <w:r>
        <w:rPr>
          <w:rFonts w:ascii="宋体" w:hAnsi="宋体" w:cs="宋体" w:eastAsia="宋体" w:hint="default"/>
        </w:rPr>
        <w:t>-3,000</w:t>
      </w:r>
      <w:r>
        <w:rPr/>
        <w:t>万元，价格不超过</w:t>
      </w:r>
      <w:r>
        <w:rPr>
          <w:rFonts w:ascii="宋体" w:hAnsi="宋体" w:cs="宋体" w:eastAsia="宋体" w:hint="default"/>
        </w:rPr>
        <w:t>30</w:t>
      </w:r>
      <w:r>
        <w:rPr/>
        <w:t>元</w:t>
      </w:r>
      <w:r>
        <w:rPr>
          <w:rFonts w:ascii="宋体" w:hAnsi="宋体" w:cs="宋体" w:eastAsia="宋体" w:hint="default"/>
        </w:rPr>
        <w:t>/</w:t>
      </w:r>
      <w:r>
        <w:rPr/>
        <w:t>股，回购股份方式为</w:t>
      </w:r>
      <w:r>
        <w:rPr>
          <w:spacing w:val="-107"/>
        </w:rPr>
        <w:t> </w:t>
      </w:r>
      <w:r>
        <w:rPr/>
        <w:t>深圳证券交易所集中竞价交易方式或其他法律法规允许的方式，回购期限自股东大会审议通 过回购股份方案之日起不超过</w:t>
      </w:r>
      <w:r>
        <w:rPr>
          <w:rFonts w:ascii="宋体" w:hAnsi="宋体" w:cs="宋体" w:eastAsia="宋体" w:hint="default"/>
        </w:rPr>
        <w:t>12</w:t>
      </w:r>
      <w:r>
        <w:rPr/>
        <w:t>个月。详情请见公司于</w:t>
      </w:r>
      <w:r>
        <w:rPr>
          <w:rFonts w:ascii="宋体" w:hAnsi="宋体" w:cs="宋体" w:eastAsia="宋体" w:hint="default"/>
        </w:rPr>
        <w:t>2018</w:t>
      </w:r>
      <w:r>
        <w:rPr/>
        <w:t>年</w:t>
      </w:r>
      <w:r>
        <w:rPr>
          <w:rFonts w:ascii="宋体" w:hAnsi="宋体" w:cs="宋体" w:eastAsia="宋体" w:hint="default"/>
        </w:rPr>
        <w:t>10</w:t>
      </w:r>
      <w:r>
        <w:rPr/>
        <w:t>月</w:t>
      </w:r>
      <w:r>
        <w:rPr>
          <w:rFonts w:ascii="宋体" w:hAnsi="宋体" w:cs="宋体" w:eastAsia="宋体" w:hint="default"/>
        </w:rPr>
        <w:t>27</w:t>
      </w:r>
      <w:r>
        <w:rPr/>
        <w:t>日在巨潮资讯网上公告</w:t>
      </w:r>
    </w:p>
    <w:p>
      <w:pPr>
        <w:spacing w:after="0" w:line="312" w:lineRule="exact"/>
        <w:jc w:val="both"/>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237" w:lineRule="auto" w:before="28"/>
        <w:ind w:right="996"/>
        <w:jc w:val="left"/>
      </w:pPr>
      <w:r>
        <w:rPr>
          <w:spacing w:val="-5"/>
        </w:rPr>
        <w:t>的《关于回购公司股份的报告书》（公告编号：</w:t>
      </w:r>
      <w:r>
        <w:rPr>
          <w:rFonts w:ascii="宋体" w:hAnsi="宋体" w:cs="宋体" w:eastAsia="宋体" w:hint="default"/>
          <w:spacing w:val="-5"/>
        </w:rPr>
        <w:t>2018-115</w:t>
      </w:r>
      <w:r>
        <w:rPr>
          <w:spacing w:val="-5"/>
        </w:rPr>
        <w:t>）。截止</w:t>
      </w:r>
      <w:r>
        <w:rPr>
          <w:rFonts w:ascii="宋体" w:hAnsi="宋体" w:cs="宋体" w:eastAsia="宋体" w:hint="default"/>
          <w:spacing w:val="-5"/>
        </w:rPr>
        <w:t>2018</w:t>
      </w:r>
      <w:r>
        <w:rPr>
          <w:spacing w:val="-5"/>
        </w:rPr>
        <w:t>年</w:t>
      </w:r>
      <w:r>
        <w:rPr>
          <w:rFonts w:ascii="宋体" w:hAnsi="宋体" w:cs="宋体" w:eastAsia="宋体" w:hint="default"/>
          <w:spacing w:val="-5"/>
        </w:rPr>
        <w:t>12</w:t>
      </w:r>
      <w:r>
        <w:rPr>
          <w:spacing w:val="-5"/>
        </w:rPr>
        <w:t>月</w:t>
      </w:r>
      <w:r>
        <w:rPr>
          <w:rFonts w:ascii="宋体" w:hAnsi="宋体" w:cs="宋体" w:eastAsia="宋体" w:hint="default"/>
          <w:spacing w:val="-5"/>
        </w:rPr>
        <w:t>31</w:t>
      </w:r>
      <w:r>
        <w:rPr>
          <w:spacing w:val="-5"/>
        </w:rPr>
        <w:t>日，公司累计</w:t>
      </w:r>
      <w:r>
        <w:rPr>
          <w:spacing w:val="-103"/>
        </w:rPr>
        <w:t> </w:t>
      </w:r>
      <w:r>
        <w:rPr>
          <w:spacing w:val="-103"/>
        </w:rPr>
      </w:r>
      <w:r>
        <w:rPr>
          <w:spacing w:val="3"/>
        </w:rPr>
        <w:t>通过股票回购专用证券账户以集中竞价交易方式回购公司股份</w:t>
      </w:r>
      <w:r>
        <w:rPr>
          <w:rFonts w:ascii="宋体" w:hAnsi="宋体" w:cs="宋体" w:eastAsia="宋体" w:hint="default"/>
          <w:spacing w:val="3"/>
        </w:rPr>
        <w:t>325,380</w:t>
      </w:r>
      <w:r>
        <w:rPr>
          <w:spacing w:val="3"/>
        </w:rPr>
        <w:t>股，支付的总金额为</w:t>
      </w:r>
      <w:r>
        <w:rPr>
          <w:spacing w:val="-111"/>
        </w:rPr>
        <w:t> </w:t>
      </w:r>
      <w:r>
        <w:rPr>
          <w:spacing w:val="-111"/>
        </w:rPr>
      </w:r>
      <w:r>
        <w:rPr>
          <w:rFonts w:ascii="宋体" w:hAnsi="宋体" w:cs="宋体" w:eastAsia="宋体" w:hint="default"/>
          <w:spacing w:val="-4"/>
        </w:rPr>
        <w:t>6,462,926.40</w:t>
      </w:r>
      <w:r>
        <w:rPr>
          <w:spacing w:val="-4"/>
        </w:rPr>
        <w:t>元（不含交易费用）；本次回购的股份数量占公司目前总股本的比例为</w:t>
      </w:r>
      <w:r>
        <w:rPr>
          <w:rFonts w:ascii="宋体" w:hAnsi="宋体" w:cs="宋体" w:eastAsia="宋体" w:hint="default"/>
          <w:spacing w:val="-4"/>
        </w:rPr>
        <w:t>0.2667%</w:t>
      </w:r>
      <w:r>
        <w:rPr>
          <w:spacing w:val="-4"/>
        </w:rPr>
        <w:t>，</w:t>
      </w:r>
      <w:r>
        <w:rPr>
          <w:spacing w:val="-118"/>
        </w:rPr>
        <w:t> </w:t>
      </w:r>
      <w:r>
        <w:rPr/>
        <w:t>最高成交价为</w:t>
      </w:r>
      <w:r>
        <w:rPr>
          <w:rFonts w:ascii="宋体" w:hAnsi="宋体" w:cs="宋体" w:eastAsia="宋体" w:hint="default"/>
        </w:rPr>
        <w:t>19.99</w:t>
      </w:r>
      <w:r>
        <w:rPr/>
        <w:t>元</w:t>
      </w:r>
      <w:r>
        <w:rPr>
          <w:rFonts w:ascii="宋体" w:hAnsi="宋体" w:cs="宋体" w:eastAsia="宋体" w:hint="default"/>
        </w:rPr>
        <w:t>/</w:t>
      </w:r>
      <w:r>
        <w:rPr/>
        <w:t>股，最低成交价为</w:t>
      </w:r>
      <w:r>
        <w:rPr>
          <w:rFonts w:ascii="宋体" w:hAnsi="宋体" w:cs="宋体" w:eastAsia="宋体" w:hint="default"/>
        </w:rPr>
        <w:t>19.60</w:t>
      </w:r>
      <w:r>
        <w:rPr/>
        <w:t>元</w:t>
      </w:r>
      <w:r>
        <w:rPr>
          <w:rFonts w:ascii="宋体" w:hAnsi="宋体" w:cs="宋体" w:eastAsia="宋体" w:hint="default"/>
        </w:rPr>
        <w:t>/</w:t>
      </w:r>
      <w:r>
        <w:rPr/>
        <w:t>股。</w:t>
      </w:r>
    </w:p>
    <w:p>
      <w:pPr>
        <w:spacing w:before="88"/>
        <w:ind w:left="114" w:right="0" w:firstLine="0"/>
        <w:jc w:val="left"/>
        <w:rPr>
          <w:rFonts w:ascii="宋体" w:hAnsi="宋体" w:cs="宋体" w:eastAsia="宋体" w:hint="default"/>
          <w:sz w:val="18"/>
          <w:szCs w:val="18"/>
        </w:rPr>
      </w:pPr>
      <w:r>
        <w:rPr>
          <w:rFonts w:ascii="宋体" w:hAnsi="宋体" w:cs="宋体" w:eastAsia="宋体" w:hint="default"/>
          <w:sz w:val="18"/>
          <w:szCs w:val="18"/>
        </w:rPr>
        <w:t>采用集中竞价方式减持回购股份的实施进展情况</w:t>
      </w:r>
    </w:p>
    <w:p>
      <w:pPr>
        <w:spacing w:before="117"/>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pStyle w:val="BodyText"/>
        <w:spacing w:line="312" w:lineRule="exact" w:before="96"/>
        <w:ind w:right="1010" w:firstLine="480"/>
        <w:jc w:val="left"/>
      </w:pPr>
      <w:r>
        <w:rPr/>
        <w:t>公司于</w:t>
      </w:r>
      <w:r>
        <w:rPr>
          <w:rFonts w:ascii="宋体" w:hAnsi="宋体" w:cs="宋体" w:eastAsia="宋体" w:hint="default"/>
        </w:rPr>
        <w:t>2018</w:t>
      </w:r>
      <w:r>
        <w:rPr/>
        <w:t>年</w:t>
      </w:r>
      <w:r>
        <w:rPr>
          <w:rFonts w:ascii="宋体" w:hAnsi="宋体" w:cs="宋体" w:eastAsia="宋体" w:hint="default"/>
        </w:rPr>
        <w:t>9</w:t>
      </w:r>
      <w:r>
        <w:rPr/>
        <w:t>月</w:t>
      </w:r>
      <w:r>
        <w:rPr>
          <w:rFonts w:ascii="宋体" w:hAnsi="宋体" w:cs="宋体" w:eastAsia="宋体" w:hint="default"/>
        </w:rPr>
        <w:t>20</w:t>
      </w:r>
      <w:r>
        <w:rPr/>
        <w:t>日召开第四届董事会第十九次会议审议通过了《关于回购公司股份的 </w:t>
      </w:r>
      <w:r>
        <w:rPr>
          <w:spacing w:val="-5"/>
        </w:rPr>
        <w:t>议案》，该议案已经</w:t>
      </w:r>
      <w:r>
        <w:rPr>
          <w:rFonts w:ascii="宋体" w:hAnsi="宋体" w:cs="宋体" w:eastAsia="宋体" w:hint="default"/>
          <w:spacing w:val="-5"/>
        </w:rPr>
        <w:t>2018</w:t>
      </w:r>
      <w:r>
        <w:rPr>
          <w:spacing w:val="-5"/>
        </w:rPr>
        <w:t>年</w:t>
      </w:r>
      <w:r>
        <w:rPr>
          <w:rFonts w:ascii="宋体" w:hAnsi="宋体" w:cs="宋体" w:eastAsia="宋体" w:hint="default"/>
          <w:spacing w:val="-5"/>
        </w:rPr>
        <w:t>10</w:t>
      </w:r>
      <w:r>
        <w:rPr>
          <w:spacing w:val="-5"/>
        </w:rPr>
        <w:t>月</w:t>
      </w:r>
      <w:r>
        <w:rPr>
          <w:rFonts w:ascii="宋体" w:hAnsi="宋体" w:cs="宋体" w:eastAsia="宋体" w:hint="default"/>
          <w:spacing w:val="-5"/>
        </w:rPr>
        <w:t>17</w:t>
      </w:r>
      <w:r>
        <w:rPr>
          <w:spacing w:val="-5"/>
        </w:rPr>
        <w:t>日召开的公司</w:t>
      </w:r>
      <w:r>
        <w:rPr>
          <w:rFonts w:ascii="宋体" w:hAnsi="宋体" w:cs="宋体" w:eastAsia="宋体" w:hint="default"/>
          <w:spacing w:val="-5"/>
        </w:rPr>
        <w:t>2018</w:t>
      </w:r>
      <w:r>
        <w:rPr>
          <w:spacing w:val="-5"/>
        </w:rPr>
        <w:t>年第六次临时股东大会审议通过。公司回</w:t>
      </w:r>
      <w:r>
        <w:rPr>
          <w:spacing w:val="-87"/>
        </w:rPr>
        <w:t> </w:t>
      </w:r>
      <w:r>
        <w:rPr>
          <w:spacing w:val="-87"/>
        </w:rPr>
      </w:r>
      <w:r>
        <w:rPr/>
        <w:t>购股份资金总额为人民币</w:t>
      </w:r>
      <w:r>
        <w:rPr>
          <w:rFonts w:ascii="宋体" w:hAnsi="宋体" w:cs="宋体" w:eastAsia="宋体" w:hint="default"/>
        </w:rPr>
        <w:t>2,000</w:t>
      </w:r>
      <w:r>
        <w:rPr/>
        <w:t>万元</w:t>
      </w:r>
      <w:r>
        <w:rPr>
          <w:rFonts w:ascii="宋体" w:hAnsi="宋体" w:cs="宋体" w:eastAsia="宋体" w:hint="default"/>
        </w:rPr>
        <w:t>-3,000</w:t>
      </w:r>
      <w:r>
        <w:rPr/>
        <w:t>万元，价格不超过</w:t>
      </w:r>
      <w:r>
        <w:rPr>
          <w:rFonts w:ascii="宋体" w:hAnsi="宋体" w:cs="宋体" w:eastAsia="宋体" w:hint="default"/>
        </w:rPr>
        <w:t>30</w:t>
      </w:r>
      <w:r>
        <w:rPr/>
        <w:t>元</w:t>
      </w:r>
      <w:r>
        <w:rPr>
          <w:rFonts w:ascii="宋体" w:hAnsi="宋体" w:cs="宋体" w:eastAsia="宋体" w:hint="default"/>
        </w:rPr>
        <w:t>/</w:t>
      </w:r>
      <w:r>
        <w:rPr/>
        <w:t>股，回购股份方式为深圳 证券交易所集中竞价交易方式或其他法律法规允许的方式，回购期限自股东大会审议通过回 </w:t>
      </w:r>
      <w:r>
        <w:rPr>
          <w:spacing w:val="-5"/>
        </w:rPr>
        <w:t>购股份方案之日起不超过</w:t>
      </w:r>
      <w:r>
        <w:rPr>
          <w:rFonts w:ascii="宋体" w:hAnsi="宋体" w:cs="宋体" w:eastAsia="宋体" w:hint="default"/>
          <w:spacing w:val="-5"/>
        </w:rPr>
        <w:t>12</w:t>
      </w:r>
      <w:r>
        <w:rPr>
          <w:spacing w:val="-5"/>
        </w:rPr>
        <w:t>个月。详情请见公司于</w:t>
      </w:r>
      <w:r>
        <w:rPr>
          <w:rFonts w:ascii="宋体" w:hAnsi="宋体" w:cs="宋体" w:eastAsia="宋体" w:hint="default"/>
          <w:spacing w:val="-5"/>
        </w:rPr>
        <w:t>2018</w:t>
      </w:r>
      <w:r>
        <w:rPr>
          <w:spacing w:val="-5"/>
        </w:rPr>
        <w:t>年</w:t>
      </w:r>
      <w:r>
        <w:rPr>
          <w:rFonts w:ascii="宋体" w:hAnsi="宋体" w:cs="宋体" w:eastAsia="宋体" w:hint="default"/>
          <w:spacing w:val="-5"/>
        </w:rPr>
        <w:t>10</w:t>
      </w:r>
      <w:r>
        <w:rPr>
          <w:spacing w:val="-5"/>
        </w:rPr>
        <w:t>月</w:t>
      </w:r>
      <w:r>
        <w:rPr>
          <w:rFonts w:ascii="宋体" w:hAnsi="宋体" w:cs="宋体" w:eastAsia="宋体" w:hint="default"/>
          <w:spacing w:val="-5"/>
        </w:rPr>
        <w:t>27</w:t>
      </w:r>
      <w:r>
        <w:rPr>
          <w:spacing w:val="-5"/>
        </w:rPr>
        <w:t>日在巨潮资讯网上公告的《关</w:t>
      </w:r>
      <w:r>
        <w:rPr>
          <w:spacing w:val="-92"/>
        </w:rPr>
        <w:t> </w:t>
      </w:r>
      <w:r>
        <w:rPr>
          <w:spacing w:val="-92"/>
        </w:rPr>
      </w:r>
      <w:r>
        <w:rPr>
          <w:spacing w:val="-5"/>
        </w:rPr>
        <w:t>于回购公司股份的报告书》（公告编号：</w:t>
      </w:r>
      <w:r>
        <w:rPr>
          <w:rFonts w:ascii="宋体" w:hAnsi="宋体" w:cs="宋体" w:eastAsia="宋体" w:hint="default"/>
          <w:spacing w:val="-5"/>
        </w:rPr>
        <w:t>2018-115</w:t>
      </w:r>
      <w:r>
        <w:rPr>
          <w:spacing w:val="-5"/>
        </w:rPr>
        <w:t>）。截止</w:t>
      </w:r>
      <w:r>
        <w:rPr>
          <w:rFonts w:ascii="宋体" w:hAnsi="宋体" w:cs="宋体" w:eastAsia="宋体" w:hint="default"/>
          <w:spacing w:val="-5"/>
        </w:rPr>
        <w:t>2018</w:t>
      </w:r>
      <w:r>
        <w:rPr>
          <w:spacing w:val="-5"/>
        </w:rPr>
        <w:t>年</w:t>
      </w:r>
      <w:r>
        <w:rPr>
          <w:rFonts w:ascii="宋体" w:hAnsi="宋体" w:cs="宋体" w:eastAsia="宋体" w:hint="default"/>
          <w:spacing w:val="-5"/>
        </w:rPr>
        <w:t>12</w:t>
      </w:r>
      <w:r>
        <w:rPr>
          <w:spacing w:val="-5"/>
        </w:rPr>
        <w:t>月</w:t>
      </w:r>
      <w:r>
        <w:rPr>
          <w:rFonts w:ascii="宋体" w:hAnsi="宋体" w:cs="宋体" w:eastAsia="宋体" w:hint="default"/>
          <w:spacing w:val="-5"/>
        </w:rPr>
        <w:t>31</w:t>
      </w:r>
      <w:r>
        <w:rPr>
          <w:spacing w:val="-5"/>
        </w:rPr>
        <w:t>日，公司累计通过股</w:t>
      </w:r>
      <w:r>
        <w:rPr>
          <w:spacing w:val="-115"/>
        </w:rPr>
        <w:t> </w:t>
      </w:r>
      <w:r>
        <w:rPr/>
        <w:t>票回购专用证券账户以集中竞价交易方式回购公司股份</w:t>
      </w:r>
      <w:r>
        <w:rPr>
          <w:rFonts w:ascii="宋体" w:hAnsi="宋体" w:cs="宋体" w:eastAsia="宋体" w:hint="default"/>
        </w:rPr>
        <w:t>325,380</w:t>
      </w:r>
      <w:r>
        <w:rPr/>
        <w:t>股，支付的总金额为 </w:t>
      </w:r>
      <w:r>
        <w:rPr>
          <w:rFonts w:ascii="宋体" w:hAnsi="宋体" w:cs="宋体" w:eastAsia="宋体" w:hint="default"/>
          <w:spacing w:val="-4"/>
        </w:rPr>
        <w:t>6,462,926.40</w:t>
      </w:r>
      <w:r>
        <w:rPr>
          <w:spacing w:val="-4"/>
        </w:rPr>
        <w:t>元（不含交易费用）；本次回购的股份数量占公司目前总股本的比例为</w:t>
      </w:r>
      <w:r>
        <w:rPr>
          <w:rFonts w:ascii="宋体" w:hAnsi="宋体" w:cs="宋体" w:eastAsia="宋体" w:hint="default"/>
          <w:spacing w:val="-4"/>
        </w:rPr>
        <w:t>0.2667%</w:t>
      </w:r>
      <w:r>
        <w:rPr>
          <w:spacing w:val="-4"/>
        </w:rPr>
        <w:t>，</w:t>
      </w:r>
      <w:r>
        <w:rPr>
          <w:spacing w:val="-118"/>
        </w:rPr>
        <w:t> </w:t>
      </w:r>
      <w:r>
        <w:rPr/>
        <w:t>最高成交价为</w:t>
      </w:r>
      <w:r>
        <w:rPr>
          <w:rFonts w:ascii="宋体" w:hAnsi="宋体" w:cs="宋体" w:eastAsia="宋体" w:hint="default"/>
        </w:rPr>
        <w:t>19.99</w:t>
      </w:r>
      <w:r>
        <w:rPr/>
        <w:t>元</w:t>
      </w:r>
      <w:r>
        <w:rPr>
          <w:rFonts w:ascii="宋体" w:hAnsi="宋体" w:cs="宋体" w:eastAsia="宋体" w:hint="default"/>
        </w:rPr>
        <w:t>/</w:t>
      </w:r>
      <w:r>
        <w:rPr/>
        <w:t>股，最低成交价为</w:t>
      </w:r>
      <w:r>
        <w:rPr>
          <w:rFonts w:ascii="宋体" w:hAnsi="宋体" w:cs="宋体" w:eastAsia="宋体" w:hint="default"/>
        </w:rPr>
        <w:t>19.60</w:t>
      </w:r>
      <w:r>
        <w:rPr/>
        <w:t>元</w:t>
      </w:r>
      <w:r>
        <w:rPr>
          <w:rFonts w:ascii="宋体" w:hAnsi="宋体" w:cs="宋体" w:eastAsia="宋体" w:hint="default"/>
        </w:rPr>
        <w:t>/</w:t>
      </w:r>
      <w:r>
        <w:rPr/>
        <w:t>股。</w:t>
      </w:r>
    </w:p>
    <w:p>
      <w:pPr>
        <w:spacing w:before="59"/>
        <w:ind w:left="114" w:right="0" w:firstLine="0"/>
        <w:jc w:val="left"/>
        <w:rPr>
          <w:rFonts w:ascii="宋体" w:hAnsi="宋体" w:cs="宋体" w:eastAsia="宋体" w:hint="default"/>
          <w:sz w:val="18"/>
          <w:szCs w:val="18"/>
        </w:rPr>
      </w:pPr>
      <w:r>
        <w:rPr>
          <w:rFonts w:ascii="宋体" w:hAnsi="宋体" w:cs="宋体" w:eastAsia="宋体" w:hint="default"/>
          <w:sz w:val="18"/>
          <w:szCs w:val="18"/>
        </w:rPr>
        <w:t>股份变动对最近一年和最近一期基本每股收益和稀释每股收益、归属于公司普通股股东的每股净资产等财务指标的影响</w:t>
      </w:r>
    </w:p>
    <w:p>
      <w:pPr>
        <w:spacing w:before="117"/>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pStyle w:val="BodyText"/>
        <w:spacing w:line="313" w:lineRule="exact" w:before="65"/>
        <w:ind w:left="594" w:right="0"/>
        <w:jc w:val="left"/>
      </w:pP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16</w:t>
      </w:r>
      <w:r>
        <w:rPr/>
        <w:t>日，公司第四届董事会第十次会议和第四届监事会第七次会议审议通过了</w:t>
      </w:r>
    </w:p>
    <w:p>
      <w:pPr>
        <w:pStyle w:val="BodyText"/>
        <w:spacing w:line="237" w:lineRule="auto" w:before="1"/>
        <w:ind w:right="1130"/>
        <w:jc w:val="both"/>
        <w:rPr>
          <w:rFonts w:ascii="MS Gothic" w:hAnsi="MS Gothic" w:cs="MS Gothic" w:eastAsia="MS Gothic" w:hint="default"/>
          <w:sz w:val="18"/>
          <w:szCs w:val="18"/>
        </w:rPr>
      </w:pPr>
      <w:r>
        <w:rPr>
          <w:spacing w:val="-5"/>
        </w:rPr>
        <w:t>《关于回购注销部分限制性股票的议案》；公司于</w:t>
      </w:r>
      <w:r>
        <w:rPr>
          <w:rFonts w:ascii="宋体" w:hAnsi="宋体" w:cs="宋体" w:eastAsia="宋体" w:hint="default"/>
          <w:spacing w:val="-5"/>
        </w:rPr>
        <w:t>2018</w:t>
      </w:r>
      <w:r>
        <w:rPr>
          <w:spacing w:val="-5"/>
        </w:rPr>
        <w:t>年</w:t>
      </w:r>
      <w:r>
        <w:rPr>
          <w:rFonts w:ascii="宋体" w:hAnsi="宋体" w:cs="宋体" w:eastAsia="宋体" w:hint="default"/>
          <w:spacing w:val="-5"/>
        </w:rPr>
        <w:t>5</w:t>
      </w:r>
      <w:r>
        <w:rPr>
          <w:spacing w:val="-5"/>
        </w:rPr>
        <w:t>月</w:t>
      </w:r>
      <w:r>
        <w:rPr>
          <w:rFonts w:ascii="宋体" w:hAnsi="宋体" w:cs="宋体" w:eastAsia="宋体" w:hint="default"/>
          <w:spacing w:val="-5"/>
        </w:rPr>
        <w:t>8</w:t>
      </w:r>
      <w:r>
        <w:rPr>
          <w:spacing w:val="-5"/>
        </w:rPr>
        <w:t>日召开</w:t>
      </w:r>
      <w:r>
        <w:rPr>
          <w:rFonts w:ascii="宋体" w:hAnsi="宋体" w:cs="宋体" w:eastAsia="宋体" w:hint="default"/>
          <w:spacing w:val="-5"/>
        </w:rPr>
        <w:t>2017</w:t>
      </w:r>
      <w:r>
        <w:rPr>
          <w:spacing w:val="-5"/>
        </w:rPr>
        <w:t>年年度股东大会审议</w:t>
      </w:r>
      <w:r>
        <w:rPr>
          <w:spacing w:val="-92"/>
        </w:rPr>
        <w:t> </w:t>
      </w:r>
      <w:r>
        <w:rPr>
          <w:spacing w:val="-3"/>
        </w:rPr>
        <w:t>并通过《关于回购注销部分限制性股票的议案》。并已于</w:t>
      </w:r>
      <w:r>
        <w:rPr>
          <w:rFonts w:ascii="宋体" w:hAnsi="宋体" w:cs="宋体" w:eastAsia="宋体" w:hint="default"/>
          <w:spacing w:val="-3"/>
        </w:rPr>
        <w:t>2018</w:t>
      </w:r>
      <w:r>
        <w:rPr>
          <w:spacing w:val="-3"/>
        </w:rPr>
        <w:t>年</w:t>
      </w:r>
      <w:r>
        <w:rPr>
          <w:rFonts w:ascii="宋体" w:hAnsi="宋体" w:cs="宋体" w:eastAsia="宋体" w:hint="default"/>
          <w:spacing w:val="-3"/>
        </w:rPr>
        <w:t>6</w:t>
      </w:r>
      <w:r>
        <w:rPr>
          <w:spacing w:val="-3"/>
        </w:rPr>
        <w:t>月</w:t>
      </w:r>
      <w:r>
        <w:rPr>
          <w:rFonts w:ascii="宋体" w:hAnsi="宋体" w:cs="宋体" w:eastAsia="宋体" w:hint="default"/>
          <w:spacing w:val="-3"/>
        </w:rPr>
        <w:t>22</w:t>
      </w:r>
      <w:r>
        <w:rPr>
          <w:spacing w:val="-3"/>
        </w:rPr>
        <w:t>日在中国证券登记结算</w:t>
      </w:r>
      <w:r>
        <w:rPr>
          <w:spacing w:val="-108"/>
        </w:rPr>
        <w:t> </w:t>
      </w:r>
      <w:r>
        <w:rPr/>
        <w:t>有限责任公司深圳分公司完成回购注销。同时于</w:t>
      </w:r>
      <w:r>
        <w:rPr>
          <w:rFonts w:ascii="宋体" w:hAnsi="宋体" w:cs="宋体" w:eastAsia="宋体" w:hint="default"/>
        </w:rPr>
        <w:t>2018</w:t>
      </w:r>
      <w:r>
        <w:rPr/>
        <w:t>年</w:t>
      </w:r>
      <w:r>
        <w:rPr>
          <w:rFonts w:ascii="宋体" w:hAnsi="宋体" w:cs="宋体" w:eastAsia="宋体" w:hint="default"/>
        </w:rPr>
        <w:t>5</w:t>
      </w:r>
      <w:r>
        <w:rPr/>
        <w:t>月</w:t>
      </w:r>
      <w:r>
        <w:rPr>
          <w:rFonts w:ascii="宋体" w:hAnsi="宋体" w:cs="宋体" w:eastAsia="宋体" w:hint="default"/>
        </w:rPr>
        <w:t>8</w:t>
      </w:r>
      <w:r>
        <w:rPr/>
        <w:t>日公司召开</w:t>
      </w:r>
      <w:r>
        <w:rPr>
          <w:rFonts w:ascii="宋体" w:hAnsi="宋体" w:cs="宋体" w:eastAsia="宋体" w:hint="default"/>
        </w:rPr>
        <w:t>2017</w:t>
      </w:r>
      <w:r>
        <w:rPr/>
        <w:t>年度股东大会， </w:t>
      </w:r>
      <w:r>
        <w:rPr>
          <w:spacing w:val="-2"/>
        </w:rPr>
        <w:t>通过利润分配方案向全体股东以资本公司每</w:t>
      </w:r>
      <w:r>
        <w:rPr>
          <w:rFonts w:ascii="宋体" w:hAnsi="宋体" w:cs="宋体" w:eastAsia="宋体" w:hint="default"/>
          <w:spacing w:val="-2"/>
        </w:rPr>
        <w:t>10</w:t>
      </w:r>
      <w:r>
        <w:rPr>
          <w:spacing w:val="-2"/>
        </w:rPr>
        <w:t>股转增</w:t>
      </w:r>
      <w:r>
        <w:rPr>
          <w:rFonts w:ascii="宋体" w:hAnsi="宋体" w:cs="宋体" w:eastAsia="宋体" w:hint="default"/>
          <w:spacing w:val="-2"/>
        </w:rPr>
        <w:t>8</w:t>
      </w:r>
      <w:r>
        <w:rPr>
          <w:spacing w:val="-2"/>
        </w:rPr>
        <w:t>股，由于股本增加，导致公司的基本每</w:t>
      </w:r>
      <w:r>
        <w:rPr>
          <w:spacing w:val="-118"/>
        </w:rPr>
        <w:t> </w:t>
      </w:r>
      <w:r>
        <w:rPr>
          <w:spacing w:val="-118"/>
        </w:rPr>
      </w:r>
      <w:r>
        <w:rPr/>
        <w:t>股收益和稀释每股收益降低</w:t>
      </w:r>
      <w:r>
        <w:rPr>
          <w:rFonts w:ascii="MS Gothic" w:hAnsi="MS Gothic" w:cs="MS Gothic" w:eastAsia="MS Gothic" w:hint="default"/>
          <w:sz w:val="18"/>
          <w:szCs w:val="18"/>
        </w:rPr>
        <w:t>｡</w:t>
      </w:r>
    </w:p>
    <w:p>
      <w:pPr>
        <w:spacing w:before="88"/>
        <w:ind w:left="114" w:right="0" w:firstLine="0"/>
        <w:jc w:val="left"/>
        <w:rPr>
          <w:rFonts w:ascii="宋体" w:hAnsi="宋体" w:cs="宋体" w:eastAsia="宋体" w:hint="default"/>
          <w:sz w:val="18"/>
          <w:szCs w:val="18"/>
        </w:rPr>
      </w:pPr>
      <w:r>
        <w:rPr>
          <w:rFonts w:ascii="宋体" w:hAnsi="宋体" w:cs="宋体" w:eastAsia="宋体" w:hint="default"/>
          <w:sz w:val="18"/>
          <w:szCs w:val="18"/>
        </w:rPr>
        <w:t>公司认为必要或证券监管机构要求披露的其他内容</w:t>
      </w:r>
    </w:p>
    <w:p>
      <w:pPr>
        <w:spacing w:before="117"/>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pStyle w:val="BodyText"/>
        <w:spacing w:line="312" w:lineRule="exact" w:before="96"/>
        <w:ind w:right="1114" w:firstLine="480"/>
        <w:jc w:val="left"/>
      </w:pPr>
      <w:r>
        <w:rPr>
          <w:rFonts w:ascii="宋体" w:hAnsi="宋体" w:cs="宋体" w:eastAsia="宋体" w:hint="default"/>
        </w:rPr>
        <w:t>1</w:t>
      </w:r>
      <w:r>
        <w:rPr/>
        <w:t>、公司于</w:t>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16</w:t>
      </w:r>
      <w:r>
        <w:rPr/>
        <w:t>日召开第四届董事会第十次会议和第四届监事会第七次会议，审 </w:t>
      </w:r>
      <w:r>
        <w:rPr>
          <w:spacing w:val="-5"/>
        </w:rPr>
        <w:t>议通过了《关于回购注销部分限制性股票的议案》，根据公司《限制性股票激励计划》以及法</w:t>
      </w:r>
      <w:r>
        <w:rPr/>
        <w:t> 律、法规的相关规定，公司</w:t>
      </w:r>
      <w:r>
        <w:rPr>
          <w:rFonts w:ascii="宋体" w:hAnsi="宋体" w:cs="宋体" w:eastAsia="宋体" w:hint="default"/>
        </w:rPr>
        <w:t>2017</w:t>
      </w:r>
      <w:r>
        <w:rPr/>
        <w:t>年度业绩未达到限制性股票激励计划第二期的解锁条件，经 </w:t>
      </w:r>
      <w:r>
        <w:rPr>
          <w:spacing w:val="-2"/>
        </w:rPr>
        <w:t>审慎论证后公司董事会决定对当期限制性股票进行回购注销。另有</w:t>
      </w:r>
      <w:r>
        <w:rPr>
          <w:rFonts w:ascii="宋体" w:hAnsi="宋体" w:cs="宋体" w:eastAsia="宋体" w:hint="default"/>
          <w:spacing w:val="-2"/>
        </w:rPr>
        <w:t>8</w:t>
      </w:r>
      <w:r>
        <w:rPr>
          <w:spacing w:val="-2"/>
        </w:rPr>
        <w:t>名员工因离职不具备获得</w:t>
      </w:r>
      <w:r>
        <w:rPr/>
        <w:t> 限制性股票的权利故回购其所持的全部限制性股票，此次回购的限制性股票数量为</w:t>
      </w:r>
      <w:r>
        <w:rPr>
          <w:rFonts w:ascii="宋体" w:hAnsi="宋体" w:cs="宋体" w:eastAsia="宋体" w:hint="default"/>
        </w:rPr>
        <w:t>525,600 </w:t>
      </w:r>
      <w:r>
        <w:rPr/>
        <w:t>股，回购价格为</w:t>
      </w:r>
      <w:r>
        <w:rPr>
          <w:rFonts w:ascii="宋体" w:hAnsi="宋体" w:cs="宋体" w:eastAsia="宋体" w:hint="default"/>
        </w:rPr>
        <w:t>55.68</w:t>
      </w:r>
      <w:r>
        <w:rPr/>
        <w:t>元</w:t>
      </w:r>
      <w:r>
        <w:rPr>
          <w:rFonts w:ascii="宋体" w:hAnsi="宋体" w:cs="宋体" w:eastAsia="宋体" w:hint="default"/>
        </w:rPr>
        <w:t>/</w:t>
      </w:r>
      <w:r>
        <w:rPr/>
        <w:t>股，公司独立董事对此发表了独立意见。回购注销处理后公司总股 本将由</w:t>
      </w:r>
      <w:r>
        <w:rPr>
          <w:rFonts w:ascii="宋体" w:hAnsi="宋体" w:cs="宋体" w:eastAsia="宋体" w:hint="default"/>
        </w:rPr>
        <w:t>68,300,000</w:t>
      </w:r>
      <w:r>
        <w:rPr/>
        <w:t>股变更为 </w:t>
      </w:r>
      <w:r>
        <w:rPr>
          <w:rFonts w:ascii="宋体" w:hAnsi="宋体" w:cs="宋体" w:eastAsia="宋体" w:hint="default"/>
        </w:rPr>
        <w:t>67,774,000</w:t>
      </w:r>
      <w:r>
        <w:rPr/>
        <w:t>股，并于</w:t>
      </w:r>
      <w:r>
        <w:rPr>
          <w:rFonts w:ascii="宋体" w:hAnsi="宋体" w:cs="宋体" w:eastAsia="宋体" w:hint="default"/>
        </w:rPr>
        <w:t>2018</w:t>
      </w:r>
      <w:r>
        <w:rPr/>
        <w:t>年</w:t>
      </w:r>
      <w:r>
        <w:rPr>
          <w:rFonts w:ascii="宋体" w:hAnsi="宋体" w:cs="宋体" w:eastAsia="宋体" w:hint="default"/>
        </w:rPr>
        <w:t>6</w:t>
      </w:r>
      <w:r>
        <w:rPr/>
        <w:t>月</w:t>
      </w:r>
      <w:r>
        <w:rPr>
          <w:rFonts w:ascii="宋体" w:hAnsi="宋体" w:cs="宋体" w:eastAsia="宋体" w:hint="default"/>
        </w:rPr>
        <w:t>22</w:t>
      </w:r>
      <w:r>
        <w:rPr/>
        <w:t>日完成注销。</w:t>
      </w:r>
    </w:p>
    <w:p>
      <w:pPr>
        <w:pStyle w:val="BodyText"/>
        <w:spacing w:line="237" w:lineRule="auto" w:before="13"/>
        <w:ind w:right="994" w:firstLine="480"/>
        <w:jc w:val="left"/>
      </w:pPr>
      <w:r>
        <w:rPr>
          <w:rFonts w:ascii="宋体" w:hAnsi="宋体" w:cs="宋体" w:eastAsia="宋体" w:hint="default"/>
        </w:rPr>
        <w:t>2</w:t>
      </w:r>
      <w:r>
        <w:rPr/>
        <w:t>、公司于</w:t>
      </w:r>
      <w:r>
        <w:rPr>
          <w:rFonts w:ascii="宋体" w:hAnsi="宋体" w:cs="宋体" w:eastAsia="宋体" w:hint="default"/>
        </w:rPr>
        <w:t>2018</w:t>
      </w:r>
      <w:r>
        <w:rPr/>
        <w:t>年</w:t>
      </w:r>
      <w:r>
        <w:rPr>
          <w:rFonts w:ascii="宋体" w:hAnsi="宋体" w:cs="宋体" w:eastAsia="宋体" w:hint="default"/>
        </w:rPr>
        <w:t>4</w:t>
      </w:r>
      <w:r>
        <w:rPr/>
        <w:t>月</w:t>
      </w:r>
      <w:r>
        <w:rPr>
          <w:rFonts w:ascii="宋体" w:hAnsi="宋体" w:cs="宋体" w:eastAsia="宋体" w:hint="default"/>
        </w:rPr>
        <w:t>16</w:t>
      </w:r>
      <w:r>
        <w:rPr/>
        <w:t>日召开第四届董事会第十次会议和第四届监事会第七次会议，审 </w:t>
      </w:r>
      <w:r>
        <w:rPr>
          <w:spacing w:val="-7"/>
        </w:rPr>
        <w:t>议通过了《关于公司</w:t>
      </w:r>
      <w:r>
        <w:rPr>
          <w:rFonts w:ascii="宋体" w:hAnsi="宋体" w:cs="宋体" w:eastAsia="宋体" w:hint="default"/>
          <w:spacing w:val="-7"/>
        </w:rPr>
        <w:t>2017</w:t>
      </w:r>
      <w:r>
        <w:rPr>
          <w:spacing w:val="-7"/>
        </w:rPr>
        <w:t>年度利润分配方案的议案》，并经公司</w:t>
      </w:r>
      <w:r>
        <w:rPr>
          <w:rFonts w:ascii="宋体" w:hAnsi="宋体" w:cs="宋体" w:eastAsia="宋体" w:hint="default"/>
          <w:spacing w:val="-7"/>
        </w:rPr>
        <w:t>2017</w:t>
      </w:r>
      <w:r>
        <w:rPr>
          <w:spacing w:val="-7"/>
        </w:rPr>
        <w:t>年年度股东大会审议通过，</w:t>
      </w:r>
      <w:r>
        <w:rPr/>
        <w:t> </w:t>
      </w:r>
      <w:r>
        <w:rPr>
          <w:spacing w:val="2"/>
        </w:rPr>
        <w:t>公司以</w:t>
      </w:r>
      <w:r>
        <w:rPr>
          <w:rFonts w:ascii="宋体" w:hAnsi="宋体" w:cs="宋体" w:eastAsia="宋体" w:hint="default"/>
          <w:spacing w:val="2"/>
        </w:rPr>
        <w:t>2017</w:t>
      </w:r>
      <w:r>
        <w:rPr>
          <w:spacing w:val="2"/>
        </w:rPr>
        <w:t>年末总股本</w:t>
      </w:r>
      <w:r>
        <w:rPr>
          <w:rFonts w:ascii="宋体" w:hAnsi="宋体" w:cs="宋体" w:eastAsia="宋体" w:hint="default"/>
          <w:spacing w:val="2"/>
        </w:rPr>
        <w:t>68,300,000</w:t>
      </w:r>
      <w:r>
        <w:rPr>
          <w:spacing w:val="2"/>
        </w:rPr>
        <w:t>股扣除将注销的回购股份</w:t>
      </w:r>
      <w:r>
        <w:rPr>
          <w:rFonts w:ascii="宋体" w:hAnsi="宋体" w:cs="宋体" w:eastAsia="宋体" w:hint="default"/>
          <w:spacing w:val="2"/>
        </w:rPr>
        <w:t>525,600</w:t>
      </w:r>
      <w:r>
        <w:rPr>
          <w:spacing w:val="2"/>
        </w:rPr>
        <w:t>股后的</w:t>
      </w:r>
      <w:r>
        <w:rPr>
          <w:rFonts w:ascii="宋体" w:hAnsi="宋体" w:cs="宋体" w:eastAsia="宋体" w:hint="default"/>
          <w:spacing w:val="2"/>
        </w:rPr>
        <w:t>67,774,400</w:t>
      </w:r>
      <w:r>
        <w:rPr>
          <w:spacing w:val="2"/>
        </w:rPr>
        <w:t>股为</w:t>
      </w:r>
      <w:r>
        <w:rPr>
          <w:spacing w:val="-80"/>
        </w:rPr>
        <w:t> </w:t>
      </w:r>
      <w:r>
        <w:rPr/>
        <w:t>基数，拟向全体股东每</w:t>
      </w:r>
      <w:r>
        <w:rPr>
          <w:rFonts w:ascii="宋体" w:hAnsi="宋体" w:cs="宋体" w:eastAsia="宋体" w:hint="default"/>
        </w:rPr>
        <w:t>10</w:t>
      </w:r>
      <w:r>
        <w:rPr/>
        <w:t>股转增</w:t>
      </w:r>
      <w:r>
        <w:rPr>
          <w:rFonts w:ascii="宋体" w:hAnsi="宋体" w:cs="宋体" w:eastAsia="宋体" w:hint="default"/>
        </w:rPr>
        <w:t>8</w:t>
      </w:r>
      <w:r>
        <w:rPr/>
        <w:t>股。公司于</w:t>
      </w:r>
      <w:r>
        <w:rPr>
          <w:rFonts w:ascii="宋体" w:hAnsi="宋体" w:cs="宋体" w:eastAsia="宋体" w:hint="default"/>
        </w:rPr>
        <w:t>2018</w:t>
      </w:r>
      <w:r>
        <w:rPr/>
        <w:t>年</w:t>
      </w:r>
      <w:r>
        <w:rPr>
          <w:rFonts w:ascii="宋体" w:hAnsi="宋体" w:cs="宋体" w:eastAsia="宋体" w:hint="default"/>
        </w:rPr>
        <w:t>7</w:t>
      </w:r>
      <w:r>
        <w:rPr/>
        <w:t>月</w:t>
      </w:r>
      <w:r>
        <w:rPr>
          <w:rFonts w:ascii="宋体" w:hAnsi="宋体" w:cs="宋体" w:eastAsia="宋体" w:hint="default"/>
        </w:rPr>
        <w:t>4</w:t>
      </w:r>
      <w:r>
        <w:rPr/>
        <w:t>日实施</w:t>
      </w:r>
      <w:r>
        <w:rPr>
          <w:rFonts w:ascii="宋体" w:hAnsi="宋体" w:cs="宋体" w:eastAsia="宋体" w:hint="default"/>
        </w:rPr>
        <w:t>2017</w:t>
      </w:r>
      <w:r>
        <w:rPr/>
        <w:t>年年度权益分派。</w:t>
      </w:r>
    </w:p>
    <w:p>
      <w:pPr>
        <w:spacing w:line="240" w:lineRule="auto" w:before="8"/>
        <w:rPr>
          <w:rFonts w:ascii="宋体" w:hAnsi="宋体" w:cs="宋体" w:eastAsia="宋体" w:hint="default"/>
          <w:sz w:val="24"/>
          <w:szCs w:val="24"/>
        </w:rPr>
      </w:pPr>
    </w:p>
    <w:p>
      <w:pPr>
        <w:spacing w:before="0"/>
        <w:ind w:left="114" w:right="0" w:firstLine="0"/>
        <w:jc w:val="left"/>
        <w:rPr>
          <w:rFonts w:ascii="宋体" w:hAnsi="宋体" w:cs="宋体" w:eastAsia="宋体" w:hint="default"/>
          <w:sz w:val="21"/>
          <w:szCs w:val="21"/>
        </w:rPr>
      </w:pPr>
      <w:bookmarkStart w:name="2、限售股份变动情况" w:id="110"/>
      <w:bookmarkEnd w:id="110"/>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、限售股份变动情况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362"/>
        <w:gridCol w:w="1369"/>
        <w:gridCol w:w="1370"/>
        <w:gridCol w:w="1369"/>
        <w:gridCol w:w="1368"/>
        <w:gridCol w:w="1370"/>
        <w:gridCol w:w="1362"/>
      </w:tblGrid>
      <w:tr>
        <w:trPr>
          <w:trHeight w:val="402" w:hRule="exact"/>
        </w:trPr>
        <w:tc>
          <w:tcPr>
            <w:tcW w:w="13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5"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9" w:right="0"/>
              <w:jc w:val="left"/>
              <w:rPr>
                <w:rFonts w:ascii="宋体" w:hAnsi="宋体" w:cs="宋体" w:eastAsia="宋体" w:hint="default"/>
                <w:sz w:val="18"/>
                <w:szCs w:val="18"/>
              </w:rPr>
            </w:pPr>
            <w:r>
              <w:rPr>
                <w:rFonts w:ascii="宋体" w:hAnsi="宋体" w:cs="宋体" w:eastAsia="宋体" w:hint="default"/>
                <w:sz w:val="18"/>
                <w:szCs w:val="18"/>
              </w:rPr>
              <w:t>期初限售股数</w:t>
            </w:r>
          </w:p>
        </w:tc>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39" w:right="0"/>
              <w:jc w:val="left"/>
              <w:rPr>
                <w:rFonts w:ascii="宋体" w:hAnsi="宋体" w:cs="宋体" w:eastAsia="宋体" w:hint="default"/>
                <w:sz w:val="18"/>
                <w:szCs w:val="18"/>
              </w:rPr>
            </w:pPr>
            <w:r>
              <w:rPr>
                <w:rFonts w:ascii="宋体" w:hAnsi="宋体" w:cs="宋体" w:eastAsia="宋体" w:hint="default"/>
                <w:sz w:val="18"/>
                <w:szCs w:val="18"/>
              </w:rPr>
              <w:t>本期解除限售</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39" w:right="0"/>
              <w:jc w:val="left"/>
              <w:rPr>
                <w:rFonts w:ascii="宋体" w:hAnsi="宋体" w:cs="宋体" w:eastAsia="宋体" w:hint="default"/>
                <w:sz w:val="18"/>
                <w:szCs w:val="18"/>
              </w:rPr>
            </w:pPr>
            <w:r>
              <w:rPr>
                <w:rFonts w:ascii="宋体" w:hAnsi="宋体" w:cs="宋体" w:eastAsia="宋体" w:hint="default"/>
                <w:sz w:val="18"/>
                <w:szCs w:val="18"/>
              </w:rPr>
              <w:t>本期增加限售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7" w:right="0"/>
              <w:jc w:val="left"/>
              <w:rPr>
                <w:rFonts w:ascii="宋体" w:hAnsi="宋体" w:cs="宋体" w:eastAsia="宋体" w:hint="default"/>
                <w:sz w:val="18"/>
                <w:szCs w:val="18"/>
              </w:rPr>
            </w:pPr>
            <w:r>
              <w:rPr>
                <w:rFonts w:ascii="宋体" w:hAnsi="宋体" w:cs="宋体" w:eastAsia="宋体" w:hint="default"/>
                <w:sz w:val="18"/>
                <w:szCs w:val="18"/>
              </w:rPr>
              <w:t>期末限售股数</w:t>
            </w:r>
          </w:p>
        </w:tc>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限售原因</w:t>
            </w:r>
          </w:p>
        </w:tc>
        <w:tc>
          <w:tcPr>
            <w:tcW w:w="13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35" w:right="0"/>
              <w:jc w:val="left"/>
              <w:rPr>
                <w:rFonts w:ascii="宋体" w:hAnsi="宋体" w:cs="宋体" w:eastAsia="宋体" w:hint="default"/>
                <w:sz w:val="18"/>
                <w:szCs w:val="18"/>
              </w:rPr>
            </w:pPr>
            <w:r>
              <w:rPr>
                <w:rFonts w:ascii="宋体" w:hAnsi="宋体" w:cs="宋体" w:eastAsia="宋体" w:hint="default"/>
                <w:sz w:val="18"/>
                <w:szCs w:val="18"/>
              </w:rPr>
              <w:t>拟解除限售日</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362"/>
        <w:gridCol w:w="1369"/>
        <w:gridCol w:w="1370"/>
        <w:gridCol w:w="1369"/>
        <w:gridCol w:w="1368"/>
        <w:gridCol w:w="1370"/>
        <w:gridCol w:w="1362"/>
      </w:tblGrid>
      <w:tr>
        <w:trPr>
          <w:trHeight w:val="362" w:hRule="exact"/>
        </w:trPr>
        <w:tc>
          <w:tcPr>
            <w:tcW w:w="136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股数</w:t>
            </w:r>
          </w:p>
        </w:tc>
        <w:tc>
          <w:tcPr>
            <w:tcW w:w="1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股数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1"/>
              <w:jc w:val="center"/>
              <w:rPr>
                <w:rFonts w:ascii="宋体" w:hAnsi="宋体" w:cs="宋体" w:eastAsia="宋体" w:hint="default"/>
                <w:sz w:val="18"/>
                <w:szCs w:val="18"/>
              </w:rPr>
            </w:pPr>
            <w:r>
              <w:rPr>
                <w:rFonts w:ascii="宋体" w:hAnsi="宋体" w:cs="宋体" w:eastAsia="宋体" w:hint="default"/>
                <w:sz w:val="18"/>
                <w:szCs w:val="18"/>
              </w:rPr>
              <w:t>期</w:t>
            </w:r>
          </w:p>
        </w:tc>
      </w:tr>
      <w:tr>
        <w:trPr>
          <w:trHeight w:val="714"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67"/>
              <w:jc w:val="left"/>
              <w:rPr>
                <w:rFonts w:ascii="宋体" w:hAnsi="宋体" w:cs="宋体" w:eastAsia="宋体" w:hint="default"/>
                <w:sz w:val="18"/>
                <w:szCs w:val="18"/>
              </w:rPr>
            </w:pPr>
            <w:r>
              <w:rPr>
                <w:rFonts w:ascii="宋体" w:hAnsi="宋体" w:cs="宋体" w:eastAsia="宋体" w:hint="default"/>
                <w:sz w:val="18"/>
                <w:szCs w:val="18"/>
              </w:rPr>
              <w:t>上海中信电子 发展有限公司</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21,242,400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21,242,400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4"/>
              <w:jc w:val="left"/>
              <w:rPr>
                <w:rFonts w:ascii="宋体" w:hAnsi="宋体" w:cs="宋体" w:eastAsia="宋体" w:hint="default"/>
                <w:sz w:val="18"/>
                <w:szCs w:val="18"/>
              </w:rPr>
            </w:pPr>
            <w:r>
              <w:rPr>
                <w:rFonts w:ascii="宋体" w:hAnsi="宋体" w:cs="宋体" w:eastAsia="宋体" w:hint="default"/>
                <w:sz w:val="18"/>
                <w:szCs w:val="18"/>
              </w:rPr>
              <w:t>首发前机构类 限售股</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12</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日</w:t>
            </w:r>
          </w:p>
        </w:tc>
      </w:tr>
      <w:tr>
        <w:trPr>
          <w:trHeight w:val="1650"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张曙华</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15,070,080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5,409,528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20,479,608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6"/>
              <w:ind w:left="103" w:right="174"/>
              <w:jc w:val="both"/>
              <w:rPr>
                <w:rFonts w:ascii="宋体" w:hAnsi="宋体" w:cs="宋体" w:eastAsia="宋体" w:hint="default"/>
                <w:sz w:val="18"/>
                <w:szCs w:val="18"/>
              </w:rPr>
            </w:pPr>
            <w:r>
              <w:rPr>
                <w:rFonts w:ascii="宋体" w:hAnsi="宋体" w:cs="宋体" w:eastAsia="宋体" w:hint="default"/>
                <w:sz w:val="18"/>
                <w:szCs w:val="18"/>
              </w:rPr>
              <w:t>首发前个人类 限售股、高管 锁定股</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both"/>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年</w:t>
            </w:r>
            <w:r>
              <w:rPr>
                <w:rFonts w:ascii="宋体" w:hAnsi="宋体" w:cs="宋体" w:eastAsia="宋体" w:hint="default"/>
                <w:spacing w:val="-52"/>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月</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12</w:t>
            </w:r>
          </w:p>
          <w:p>
            <w:pPr>
              <w:pStyle w:val="TableParagraph"/>
              <w:spacing w:line="312" w:lineRule="auto" w:before="62"/>
              <w:ind w:left="103" w:right="152"/>
              <w:jc w:val="both"/>
              <w:rPr>
                <w:rFonts w:ascii="宋体" w:hAnsi="宋体" w:cs="宋体" w:eastAsia="宋体" w:hint="default"/>
                <w:sz w:val="18"/>
                <w:szCs w:val="18"/>
              </w:rPr>
            </w:pPr>
            <w:r>
              <w:rPr>
                <w:rFonts w:ascii="宋体" w:hAnsi="宋体" w:cs="宋体" w:eastAsia="宋体" w:hint="default"/>
                <w:sz w:val="18"/>
                <w:szCs w:val="18"/>
              </w:rPr>
              <w:t>日、每年的第 一个交易日解 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直至高 管锁定期止</w:t>
            </w:r>
          </w:p>
        </w:tc>
      </w:tr>
      <w:tr>
        <w:trPr>
          <w:trHeight w:val="1338"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杨安荣</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796,740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z w:val="18"/>
              </w:rPr>
              <w:t>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637,392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1,434,132</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67"/>
              <w:jc w:val="left"/>
              <w:rPr>
                <w:rFonts w:ascii="宋体" w:hAnsi="宋体" w:cs="宋体" w:eastAsia="宋体" w:hint="default"/>
                <w:sz w:val="18"/>
                <w:szCs w:val="18"/>
              </w:rPr>
            </w:pPr>
            <w:r>
              <w:rPr>
                <w:rFonts w:ascii="宋体" w:hAnsi="宋体" w:cs="宋体" w:eastAsia="宋体" w:hint="default"/>
                <w:sz w:val="18"/>
                <w:szCs w:val="18"/>
              </w:rPr>
              <w:t>每年的第一个 交易日解锁 </w:t>
            </w:r>
            <w:r>
              <w:rPr>
                <w:rFonts w:ascii="Times New Roman" w:hAnsi="Times New Roman" w:cs="Times New Roman" w:eastAsia="Times New Roman" w:hint="default"/>
                <w:sz w:val="18"/>
                <w:szCs w:val="18"/>
              </w:rPr>
              <w:t>25%</w:t>
            </w:r>
            <w:r>
              <w:rPr>
                <w:rFonts w:ascii="宋体" w:hAnsi="宋体" w:cs="宋体" w:eastAsia="宋体" w:hint="default"/>
                <w:sz w:val="18"/>
                <w:szCs w:val="18"/>
              </w:rPr>
              <w:t>直至高管 锁定期止</w:t>
            </w:r>
          </w:p>
        </w:tc>
      </w:tr>
      <w:tr>
        <w:trPr>
          <w:trHeight w:val="1338"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刘理洲</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605,160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z w:val="18"/>
              </w:rPr>
              <w:t>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484,128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1,089,288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67"/>
              <w:jc w:val="left"/>
              <w:rPr>
                <w:rFonts w:ascii="宋体" w:hAnsi="宋体" w:cs="宋体" w:eastAsia="宋体" w:hint="default"/>
                <w:sz w:val="18"/>
                <w:szCs w:val="18"/>
              </w:rPr>
            </w:pPr>
            <w:r>
              <w:rPr>
                <w:rFonts w:ascii="宋体" w:hAnsi="宋体" w:cs="宋体" w:eastAsia="宋体" w:hint="default"/>
                <w:sz w:val="18"/>
                <w:szCs w:val="18"/>
              </w:rPr>
              <w:t>每年的第一个 交易日解锁 </w:t>
            </w:r>
            <w:r>
              <w:rPr>
                <w:rFonts w:ascii="Times New Roman" w:hAnsi="Times New Roman" w:cs="Times New Roman" w:eastAsia="Times New Roman" w:hint="default"/>
                <w:sz w:val="18"/>
                <w:szCs w:val="18"/>
              </w:rPr>
              <w:t>25%</w:t>
            </w:r>
            <w:r>
              <w:rPr>
                <w:rFonts w:ascii="宋体" w:hAnsi="宋体" w:cs="宋体" w:eastAsia="宋体" w:hint="default"/>
                <w:sz w:val="18"/>
                <w:szCs w:val="18"/>
              </w:rPr>
              <w:t>直至高管 锁定期止</w:t>
            </w:r>
          </w:p>
        </w:tc>
      </w:tr>
      <w:tr>
        <w:trPr>
          <w:trHeight w:val="1338"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李志卿</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pacing w:val="-2"/>
                <w:sz w:val="18"/>
              </w:rPr>
              <w:t>481,110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z w:val="18"/>
              </w:rPr>
              <w:t>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384,888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865,998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高管锁定股</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67"/>
              <w:jc w:val="left"/>
              <w:rPr>
                <w:rFonts w:ascii="宋体" w:hAnsi="宋体" w:cs="宋体" w:eastAsia="宋体" w:hint="default"/>
                <w:sz w:val="18"/>
                <w:szCs w:val="18"/>
              </w:rPr>
            </w:pPr>
            <w:r>
              <w:rPr>
                <w:rFonts w:ascii="宋体" w:hAnsi="宋体" w:cs="宋体" w:eastAsia="宋体" w:hint="default"/>
                <w:sz w:val="18"/>
                <w:szCs w:val="18"/>
              </w:rPr>
              <w:t>每年的第一个 交易日解锁 </w:t>
            </w:r>
            <w:r>
              <w:rPr>
                <w:rFonts w:ascii="Times New Roman" w:hAnsi="Times New Roman" w:cs="Times New Roman" w:eastAsia="Times New Roman" w:hint="default"/>
                <w:sz w:val="18"/>
                <w:szCs w:val="18"/>
              </w:rPr>
              <w:t>25%</w:t>
            </w:r>
            <w:r>
              <w:rPr>
                <w:rFonts w:ascii="宋体" w:hAnsi="宋体" w:cs="宋体" w:eastAsia="宋体" w:hint="default"/>
                <w:sz w:val="18"/>
                <w:szCs w:val="18"/>
              </w:rPr>
              <w:t>直至高管 锁定期止</w:t>
            </w:r>
          </w:p>
        </w:tc>
      </w:tr>
      <w:tr>
        <w:trPr>
          <w:trHeight w:val="4146"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张颖</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80,000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15,200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64,800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316" w:lineRule="auto"/>
              <w:ind w:left="103" w:right="174"/>
              <w:jc w:val="both"/>
              <w:rPr>
                <w:rFonts w:ascii="宋体" w:hAnsi="宋体" w:cs="宋体" w:eastAsia="宋体" w:hint="default"/>
                <w:sz w:val="18"/>
                <w:szCs w:val="18"/>
              </w:rPr>
            </w:pPr>
            <w:r>
              <w:rPr>
                <w:rFonts w:ascii="宋体" w:hAnsi="宋体" w:cs="宋体" w:eastAsia="宋体" w:hint="default"/>
                <w:sz w:val="18"/>
                <w:szCs w:val="18"/>
              </w:rPr>
              <w:t>授予股权激励 限制性股票、 高管锁定股</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22"/>
              <w:jc w:val="left"/>
              <w:rPr>
                <w:rFonts w:ascii="宋体" w:hAnsi="宋体" w:cs="宋体" w:eastAsia="宋体" w:hint="default"/>
                <w:sz w:val="18"/>
                <w:szCs w:val="18"/>
              </w:rPr>
            </w:pPr>
            <w:r>
              <w:rPr>
                <w:rFonts w:ascii="宋体" w:hAnsi="宋体" w:cs="宋体" w:eastAsia="宋体" w:hint="default"/>
                <w:sz w:val="18"/>
                <w:szCs w:val="18"/>
              </w:rPr>
              <w:t>在授予日的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 月后、</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 后分三次解 锁，每次解锁 的限制性股票 比例分别为授 予总量的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p>
          <w:p>
            <w:pPr>
              <w:pStyle w:val="TableParagraph"/>
              <w:spacing w:line="307" w:lineRule="auto" w:before="3"/>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11"/>
                <w:w w:val="99"/>
                <w:sz w:val="18"/>
                <w:szCs w:val="18"/>
              </w:rPr>
              <w:t>40%</w:t>
            </w:r>
            <w:r>
              <w:rPr>
                <w:rFonts w:ascii="宋体" w:hAnsi="宋体" w:cs="宋体" w:eastAsia="宋体" w:hint="default"/>
                <w:spacing w:val="-11"/>
                <w:w w:val="99"/>
                <w:sz w:val="18"/>
                <w:szCs w:val="18"/>
              </w:rPr>
              <w:t>。每年的第</w:t>
            </w:r>
            <w:r>
              <w:rPr>
                <w:rFonts w:ascii="宋体" w:hAnsi="宋体" w:cs="宋体" w:eastAsia="宋体" w:hint="default"/>
                <w:spacing w:val="-87"/>
                <w:w w:val="99"/>
                <w:sz w:val="18"/>
                <w:szCs w:val="18"/>
              </w:rPr>
              <w:t> </w:t>
            </w:r>
            <w:r>
              <w:rPr>
                <w:rFonts w:ascii="宋体" w:hAnsi="宋体" w:cs="宋体" w:eastAsia="宋体" w:hint="default"/>
                <w:spacing w:val="-87"/>
                <w:w w:val="99"/>
                <w:sz w:val="18"/>
                <w:szCs w:val="18"/>
              </w:rPr>
            </w:r>
            <w:r>
              <w:rPr>
                <w:rFonts w:ascii="宋体" w:hAnsi="宋体" w:cs="宋体" w:eastAsia="宋体" w:hint="default"/>
                <w:sz w:val="18"/>
                <w:szCs w:val="18"/>
              </w:rPr>
              <w:t>一个交易日解</w:t>
            </w:r>
            <w:r>
              <w:rPr>
                <w:rFonts w:ascii="宋体" w:hAnsi="宋体" w:cs="宋体" w:eastAsia="宋体" w:hint="default"/>
                <w:w w:val="99"/>
                <w:sz w:val="18"/>
                <w:szCs w:val="18"/>
              </w:rPr>
              <w:t> </w:t>
            </w:r>
            <w:r>
              <w:rPr>
                <w:rFonts w:ascii="宋体" w:hAnsi="宋体" w:cs="宋体" w:eastAsia="宋体" w:hint="default"/>
                <w:sz w:val="18"/>
                <w:szCs w:val="18"/>
              </w:rPr>
              <w:t>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直至高</w:t>
            </w:r>
            <w:r>
              <w:rPr>
                <w:rFonts w:ascii="宋体" w:hAnsi="宋体" w:cs="宋体" w:eastAsia="宋体" w:hint="default"/>
                <w:w w:val="99"/>
                <w:sz w:val="18"/>
                <w:szCs w:val="18"/>
              </w:rPr>
              <w:t> </w:t>
            </w:r>
            <w:r>
              <w:rPr>
                <w:rFonts w:ascii="宋体" w:hAnsi="宋体" w:cs="宋体" w:eastAsia="宋体" w:hint="default"/>
                <w:sz w:val="18"/>
                <w:szCs w:val="18"/>
              </w:rPr>
              <w:t>管锁定期止</w:t>
            </w:r>
          </w:p>
        </w:tc>
      </w:tr>
      <w:tr>
        <w:trPr>
          <w:trHeight w:val="2859"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李晓炬</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88,900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24,892</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64,008</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5"/>
                <w:szCs w:val="25"/>
              </w:rPr>
            </w:pPr>
          </w:p>
          <w:p>
            <w:pPr>
              <w:pStyle w:val="TableParagraph"/>
              <w:spacing w:line="319" w:lineRule="auto"/>
              <w:ind w:left="103" w:right="174"/>
              <w:jc w:val="left"/>
              <w:rPr>
                <w:rFonts w:ascii="宋体" w:hAnsi="宋体" w:cs="宋体" w:eastAsia="宋体" w:hint="default"/>
                <w:sz w:val="18"/>
                <w:szCs w:val="18"/>
              </w:rPr>
            </w:pPr>
            <w:r>
              <w:rPr>
                <w:rFonts w:ascii="宋体" w:hAnsi="宋体" w:cs="宋体" w:eastAsia="宋体" w:hint="default"/>
                <w:sz w:val="18"/>
                <w:szCs w:val="18"/>
              </w:rPr>
              <w:t>授予股权激励 限制性股票</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22"/>
              <w:jc w:val="left"/>
              <w:rPr>
                <w:rFonts w:ascii="宋体" w:hAnsi="宋体" w:cs="宋体" w:eastAsia="宋体" w:hint="default"/>
                <w:sz w:val="18"/>
                <w:szCs w:val="18"/>
              </w:rPr>
            </w:pPr>
            <w:r>
              <w:rPr>
                <w:rFonts w:ascii="宋体" w:hAnsi="宋体" w:cs="宋体" w:eastAsia="宋体" w:hint="default"/>
                <w:sz w:val="18"/>
                <w:szCs w:val="18"/>
              </w:rPr>
              <w:t>在授予日的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 月后、</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 后分三次解 锁，每次解锁 的限制性股票 比例分别为授 予总量的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p>
        </w:tc>
      </w:tr>
    </w:tbl>
    <w:p>
      <w:pPr>
        <w:spacing w:after="0" w:line="312"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362"/>
        <w:gridCol w:w="1369"/>
        <w:gridCol w:w="1370"/>
        <w:gridCol w:w="1369"/>
        <w:gridCol w:w="1368"/>
        <w:gridCol w:w="1370"/>
        <w:gridCol w:w="1362"/>
      </w:tblGrid>
      <w:tr>
        <w:trPr>
          <w:trHeight w:val="362" w:hRule="exact"/>
        </w:trPr>
        <w:tc>
          <w:tcPr>
            <w:tcW w:w="1362"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40%</w:t>
            </w:r>
            <w:r>
              <w:rPr>
                <w:rFonts w:ascii="宋体" w:hAnsi="宋体" w:cs="宋体" w:eastAsia="宋体" w:hint="default"/>
                <w:sz w:val="18"/>
                <w:szCs w:val="18"/>
              </w:rPr>
              <w:t>。</w:t>
            </w:r>
          </w:p>
        </w:tc>
      </w:tr>
      <w:tr>
        <w:trPr>
          <w:trHeight w:val="3210"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7"/>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杨虹</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84,000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23,520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60,480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3"/>
                <w:szCs w:val="23"/>
              </w:rPr>
            </w:pPr>
          </w:p>
          <w:p>
            <w:pPr>
              <w:pStyle w:val="TableParagraph"/>
              <w:spacing w:line="316" w:lineRule="auto"/>
              <w:ind w:left="103" w:right="174"/>
              <w:jc w:val="left"/>
              <w:rPr>
                <w:rFonts w:ascii="宋体" w:hAnsi="宋体" w:cs="宋体" w:eastAsia="宋体" w:hint="default"/>
                <w:sz w:val="18"/>
                <w:szCs w:val="18"/>
              </w:rPr>
            </w:pPr>
            <w:r>
              <w:rPr>
                <w:rFonts w:ascii="宋体" w:hAnsi="宋体" w:cs="宋体" w:eastAsia="宋体" w:hint="default"/>
                <w:sz w:val="18"/>
                <w:szCs w:val="18"/>
              </w:rPr>
              <w:t>授予股权激励 限制性股票</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22"/>
              <w:jc w:val="left"/>
              <w:rPr>
                <w:rFonts w:ascii="宋体" w:hAnsi="宋体" w:cs="宋体" w:eastAsia="宋体" w:hint="default"/>
                <w:sz w:val="18"/>
                <w:szCs w:val="18"/>
              </w:rPr>
            </w:pPr>
            <w:r>
              <w:rPr>
                <w:rFonts w:ascii="宋体" w:hAnsi="宋体" w:cs="宋体" w:eastAsia="宋体" w:hint="default"/>
                <w:sz w:val="18"/>
                <w:szCs w:val="18"/>
              </w:rPr>
              <w:t>在授予日的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 月后、</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 后分三次解 锁，每次解锁 的限制性股票 比例分别为授 予总量的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p>
          <w:p>
            <w:pPr>
              <w:pStyle w:val="TableParagraph"/>
              <w:spacing w:line="240" w:lineRule="auto" w:before="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40%</w:t>
            </w:r>
            <w:r>
              <w:rPr>
                <w:rFonts w:ascii="宋体" w:hAnsi="宋体" w:cs="宋体" w:eastAsia="宋体" w:hint="default"/>
                <w:sz w:val="18"/>
                <w:szCs w:val="18"/>
              </w:rPr>
              <w:t>。</w:t>
            </w:r>
          </w:p>
        </w:tc>
      </w:tr>
      <w:tr>
        <w:trPr>
          <w:trHeight w:val="3210"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6"/>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易江南</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83,500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23,380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0"/>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60,120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316" w:lineRule="auto"/>
              <w:ind w:left="103" w:right="174"/>
              <w:jc w:val="left"/>
              <w:rPr>
                <w:rFonts w:ascii="宋体" w:hAnsi="宋体" w:cs="宋体" w:eastAsia="宋体" w:hint="default"/>
                <w:sz w:val="18"/>
                <w:szCs w:val="18"/>
              </w:rPr>
            </w:pPr>
            <w:r>
              <w:rPr>
                <w:rFonts w:ascii="宋体" w:hAnsi="宋体" w:cs="宋体" w:eastAsia="宋体" w:hint="default"/>
                <w:sz w:val="18"/>
                <w:szCs w:val="18"/>
              </w:rPr>
              <w:t>授予股权激励 限制性股票</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22"/>
              <w:jc w:val="left"/>
              <w:rPr>
                <w:rFonts w:ascii="宋体" w:hAnsi="宋体" w:cs="宋体" w:eastAsia="宋体" w:hint="default"/>
                <w:sz w:val="18"/>
                <w:szCs w:val="18"/>
              </w:rPr>
            </w:pPr>
            <w:r>
              <w:rPr>
                <w:rFonts w:ascii="宋体" w:hAnsi="宋体" w:cs="宋体" w:eastAsia="宋体" w:hint="default"/>
                <w:sz w:val="18"/>
                <w:szCs w:val="18"/>
              </w:rPr>
              <w:t>在授予日的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 月后、</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 后分三次解 锁，每次解锁 的限制性股票 比例分别为授 予总量的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p>
          <w:p>
            <w:pPr>
              <w:pStyle w:val="TableParagraph"/>
              <w:spacing w:line="240" w:lineRule="auto" w:before="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40%</w:t>
            </w:r>
            <w:r>
              <w:rPr>
                <w:rFonts w:ascii="宋体" w:hAnsi="宋体" w:cs="宋体" w:eastAsia="宋体" w:hint="default"/>
                <w:sz w:val="18"/>
                <w:szCs w:val="18"/>
              </w:rPr>
              <w:t>。</w:t>
            </w:r>
          </w:p>
        </w:tc>
      </w:tr>
      <w:tr>
        <w:trPr>
          <w:trHeight w:val="4146"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郭勇</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82,500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23,100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59,400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12"/>
              <w:ind w:left="103" w:right="174"/>
              <w:jc w:val="left"/>
              <w:rPr>
                <w:rFonts w:ascii="宋体" w:hAnsi="宋体" w:cs="宋体" w:eastAsia="宋体" w:hint="default"/>
                <w:sz w:val="18"/>
                <w:szCs w:val="18"/>
              </w:rPr>
            </w:pPr>
            <w:r>
              <w:rPr>
                <w:rFonts w:ascii="宋体" w:hAnsi="宋体" w:cs="宋体" w:eastAsia="宋体" w:hint="default"/>
                <w:sz w:val="18"/>
                <w:szCs w:val="18"/>
              </w:rPr>
              <w:t>授予股权激励 限制性股票</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22"/>
              <w:jc w:val="left"/>
              <w:rPr>
                <w:rFonts w:ascii="宋体" w:hAnsi="宋体" w:cs="宋体" w:eastAsia="宋体" w:hint="default"/>
                <w:sz w:val="18"/>
                <w:szCs w:val="18"/>
              </w:rPr>
            </w:pPr>
            <w:r>
              <w:rPr>
                <w:rFonts w:ascii="宋体" w:hAnsi="宋体" w:cs="宋体" w:eastAsia="宋体" w:hint="default"/>
                <w:sz w:val="18"/>
                <w:szCs w:val="18"/>
              </w:rPr>
              <w:t>在授予日的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 月后、</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 后分三次解 锁，每次解锁 的限制性股票 比例分别为授 予总量的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p>
          <w:p>
            <w:pPr>
              <w:pStyle w:val="TableParagraph"/>
              <w:spacing w:line="307" w:lineRule="auto" w:before="3"/>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11"/>
                <w:w w:val="99"/>
                <w:sz w:val="18"/>
                <w:szCs w:val="18"/>
              </w:rPr>
              <w:t>40%</w:t>
            </w:r>
            <w:r>
              <w:rPr>
                <w:rFonts w:ascii="宋体" w:hAnsi="宋体" w:cs="宋体" w:eastAsia="宋体" w:hint="default"/>
                <w:spacing w:val="-11"/>
                <w:w w:val="99"/>
                <w:sz w:val="18"/>
                <w:szCs w:val="18"/>
              </w:rPr>
              <w:t>。每年的第</w:t>
            </w:r>
            <w:r>
              <w:rPr>
                <w:rFonts w:ascii="宋体" w:hAnsi="宋体" w:cs="宋体" w:eastAsia="宋体" w:hint="default"/>
                <w:spacing w:val="-87"/>
                <w:w w:val="99"/>
                <w:sz w:val="18"/>
                <w:szCs w:val="18"/>
              </w:rPr>
              <w:t> </w:t>
            </w:r>
            <w:r>
              <w:rPr>
                <w:rFonts w:ascii="宋体" w:hAnsi="宋体" w:cs="宋体" w:eastAsia="宋体" w:hint="default"/>
                <w:spacing w:val="-87"/>
                <w:w w:val="99"/>
                <w:sz w:val="18"/>
                <w:szCs w:val="18"/>
              </w:rPr>
            </w:r>
            <w:r>
              <w:rPr>
                <w:rFonts w:ascii="宋体" w:hAnsi="宋体" w:cs="宋体" w:eastAsia="宋体" w:hint="default"/>
                <w:sz w:val="18"/>
                <w:szCs w:val="18"/>
              </w:rPr>
              <w:t>一个交易日解</w:t>
            </w:r>
            <w:r>
              <w:rPr>
                <w:rFonts w:ascii="宋体" w:hAnsi="宋体" w:cs="宋体" w:eastAsia="宋体" w:hint="default"/>
                <w:w w:val="99"/>
                <w:sz w:val="18"/>
                <w:szCs w:val="18"/>
              </w:rPr>
              <w:t> </w:t>
            </w:r>
            <w:r>
              <w:rPr>
                <w:rFonts w:ascii="宋体" w:hAnsi="宋体" w:cs="宋体" w:eastAsia="宋体" w:hint="default"/>
                <w:sz w:val="18"/>
                <w:szCs w:val="18"/>
              </w:rPr>
              <w:t>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直至高</w:t>
            </w:r>
            <w:r>
              <w:rPr>
                <w:rFonts w:ascii="宋体" w:hAnsi="宋体" w:cs="宋体" w:eastAsia="宋体" w:hint="default"/>
                <w:w w:val="99"/>
                <w:sz w:val="18"/>
                <w:szCs w:val="18"/>
              </w:rPr>
              <w:t> </w:t>
            </w:r>
            <w:r>
              <w:rPr>
                <w:rFonts w:ascii="宋体" w:hAnsi="宋体" w:cs="宋体" w:eastAsia="宋体" w:hint="default"/>
                <w:sz w:val="18"/>
                <w:szCs w:val="18"/>
              </w:rPr>
              <w:t>管锁定期止</w:t>
            </w:r>
          </w:p>
        </w:tc>
      </w:tr>
      <w:tr>
        <w:trPr>
          <w:trHeight w:val="2859"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张元利</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40,000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7,600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32,400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39"/>
              <w:ind w:left="103" w:right="174"/>
              <w:jc w:val="both"/>
              <w:rPr>
                <w:rFonts w:ascii="宋体" w:hAnsi="宋体" w:cs="宋体" w:eastAsia="宋体" w:hint="default"/>
                <w:sz w:val="18"/>
                <w:szCs w:val="18"/>
              </w:rPr>
            </w:pPr>
            <w:r>
              <w:rPr>
                <w:rFonts w:ascii="宋体" w:hAnsi="宋体" w:cs="宋体" w:eastAsia="宋体" w:hint="default"/>
                <w:sz w:val="18"/>
                <w:szCs w:val="18"/>
              </w:rPr>
              <w:t>授予股权激励 限制性股票、 高管锁定股</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22"/>
              <w:jc w:val="left"/>
              <w:rPr>
                <w:rFonts w:ascii="宋体" w:hAnsi="宋体" w:cs="宋体" w:eastAsia="宋体" w:hint="default"/>
                <w:sz w:val="18"/>
                <w:szCs w:val="18"/>
              </w:rPr>
            </w:pPr>
            <w:r>
              <w:rPr>
                <w:rFonts w:ascii="宋体" w:hAnsi="宋体" w:cs="宋体" w:eastAsia="宋体" w:hint="default"/>
                <w:sz w:val="18"/>
                <w:szCs w:val="18"/>
              </w:rPr>
              <w:t>在授予日的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 月后、</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 后分三次解 锁，每次解锁 的限制性股票 比例分别为授 予总量的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p>
        </w:tc>
      </w:tr>
    </w:tbl>
    <w:p>
      <w:pPr>
        <w:spacing w:after="0" w:line="312"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362"/>
        <w:gridCol w:w="1369"/>
        <w:gridCol w:w="1370"/>
        <w:gridCol w:w="1369"/>
        <w:gridCol w:w="1368"/>
        <w:gridCol w:w="1370"/>
        <w:gridCol w:w="1362"/>
      </w:tblGrid>
      <w:tr>
        <w:trPr>
          <w:trHeight w:val="1298" w:hRule="exact"/>
        </w:trPr>
        <w:tc>
          <w:tcPr>
            <w:tcW w:w="1362"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69"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
        </w:tc>
        <w:tc>
          <w:tcPr>
            <w:tcW w:w="1370" w:type="dxa"/>
            <w:tcBorders>
              <w:top w:val="single" w:sz="4" w:space="0" w:color="000000"/>
              <w:left w:val="single" w:sz="4" w:space="0" w:color="000000"/>
              <w:bottom w:val="single" w:sz="4" w:space="0" w:color="000000"/>
              <w:right w:val="single" w:sz="4" w:space="0" w:color="000000"/>
            </w:tcBorders>
          </w:tcPr>
          <w:p>
            <w:pP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10"/>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11"/>
                <w:w w:val="99"/>
                <w:sz w:val="18"/>
                <w:szCs w:val="18"/>
              </w:rPr>
              <w:t>40%</w:t>
            </w:r>
            <w:r>
              <w:rPr>
                <w:rFonts w:ascii="宋体" w:hAnsi="宋体" w:cs="宋体" w:eastAsia="宋体" w:hint="default"/>
                <w:spacing w:val="-11"/>
                <w:w w:val="99"/>
                <w:sz w:val="18"/>
                <w:szCs w:val="18"/>
              </w:rPr>
              <w:t>。每年的第</w:t>
            </w:r>
            <w:r>
              <w:rPr>
                <w:rFonts w:ascii="宋体" w:hAnsi="宋体" w:cs="宋体" w:eastAsia="宋体" w:hint="default"/>
                <w:spacing w:val="-87"/>
                <w:w w:val="99"/>
                <w:sz w:val="18"/>
                <w:szCs w:val="18"/>
              </w:rPr>
              <w:t> </w:t>
            </w:r>
            <w:r>
              <w:rPr>
                <w:rFonts w:ascii="宋体" w:hAnsi="宋体" w:cs="宋体" w:eastAsia="宋体" w:hint="default"/>
                <w:spacing w:val="-87"/>
                <w:w w:val="99"/>
                <w:sz w:val="18"/>
                <w:szCs w:val="18"/>
              </w:rPr>
            </w:r>
            <w:r>
              <w:rPr>
                <w:rFonts w:ascii="宋体" w:hAnsi="宋体" w:cs="宋体" w:eastAsia="宋体" w:hint="default"/>
                <w:sz w:val="18"/>
                <w:szCs w:val="18"/>
              </w:rPr>
              <w:t>一个交易日解</w:t>
            </w:r>
            <w:r>
              <w:rPr>
                <w:rFonts w:ascii="宋体" w:hAnsi="宋体" w:cs="宋体" w:eastAsia="宋体" w:hint="default"/>
                <w:w w:val="99"/>
                <w:sz w:val="18"/>
                <w:szCs w:val="18"/>
              </w:rPr>
              <w:t> </w:t>
            </w:r>
            <w:r>
              <w:rPr>
                <w:rFonts w:ascii="宋体" w:hAnsi="宋体" w:cs="宋体" w:eastAsia="宋体" w:hint="default"/>
                <w:sz w:val="18"/>
                <w:szCs w:val="18"/>
              </w:rPr>
              <w:t>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直至高</w:t>
            </w:r>
            <w:r>
              <w:rPr>
                <w:rFonts w:ascii="宋体" w:hAnsi="宋体" w:cs="宋体" w:eastAsia="宋体" w:hint="default"/>
                <w:w w:val="99"/>
                <w:sz w:val="18"/>
                <w:szCs w:val="18"/>
              </w:rPr>
              <w:t> </w:t>
            </w:r>
            <w:r>
              <w:rPr>
                <w:rFonts w:ascii="宋体" w:hAnsi="宋体" w:cs="宋体" w:eastAsia="宋体" w:hint="default"/>
                <w:sz w:val="18"/>
                <w:szCs w:val="18"/>
              </w:rPr>
              <w:t>管锁定期止</w:t>
            </w:r>
          </w:p>
        </w:tc>
      </w:tr>
      <w:tr>
        <w:trPr>
          <w:trHeight w:val="4146"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3"/>
                <w:szCs w:val="23"/>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徐云蔚</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20,000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3,800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16,200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14"/>
                <w:szCs w:val="14"/>
              </w:rPr>
            </w:pPr>
          </w:p>
          <w:p>
            <w:pPr>
              <w:pStyle w:val="TableParagraph"/>
              <w:spacing w:line="316" w:lineRule="auto"/>
              <w:ind w:left="103" w:right="174"/>
              <w:jc w:val="both"/>
              <w:rPr>
                <w:rFonts w:ascii="宋体" w:hAnsi="宋体" w:cs="宋体" w:eastAsia="宋体" w:hint="default"/>
                <w:sz w:val="18"/>
                <w:szCs w:val="18"/>
              </w:rPr>
            </w:pPr>
            <w:r>
              <w:rPr>
                <w:rFonts w:ascii="宋体" w:hAnsi="宋体" w:cs="宋体" w:eastAsia="宋体" w:hint="default"/>
                <w:sz w:val="18"/>
                <w:szCs w:val="18"/>
              </w:rPr>
              <w:t>授予股权激励 限制性股票、 高管锁定股</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22"/>
              <w:jc w:val="left"/>
              <w:rPr>
                <w:rFonts w:ascii="宋体" w:hAnsi="宋体" w:cs="宋体" w:eastAsia="宋体" w:hint="default"/>
                <w:sz w:val="18"/>
                <w:szCs w:val="18"/>
              </w:rPr>
            </w:pPr>
            <w:r>
              <w:rPr>
                <w:rFonts w:ascii="宋体" w:hAnsi="宋体" w:cs="宋体" w:eastAsia="宋体" w:hint="default"/>
                <w:sz w:val="18"/>
                <w:szCs w:val="18"/>
              </w:rPr>
              <w:t>在授予日的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 月后、</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 后分三次解 锁，每次解锁 的限制性股票 比例分别为授 予总量的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p>
          <w:p>
            <w:pPr>
              <w:pStyle w:val="TableParagraph"/>
              <w:spacing w:line="307" w:lineRule="auto" w:before="3"/>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11"/>
                <w:w w:val="99"/>
                <w:sz w:val="18"/>
                <w:szCs w:val="18"/>
              </w:rPr>
              <w:t>40%</w:t>
            </w:r>
            <w:r>
              <w:rPr>
                <w:rFonts w:ascii="宋体" w:hAnsi="宋体" w:cs="宋体" w:eastAsia="宋体" w:hint="default"/>
                <w:spacing w:val="-11"/>
                <w:w w:val="99"/>
                <w:sz w:val="18"/>
                <w:szCs w:val="18"/>
              </w:rPr>
              <w:t>。每年的第</w:t>
            </w:r>
            <w:r>
              <w:rPr>
                <w:rFonts w:ascii="宋体" w:hAnsi="宋体" w:cs="宋体" w:eastAsia="宋体" w:hint="default"/>
                <w:spacing w:val="-87"/>
                <w:w w:val="99"/>
                <w:sz w:val="18"/>
                <w:szCs w:val="18"/>
              </w:rPr>
              <w:t> </w:t>
            </w:r>
            <w:r>
              <w:rPr>
                <w:rFonts w:ascii="宋体" w:hAnsi="宋体" w:cs="宋体" w:eastAsia="宋体" w:hint="default"/>
                <w:spacing w:val="-87"/>
                <w:w w:val="99"/>
                <w:sz w:val="18"/>
                <w:szCs w:val="18"/>
              </w:rPr>
            </w:r>
            <w:r>
              <w:rPr>
                <w:rFonts w:ascii="宋体" w:hAnsi="宋体" w:cs="宋体" w:eastAsia="宋体" w:hint="default"/>
                <w:sz w:val="18"/>
                <w:szCs w:val="18"/>
              </w:rPr>
              <w:t>一个交易日解</w:t>
            </w:r>
            <w:r>
              <w:rPr>
                <w:rFonts w:ascii="宋体" w:hAnsi="宋体" w:cs="宋体" w:eastAsia="宋体" w:hint="default"/>
                <w:w w:val="99"/>
                <w:sz w:val="18"/>
                <w:szCs w:val="18"/>
              </w:rPr>
              <w:t> </w:t>
            </w:r>
            <w:r>
              <w:rPr>
                <w:rFonts w:ascii="宋体" w:hAnsi="宋体" w:cs="宋体" w:eastAsia="宋体" w:hint="default"/>
                <w:sz w:val="18"/>
                <w:szCs w:val="18"/>
              </w:rPr>
              <w:t>锁</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w:t>
            </w:r>
            <w:r>
              <w:rPr>
                <w:rFonts w:ascii="宋体" w:hAnsi="宋体" w:cs="宋体" w:eastAsia="宋体" w:hint="default"/>
                <w:sz w:val="18"/>
                <w:szCs w:val="18"/>
              </w:rPr>
              <w:t>直至高</w:t>
            </w:r>
            <w:r>
              <w:rPr>
                <w:rFonts w:ascii="宋体" w:hAnsi="宋体" w:cs="宋体" w:eastAsia="宋体" w:hint="default"/>
                <w:w w:val="99"/>
                <w:sz w:val="18"/>
                <w:szCs w:val="18"/>
              </w:rPr>
              <w:t> </w:t>
            </w:r>
            <w:r>
              <w:rPr>
                <w:rFonts w:ascii="宋体" w:hAnsi="宋体" w:cs="宋体" w:eastAsia="宋体" w:hint="default"/>
                <w:sz w:val="18"/>
                <w:szCs w:val="18"/>
              </w:rPr>
              <w:t>管锁定期止</w:t>
            </w:r>
          </w:p>
        </w:tc>
      </w:tr>
      <w:tr>
        <w:trPr>
          <w:trHeight w:val="3210" w:hRule="exact"/>
        </w:trPr>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319" w:lineRule="auto"/>
              <w:ind w:left="103" w:right="167"/>
              <w:jc w:val="left"/>
              <w:rPr>
                <w:rFonts w:ascii="宋体" w:hAnsi="宋体" w:cs="宋体" w:eastAsia="宋体" w:hint="default"/>
                <w:sz w:val="18"/>
                <w:szCs w:val="18"/>
              </w:rPr>
            </w:pPr>
            <w:r>
              <w:rPr>
                <w:rFonts w:ascii="宋体" w:hAnsi="宋体" w:cs="宋体" w:eastAsia="宋体" w:hint="default"/>
                <w:sz w:val="18"/>
                <w:szCs w:val="18"/>
              </w:rPr>
              <w:t>其他限制性股 票</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1,021,100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363,668</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22"/>
                <w:szCs w:val="2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657,432</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1"/>
              <w:ind w:right="0"/>
              <w:jc w:val="left"/>
              <w:rPr>
                <w:rFonts w:ascii="Times New Roman" w:hAnsi="Times New Roman" w:cs="Times New Roman" w:eastAsia="Times New Roman" w:hint="default"/>
                <w:sz w:val="22"/>
                <w:szCs w:val="22"/>
              </w:rPr>
            </w:pPr>
          </w:p>
          <w:p>
            <w:pPr>
              <w:pStyle w:val="TableParagraph"/>
              <w:spacing w:line="319" w:lineRule="auto"/>
              <w:ind w:left="103" w:right="174"/>
              <w:jc w:val="left"/>
              <w:rPr>
                <w:rFonts w:ascii="宋体" w:hAnsi="宋体" w:cs="宋体" w:eastAsia="宋体" w:hint="default"/>
                <w:sz w:val="18"/>
                <w:szCs w:val="18"/>
              </w:rPr>
            </w:pPr>
            <w:r>
              <w:rPr>
                <w:rFonts w:ascii="宋体" w:hAnsi="宋体" w:cs="宋体" w:eastAsia="宋体" w:hint="default"/>
                <w:sz w:val="18"/>
                <w:szCs w:val="18"/>
              </w:rPr>
              <w:t>授予股权激励 限制性股票</w:t>
            </w:r>
          </w:p>
        </w:tc>
        <w:tc>
          <w:tcPr>
            <w:tcW w:w="1362"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22"/>
              <w:jc w:val="left"/>
              <w:rPr>
                <w:rFonts w:ascii="宋体" w:hAnsi="宋体" w:cs="宋体" w:eastAsia="宋体" w:hint="default"/>
                <w:sz w:val="18"/>
                <w:szCs w:val="18"/>
              </w:rPr>
            </w:pPr>
            <w:r>
              <w:rPr>
                <w:rFonts w:ascii="宋体" w:hAnsi="宋体" w:cs="宋体" w:eastAsia="宋体" w:hint="default"/>
                <w:sz w:val="18"/>
                <w:szCs w:val="18"/>
              </w:rPr>
              <w:t>在授予日的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个月后、</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 月后、</w:t>
            </w:r>
            <w:r>
              <w:rPr>
                <w:rFonts w:ascii="Times New Roman" w:hAnsi="Times New Roman" w:cs="Times New Roman" w:eastAsia="Times New Roman" w:hint="default"/>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 后分三次解 锁，每次解锁 的限制性股票 比例分别为授 予总量的 </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宋体" w:hAnsi="宋体" w:cs="宋体" w:eastAsia="宋体" w:hint="default"/>
                <w:sz w:val="18"/>
                <w:szCs w:val="18"/>
              </w:rPr>
              <w:t>、</w:t>
            </w:r>
          </w:p>
          <w:p>
            <w:pPr>
              <w:pStyle w:val="TableParagraph"/>
              <w:spacing w:line="240" w:lineRule="auto" w:before="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40%</w:t>
            </w:r>
            <w:r>
              <w:rPr>
                <w:rFonts w:ascii="宋体" w:hAnsi="宋体" w:cs="宋体" w:eastAsia="宋体" w:hint="default"/>
                <w:sz w:val="18"/>
                <w:szCs w:val="18"/>
              </w:rPr>
              <w:t>。</w:t>
            </w:r>
          </w:p>
        </w:tc>
      </w:tr>
      <w:tr>
        <w:trPr>
          <w:trHeight w:val="402" w:hRule="exact"/>
        </w:trPr>
        <w:tc>
          <w:tcPr>
            <w:tcW w:w="13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39,695,490</w:t>
            </w:r>
          </w:p>
        </w:tc>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21,727,560</w:t>
            </w:r>
          </w:p>
        </w:tc>
        <w:tc>
          <w:tcPr>
            <w:tcW w:w="1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6,915,936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24,883,866</w:t>
            </w:r>
          </w:p>
        </w:tc>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7"/>
        <w:rPr>
          <w:rFonts w:ascii="Times New Roman" w:hAnsi="Times New Roman" w:cs="Times New Roman" w:eastAsia="Times New Roman" w:hint="default"/>
          <w:sz w:val="20"/>
          <w:szCs w:val="20"/>
        </w:rPr>
      </w:pPr>
    </w:p>
    <w:p>
      <w:pPr>
        <w:pStyle w:val="Heading4"/>
        <w:spacing w:line="240" w:lineRule="auto" w:before="26"/>
        <w:ind w:right="0"/>
        <w:jc w:val="left"/>
        <w:rPr>
          <w:b w:val="0"/>
          <w:bCs w:val="0"/>
        </w:rPr>
      </w:pPr>
      <w:bookmarkStart w:name="二、证券发行与上市情况" w:id="111"/>
      <w:bookmarkEnd w:id="111"/>
      <w:r>
        <w:rPr>
          <w:b w:val="0"/>
          <w:bCs w:val="0"/>
        </w:rPr>
      </w:r>
      <w:r>
        <w:rPr/>
        <w:t>二、证券发行与上市情况</w:t>
      </w:r>
      <w:r>
        <w:rPr>
          <w:b w:val="0"/>
          <w:bCs w:val="0"/>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报告期内证券发行（不含优先股）情况" w:id="112"/>
      <w:bookmarkEnd w:id="112"/>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、报告期内证券发行（不含优先股）情况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公司股份总数及股东结构的变动、公司资产和负债结构的变动情况说明" w:id="113"/>
      <w:bookmarkEnd w:id="113"/>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、公司股份总数及股东结构的变动、公司资产和负债结构的变动情况说明</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pStyle w:val="BodyText"/>
        <w:spacing w:line="313" w:lineRule="exact" w:before="65"/>
        <w:ind w:left="594" w:right="0"/>
        <w:jc w:val="left"/>
      </w:pPr>
      <w:r>
        <w:rPr>
          <w:rFonts w:ascii="宋体" w:hAnsi="宋体" w:cs="宋体" w:eastAsia="宋体" w:hint="default"/>
        </w:rPr>
        <w:t>1</w:t>
      </w:r>
      <w:r>
        <w:rPr/>
        <w:t>、首次公开发行前已发行股份上市流通</w:t>
      </w:r>
    </w:p>
    <w:p>
      <w:pPr>
        <w:pStyle w:val="BodyText"/>
        <w:spacing w:line="312" w:lineRule="exact" w:before="30"/>
        <w:ind w:right="1130" w:firstLine="480"/>
        <w:jc w:val="both"/>
      </w:pPr>
      <w:r>
        <w:rPr>
          <w:rFonts w:ascii="宋体" w:hAnsi="宋体" w:cs="宋体" w:eastAsia="宋体" w:hint="default"/>
          <w:spacing w:val="-2"/>
        </w:rPr>
        <w:t>2018</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13</w:t>
      </w:r>
      <w:r>
        <w:rPr>
          <w:spacing w:val="-2"/>
        </w:rPr>
        <w:t>日，根据首次公开发行前已发行股份上市流通规则，对以下股东进行解除股</w:t>
      </w:r>
      <w:r>
        <w:rPr/>
        <w:t> </w:t>
      </w:r>
      <w:r>
        <w:rPr>
          <w:spacing w:val="-3"/>
        </w:rPr>
        <w:t>份限售：上海中信电子发展股份有限公司（以下简称</w:t>
      </w:r>
      <w:r>
        <w:rPr>
          <w:rFonts w:ascii="宋体" w:hAnsi="宋体" w:cs="宋体" w:eastAsia="宋体" w:hint="default"/>
          <w:spacing w:val="-3"/>
        </w:rPr>
        <w:t>"</w:t>
      </w:r>
      <w:r>
        <w:rPr>
          <w:spacing w:val="-3"/>
        </w:rPr>
        <w:t>中信电子</w:t>
      </w:r>
      <w:r>
        <w:rPr>
          <w:rFonts w:ascii="宋体" w:hAnsi="宋体" w:cs="宋体" w:eastAsia="宋体" w:hint="default"/>
          <w:spacing w:val="-3"/>
        </w:rPr>
        <w:t>"</w:t>
      </w:r>
      <w:r>
        <w:rPr>
          <w:spacing w:val="-3"/>
        </w:rPr>
        <w:t>）、张曙华，共计</w:t>
      </w:r>
      <w:r>
        <w:rPr>
          <w:rFonts w:ascii="宋体" w:hAnsi="宋体" w:cs="宋体" w:eastAsia="宋体" w:hint="default"/>
          <w:spacing w:val="-3"/>
        </w:rPr>
        <w:t>2</w:t>
      </w:r>
      <w:r>
        <w:rPr>
          <w:spacing w:val="-3"/>
        </w:rPr>
        <w:t>名股东，</w:t>
      </w:r>
      <w:r>
        <w:rPr>
          <w:spacing w:val="-114"/>
        </w:rPr>
        <w:t> </w:t>
      </w:r>
      <w:r>
        <w:rPr/>
        <w:t>其中法人股东</w:t>
      </w:r>
      <w:r>
        <w:rPr>
          <w:rFonts w:ascii="宋体" w:hAnsi="宋体" w:cs="宋体" w:eastAsia="宋体" w:hint="default"/>
        </w:rPr>
        <w:t>1</w:t>
      </w:r>
      <w:r>
        <w:rPr/>
        <w:t>名，自然人股东</w:t>
      </w:r>
      <w:r>
        <w:rPr>
          <w:rFonts w:ascii="宋体" w:hAnsi="宋体" w:cs="宋体" w:eastAsia="宋体" w:hint="default"/>
        </w:rPr>
        <w:t>1</w:t>
      </w:r>
      <w:r>
        <w:rPr/>
        <w:t>名。本次解除限售的股份数量为</w:t>
      </w:r>
      <w:r>
        <w:rPr>
          <w:rFonts w:ascii="宋体" w:hAnsi="宋体" w:cs="宋体" w:eastAsia="宋体" w:hint="default"/>
        </w:rPr>
        <w:t>36,312,480</w:t>
      </w:r>
      <w:r>
        <w:rPr/>
        <w:t>股，占当时公司 总股本的</w:t>
      </w:r>
      <w:r>
        <w:rPr>
          <w:rFonts w:ascii="宋体" w:hAnsi="宋体" w:cs="宋体" w:eastAsia="宋体" w:hint="default"/>
        </w:rPr>
        <w:t>53.1661%</w:t>
      </w:r>
      <w:r>
        <w:rPr/>
        <w:t>。实际可上市流通数量为</w:t>
      </w:r>
      <w:r>
        <w:rPr>
          <w:spacing w:val="-25"/>
        </w:rPr>
        <w:t> </w:t>
      </w:r>
      <w:r>
        <w:rPr>
          <w:rFonts w:ascii="宋体" w:hAnsi="宋体" w:cs="宋体" w:eastAsia="宋体" w:hint="default"/>
          <w:spacing w:val="-3"/>
        </w:rPr>
        <w:t>5,310,600</w:t>
      </w:r>
      <w:r>
        <w:rPr>
          <w:spacing w:val="-3"/>
        </w:rPr>
        <w:t>股，占当时公司总股本的</w:t>
      </w:r>
      <w:r>
        <w:rPr>
          <w:rFonts w:ascii="宋体" w:hAnsi="宋体" w:cs="宋体" w:eastAsia="宋体" w:hint="default"/>
          <w:spacing w:val="-3"/>
        </w:rPr>
        <w:t>7.7754%</w:t>
      </w:r>
      <w:r>
        <w:rPr>
          <w:spacing w:val="-3"/>
        </w:rPr>
        <w:t>。具</w:t>
      </w:r>
      <w:r>
        <w:rPr/>
      </w:r>
    </w:p>
    <w:p>
      <w:pPr>
        <w:spacing w:after="0" w:line="312" w:lineRule="exact"/>
        <w:jc w:val="both"/>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312" w:lineRule="exact" w:before="56"/>
        <w:ind w:right="1131"/>
        <w:jc w:val="left"/>
      </w:pPr>
      <w:r>
        <w:rPr>
          <w:spacing w:val="-2"/>
        </w:rPr>
        <w:t>体内容详见公司于</w:t>
      </w:r>
      <w:r>
        <w:rPr>
          <w:rFonts w:ascii="宋体" w:hAnsi="宋体" w:cs="宋体" w:eastAsia="宋体" w:hint="default"/>
          <w:spacing w:val="-2"/>
        </w:rPr>
        <w:t>2018</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13</w:t>
      </w:r>
      <w:r>
        <w:rPr>
          <w:spacing w:val="-2"/>
        </w:rPr>
        <w:t>日刊登在巨潮资讯网上的《关于部分首次公开发行前已发行股</w:t>
      </w:r>
      <w:r>
        <w:rPr>
          <w:spacing w:val="-114"/>
        </w:rPr>
        <w:t> </w:t>
      </w:r>
      <w:r>
        <w:rPr>
          <w:spacing w:val="-114"/>
        </w:rPr>
      </w:r>
      <w:r>
        <w:rPr>
          <w:spacing w:val="-13"/>
        </w:rPr>
        <w:t>份上市流通的提示性公告》（公告编号：</w:t>
      </w:r>
      <w:r>
        <w:rPr>
          <w:rFonts w:ascii="宋体" w:hAnsi="宋体" w:cs="宋体" w:eastAsia="宋体" w:hint="default"/>
          <w:spacing w:val="-13"/>
        </w:rPr>
        <w:t>2018-065</w:t>
      </w:r>
      <w:r>
        <w:rPr>
          <w:spacing w:val="-13"/>
        </w:rPr>
        <w:t>）。</w:t>
      </w:r>
      <w:r>
        <w:rPr/>
      </w:r>
    </w:p>
    <w:p>
      <w:pPr>
        <w:pStyle w:val="BodyText"/>
        <w:spacing w:line="312" w:lineRule="exact"/>
        <w:ind w:left="594" w:right="1158"/>
        <w:jc w:val="left"/>
      </w:pPr>
      <w:r>
        <w:rPr>
          <w:rFonts w:ascii="宋体" w:hAnsi="宋体" w:cs="宋体" w:eastAsia="宋体" w:hint="default"/>
        </w:rPr>
        <w:t>2</w:t>
      </w:r>
      <w:r>
        <w:rPr/>
        <w:t>、注销回购股权激励股权 </w:t>
      </w:r>
      <w:r>
        <w:rPr>
          <w:spacing w:val="-3"/>
        </w:rPr>
        <w:t>公司于</w:t>
      </w:r>
      <w:r>
        <w:rPr>
          <w:rFonts w:ascii="宋体" w:hAnsi="宋体" w:cs="宋体" w:eastAsia="宋体" w:hint="default"/>
          <w:spacing w:val="-3"/>
        </w:rPr>
        <w:t>2018</w:t>
      </w:r>
      <w:r>
        <w:rPr>
          <w:spacing w:val="-3"/>
        </w:rPr>
        <w:t>年</w:t>
      </w:r>
      <w:r>
        <w:rPr>
          <w:rFonts w:ascii="宋体" w:hAnsi="宋体" w:cs="宋体" w:eastAsia="宋体" w:hint="default"/>
          <w:spacing w:val="-3"/>
        </w:rPr>
        <w:t>6</w:t>
      </w:r>
      <w:r>
        <w:rPr>
          <w:spacing w:val="-3"/>
        </w:rPr>
        <w:t>月</w:t>
      </w:r>
      <w:r>
        <w:rPr>
          <w:rFonts w:ascii="宋体" w:hAnsi="宋体" w:cs="宋体" w:eastAsia="宋体" w:hint="default"/>
          <w:spacing w:val="-3"/>
        </w:rPr>
        <w:t>23</w:t>
      </w:r>
      <w:r>
        <w:rPr>
          <w:spacing w:val="-3"/>
        </w:rPr>
        <w:t>日披露了《关于部分限制性股票回购注销完成的公告》。注销已回购</w:t>
      </w:r>
    </w:p>
    <w:p>
      <w:pPr>
        <w:pStyle w:val="BodyText"/>
        <w:spacing w:line="283" w:lineRule="exact"/>
        <w:ind w:right="0"/>
        <w:jc w:val="left"/>
      </w:pPr>
      <w:r>
        <w:rPr/>
        <w:t>的</w:t>
      </w:r>
      <w:r>
        <w:rPr>
          <w:rFonts w:ascii="宋体" w:hAnsi="宋体" w:cs="宋体" w:eastAsia="宋体" w:hint="default"/>
        </w:rPr>
        <w:t>525,600</w:t>
      </w:r>
      <w:r>
        <w:rPr/>
        <w:t>股。</w:t>
      </w:r>
    </w:p>
    <w:p>
      <w:pPr>
        <w:pStyle w:val="BodyText"/>
        <w:spacing w:line="312" w:lineRule="exact" w:before="29"/>
        <w:ind w:left="594" w:right="1116"/>
        <w:jc w:val="left"/>
      </w:pPr>
      <w:r>
        <w:rPr>
          <w:rFonts w:ascii="宋体" w:hAnsi="宋体" w:cs="宋体" w:eastAsia="宋体" w:hint="default"/>
        </w:rPr>
        <w:t>3</w:t>
      </w:r>
      <w:r>
        <w:rPr/>
        <w:t>、股权激励的解锁和行权 </w:t>
      </w:r>
      <w:r>
        <w:rPr>
          <w:spacing w:val="-2"/>
        </w:rPr>
        <w:t>公司于</w:t>
      </w:r>
      <w:r>
        <w:rPr>
          <w:rFonts w:ascii="宋体" w:hAnsi="宋体" w:cs="宋体" w:eastAsia="宋体" w:hint="default"/>
          <w:spacing w:val="-2"/>
        </w:rPr>
        <w:t>2018</w:t>
      </w:r>
      <w:r>
        <w:rPr>
          <w:spacing w:val="-2"/>
        </w:rPr>
        <w:t>年</w:t>
      </w:r>
      <w:r>
        <w:rPr>
          <w:rFonts w:ascii="宋体" w:hAnsi="宋体" w:cs="宋体" w:eastAsia="宋体" w:hint="default"/>
          <w:spacing w:val="-2"/>
        </w:rPr>
        <w:t>6</w:t>
      </w:r>
      <w:r>
        <w:rPr>
          <w:spacing w:val="-2"/>
        </w:rPr>
        <w:t>月</w:t>
      </w:r>
      <w:r>
        <w:rPr>
          <w:rFonts w:ascii="宋体" w:hAnsi="宋体" w:cs="宋体" w:eastAsia="宋体" w:hint="default"/>
          <w:spacing w:val="-2"/>
        </w:rPr>
        <w:t>22</w:t>
      </w:r>
      <w:r>
        <w:rPr>
          <w:spacing w:val="-2"/>
        </w:rPr>
        <w:t>日披露了《于首期限制性股票激励计划第一个解锁期解锁股份上市流</w:t>
      </w:r>
    </w:p>
    <w:p>
      <w:pPr>
        <w:pStyle w:val="BodyText"/>
        <w:spacing w:line="312" w:lineRule="exact"/>
        <w:ind w:left="594" w:right="4032" w:hanging="480"/>
        <w:jc w:val="left"/>
      </w:pPr>
      <w:r>
        <w:rPr/>
        <w:t>通的提示性公告</w:t>
      </w:r>
      <w:r>
        <w:rPr>
          <w:spacing w:val="-120"/>
        </w:rPr>
        <w:t>》</w:t>
      </w:r>
      <w:r>
        <w:rPr/>
        <w:t>。可上市流通的限制性股票数量为</w:t>
      </w:r>
      <w:r>
        <w:rPr>
          <w:rFonts w:ascii="宋体" w:hAnsi="宋体" w:cs="宋体" w:eastAsia="宋体" w:hint="default"/>
        </w:rPr>
        <w:t>417,600</w:t>
      </w:r>
      <w:r>
        <w:rPr/>
        <w:t>股。 </w:t>
      </w:r>
      <w:r>
        <w:rPr>
          <w:rFonts w:ascii="宋体" w:hAnsi="宋体" w:cs="宋体" w:eastAsia="宋体" w:hint="default"/>
        </w:rPr>
        <w:t>4</w:t>
      </w:r>
      <w:r>
        <w:rPr>
          <w:spacing w:val="-120"/>
        </w:rPr>
        <w:t>、</w:t>
      </w:r>
      <w:r>
        <w:rPr/>
        <w:t>、利润分配</w:t>
      </w:r>
    </w:p>
    <w:p>
      <w:pPr>
        <w:pStyle w:val="BodyText"/>
        <w:spacing w:line="237" w:lineRule="auto" w:before="13"/>
        <w:ind w:right="0"/>
        <w:jc w:val="left"/>
      </w:pPr>
      <w:r>
        <w:rPr>
          <w:spacing w:val="-7"/>
        </w:rPr>
        <w:t>公司于</w:t>
      </w:r>
      <w:r>
        <w:rPr>
          <w:rFonts w:ascii="宋体" w:hAnsi="宋体" w:cs="宋体" w:eastAsia="宋体" w:hint="default"/>
          <w:spacing w:val="-7"/>
        </w:rPr>
        <w:t>2018</w:t>
      </w:r>
      <w:r>
        <w:rPr>
          <w:spacing w:val="-7"/>
        </w:rPr>
        <w:t>年</w:t>
      </w:r>
      <w:r>
        <w:rPr>
          <w:rFonts w:ascii="宋体" w:hAnsi="宋体" w:cs="宋体" w:eastAsia="宋体" w:hint="default"/>
          <w:spacing w:val="-7"/>
        </w:rPr>
        <w:t>5</w:t>
      </w:r>
      <w:r>
        <w:rPr>
          <w:spacing w:val="-7"/>
        </w:rPr>
        <w:t>月</w:t>
      </w:r>
      <w:r>
        <w:rPr>
          <w:rFonts w:ascii="宋体" w:hAnsi="宋体" w:cs="宋体" w:eastAsia="宋体" w:hint="default"/>
          <w:spacing w:val="-7"/>
        </w:rPr>
        <w:t>8</w:t>
      </w:r>
      <w:r>
        <w:rPr>
          <w:spacing w:val="-7"/>
        </w:rPr>
        <w:t>日召开了</w:t>
      </w:r>
      <w:r>
        <w:rPr>
          <w:rFonts w:ascii="宋体" w:hAnsi="宋体" w:cs="宋体" w:eastAsia="宋体" w:hint="default"/>
          <w:spacing w:val="-7"/>
        </w:rPr>
        <w:t>2017</w:t>
      </w:r>
      <w:r>
        <w:rPr>
          <w:spacing w:val="-7"/>
        </w:rPr>
        <w:t>年年度股东大会，审议通过了《公司</w:t>
      </w:r>
      <w:r>
        <w:rPr>
          <w:rFonts w:ascii="宋体" w:hAnsi="宋体" w:cs="宋体" w:eastAsia="宋体" w:hint="default"/>
          <w:spacing w:val="-7"/>
        </w:rPr>
        <w:t>2017</w:t>
      </w:r>
      <w:r>
        <w:rPr>
          <w:spacing w:val="-7"/>
        </w:rPr>
        <w:t>年度利润分配方案》。</w:t>
      </w:r>
      <w:r>
        <w:rPr>
          <w:spacing w:val="-99"/>
        </w:rPr>
        <w:t> </w:t>
      </w:r>
      <w:r>
        <w:rPr>
          <w:spacing w:val="-99"/>
        </w:rPr>
      </w:r>
      <w:r>
        <w:rPr>
          <w:spacing w:val="2"/>
        </w:rPr>
        <w:t>公司以</w:t>
      </w:r>
      <w:r>
        <w:rPr>
          <w:rFonts w:ascii="宋体" w:hAnsi="宋体" w:cs="宋体" w:eastAsia="宋体" w:hint="default"/>
          <w:spacing w:val="2"/>
        </w:rPr>
        <w:t>2017</w:t>
      </w:r>
      <w:r>
        <w:rPr>
          <w:spacing w:val="2"/>
        </w:rPr>
        <w:t>年末总股本</w:t>
      </w:r>
      <w:r>
        <w:rPr>
          <w:rFonts w:ascii="宋体" w:hAnsi="宋体" w:cs="宋体" w:eastAsia="宋体" w:hint="default"/>
          <w:spacing w:val="2"/>
        </w:rPr>
        <w:t>68,300,000</w:t>
      </w:r>
      <w:r>
        <w:rPr>
          <w:spacing w:val="2"/>
        </w:rPr>
        <w:t>股扣除将注销的回购股份</w:t>
      </w:r>
      <w:r>
        <w:rPr>
          <w:rFonts w:ascii="宋体" w:hAnsi="宋体" w:cs="宋体" w:eastAsia="宋体" w:hint="default"/>
          <w:spacing w:val="2"/>
        </w:rPr>
        <w:t>525,600</w:t>
      </w:r>
      <w:r>
        <w:rPr>
          <w:spacing w:val="2"/>
        </w:rPr>
        <w:t>股后的</w:t>
      </w:r>
      <w:r>
        <w:rPr>
          <w:rFonts w:ascii="宋体" w:hAnsi="宋体" w:cs="宋体" w:eastAsia="宋体" w:hint="default"/>
          <w:spacing w:val="2"/>
        </w:rPr>
        <w:t>67,774,400</w:t>
      </w:r>
      <w:r>
        <w:rPr>
          <w:spacing w:val="2"/>
        </w:rPr>
        <w:t>股为</w:t>
      </w:r>
      <w:r>
        <w:rPr>
          <w:spacing w:val="-80"/>
        </w:rPr>
        <w:t> </w:t>
      </w:r>
      <w:r>
        <w:rPr/>
        <w:t>基数，拟向全体股东每</w:t>
      </w:r>
      <w:r>
        <w:rPr>
          <w:rFonts w:ascii="宋体" w:hAnsi="宋体" w:cs="宋体" w:eastAsia="宋体" w:hint="default"/>
        </w:rPr>
        <w:t>10</w:t>
      </w:r>
      <w:r>
        <w:rPr/>
        <w:t>股转增</w:t>
      </w:r>
      <w:r>
        <w:rPr>
          <w:rFonts w:ascii="宋体" w:hAnsi="宋体" w:cs="宋体" w:eastAsia="宋体" w:hint="default"/>
        </w:rPr>
        <w:t>8</w:t>
      </w:r>
      <w:r>
        <w:rPr/>
        <w:t>股</w:t>
      </w:r>
    </w:p>
    <w:p>
      <w:pPr>
        <w:spacing w:line="240" w:lineRule="auto" w:before="0"/>
        <w:rPr>
          <w:rFonts w:ascii="宋体" w:hAnsi="宋体" w:cs="宋体" w:eastAsia="宋体" w:hint="default"/>
          <w:sz w:val="24"/>
          <w:szCs w:val="24"/>
        </w:rPr>
      </w:pPr>
    </w:p>
    <w:p>
      <w:pPr>
        <w:spacing w:line="240" w:lineRule="auto" w:before="8"/>
        <w:rPr>
          <w:rFonts w:ascii="宋体" w:hAnsi="宋体" w:cs="宋体" w:eastAsia="宋体" w:hint="default"/>
          <w:sz w:val="27"/>
          <w:szCs w:val="27"/>
        </w:rPr>
      </w:pPr>
    </w:p>
    <w:p>
      <w:pPr>
        <w:spacing w:before="0"/>
        <w:ind w:left="114" w:right="0" w:firstLine="0"/>
        <w:jc w:val="left"/>
        <w:rPr>
          <w:rFonts w:ascii="宋体" w:hAnsi="宋体" w:cs="宋体" w:eastAsia="宋体" w:hint="default"/>
          <w:sz w:val="21"/>
          <w:szCs w:val="21"/>
        </w:rPr>
      </w:pPr>
      <w:bookmarkStart w:name="3、现存的内部职工股情况" w:id="114"/>
      <w:bookmarkEnd w:id="114"/>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、现存的内部职工股情况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3"/>
        <w:rPr>
          <w:rFonts w:ascii="宋体" w:hAnsi="宋体" w:cs="宋体" w:eastAsia="宋体" w:hint="default"/>
          <w:sz w:val="24"/>
          <w:szCs w:val="24"/>
        </w:rPr>
      </w:pPr>
    </w:p>
    <w:p>
      <w:pPr>
        <w:pStyle w:val="Heading4"/>
        <w:spacing w:line="240" w:lineRule="auto"/>
        <w:ind w:right="0"/>
        <w:jc w:val="left"/>
        <w:rPr>
          <w:b w:val="0"/>
          <w:bCs w:val="0"/>
        </w:rPr>
      </w:pPr>
      <w:bookmarkStart w:name="三、股东和实际控制人情况" w:id="115"/>
      <w:bookmarkEnd w:id="115"/>
      <w:r>
        <w:rPr>
          <w:b w:val="0"/>
          <w:bCs w:val="0"/>
        </w:rPr>
      </w:r>
      <w:r>
        <w:rPr/>
        <w:t>三、股东和实际控制人情况</w:t>
      </w:r>
      <w:r>
        <w:rPr>
          <w:b w:val="0"/>
          <w:bCs w:val="0"/>
        </w:rPr>
      </w:r>
    </w:p>
    <w:p>
      <w:pPr>
        <w:spacing w:line="240" w:lineRule="auto" w:before="9"/>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公司股东数量及持股情况" w:id="116"/>
      <w:bookmarkEnd w:id="116"/>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、公司股东数量及持股情况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单位：股</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334"/>
        <w:gridCol w:w="135"/>
        <w:gridCol w:w="661"/>
        <w:gridCol w:w="750"/>
        <w:gridCol w:w="750"/>
        <w:gridCol w:w="825"/>
        <w:gridCol w:w="332"/>
        <w:gridCol w:w="456"/>
        <w:gridCol w:w="830"/>
        <w:gridCol w:w="796"/>
        <w:gridCol w:w="311"/>
        <w:gridCol w:w="1038"/>
        <w:gridCol w:w="290"/>
        <w:gridCol w:w="1060"/>
      </w:tblGrid>
      <w:tr>
        <w:trPr>
          <w:trHeight w:val="1968" w:hRule="exact"/>
        </w:trPr>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03" w:right="139"/>
              <w:jc w:val="left"/>
              <w:rPr>
                <w:rFonts w:ascii="宋体" w:hAnsi="宋体" w:cs="宋体" w:eastAsia="宋体" w:hint="default"/>
                <w:sz w:val="18"/>
                <w:szCs w:val="18"/>
              </w:rPr>
            </w:pPr>
            <w:r>
              <w:rPr>
                <w:rFonts w:ascii="宋体" w:hAnsi="宋体" w:cs="宋体" w:eastAsia="宋体" w:hint="default"/>
                <w:sz w:val="18"/>
                <w:szCs w:val="18"/>
              </w:rPr>
              <w:t>报告期末普通 股股东总数</w:t>
            </w:r>
          </w:p>
        </w:tc>
        <w:tc>
          <w:tcPr>
            <w:tcW w:w="796"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88" w:right="0"/>
              <w:jc w:val="left"/>
              <w:rPr>
                <w:rFonts w:ascii="Times New Roman" w:hAnsi="Times New Roman" w:cs="Times New Roman" w:eastAsia="Times New Roman" w:hint="default"/>
                <w:sz w:val="18"/>
                <w:szCs w:val="18"/>
              </w:rPr>
            </w:pPr>
            <w:r>
              <w:rPr>
                <w:rFonts w:ascii="Times New Roman"/>
                <w:sz w:val="18"/>
              </w:rPr>
              <w:t>13,625</w:t>
            </w:r>
          </w:p>
        </w:tc>
        <w:tc>
          <w:tcPr>
            <w:tcW w:w="150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03" w:right="305"/>
              <w:jc w:val="both"/>
              <w:rPr>
                <w:rFonts w:ascii="宋体" w:hAnsi="宋体" w:cs="宋体" w:eastAsia="宋体" w:hint="default"/>
                <w:sz w:val="18"/>
                <w:szCs w:val="18"/>
              </w:rPr>
            </w:pPr>
            <w:r>
              <w:rPr>
                <w:rFonts w:ascii="宋体" w:hAnsi="宋体" w:cs="宋体" w:eastAsia="宋体" w:hint="default"/>
                <w:sz w:val="18"/>
                <w:szCs w:val="18"/>
              </w:rPr>
              <w:t>年度报告披露 日前上一月末 普通股股东总 数</w:t>
            </w:r>
          </w:p>
        </w:tc>
        <w:tc>
          <w:tcPr>
            <w:tcW w:w="115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549" w:right="0"/>
              <w:jc w:val="left"/>
              <w:rPr>
                <w:rFonts w:ascii="Times New Roman" w:hAnsi="Times New Roman" w:cs="Times New Roman" w:eastAsia="Times New Roman" w:hint="default"/>
                <w:sz w:val="18"/>
                <w:szCs w:val="18"/>
              </w:rPr>
            </w:pPr>
            <w:r>
              <w:rPr>
                <w:rFonts w:ascii="Times New Roman"/>
                <w:sz w:val="18"/>
              </w:rPr>
              <w:t>13,627</w:t>
            </w:r>
          </w:p>
        </w:tc>
        <w:tc>
          <w:tcPr>
            <w:tcW w:w="128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3" w:right="92"/>
              <w:jc w:val="both"/>
              <w:rPr>
                <w:rFonts w:ascii="宋体" w:hAnsi="宋体" w:cs="宋体" w:eastAsia="宋体" w:hint="default"/>
                <w:sz w:val="18"/>
                <w:szCs w:val="18"/>
              </w:rPr>
            </w:pPr>
            <w:r>
              <w:rPr>
                <w:rFonts w:ascii="宋体" w:hAnsi="宋体" w:cs="宋体" w:eastAsia="宋体" w:hint="default"/>
                <w:sz w:val="18"/>
                <w:szCs w:val="18"/>
              </w:rPr>
              <w:t>报告期末表决 权恢复的优先 股股东总数</w:t>
            </w:r>
          </w:p>
          <w:p>
            <w:pPr>
              <w:pStyle w:val="TableParagraph"/>
              <w:spacing w:line="319" w:lineRule="auto" w:before="19"/>
              <w:ind w:left="103" w:right="57"/>
              <w:jc w:val="both"/>
              <w:rPr>
                <w:rFonts w:ascii="宋体" w:hAnsi="宋体" w:cs="宋体" w:eastAsia="宋体" w:hint="default"/>
                <w:sz w:val="18"/>
                <w:szCs w:val="18"/>
              </w:rPr>
            </w:pPr>
            <w:r>
              <w:rPr>
                <w:rFonts w:ascii="宋体" w:hAnsi="宋体" w:cs="宋体" w:eastAsia="宋体" w:hint="default"/>
                <w:spacing w:val="-21"/>
                <w:sz w:val="18"/>
                <w:szCs w:val="18"/>
              </w:rPr>
              <w:t>（如有）（参见</w:t>
            </w:r>
            <w:r>
              <w:rPr>
                <w:rFonts w:ascii="宋体" w:hAnsi="宋体" w:cs="宋体" w:eastAsia="宋体" w:hint="default"/>
                <w:sz w:val="18"/>
                <w:szCs w:val="18"/>
              </w:rPr>
              <w:t> 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1107"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13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2" w:right="102"/>
              <w:jc w:val="both"/>
              <w:rPr>
                <w:rFonts w:ascii="宋体" w:hAnsi="宋体" w:cs="宋体" w:eastAsia="宋体" w:hint="default"/>
                <w:sz w:val="18"/>
                <w:szCs w:val="18"/>
              </w:rPr>
            </w:pPr>
            <w:r>
              <w:rPr>
                <w:rFonts w:ascii="宋体" w:hAnsi="宋体" w:cs="宋体" w:eastAsia="宋体" w:hint="default"/>
                <w:sz w:val="18"/>
                <w:szCs w:val="18"/>
              </w:rPr>
              <w:t>年度报告披露 日前上一月末 表决权恢复的 优先股股东总 </w:t>
            </w:r>
            <w:r>
              <w:rPr>
                <w:rFonts w:ascii="宋体" w:hAnsi="宋体" w:cs="宋体" w:eastAsia="宋体" w:hint="default"/>
                <w:spacing w:val="-22"/>
                <w:sz w:val="18"/>
                <w:szCs w:val="18"/>
              </w:rPr>
              <w:t>数（如有）（参</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9</w:t>
            </w:r>
            <w:r>
              <w:rPr>
                <w:rFonts w:ascii="宋体" w:hAnsi="宋体" w:cs="宋体" w:eastAsia="宋体" w:hint="default"/>
                <w:sz w:val="18"/>
                <w:szCs w:val="18"/>
              </w:rPr>
              <w:t>）</w:t>
            </w:r>
          </w:p>
        </w:tc>
        <w:tc>
          <w:tcPr>
            <w:tcW w:w="106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0</w:t>
            </w:r>
          </w:p>
        </w:tc>
      </w:tr>
      <w:tr>
        <w:trPr>
          <w:trHeight w:val="397" w:hRule="exact"/>
        </w:trPr>
        <w:tc>
          <w:tcPr>
            <w:tcW w:w="9569" w:type="dxa"/>
            <w:gridSpan w:val="1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left="3061" w:right="0"/>
              <w:jc w:val="left"/>
              <w:rPr>
                <w:rFonts w:ascii="宋体" w:hAnsi="宋体" w:cs="宋体" w:eastAsia="宋体" w:hint="default"/>
                <w:sz w:val="18"/>
                <w:szCs w:val="18"/>
              </w:rPr>
            </w:pPr>
            <w:r>
              <w:rPr>
                <w:rFonts w:ascii="宋体" w:hAnsi="宋体" w:cs="宋体" w:eastAsia="宋体" w:hint="default"/>
                <w:sz w:val="18"/>
                <w:szCs w:val="18"/>
              </w:rPr>
              <w:t>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以上的股东或前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名股东持股情况</w:t>
            </w:r>
          </w:p>
        </w:tc>
      </w:tr>
      <w:tr>
        <w:trPr>
          <w:trHeight w:val="402" w:hRule="exact"/>
        </w:trPr>
        <w:tc>
          <w:tcPr>
            <w:tcW w:w="1469"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369" w:right="0"/>
              <w:jc w:val="left"/>
              <w:rPr>
                <w:rFonts w:ascii="宋体" w:hAnsi="宋体" w:cs="宋体" w:eastAsia="宋体" w:hint="default"/>
                <w:sz w:val="18"/>
                <w:szCs w:val="18"/>
              </w:rPr>
            </w:pPr>
            <w:r>
              <w:rPr>
                <w:rFonts w:ascii="宋体" w:hAnsi="宋体" w:cs="宋体" w:eastAsia="宋体" w:hint="default"/>
                <w:sz w:val="18"/>
                <w:szCs w:val="18"/>
              </w:rPr>
              <w:t>股东名称</w:t>
            </w:r>
          </w:p>
        </w:tc>
        <w:tc>
          <w:tcPr>
            <w:tcW w:w="1411"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340" w:right="0"/>
              <w:jc w:val="left"/>
              <w:rPr>
                <w:rFonts w:ascii="宋体" w:hAnsi="宋体" w:cs="宋体" w:eastAsia="宋体" w:hint="default"/>
                <w:sz w:val="18"/>
                <w:szCs w:val="18"/>
              </w:rPr>
            </w:pPr>
            <w:r>
              <w:rPr>
                <w:rFonts w:ascii="宋体" w:hAnsi="宋体" w:cs="宋体" w:eastAsia="宋体" w:hint="default"/>
                <w:sz w:val="18"/>
                <w:szCs w:val="18"/>
              </w:rPr>
              <w:t>股东性质</w:t>
            </w:r>
          </w:p>
        </w:tc>
        <w:tc>
          <w:tcPr>
            <w:tcW w:w="75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298" w:right="79" w:hanging="180"/>
              <w:jc w:val="left"/>
              <w:rPr>
                <w:rFonts w:ascii="宋体" w:hAnsi="宋体" w:cs="宋体" w:eastAsia="宋体" w:hint="default"/>
                <w:sz w:val="18"/>
                <w:szCs w:val="18"/>
              </w:rPr>
            </w:pPr>
            <w:r>
              <w:rPr>
                <w:rFonts w:ascii="宋体" w:hAnsi="宋体" w:cs="宋体" w:eastAsia="宋体" w:hint="default"/>
                <w:sz w:val="18"/>
                <w:szCs w:val="18"/>
              </w:rPr>
              <w:t>持股比 例</w:t>
            </w:r>
          </w:p>
        </w:tc>
        <w:tc>
          <w:tcPr>
            <w:tcW w:w="82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56" w:right="116"/>
              <w:jc w:val="both"/>
              <w:rPr>
                <w:rFonts w:ascii="宋体" w:hAnsi="宋体" w:cs="宋体" w:eastAsia="宋体" w:hint="default"/>
                <w:sz w:val="18"/>
                <w:szCs w:val="18"/>
              </w:rPr>
            </w:pPr>
            <w:r>
              <w:rPr>
                <w:rFonts w:ascii="宋体" w:hAnsi="宋体" w:cs="宋体" w:eastAsia="宋体" w:hint="default"/>
                <w:sz w:val="18"/>
                <w:szCs w:val="18"/>
              </w:rPr>
              <w:t>报告期 末持股 数量</w:t>
            </w:r>
          </w:p>
        </w:tc>
        <w:tc>
          <w:tcPr>
            <w:tcW w:w="788"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118" w:right="119"/>
              <w:jc w:val="center"/>
              <w:rPr>
                <w:rFonts w:ascii="宋体" w:hAnsi="宋体" w:cs="宋体" w:eastAsia="宋体" w:hint="default"/>
                <w:sz w:val="18"/>
                <w:szCs w:val="18"/>
              </w:rPr>
            </w:pPr>
            <w:r>
              <w:rPr>
                <w:rFonts w:ascii="宋体" w:hAnsi="宋体" w:cs="宋体" w:eastAsia="宋体" w:hint="default"/>
                <w:sz w:val="18"/>
                <w:szCs w:val="18"/>
              </w:rPr>
              <w:t>报告期 内增减 变动情 况</w:t>
            </w:r>
          </w:p>
        </w:tc>
        <w:tc>
          <w:tcPr>
            <w:tcW w:w="830"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117" w:right="160"/>
              <w:jc w:val="both"/>
              <w:rPr>
                <w:rFonts w:ascii="宋体" w:hAnsi="宋体" w:cs="宋体" w:eastAsia="宋体" w:hint="default"/>
                <w:sz w:val="18"/>
                <w:szCs w:val="18"/>
              </w:rPr>
            </w:pPr>
            <w:r>
              <w:rPr>
                <w:rFonts w:ascii="宋体" w:hAnsi="宋体" w:cs="宋体" w:eastAsia="宋体" w:hint="default"/>
                <w:sz w:val="18"/>
                <w:szCs w:val="18"/>
              </w:rPr>
              <w:t>持有有 限售条 件的股 份数量</w:t>
            </w:r>
          </w:p>
        </w:tc>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2"/>
              <w:ind w:left="101" w:right="143"/>
              <w:jc w:val="both"/>
              <w:rPr>
                <w:rFonts w:ascii="宋体" w:hAnsi="宋体" w:cs="宋体" w:eastAsia="宋体" w:hint="default"/>
                <w:sz w:val="18"/>
                <w:szCs w:val="18"/>
              </w:rPr>
            </w:pPr>
            <w:r>
              <w:rPr>
                <w:rFonts w:ascii="宋体" w:hAnsi="宋体" w:cs="宋体" w:eastAsia="宋体" w:hint="default"/>
                <w:sz w:val="18"/>
                <w:szCs w:val="18"/>
              </w:rPr>
              <w:t>持有无 限售条 件的股 份数量</w:t>
            </w:r>
          </w:p>
        </w:tc>
        <w:tc>
          <w:tcPr>
            <w:tcW w:w="269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14" w:right="0"/>
              <w:jc w:val="left"/>
              <w:rPr>
                <w:rFonts w:ascii="宋体" w:hAnsi="宋体" w:cs="宋体" w:eastAsia="宋体" w:hint="default"/>
                <w:sz w:val="18"/>
                <w:szCs w:val="18"/>
              </w:rPr>
            </w:pPr>
            <w:r>
              <w:rPr>
                <w:rFonts w:ascii="宋体" w:hAnsi="宋体" w:cs="宋体" w:eastAsia="宋体" w:hint="default"/>
                <w:sz w:val="18"/>
                <w:szCs w:val="18"/>
              </w:rPr>
              <w:t>质押或冻结情况</w:t>
            </w:r>
          </w:p>
        </w:tc>
      </w:tr>
      <w:tr>
        <w:trPr>
          <w:trHeight w:val="935" w:hRule="exact"/>
        </w:trPr>
        <w:tc>
          <w:tcPr>
            <w:tcW w:w="1469" w:type="dxa"/>
            <w:gridSpan w:val="2"/>
            <w:vMerge/>
            <w:tcBorders>
              <w:left w:val="single" w:sz="4" w:space="0" w:color="000000"/>
              <w:bottom w:val="single" w:sz="4" w:space="0" w:color="000000"/>
              <w:right w:val="single" w:sz="4" w:space="0" w:color="000000"/>
            </w:tcBorders>
            <w:shd w:val="clear" w:color="auto" w:fill="D2D2D2"/>
          </w:tcPr>
          <w:p>
            <w:pPr/>
          </w:p>
        </w:tc>
        <w:tc>
          <w:tcPr>
            <w:tcW w:w="1411" w:type="dxa"/>
            <w:gridSpan w:val="2"/>
            <w:vMerge/>
            <w:tcBorders>
              <w:left w:val="single" w:sz="4" w:space="0" w:color="000000"/>
              <w:bottom w:val="single" w:sz="4" w:space="0" w:color="000000"/>
              <w:right w:val="single" w:sz="4" w:space="0" w:color="000000"/>
            </w:tcBorders>
            <w:shd w:val="clear" w:color="auto" w:fill="D2D2D2"/>
          </w:tcPr>
          <w:p>
            <w:pPr/>
          </w:p>
        </w:tc>
        <w:tc>
          <w:tcPr>
            <w:tcW w:w="750" w:type="dxa"/>
            <w:vMerge/>
            <w:tcBorders>
              <w:left w:val="single" w:sz="4" w:space="0" w:color="000000"/>
              <w:bottom w:val="single" w:sz="4" w:space="0" w:color="000000"/>
              <w:right w:val="single" w:sz="4" w:space="0" w:color="000000"/>
            </w:tcBorders>
            <w:shd w:val="clear" w:color="auto" w:fill="D2D2D2"/>
          </w:tcPr>
          <w:p>
            <w:pPr/>
          </w:p>
        </w:tc>
        <w:tc>
          <w:tcPr>
            <w:tcW w:w="825" w:type="dxa"/>
            <w:vMerge/>
            <w:tcBorders>
              <w:left w:val="single" w:sz="4" w:space="0" w:color="000000"/>
              <w:bottom w:val="single" w:sz="4" w:space="0" w:color="000000"/>
              <w:right w:val="single" w:sz="4" w:space="0" w:color="000000"/>
            </w:tcBorders>
            <w:shd w:val="clear" w:color="auto" w:fill="D2D2D2"/>
          </w:tcPr>
          <w:p>
            <w:pPr/>
          </w:p>
        </w:tc>
        <w:tc>
          <w:tcPr>
            <w:tcW w:w="788" w:type="dxa"/>
            <w:gridSpan w:val="2"/>
            <w:vMerge/>
            <w:tcBorders>
              <w:left w:val="single" w:sz="4" w:space="0" w:color="000000"/>
              <w:bottom w:val="single" w:sz="4" w:space="0" w:color="000000"/>
              <w:right w:val="single" w:sz="4" w:space="0" w:color="000000"/>
            </w:tcBorders>
            <w:shd w:val="clear" w:color="auto" w:fill="D2D2D2"/>
          </w:tcPr>
          <w:p>
            <w:pPr/>
          </w:p>
        </w:tc>
        <w:tc>
          <w:tcPr>
            <w:tcW w:w="830" w:type="dxa"/>
            <w:vMerge/>
            <w:tcBorders>
              <w:left w:val="single" w:sz="4" w:space="0" w:color="000000"/>
              <w:bottom w:val="single" w:sz="4" w:space="0" w:color="000000"/>
              <w:right w:val="single" w:sz="4" w:space="0" w:color="000000"/>
            </w:tcBorders>
            <w:shd w:val="clear" w:color="auto" w:fill="D2D2D2"/>
          </w:tcPr>
          <w:p>
            <w:pPr/>
          </w:p>
        </w:tc>
        <w:tc>
          <w:tcPr>
            <w:tcW w:w="796" w:type="dxa"/>
            <w:vMerge/>
            <w:tcBorders>
              <w:left w:val="single" w:sz="4" w:space="0" w:color="000000"/>
              <w:bottom w:val="single" w:sz="4" w:space="0" w:color="000000"/>
              <w:right w:val="single" w:sz="4" w:space="0" w:color="000000"/>
            </w:tcBorders>
            <w:shd w:val="clear" w:color="auto" w:fill="D2D2D2"/>
          </w:tcPr>
          <w:p>
            <w:pPr/>
          </w:p>
        </w:tc>
        <w:tc>
          <w:tcPr>
            <w:tcW w:w="134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left="310" w:right="0"/>
              <w:jc w:val="left"/>
              <w:rPr>
                <w:rFonts w:ascii="宋体" w:hAnsi="宋体" w:cs="宋体" w:eastAsia="宋体" w:hint="default"/>
                <w:sz w:val="18"/>
                <w:szCs w:val="18"/>
              </w:rPr>
            </w:pPr>
            <w:r>
              <w:rPr>
                <w:rFonts w:ascii="宋体" w:hAnsi="宋体" w:cs="宋体" w:eastAsia="宋体" w:hint="default"/>
                <w:sz w:val="18"/>
                <w:szCs w:val="18"/>
              </w:rPr>
              <w:t>股份状态</w:t>
            </w:r>
          </w:p>
        </w:tc>
        <w:tc>
          <w:tcPr>
            <w:tcW w:w="135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74"/>
              <w:jc w:val="left"/>
              <w:rPr>
                <w:rFonts w:ascii="宋体" w:hAnsi="宋体" w:cs="宋体" w:eastAsia="宋体" w:hint="default"/>
                <w:sz w:val="18"/>
                <w:szCs w:val="18"/>
              </w:rPr>
            </w:pPr>
            <w:r>
              <w:rPr>
                <w:rFonts w:ascii="宋体" w:hAnsi="宋体" w:cs="宋体" w:eastAsia="宋体" w:hint="default"/>
                <w:sz w:val="18"/>
                <w:szCs w:val="18"/>
              </w:rPr>
              <w:t>上海中信电子 发展有限公司</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16"/>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61"/>
              <w:jc w:val="right"/>
              <w:rPr>
                <w:rFonts w:ascii="Times New Roman" w:hAnsi="Times New Roman" w:cs="Times New Roman" w:eastAsia="Times New Roman" w:hint="default"/>
                <w:sz w:val="18"/>
                <w:szCs w:val="18"/>
              </w:rPr>
            </w:pPr>
            <w:r>
              <w:rPr>
                <w:rFonts w:ascii="Times New Roman"/>
                <w:sz w:val="18"/>
              </w:rPr>
              <w:t>30.02%</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1" w:right="0"/>
              <w:jc w:val="left"/>
              <w:rPr>
                <w:rFonts w:ascii="Times New Roman" w:hAnsi="Times New Roman" w:cs="Times New Roman" w:eastAsia="Times New Roman" w:hint="default"/>
                <w:sz w:val="18"/>
                <w:szCs w:val="18"/>
              </w:rPr>
            </w:pPr>
            <w:r>
              <w:rPr>
                <w:rFonts w:ascii="Times New Roman"/>
                <w:sz w:val="18"/>
              </w:rPr>
              <w:t>36,626,</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320</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-16100</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00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sz w:val="18"/>
              </w:rPr>
              <w:t>0</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3" w:right="0"/>
              <w:jc w:val="left"/>
              <w:rPr>
                <w:rFonts w:ascii="Times New Roman" w:hAnsi="Times New Roman" w:cs="Times New Roman" w:eastAsia="Times New Roman" w:hint="default"/>
                <w:sz w:val="18"/>
                <w:szCs w:val="18"/>
              </w:rPr>
            </w:pPr>
            <w:r>
              <w:rPr>
                <w:rFonts w:ascii="Times New Roman"/>
                <w:sz w:val="18"/>
              </w:rPr>
              <w:t>36,626,</w:t>
            </w:r>
          </w:p>
          <w:p>
            <w:pPr>
              <w:pStyle w:val="TableParagraph"/>
              <w:spacing w:line="240" w:lineRule="auto" w:before="105"/>
              <w:ind w:left="413" w:right="0"/>
              <w:jc w:val="left"/>
              <w:rPr>
                <w:rFonts w:ascii="Times New Roman" w:hAnsi="Times New Roman" w:cs="Times New Roman" w:eastAsia="Times New Roman" w:hint="default"/>
                <w:sz w:val="18"/>
                <w:szCs w:val="18"/>
              </w:rPr>
            </w:pPr>
            <w:r>
              <w:rPr>
                <w:rFonts w:ascii="Times New Roman"/>
                <w:sz w:val="18"/>
              </w:rPr>
              <w:t>320</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516" w:right="0"/>
              <w:jc w:val="left"/>
              <w:rPr>
                <w:rFonts w:ascii="Times New Roman" w:hAnsi="Times New Roman" w:cs="Times New Roman" w:eastAsia="Times New Roman" w:hint="default"/>
                <w:sz w:val="18"/>
                <w:szCs w:val="18"/>
              </w:rPr>
            </w:pPr>
            <w:r>
              <w:rPr>
                <w:rFonts w:ascii="Times New Roman"/>
                <w:sz w:val="18"/>
              </w:rPr>
              <w:t>9,582,000</w:t>
            </w:r>
          </w:p>
        </w:tc>
      </w:tr>
      <w:tr>
        <w:trPr>
          <w:trHeight w:val="714"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张曙华</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61"/>
              <w:jc w:val="right"/>
              <w:rPr>
                <w:rFonts w:ascii="Times New Roman" w:hAnsi="Times New Roman" w:cs="Times New Roman" w:eastAsia="Times New Roman" w:hint="default"/>
                <w:sz w:val="18"/>
                <w:szCs w:val="18"/>
              </w:rPr>
            </w:pPr>
            <w:r>
              <w:rPr>
                <w:rFonts w:ascii="Times New Roman"/>
                <w:sz w:val="18"/>
              </w:rPr>
              <w:t>21.71%</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1" w:right="0"/>
              <w:jc w:val="left"/>
              <w:rPr>
                <w:rFonts w:ascii="Times New Roman" w:hAnsi="Times New Roman" w:cs="Times New Roman" w:eastAsia="Times New Roman" w:hint="default"/>
                <w:sz w:val="18"/>
                <w:szCs w:val="18"/>
              </w:rPr>
            </w:pPr>
            <w:r>
              <w:rPr>
                <w:rFonts w:ascii="Times New Roman"/>
                <w:sz w:val="18"/>
              </w:rPr>
              <w:t>26,486,</w:t>
            </w:r>
          </w:p>
          <w:p>
            <w:pPr>
              <w:pStyle w:val="TableParagraph"/>
              <w:spacing w:line="240" w:lineRule="auto" w:before="105"/>
              <w:ind w:left="441" w:right="0"/>
              <w:jc w:val="left"/>
              <w:rPr>
                <w:rFonts w:ascii="Times New Roman" w:hAnsi="Times New Roman" w:cs="Times New Roman" w:eastAsia="Times New Roman" w:hint="default"/>
                <w:sz w:val="18"/>
                <w:szCs w:val="18"/>
              </w:rPr>
            </w:pPr>
            <w:r>
              <w:rPr>
                <w:rFonts w:ascii="Times New Roman"/>
                <w:sz w:val="18"/>
              </w:rPr>
              <w:t>144</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03" w:right="0"/>
              <w:jc w:val="left"/>
              <w:rPr>
                <w:rFonts w:ascii="Times New Roman" w:hAnsi="Times New Roman" w:cs="Times New Roman" w:eastAsia="Times New Roman" w:hint="default"/>
                <w:sz w:val="18"/>
                <w:szCs w:val="18"/>
              </w:rPr>
            </w:pPr>
            <w:r>
              <w:rPr>
                <w:rFonts w:ascii="Times New Roman"/>
                <w:sz w:val="18"/>
              </w:rPr>
              <w:t>-64000</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3" w:right="0"/>
              <w:jc w:val="left"/>
              <w:rPr>
                <w:rFonts w:ascii="Times New Roman" w:hAnsi="Times New Roman" w:cs="Times New Roman" w:eastAsia="Times New Roman" w:hint="default"/>
                <w:sz w:val="18"/>
                <w:szCs w:val="18"/>
              </w:rPr>
            </w:pPr>
            <w:r>
              <w:rPr>
                <w:rFonts w:ascii="Times New Roman"/>
                <w:sz w:val="18"/>
              </w:rPr>
              <w:t>20,479,</w:t>
            </w:r>
          </w:p>
          <w:p>
            <w:pPr>
              <w:pStyle w:val="TableParagraph"/>
              <w:spacing w:line="240" w:lineRule="auto" w:before="105"/>
              <w:ind w:left="403" w:right="0"/>
              <w:jc w:val="left"/>
              <w:rPr>
                <w:rFonts w:ascii="Times New Roman" w:hAnsi="Times New Roman" w:cs="Times New Roman" w:eastAsia="Times New Roman" w:hint="default"/>
                <w:sz w:val="18"/>
                <w:szCs w:val="18"/>
              </w:rPr>
            </w:pPr>
            <w:r>
              <w:rPr>
                <w:rFonts w:ascii="Times New Roman"/>
                <w:sz w:val="18"/>
              </w:rPr>
              <w:t>608</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3" w:right="0"/>
              <w:jc w:val="left"/>
              <w:rPr>
                <w:rFonts w:ascii="Times New Roman" w:hAnsi="Times New Roman" w:cs="Times New Roman" w:eastAsia="Times New Roman" w:hint="default"/>
                <w:sz w:val="18"/>
                <w:szCs w:val="18"/>
              </w:rPr>
            </w:pPr>
            <w:r>
              <w:rPr>
                <w:rFonts w:ascii="Times New Roman"/>
                <w:sz w:val="18"/>
              </w:rPr>
              <w:t>6,006,5</w:t>
            </w:r>
          </w:p>
          <w:p>
            <w:pPr>
              <w:pStyle w:val="TableParagraph"/>
              <w:spacing w:line="240" w:lineRule="auto" w:before="105"/>
              <w:ind w:left="503" w:right="0"/>
              <w:jc w:val="left"/>
              <w:rPr>
                <w:rFonts w:ascii="Times New Roman" w:hAnsi="Times New Roman" w:cs="Times New Roman" w:eastAsia="Times New Roman" w:hint="default"/>
                <w:sz w:val="18"/>
                <w:szCs w:val="18"/>
              </w:rPr>
            </w:pPr>
            <w:r>
              <w:rPr>
                <w:rFonts w:ascii="Times New Roman"/>
                <w:sz w:val="18"/>
              </w:rPr>
              <w:t>36</w:t>
            </w:r>
          </w:p>
        </w:tc>
        <w:tc>
          <w:tcPr>
            <w:tcW w:w="134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质押</w:t>
            </w:r>
          </w:p>
        </w:tc>
        <w:tc>
          <w:tcPr>
            <w:tcW w:w="135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26" w:right="0"/>
              <w:jc w:val="left"/>
              <w:rPr>
                <w:rFonts w:ascii="Times New Roman" w:hAnsi="Times New Roman" w:cs="Times New Roman" w:eastAsia="Times New Roman" w:hint="default"/>
                <w:sz w:val="18"/>
                <w:szCs w:val="18"/>
              </w:rPr>
            </w:pPr>
            <w:r>
              <w:rPr>
                <w:rFonts w:ascii="Times New Roman"/>
                <w:sz w:val="18"/>
              </w:rPr>
              <w:t>21,496,000</w:t>
            </w:r>
          </w:p>
        </w:tc>
      </w:tr>
      <w:tr>
        <w:trPr>
          <w:trHeight w:val="1026"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74"/>
              <w:jc w:val="left"/>
              <w:rPr>
                <w:rFonts w:ascii="宋体" w:hAnsi="宋体" w:cs="宋体" w:eastAsia="宋体" w:hint="default"/>
                <w:sz w:val="18"/>
                <w:szCs w:val="18"/>
              </w:rPr>
            </w:pPr>
            <w:r>
              <w:rPr>
                <w:rFonts w:ascii="宋体" w:hAnsi="宋体" w:cs="宋体" w:eastAsia="宋体" w:hint="default"/>
                <w:sz w:val="18"/>
                <w:szCs w:val="18"/>
              </w:rPr>
              <w:t>嘉兴慧锦股权 投资合伙企业</w:t>
            </w:r>
          </w:p>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（有限合伙）</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03" w:right="216"/>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61"/>
              <w:jc w:val="right"/>
              <w:rPr>
                <w:rFonts w:ascii="Times New Roman" w:hAnsi="Times New Roman" w:cs="Times New Roman" w:eastAsia="Times New Roman" w:hint="default"/>
                <w:sz w:val="18"/>
                <w:szCs w:val="18"/>
              </w:rPr>
            </w:pPr>
            <w:r>
              <w:rPr>
                <w:rFonts w:ascii="Times New Roman"/>
                <w:sz w:val="18"/>
              </w:rPr>
              <w:t>1.99%</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1" w:right="0"/>
              <w:jc w:val="left"/>
              <w:rPr>
                <w:rFonts w:ascii="Times New Roman" w:hAnsi="Times New Roman" w:cs="Times New Roman" w:eastAsia="Times New Roman" w:hint="default"/>
                <w:sz w:val="18"/>
                <w:szCs w:val="18"/>
              </w:rPr>
            </w:pPr>
            <w:r>
              <w:rPr>
                <w:rFonts w:ascii="Times New Roman"/>
                <w:sz w:val="18"/>
              </w:rPr>
              <w:t>2,430,0</w:t>
            </w:r>
          </w:p>
          <w:p>
            <w:pPr>
              <w:pStyle w:val="TableParagraph"/>
              <w:spacing w:line="240" w:lineRule="auto" w:before="106"/>
              <w:ind w:left="531" w:right="0"/>
              <w:jc w:val="left"/>
              <w:rPr>
                <w:rFonts w:ascii="Times New Roman" w:hAnsi="Times New Roman" w:cs="Times New Roman" w:eastAsia="Times New Roman" w:hint="default"/>
                <w:sz w:val="18"/>
                <w:szCs w:val="18"/>
              </w:rPr>
            </w:pPr>
            <w:r>
              <w:rPr>
                <w:rFonts w:ascii="Times New Roman"/>
                <w:sz w:val="18"/>
              </w:rPr>
              <w:t>00</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243000</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45"/>
              <w:jc w:val="right"/>
              <w:rPr>
                <w:rFonts w:ascii="Times New Roman" w:hAnsi="Times New Roman" w:cs="Times New Roman" w:eastAsia="Times New Roman" w:hint="default"/>
                <w:sz w:val="18"/>
                <w:szCs w:val="18"/>
              </w:rPr>
            </w:pPr>
            <w:r>
              <w:rPr>
                <w:rFonts w:ascii="Times New Roman"/>
                <w:sz w:val="18"/>
              </w:rPr>
              <w:t>0</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3" w:right="0"/>
              <w:jc w:val="left"/>
              <w:rPr>
                <w:rFonts w:ascii="Times New Roman" w:hAnsi="Times New Roman" w:cs="Times New Roman" w:eastAsia="Times New Roman" w:hint="default"/>
                <w:sz w:val="18"/>
                <w:szCs w:val="18"/>
              </w:rPr>
            </w:pPr>
            <w:r>
              <w:rPr>
                <w:rFonts w:ascii="Times New Roman"/>
                <w:sz w:val="18"/>
              </w:rPr>
              <w:t>2,430,0</w:t>
            </w:r>
          </w:p>
          <w:p>
            <w:pPr>
              <w:pStyle w:val="TableParagraph"/>
              <w:spacing w:line="240" w:lineRule="auto" w:before="106"/>
              <w:ind w:left="503" w:right="0"/>
              <w:jc w:val="left"/>
              <w:rPr>
                <w:rFonts w:ascii="Times New Roman" w:hAnsi="Times New Roman" w:cs="Times New Roman" w:eastAsia="Times New Roman" w:hint="default"/>
                <w:sz w:val="18"/>
                <w:szCs w:val="18"/>
              </w:rPr>
            </w:pPr>
            <w:r>
              <w:rPr>
                <w:rFonts w:ascii="Times New Roman"/>
                <w:sz w:val="18"/>
              </w:rPr>
              <w:t>00</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50" w:type="dxa"/>
            <w:gridSpan w:val="2"/>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69"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z w:val="18"/>
                <w:szCs w:val="18"/>
              </w:rPr>
              <w:t>深圳市创新投</w:t>
            </w:r>
          </w:p>
        </w:tc>
        <w:tc>
          <w:tcPr>
            <w:tcW w:w="1411"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z w:val="18"/>
                <w:szCs w:val="18"/>
              </w:rPr>
              <w:t>境内非国有法</w:t>
            </w:r>
          </w:p>
        </w:tc>
        <w:tc>
          <w:tcPr>
            <w:tcW w:w="7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61"/>
              <w:jc w:val="right"/>
              <w:rPr>
                <w:rFonts w:ascii="Times New Roman" w:hAnsi="Times New Roman" w:cs="Times New Roman" w:eastAsia="Times New Roman" w:hint="default"/>
                <w:sz w:val="18"/>
                <w:szCs w:val="18"/>
              </w:rPr>
            </w:pPr>
            <w:r>
              <w:rPr>
                <w:rFonts w:ascii="Times New Roman"/>
                <w:sz w:val="18"/>
              </w:rPr>
              <w:t>1.76%</w:t>
            </w:r>
          </w:p>
        </w:tc>
        <w:tc>
          <w:tcPr>
            <w:tcW w:w="8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71" w:right="0"/>
              <w:jc w:val="left"/>
              <w:rPr>
                <w:rFonts w:ascii="Times New Roman" w:hAnsi="Times New Roman" w:cs="Times New Roman" w:eastAsia="Times New Roman" w:hint="default"/>
                <w:sz w:val="18"/>
                <w:szCs w:val="18"/>
              </w:rPr>
            </w:pPr>
            <w:r>
              <w:rPr>
                <w:rFonts w:ascii="Times New Roman"/>
                <w:sz w:val="18"/>
              </w:rPr>
              <w:t>2,141,4</w:t>
            </w:r>
          </w:p>
        </w:tc>
        <w:tc>
          <w:tcPr>
            <w:tcW w:w="788"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03" w:right="0"/>
              <w:jc w:val="left"/>
              <w:rPr>
                <w:rFonts w:ascii="Times New Roman" w:hAnsi="Times New Roman" w:cs="Times New Roman" w:eastAsia="Times New Roman" w:hint="default"/>
                <w:sz w:val="18"/>
                <w:szCs w:val="18"/>
              </w:rPr>
            </w:pPr>
            <w:r>
              <w:rPr>
                <w:rFonts w:ascii="Times New Roman"/>
                <w:sz w:val="18"/>
              </w:rPr>
              <w:t>-16620</w:t>
            </w:r>
          </w:p>
        </w:tc>
        <w:tc>
          <w:tcPr>
            <w:tcW w:w="8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45"/>
              <w:jc w:val="right"/>
              <w:rPr>
                <w:rFonts w:ascii="Times New Roman" w:hAnsi="Times New Roman" w:cs="Times New Roman" w:eastAsia="Times New Roman" w:hint="default"/>
                <w:sz w:val="18"/>
                <w:szCs w:val="18"/>
              </w:rPr>
            </w:pPr>
            <w:r>
              <w:rPr>
                <w:rFonts w:ascii="Times New Roman"/>
                <w:sz w:val="18"/>
              </w:rPr>
              <w:t>0</w:t>
            </w:r>
          </w:p>
        </w:tc>
        <w:tc>
          <w:tcPr>
            <w:tcW w:w="7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43" w:right="0"/>
              <w:jc w:val="left"/>
              <w:rPr>
                <w:rFonts w:ascii="Times New Roman" w:hAnsi="Times New Roman" w:cs="Times New Roman" w:eastAsia="Times New Roman" w:hint="default"/>
                <w:sz w:val="18"/>
                <w:szCs w:val="18"/>
              </w:rPr>
            </w:pPr>
            <w:r>
              <w:rPr>
                <w:rFonts w:ascii="Times New Roman"/>
                <w:sz w:val="18"/>
              </w:rPr>
              <w:t>2,141,4</w:t>
            </w:r>
          </w:p>
        </w:tc>
        <w:tc>
          <w:tcPr>
            <w:tcW w:w="1349" w:type="dxa"/>
            <w:gridSpan w:val="2"/>
            <w:tcBorders>
              <w:top w:val="single" w:sz="4" w:space="0" w:color="000000"/>
              <w:left w:val="single" w:sz="4" w:space="0" w:color="000000"/>
              <w:bottom w:val="single" w:sz="4" w:space="0" w:color="000000"/>
              <w:right w:val="single" w:sz="4" w:space="0" w:color="000000"/>
            </w:tcBorders>
          </w:tcPr>
          <w:p>
            <w:pPr/>
          </w:p>
        </w:tc>
        <w:tc>
          <w:tcPr>
            <w:tcW w:w="1350" w:type="dxa"/>
            <w:gridSpan w:val="2"/>
            <w:tcBorders>
              <w:top w:val="single" w:sz="4" w:space="0" w:color="000000"/>
              <w:left w:val="single" w:sz="4" w:space="0" w:color="000000"/>
              <w:bottom w:val="single" w:sz="4" w:space="0" w:color="000000"/>
              <w:right w:val="single" w:sz="4" w:space="0" w:color="000000"/>
            </w:tcBorders>
          </w:tcPr>
          <w:p>
            <w:pPr/>
          </w:p>
        </w:tc>
      </w:tr>
    </w:tbl>
    <w:p>
      <w:pPr>
        <w:spacing w:after="0"/>
        <w:sectPr>
          <w:footerReference w:type="default" r:id="rId13"/>
          <w:pgSz w:w="11910" w:h="16840"/>
          <w:pgMar w:footer="1019" w:header="822"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469"/>
        <w:gridCol w:w="1411"/>
        <w:gridCol w:w="788"/>
        <w:gridCol w:w="786"/>
        <w:gridCol w:w="788"/>
        <w:gridCol w:w="786"/>
        <w:gridCol w:w="840"/>
        <w:gridCol w:w="1349"/>
        <w:gridCol w:w="1350"/>
      </w:tblGrid>
      <w:tr>
        <w:trPr>
          <w:trHeight w:val="67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274"/>
              <w:jc w:val="left"/>
              <w:rPr>
                <w:rFonts w:ascii="宋体" w:hAnsi="宋体" w:cs="宋体" w:eastAsia="宋体" w:hint="default"/>
                <w:sz w:val="18"/>
                <w:szCs w:val="18"/>
              </w:rPr>
            </w:pPr>
            <w:r>
              <w:rPr>
                <w:rFonts w:ascii="宋体" w:hAnsi="宋体" w:cs="宋体" w:eastAsia="宋体" w:hint="default"/>
                <w:sz w:val="18"/>
                <w:szCs w:val="18"/>
              </w:rPr>
              <w:t>资集团有限公 司</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人</w:t>
            </w:r>
          </w:p>
        </w:tc>
        <w:tc>
          <w:tcPr>
            <w:tcW w:w="788" w:type="dxa"/>
            <w:tcBorders>
              <w:top w:val="single" w:sz="4" w:space="0" w:color="000000"/>
              <w:left w:val="single" w:sz="4" w:space="0" w:color="000000"/>
              <w:bottom w:val="single" w:sz="4" w:space="0" w:color="000000"/>
              <w:right w:val="single" w:sz="4" w:space="0" w:color="000000"/>
            </w:tcBorders>
          </w:tcPr>
          <w:p>
            <w:pP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493" w:right="0"/>
              <w:jc w:val="left"/>
              <w:rPr>
                <w:rFonts w:ascii="Times New Roman" w:hAnsi="Times New Roman" w:cs="Times New Roman" w:eastAsia="Times New Roman" w:hint="default"/>
                <w:sz w:val="18"/>
                <w:szCs w:val="18"/>
              </w:rPr>
            </w:pPr>
            <w:r>
              <w:rPr>
                <w:rFonts w:ascii="Times New Roman"/>
                <w:sz w:val="18"/>
              </w:rPr>
              <w:t>49</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sz w:val="18"/>
              </w:rPr>
              <w:t>80</w:t>
            </w:r>
          </w:p>
        </w:tc>
        <w:tc>
          <w:tcPr>
            <w:tcW w:w="786" w:type="dxa"/>
            <w:tcBorders>
              <w:top w:val="single" w:sz="4" w:space="0" w:color="000000"/>
              <w:left w:val="single" w:sz="4" w:space="0" w:color="000000"/>
              <w:bottom w:val="single" w:sz="4" w:space="0" w:color="000000"/>
              <w:right w:val="single" w:sz="4" w:space="0" w:color="000000"/>
            </w:tcBorders>
          </w:tcPr>
          <w:p>
            <w:pP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49</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5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74"/>
              <w:jc w:val="left"/>
              <w:rPr>
                <w:rFonts w:ascii="宋体" w:hAnsi="宋体" w:cs="宋体" w:eastAsia="宋体" w:hint="default"/>
                <w:sz w:val="18"/>
                <w:szCs w:val="18"/>
              </w:rPr>
            </w:pPr>
            <w:r>
              <w:rPr>
                <w:rFonts w:ascii="宋体" w:hAnsi="宋体" w:cs="宋体" w:eastAsia="宋体" w:hint="default"/>
                <w:sz w:val="18"/>
                <w:szCs w:val="18"/>
              </w:rPr>
              <w:t>上海红土创业 投资有限公司</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16"/>
              <w:jc w:val="left"/>
              <w:rPr>
                <w:rFonts w:ascii="宋体" w:hAnsi="宋体" w:cs="宋体" w:eastAsia="宋体" w:hint="default"/>
                <w:sz w:val="18"/>
                <w:szCs w:val="18"/>
              </w:rPr>
            </w:pPr>
            <w:r>
              <w:rPr>
                <w:rFonts w:ascii="宋体" w:hAnsi="宋体" w:cs="宋体" w:eastAsia="宋体" w:hint="default"/>
                <w:sz w:val="18"/>
                <w:szCs w:val="18"/>
              </w:rPr>
              <w:t>境内非国有法 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1.66%</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3" w:right="0"/>
              <w:jc w:val="left"/>
              <w:rPr>
                <w:rFonts w:ascii="Times New Roman" w:hAnsi="Times New Roman" w:cs="Times New Roman" w:eastAsia="Times New Roman" w:hint="default"/>
                <w:sz w:val="18"/>
                <w:szCs w:val="18"/>
              </w:rPr>
            </w:pPr>
            <w:r>
              <w:rPr>
                <w:rFonts w:ascii="Times New Roman"/>
                <w:sz w:val="18"/>
              </w:rPr>
              <w:t>2,019,6</w:t>
            </w:r>
          </w:p>
          <w:p>
            <w:pPr>
              <w:pStyle w:val="TableParagraph"/>
              <w:spacing w:line="240" w:lineRule="auto" w:before="105"/>
              <w:ind w:left="493" w:right="0"/>
              <w:jc w:val="left"/>
              <w:rPr>
                <w:rFonts w:ascii="Times New Roman" w:hAnsi="Times New Roman" w:cs="Times New Roman" w:eastAsia="Times New Roman" w:hint="default"/>
                <w:sz w:val="18"/>
                <w:szCs w:val="18"/>
              </w:rPr>
            </w:pPr>
            <w:r>
              <w:rPr>
                <w:rFonts w:ascii="Times New Roman"/>
                <w:sz w:val="18"/>
              </w:rPr>
              <w:t>20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-73600</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0</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7" w:right="0"/>
              <w:jc w:val="left"/>
              <w:rPr>
                <w:rFonts w:ascii="Times New Roman" w:hAnsi="Times New Roman" w:cs="Times New Roman" w:eastAsia="Times New Roman" w:hint="default"/>
                <w:sz w:val="18"/>
                <w:szCs w:val="18"/>
              </w:rPr>
            </w:pPr>
            <w:r>
              <w:rPr>
                <w:rFonts w:ascii="Times New Roman"/>
                <w:sz w:val="18"/>
              </w:rPr>
              <w:t>2,019,6</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20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5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74"/>
              <w:jc w:val="both"/>
              <w:rPr>
                <w:rFonts w:ascii="宋体" w:hAnsi="宋体" w:cs="宋体" w:eastAsia="宋体" w:hint="default"/>
                <w:sz w:val="18"/>
                <w:szCs w:val="18"/>
              </w:rPr>
            </w:pPr>
            <w:r>
              <w:rPr>
                <w:rFonts w:ascii="宋体" w:hAnsi="宋体" w:cs="宋体" w:eastAsia="宋体" w:hint="default"/>
                <w:sz w:val="18"/>
                <w:szCs w:val="18"/>
              </w:rPr>
              <w:t>中央汇金资产 管理有限责任 公司</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国有法人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1.63%</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33" w:right="0"/>
              <w:jc w:val="left"/>
              <w:rPr>
                <w:rFonts w:ascii="Times New Roman" w:hAnsi="Times New Roman" w:cs="Times New Roman" w:eastAsia="Times New Roman" w:hint="default"/>
                <w:sz w:val="18"/>
                <w:szCs w:val="18"/>
              </w:rPr>
            </w:pPr>
            <w:r>
              <w:rPr>
                <w:rFonts w:ascii="Times New Roman"/>
                <w:sz w:val="18"/>
              </w:rPr>
              <w:t>1,993,6</w:t>
            </w:r>
          </w:p>
          <w:p>
            <w:pPr>
              <w:pStyle w:val="TableParagraph"/>
              <w:spacing w:line="240" w:lineRule="auto" w:before="105"/>
              <w:ind w:left="493" w:right="0"/>
              <w:jc w:val="left"/>
              <w:rPr>
                <w:rFonts w:ascii="Times New Roman" w:hAnsi="Times New Roman" w:cs="Times New Roman" w:eastAsia="Times New Roman" w:hint="default"/>
                <w:sz w:val="18"/>
                <w:szCs w:val="18"/>
              </w:rPr>
            </w:pPr>
            <w:r>
              <w:rPr>
                <w:rFonts w:ascii="Times New Roman"/>
                <w:sz w:val="18"/>
              </w:rPr>
              <w:t>80</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0</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87" w:right="0"/>
              <w:jc w:val="left"/>
              <w:rPr>
                <w:rFonts w:ascii="Times New Roman" w:hAnsi="Times New Roman" w:cs="Times New Roman" w:eastAsia="Times New Roman" w:hint="default"/>
                <w:sz w:val="18"/>
                <w:szCs w:val="18"/>
              </w:rPr>
            </w:pPr>
            <w:r>
              <w:rPr>
                <w:rFonts w:ascii="Times New Roman"/>
                <w:sz w:val="18"/>
              </w:rPr>
              <w:t>1,993,6</w:t>
            </w:r>
          </w:p>
          <w:p>
            <w:pPr>
              <w:pStyle w:val="TableParagraph"/>
              <w:spacing w:line="240" w:lineRule="auto" w:before="105"/>
              <w:ind w:left="547" w:right="0"/>
              <w:jc w:val="left"/>
              <w:rPr>
                <w:rFonts w:ascii="Times New Roman" w:hAnsi="Times New Roman" w:cs="Times New Roman" w:eastAsia="Times New Roman" w:hint="default"/>
                <w:sz w:val="18"/>
                <w:szCs w:val="18"/>
              </w:rPr>
            </w:pPr>
            <w:r>
              <w:rPr>
                <w:rFonts w:ascii="Times New Roman"/>
                <w:sz w:val="18"/>
              </w:rPr>
              <w:t>80</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5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杨安荣</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1.57%</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3" w:right="0"/>
              <w:jc w:val="left"/>
              <w:rPr>
                <w:rFonts w:ascii="Times New Roman" w:hAnsi="Times New Roman" w:cs="Times New Roman" w:eastAsia="Times New Roman" w:hint="default"/>
                <w:sz w:val="18"/>
                <w:szCs w:val="18"/>
              </w:rPr>
            </w:pPr>
            <w:r>
              <w:rPr>
                <w:rFonts w:ascii="Times New Roman"/>
                <w:sz w:val="18"/>
              </w:rPr>
              <w:t>1,912,1</w:t>
            </w:r>
          </w:p>
          <w:p>
            <w:pPr>
              <w:pStyle w:val="TableParagraph"/>
              <w:spacing w:line="240" w:lineRule="auto" w:before="105"/>
              <w:ind w:left="493" w:right="0"/>
              <w:jc w:val="left"/>
              <w:rPr>
                <w:rFonts w:ascii="Times New Roman" w:hAnsi="Times New Roman" w:cs="Times New Roman" w:eastAsia="Times New Roman" w:hint="default"/>
                <w:sz w:val="18"/>
                <w:szCs w:val="18"/>
              </w:rPr>
            </w:pPr>
            <w:r>
              <w:rPr>
                <w:rFonts w:ascii="Times New Roman"/>
                <w:sz w:val="18"/>
              </w:rPr>
              <w:t>76</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0</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3" w:right="0"/>
              <w:jc w:val="left"/>
              <w:rPr>
                <w:rFonts w:ascii="Times New Roman" w:hAnsi="Times New Roman" w:cs="Times New Roman" w:eastAsia="Times New Roman" w:hint="default"/>
                <w:sz w:val="18"/>
                <w:szCs w:val="18"/>
              </w:rPr>
            </w:pPr>
            <w:r>
              <w:rPr>
                <w:rFonts w:ascii="Times New Roman"/>
                <w:sz w:val="18"/>
              </w:rPr>
              <w:t>1,434,1</w:t>
            </w:r>
          </w:p>
          <w:p>
            <w:pPr>
              <w:pStyle w:val="TableParagraph"/>
              <w:spacing w:line="240" w:lineRule="auto" w:before="105"/>
              <w:ind w:left="493" w:right="0"/>
              <w:jc w:val="left"/>
              <w:rPr>
                <w:rFonts w:ascii="Times New Roman" w:hAnsi="Times New Roman" w:cs="Times New Roman" w:eastAsia="Times New Roman" w:hint="default"/>
                <w:sz w:val="18"/>
                <w:szCs w:val="18"/>
              </w:rPr>
            </w:pPr>
            <w:r>
              <w:rPr>
                <w:rFonts w:ascii="Times New Roman"/>
                <w:sz w:val="18"/>
              </w:rPr>
              <w:t>32</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478,044</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5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刘理洲</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1.19%</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3" w:right="0"/>
              <w:jc w:val="left"/>
              <w:rPr>
                <w:rFonts w:ascii="Times New Roman" w:hAnsi="Times New Roman" w:cs="Times New Roman" w:eastAsia="Times New Roman" w:hint="default"/>
                <w:sz w:val="18"/>
                <w:szCs w:val="18"/>
              </w:rPr>
            </w:pPr>
            <w:r>
              <w:rPr>
                <w:rFonts w:ascii="Times New Roman"/>
                <w:sz w:val="18"/>
              </w:rPr>
              <w:t>1,452,3</w:t>
            </w:r>
          </w:p>
          <w:p>
            <w:pPr>
              <w:pStyle w:val="TableParagraph"/>
              <w:spacing w:line="240" w:lineRule="auto" w:before="105"/>
              <w:ind w:left="493" w:right="0"/>
              <w:jc w:val="left"/>
              <w:rPr>
                <w:rFonts w:ascii="Times New Roman" w:hAnsi="Times New Roman" w:cs="Times New Roman" w:eastAsia="Times New Roman" w:hint="default"/>
                <w:sz w:val="18"/>
                <w:szCs w:val="18"/>
              </w:rPr>
            </w:pPr>
            <w:r>
              <w:rPr>
                <w:rFonts w:ascii="Times New Roman"/>
                <w:sz w:val="18"/>
              </w:rPr>
              <w:t>84</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sz w:val="18"/>
              </w:rPr>
              <w:t>0</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3" w:right="0"/>
              <w:jc w:val="left"/>
              <w:rPr>
                <w:rFonts w:ascii="Times New Roman" w:hAnsi="Times New Roman" w:cs="Times New Roman" w:eastAsia="Times New Roman" w:hint="default"/>
                <w:sz w:val="18"/>
                <w:szCs w:val="18"/>
              </w:rPr>
            </w:pPr>
            <w:r>
              <w:rPr>
                <w:rFonts w:ascii="Times New Roman"/>
                <w:sz w:val="18"/>
              </w:rPr>
              <w:t>1,089,2</w:t>
            </w:r>
          </w:p>
          <w:p>
            <w:pPr>
              <w:pStyle w:val="TableParagraph"/>
              <w:spacing w:line="240" w:lineRule="auto" w:before="105"/>
              <w:ind w:left="493" w:right="0"/>
              <w:jc w:val="left"/>
              <w:rPr>
                <w:rFonts w:ascii="Times New Roman" w:hAnsi="Times New Roman" w:cs="Times New Roman" w:eastAsia="Times New Roman" w:hint="default"/>
                <w:sz w:val="18"/>
                <w:szCs w:val="18"/>
              </w:rPr>
            </w:pPr>
            <w:r>
              <w:rPr>
                <w:rFonts w:ascii="Times New Roman"/>
                <w:sz w:val="18"/>
              </w:rPr>
              <w:t>88</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363,096</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5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李志卿</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境内自然人</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0.82%</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3" w:right="0"/>
              <w:jc w:val="left"/>
              <w:rPr>
                <w:rFonts w:ascii="Times New Roman" w:hAnsi="Times New Roman" w:cs="Times New Roman" w:eastAsia="Times New Roman" w:hint="default"/>
                <w:sz w:val="18"/>
                <w:szCs w:val="18"/>
              </w:rPr>
            </w:pPr>
            <w:r>
              <w:rPr>
                <w:rFonts w:ascii="Times New Roman"/>
                <w:sz w:val="18"/>
              </w:rPr>
              <w:t>1,004,6</w:t>
            </w:r>
          </w:p>
          <w:p>
            <w:pPr>
              <w:pStyle w:val="TableParagraph"/>
              <w:spacing w:line="240" w:lineRule="auto" w:before="105"/>
              <w:ind w:left="493" w:right="0"/>
              <w:jc w:val="left"/>
              <w:rPr>
                <w:rFonts w:ascii="Times New Roman" w:hAnsi="Times New Roman" w:cs="Times New Roman" w:eastAsia="Times New Roman" w:hint="default"/>
                <w:sz w:val="18"/>
                <w:szCs w:val="18"/>
              </w:rPr>
            </w:pPr>
            <w:r>
              <w:rPr>
                <w:rFonts w:ascii="Times New Roman"/>
                <w:sz w:val="18"/>
              </w:rPr>
              <w:t>84</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-14998</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0</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865,99</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8</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138,686</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5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1469"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214"/>
              <w:jc w:val="left"/>
              <w:rPr>
                <w:rFonts w:ascii="宋体" w:hAnsi="宋体" w:cs="宋体" w:eastAsia="宋体" w:hint="default"/>
                <w:sz w:val="18"/>
                <w:szCs w:val="18"/>
              </w:rPr>
            </w:pPr>
            <w:r>
              <w:rPr>
                <w:rFonts w:ascii="宋体" w:hAnsi="宋体" w:cs="宋体" w:eastAsia="宋体" w:hint="default"/>
                <w:sz w:val="18"/>
                <w:szCs w:val="18"/>
              </w:rPr>
              <w:t>中国工商银行 股份有限公司</w:t>
            </w:r>
            <w:r>
              <w:rPr>
                <w:rFonts w:ascii="Times New Roman" w:hAnsi="Times New Roman" w:cs="Times New Roman" w:eastAsia="Times New Roman" w:hint="default"/>
                <w:sz w:val="18"/>
                <w:szCs w:val="18"/>
              </w:rPr>
              <w:t>- </w:t>
            </w:r>
            <w:r>
              <w:rPr>
                <w:rFonts w:ascii="宋体" w:hAnsi="宋体" w:cs="宋体" w:eastAsia="宋体" w:hint="default"/>
                <w:sz w:val="18"/>
                <w:szCs w:val="18"/>
              </w:rPr>
              <w:t>诺安成长混合 型证券投资基 金</w:t>
            </w:r>
          </w:p>
        </w:tc>
        <w:tc>
          <w:tcPr>
            <w:tcW w:w="141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0.79%</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0"/>
              <w:jc w:val="right"/>
              <w:rPr>
                <w:rFonts w:ascii="Times New Roman" w:hAnsi="Times New Roman" w:cs="Times New Roman" w:eastAsia="Times New Roman" w:hint="default"/>
                <w:sz w:val="18"/>
                <w:szCs w:val="18"/>
              </w:rPr>
            </w:pPr>
            <w:r>
              <w:rPr>
                <w:rFonts w:ascii="Times New Roman"/>
                <w:sz w:val="18"/>
              </w:rPr>
              <w:t>961,48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7</w:t>
            </w:r>
          </w:p>
        </w:tc>
        <w:tc>
          <w:tcPr>
            <w:tcW w:w="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103" w:right="0"/>
              <w:jc w:val="left"/>
              <w:rPr>
                <w:rFonts w:ascii="Times New Roman" w:hAnsi="Times New Roman" w:cs="Times New Roman" w:eastAsia="Times New Roman" w:hint="default"/>
                <w:sz w:val="18"/>
                <w:szCs w:val="18"/>
              </w:rPr>
            </w:pPr>
            <w:r>
              <w:rPr>
                <w:rFonts w:ascii="Times New Roman"/>
                <w:sz w:val="18"/>
              </w:rPr>
              <w:t>961,48</w:t>
            </w: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sz w:val="18"/>
              </w:rPr>
              <w:t>7</w:t>
            </w:r>
          </w:p>
        </w:tc>
        <w:tc>
          <w:tcPr>
            <w:tcW w:w="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84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961,487</w:t>
            </w:r>
          </w:p>
        </w:tc>
        <w:tc>
          <w:tcPr>
            <w:tcW w:w="1349" w:type="dxa"/>
            <w:tcBorders>
              <w:top w:val="single" w:sz="4" w:space="0" w:color="000000"/>
              <w:left w:val="single" w:sz="4" w:space="0" w:color="000000"/>
              <w:bottom w:val="single" w:sz="4" w:space="0" w:color="000000"/>
              <w:right w:val="single" w:sz="4" w:space="0" w:color="000000"/>
            </w:tcBorders>
          </w:tcPr>
          <w:p>
            <w:pPr/>
          </w:p>
        </w:tc>
        <w:tc>
          <w:tcPr>
            <w:tcW w:w="1350"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88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1"/>
              <w:jc w:val="left"/>
              <w:rPr>
                <w:rFonts w:ascii="宋体" w:hAnsi="宋体" w:cs="宋体" w:eastAsia="宋体" w:hint="default"/>
                <w:sz w:val="18"/>
                <w:szCs w:val="18"/>
              </w:rPr>
            </w:pPr>
            <w:r>
              <w:rPr>
                <w:rFonts w:ascii="宋体" w:hAnsi="宋体" w:cs="宋体" w:eastAsia="宋体" w:hint="default"/>
                <w:sz w:val="18"/>
                <w:szCs w:val="18"/>
              </w:rPr>
              <w:t>战略投资者或一般法人因配售新 股成为前</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pacing w:val="-4"/>
                <w:sz w:val="18"/>
                <w:szCs w:val="18"/>
              </w:rPr>
              <w:t>名股东的情况（如有）</w:t>
            </w: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宋体" w:hAnsi="宋体" w:cs="宋体" w:eastAsia="宋体" w:hint="default"/>
                <w:sz w:val="18"/>
                <w:szCs w:val="18"/>
              </w:rPr>
              <w:t>）</w:t>
            </w:r>
          </w:p>
        </w:tc>
        <w:tc>
          <w:tcPr>
            <w:tcW w:w="6688" w:type="dxa"/>
            <w:gridSpan w:val="7"/>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26"/>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1026" w:hRule="exact"/>
        </w:trPr>
        <w:tc>
          <w:tcPr>
            <w:tcW w:w="288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103" w:right="245"/>
              <w:jc w:val="left"/>
              <w:rPr>
                <w:rFonts w:ascii="宋体" w:hAnsi="宋体" w:cs="宋体" w:eastAsia="宋体" w:hint="default"/>
                <w:sz w:val="18"/>
                <w:szCs w:val="18"/>
              </w:rPr>
            </w:pPr>
            <w:r>
              <w:rPr>
                <w:rFonts w:ascii="宋体" w:hAnsi="宋体" w:cs="宋体" w:eastAsia="宋体" w:hint="default"/>
                <w:sz w:val="18"/>
                <w:szCs w:val="18"/>
              </w:rPr>
              <w:t>上述股东关联关系或一致行动的 说明</w:t>
            </w:r>
          </w:p>
        </w:tc>
        <w:tc>
          <w:tcPr>
            <w:tcW w:w="6688" w:type="dxa"/>
            <w:gridSpan w:val="7"/>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93"/>
              <w:jc w:val="both"/>
              <w:rPr>
                <w:rFonts w:ascii="宋体" w:hAnsi="宋体" w:cs="宋体" w:eastAsia="宋体" w:hint="default"/>
                <w:sz w:val="18"/>
                <w:szCs w:val="18"/>
              </w:rPr>
            </w:pPr>
            <w:r>
              <w:rPr>
                <w:rFonts w:ascii="宋体" w:hAnsi="宋体" w:cs="宋体" w:eastAsia="宋体" w:hint="default"/>
                <w:sz w:val="18"/>
                <w:szCs w:val="18"/>
              </w:rPr>
              <w:t>除上海中信电子发展有限公司和张曙华属一致行动人，深圳市创新投资集团有限公 司和上海红土创业投资有限公司属一致行动人，公司未曾知悉其他股东间是否存在 关联关系或属于《上市公司股东持股变动信息披露管理办法》规定的一致行动人。</w:t>
            </w:r>
          </w:p>
        </w:tc>
      </w:tr>
      <w:tr>
        <w:trPr>
          <w:trHeight w:val="402" w:hRule="exact"/>
        </w:trPr>
        <w:tc>
          <w:tcPr>
            <w:tcW w:w="9569" w:type="dxa"/>
            <w:gridSpan w:val="9"/>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名无限售条件股东持股情况</w:t>
            </w:r>
          </w:p>
        </w:tc>
      </w:tr>
      <w:tr>
        <w:trPr>
          <w:trHeight w:val="402" w:hRule="exact"/>
        </w:trPr>
        <w:tc>
          <w:tcPr>
            <w:tcW w:w="2880" w:type="dxa"/>
            <w:gridSpan w:val="2"/>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股东名称</w:t>
            </w:r>
          </w:p>
        </w:tc>
        <w:tc>
          <w:tcPr>
            <w:tcW w:w="3989" w:type="dxa"/>
            <w:gridSpan w:val="5"/>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Times New Roman" w:hAnsi="Times New Roman" w:cs="Times New Roman" w:eastAsia="Times New Roman" w:hint="default"/>
                <w:sz w:val="21"/>
                <w:szCs w:val="21"/>
              </w:rPr>
            </w:pPr>
          </w:p>
          <w:p>
            <w:pPr>
              <w:pStyle w:val="TableParagraph"/>
              <w:spacing w:line="240" w:lineRule="auto"/>
              <w:ind w:left="639" w:right="0"/>
              <w:jc w:val="left"/>
              <w:rPr>
                <w:rFonts w:ascii="宋体" w:hAnsi="宋体" w:cs="宋体" w:eastAsia="宋体" w:hint="default"/>
                <w:sz w:val="18"/>
                <w:szCs w:val="18"/>
              </w:rPr>
            </w:pPr>
            <w:r>
              <w:rPr>
                <w:rFonts w:ascii="宋体" w:hAnsi="宋体" w:cs="宋体" w:eastAsia="宋体" w:hint="default"/>
                <w:sz w:val="18"/>
                <w:szCs w:val="18"/>
              </w:rPr>
              <w:t>报告期末持有无限售条件股份数量</w:t>
            </w:r>
          </w:p>
        </w:tc>
        <w:tc>
          <w:tcPr>
            <w:tcW w:w="269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r>
      <w:tr>
        <w:trPr>
          <w:trHeight w:val="402" w:hRule="exact"/>
        </w:trPr>
        <w:tc>
          <w:tcPr>
            <w:tcW w:w="2880" w:type="dxa"/>
            <w:gridSpan w:val="2"/>
            <w:vMerge/>
            <w:tcBorders>
              <w:left w:val="single" w:sz="4" w:space="0" w:color="000000"/>
              <w:bottom w:val="single" w:sz="4" w:space="0" w:color="000000"/>
              <w:right w:val="single" w:sz="4" w:space="0" w:color="000000"/>
            </w:tcBorders>
            <w:shd w:val="clear" w:color="auto" w:fill="D2D2D2"/>
          </w:tcPr>
          <w:p>
            <w:pPr/>
          </w:p>
        </w:tc>
        <w:tc>
          <w:tcPr>
            <w:tcW w:w="3989" w:type="dxa"/>
            <w:gridSpan w:val="5"/>
            <w:vMerge/>
            <w:tcBorders>
              <w:left w:val="single" w:sz="4" w:space="0" w:color="000000"/>
              <w:bottom w:val="single" w:sz="4" w:space="0" w:color="000000"/>
              <w:right w:val="single" w:sz="4" w:space="0" w:color="000000"/>
            </w:tcBorders>
            <w:shd w:val="clear" w:color="auto" w:fill="D2D2D2"/>
          </w:tcPr>
          <w:p>
            <w:pPr/>
          </w:p>
        </w:tc>
        <w:tc>
          <w:tcPr>
            <w:tcW w:w="134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股份种类</w:t>
            </w:r>
          </w:p>
        </w:tc>
        <w:tc>
          <w:tcPr>
            <w:tcW w:w="135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数量</w:t>
            </w:r>
          </w:p>
        </w:tc>
      </w:tr>
      <w:tr>
        <w:trPr>
          <w:trHeight w:val="402"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上海中信电子发展有限公司</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36,626,320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36,626,320</w:t>
            </w:r>
          </w:p>
        </w:tc>
      </w:tr>
      <w:tr>
        <w:trPr>
          <w:trHeight w:val="402"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张曙华</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6,006,536</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6,006,536</w:t>
            </w:r>
          </w:p>
        </w:tc>
      </w:tr>
      <w:tr>
        <w:trPr>
          <w:trHeight w:val="714"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pacing w:val="-3"/>
                <w:sz w:val="18"/>
                <w:szCs w:val="18"/>
              </w:rPr>
              <w:t>嘉兴慧锦股权投资合伙企业（有限</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合伙）</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2,430,000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2,430,000</w:t>
            </w:r>
          </w:p>
        </w:tc>
      </w:tr>
      <w:tr>
        <w:trPr>
          <w:trHeight w:val="402"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深圳市创新投资集团有限公司</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2,141,449</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2,141,449</w:t>
            </w:r>
          </w:p>
        </w:tc>
      </w:tr>
      <w:tr>
        <w:trPr>
          <w:trHeight w:val="402"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上海红土创业投资有限公司</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2,019,620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2,019,620</w:t>
            </w:r>
          </w:p>
        </w:tc>
      </w:tr>
      <w:tr>
        <w:trPr>
          <w:trHeight w:val="402"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中央汇金资产管理有限责任公司</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1,993,680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1,993,680</w:t>
            </w:r>
          </w:p>
        </w:tc>
      </w:tr>
      <w:tr>
        <w:trPr>
          <w:trHeight w:val="714"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185"/>
              <w:jc w:val="left"/>
              <w:rPr>
                <w:rFonts w:ascii="宋体" w:hAnsi="宋体" w:cs="宋体" w:eastAsia="宋体" w:hint="default"/>
                <w:sz w:val="18"/>
                <w:szCs w:val="18"/>
              </w:rPr>
            </w:pPr>
            <w:r>
              <w:rPr>
                <w:rFonts w:ascii="宋体" w:hAnsi="宋体" w:cs="宋体" w:eastAsia="宋体" w:hint="default"/>
                <w:sz w:val="18"/>
                <w:szCs w:val="18"/>
              </w:rPr>
              <w:t>中国工商银行股份有限公司</w:t>
            </w:r>
            <w:r>
              <w:rPr>
                <w:rFonts w:ascii="Times New Roman" w:hAnsi="Times New Roman" w:cs="Times New Roman" w:eastAsia="Times New Roman" w:hint="default"/>
                <w:sz w:val="18"/>
                <w:szCs w:val="18"/>
              </w:rPr>
              <w:t>-</w:t>
            </w:r>
            <w:r>
              <w:rPr>
                <w:rFonts w:ascii="宋体" w:hAnsi="宋体" w:cs="宋体" w:eastAsia="宋体" w:hint="default"/>
                <w:sz w:val="18"/>
                <w:szCs w:val="18"/>
              </w:rPr>
              <w:t>诺安 成长混合型证券投资基金</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961,487</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961,487</w:t>
            </w:r>
          </w:p>
        </w:tc>
      </w:tr>
      <w:tr>
        <w:trPr>
          <w:trHeight w:val="402"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马桂荣</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702,880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702,880</w:t>
            </w:r>
          </w:p>
        </w:tc>
      </w:tr>
      <w:tr>
        <w:trPr>
          <w:trHeight w:val="402" w:hRule="exact"/>
        </w:trPr>
        <w:tc>
          <w:tcPr>
            <w:tcW w:w="2880"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杨安荣</w:t>
            </w:r>
          </w:p>
        </w:tc>
        <w:tc>
          <w:tcPr>
            <w:tcW w:w="3989" w:type="dxa"/>
            <w:gridSpan w:val="5"/>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478,044</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51"/>
              <w:jc w:val="center"/>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478,044</w:t>
            </w:r>
          </w:p>
        </w:tc>
      </w:tr>
    </w:tbl>
    <w:p>
      <w:pPr>
        <w:spacing w:after="0" w:line="240" w:lineRule="auto"/>
        <w:jc w:val="right"/>
        <w:rPr>
          <w:rFonts w:ascii="Times New Roman" w:hAnsi="Times New Roman" w:cs="Times New Roman" w:eastAsia="Times New Roman" w:hint="default"/>
          <w:sz w:val="18"/>
          <w:szCs w:val="18"/>
        </w:rPr>
        <w:sectPr>
          <w:footerReference w:type="default" r:id="rId14"/>
          <w:pgSz w:w="11910" w:h="16840"/>
          <w:pgMar w:footer="1019" w:header="822" w:top="1140" w:bottom="1200" w:left="1020" w:right="0"/>
          <w:pgNumType w:start="101"/>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880"/>
        <w:gridCol w:w="3989"/>
        <w:gridCol w:w="1349"/>
        <w:gridCol w:w="1350"/>
      </w:tblGrid>
      <w:tr>
        <w:trPr>
          <w:trHeight w:val="402" w:hRule="exact"/>
        </w:trPr>
        <w:tc>
          <w:tcPr>
            <w:tcW w:w="28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钱根兴</w:t>
            </w:r>
          </w:p>
        </w:tc>
        <w:tc>
          <w:tcPr>
            <w:tcW w:w="39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409,840</w:t>
            </w:r>
          </w:p>
        </w:tc>
        <w:tc>
          <w:tcPr>
            <w:tcW w:w="134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人民币普通股</w:t>
            </w:r>
          </w:p>
        </w:tc>
        <w:tc>
          <w:tcPr>
            <w:tcW w:w="135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51" w:right="0"/>
              <w:jc w:val="left"/>
              <w:rPr>
                <w:rFonts w:ascii="Times New Roman" w:hAnsi="Times New Roman" w:cs="Times New Roman" w:eastAsia="Times New Roman" w:hint="default"/>
                <w:sz w:val="18"/>
                <w:szCs w:val="18"/>
              </w:rPr>
            </w:pPr>
            <w:r>
              <w:rPr>
                <w:rFonts w:ascii="Times New Roman"/>
                <w:sz w:val="18"/>
              </w:rPr>
              <w:t>409,840</w:t>
            </w:r>
          </w:p>
        </w:tc>
      </w:tr>
      <w:tr>
        <w:trPr>
          <w:trHeight w:val="1338" w:hRule="exact"/>
        </w:trPr>
        <w:tc>
          <w:tcPr>
            <w:tcW w:w="28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名无限售流通股股东之间，</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以及前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名无限售流通股股东和</w:t>
            </w:r>
          </w:p>
          <w:p>
            <w:pPr>
              <w:pStyle w:val="TableParagraph"/>
              <w:spacing w:line="302" w:lineRule="auto" w:before="63"/>
              <w:ind w:left="103" w:right="155"/>
              <w:jc w:val="left"/>
              <w:rPr>
                <w:rFonts w:ascii="宋体" w:hAnsi="宋体" w:cs="宋体" w:eastAsia="宋体" w:hint="default"/>
                <w:sz w:val="18"/>
                <w:szCs w:val="18"/>
              </w:rPr>
            </w:pPr>
            <w:r>
              <w:rPr>
                <w:rFonts w:ascii="宋体" w:hAnsi="宋体" w:cs="宋体" w:eastAsia="宋体" w:hint="default"/>
                <w:sz w:val="18"/>
                <w:szCs w:val="18"/>
              </w:rPr>
              <w:t>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名股东之间关联关系或一致 行动的说明</w:t>
            </w:r>
          </w:p>
        </w:tc>
        <w:tc>
          <w:tcPr>
            <w:tcW w:w="6688" w:type="dxa"/>
            <w:gridSpan w:val="3"/>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2"/>
              <w:jc w:val="left"/>
              <w:rPr>
                <w:rFonts w:ascii="宋体" w:hAnsi="宋体" w:cs="宋体" w:eastAsia="宋体" w:hint="default"/>
                <w:sz w:val="18"/>
                <w:szCs w:val="18"/>
              </w:rPr>
            </w:pPr>
            <w:r>
              <w:rPr>
                <w:rFonts w:ascii="宋体" w:hAnsi="宋体" w:cs="宋体" w:eastAsia="宋体" w:hint="default"/>
                <w:spacing w:val="-1"/>
                <w:sz w:val="18"/>
                <w:szCs w:val="18"/>
              </w:rPr>
              <w:t>除上海中信电子发展有限公司和张曙华属一致行动人，深圳市创新投资集团有限公</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司和上海红土创业投资有限公司属一致行动人，公司未曾知悉前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34"/>
                <w:sz w:val="18"/>
                <w:szCs w:val="18"/>
              </w:rPr>
              <w:t> </w:t>
            </w:r>
            <w:r>
              <w:rPr>
                <w:rFonts w:ascii="宋体" w:hAnsi="宋体" w:cs="宋体" w:eastAsia="宋体" w:hint="default"/>
                <w:sz w:val="18"/>
                <w:szCs w:val="18"/>
              </w:rPr>
              <w:t>名无限售流通</w:t>
            </w:r>
          </w:p>
          <w:p>
            <w:pPr>
              <w:pStyle w:val="TableParagraph"/>
              <w:spacing w:line="302" w:lineRule="auto"/>
              <w:ind w:left="103" w:right="138"/>
              <w:jc w:val="left"/>
              <w:rPr>
                <w:rFonts w:ascii="宋体" w:hAnsi="宋体" w:cs="宋体" w:eastAsia="宋体" w:hint="default"/>
                <w:sz w:val="18"/>
                <w:szCs w:val="18"/>
              </w:rPr>
            </w:pPr>
            <w:r>
              <w:rPr>
                <w:rFonts w:ascii="宋体" w:hAnsi="宋体" w:cs="宋体" w:eastAsia="宋体" w:hint="default"/>
                <w:sz w:val="18"/>
                <w:szCs w:val="18"/>
              </w:rPr>
              <w:t>股股东之间，以及前 </w:t>
            </w:r>
            <w:r>
              <w:rPr>
                <w:rFonts w:ascii="Times New Roman" w:hAnsi="Times New Roman" w:cs="Times New Roman" w:eastAsia="Times New Roman" w:hint="default"/>
                <w:sz w:val="18"/>
                <w:szCs w:val="18"/>
              </w:rPr>
              <w:t>10 </w:t>
            </w:r>
            <w:r>
              <w:rPr>
                <w:rFonts w:ascii="宋体" w:hAnsi="宋体" w:cs="宋体" w:eastAsia="宋体" w:hint="default"/>
                <w:sz w:val="18"/>
                <w:szCs w:val="18"/>
              </w:rPr>
              <w:t>名无限售流通股股东和前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名股东之间存在关联关系或 属于《上市公司股东持股变动信息披露管理办法》规定的一致行动人。</w:t>
            </w:r>
          </w:p>
        </w:tc>
      </w:tr>
      <w:tr>
        <w:trPr>
          <w:trHeight w:val="1026" w:hRule="exact"/>
        </w:trPr>
        <w:tc>
          <w:tcPr>
            <w:tcW w:w="28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参与融资融券业务股东情况说明</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（如有</w:t>
            </w:r>
            <w:r>
              <w:rPr>
                <w:rFonts w:ascii="宋体" w:hAnsi="宋体" w:cs="宋体" w:eastAsia="宋体" w:hint="default"/>
                <w:spacing w:val="-90"/>
                <w:sz w:val="18"/>
                <w:szCs w:val="18"/>
              </w:rPr>
              <w:t>）</w:t>
            </w:r>
            <w:r>
              <w:rPr>
                <w:rFonts w:ascii="宋体" w:hAnsi="宋体" w:cs="宋体" w:eastAsia="宋体" w:hint="default"/>
                <w:sz w:val="18"/>
                <w:szCs w:val="18"/>
              </w:rPr>
              <w:t>（参见注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p>
        </w:tc>
        <w:tc>
          <w:tcPr>
            <w:tcW w:w="6688"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、控股股东上海中信电子发展有限公司通过普通证券账户持有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20,626,320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股，通</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过东北证券股份有限公司客户信用交易担保证券账户持有</w:t>
            </w:r>
            <w:r>
              <w:rPr>
                <w:rFonts w:ascii="宋体" w:hAnsi="宋体" w:cs="宋体" w:eastAsia="宋体" w:hint="default"/>
                <w:spacing w:val="-50"/>
                <w:sz w:val="18"/>
                <w:szCs w:val="18"/>
              </w:rPr>
              <w:t> </w:t>
            </w:r>
            <w:r>
              <w:rPr>
                <w:rFonts w:ascii="Times New Roman" w:hAnsi="Times New Roman" w:cs="Times New Roman" w:eastAsia="Times New Roman" w:hint="default"/>
                <w:sz w:val="18"/>
                <w:szCs w:val="18"/>
              </w:rPr>
              <w:t>16,000,000</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股，实际合计</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持有</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36,626,320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股。</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名无限售条件普通股股东在报告期内是否进行约定购回交易</w:t>
      </w:r>
    </w:p>
    <w:p>
      <w:pPr>
        <w:spacing w:before="103"/>
        <w:ind w:left="114" w:right="0"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before="116"/>
        <w:ind w:left="114" w:right="0" w:firstLine="0"/>
        <w:jc w:val="left"/>
        <w:rPr>
          <w:rFonts w:ascii="宋体" w:hAnsi="宋体" w:cs="宋体" w:eastAsia="宋体" w:hint="default"/>
          <w:sz w:val="18"/>
          <w:szCs w:val="18"/>
        </w:rPr>
      </w:pPr>
      <w:r>
        <w:rPr>
          <w:rFonts w:ascii="宋体" w:hAnsi="宋体" w:cs="宋体" w:eastAsia="宋体" w:hint="default"/>
          <w:sz w:val="18"/>
          <w:szCs w:val="18"/>
        </w:rPr>
        <w:t>公司前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名普通股股东、前</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名无限售条件普通股股东在报告期内未进行约定购回交易。</w:t>
      </w:r>
    </w:p>
    <w:p>
      <w:pPr>
        <w:spacing w:line="240" w:lineRule="auto" w:before="10"/>
        <w:rPr>
          <w:rFonts w:ascii="宋体" w:hAnsi="宋体" w:cs="宋体" w:eastAsia="宋体" w:hint="default"/>
          <w:sz w:val="25"/>
          <w:szCs w:val="25"/>
        </w:rPr>
      </w:pPr>
    </w:p>
    <w:p>
      <w:pPr>
        <w:spacing w:before="0"/>
        <w:ind w:left="114" w:right="0" w:firstLine="0"/>
        <w:jc w:val="left"/>
        <w:rPr>
          <w:rFonts w:ascii="宋体" w:hAnsi="宋体" w:cs="宋体" w:eastAsia="宋体" w:hint="default"/>
          <w:sz w:val="21"/>
          <w:szCs w:val="21"/>
        </w:rPr>
      </w:pPr>
      <w:bookmarkStart w:name="2、公司控股股东情况" w:id="117"/>
      <w:bookmarkEnd w:id="117"/>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、公司控股股东情况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60" w:lineRule="auto" w:before="0"/>
        <w:ind w:left="114" w:right="8592" w:firstLine="0"/>
        <w:jc w:val="left"/>
        <w:rPr>
          <w:rFonts w:ascii="宋体" w:hAnsi="宋体" w:cs="宋体" w:eastAsia="宋体" w:hint="default"/>
          <w:sz w:val="18"/>
          <w:szCs w:val="18"/>
        </w:rPr>
      </w:pPr>
      <w:r>
        <w:rPr>
          <w:rFonts w:ascii="宋体" w:hAnsi="宋体" w:cs="宋体" w:eastAsia="宋体" w:hint="default"/>
          <w:sz w:val="18"/>
          <w:szCs w:val="18"/>
        </w:rPr>
        <w:t>控股股东性质：自然人控股 控股股东类型：法人</w:t>
      </w:r>
    </w:p>
    <w:tbl>
      <w:tblPr>
        <w:tblW w:w="0" w:type="auto"/>
        <w:jc w:val="left"/>
        <w:tblInd w:w="109" w:type="dxa"/>
        <w:tblLayout w:type="fixed"/>
        <w:tblCellMar>
          <w:top w:w="0" w:type="dxa"/>
          <w:left w:w="0" w:type="dxa"/>
          <w:bottom w:w="0" w:type="dxa"/>
          <w:right w:w="0" w:type="dxa"/>
        </w:tblCellMar>
        <w:tblLook w:val="01E0"/>
      </w:tblPr>
      <w:tblGrid>
        <w:gridCol w:w="2200"/>
        <w:gridCol w:w="1792"/>
        <w:gridCol w:w="1592"/>
        <w:gridCol w:w="1754"/>
        <w:gridCol w:w="2231"/>
      </w:tblGrid>
      <w:tr>
        <w:trPr>
          <w:trHeight w:val="714" w:hRule="exact"/>
        </w:trPr>
        <w:tc>
          <w:tcPr>
            <w:tcW w:w="22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54" w:right="0"/>
              <w:jc w:val="left"/>
              <w:rPr>
                <w:rFonts w:ascii="宋体" w:hAnsi="宋体" w:cs="宋体" w:eastAsia="宋体" w:hint="default"/>
                <w:sz w:val="18"/>
                <w:szCs w:val="18"/>
              </w:rPr>
            </w:pPr>
            <w:r>
              <w:rPr>
                <w:rFonts w:ascii="宋体" w:hAnsi="宋体" w:cs="宋体" w:eastAsia="宋体" w:hint="default"/>
                <w:sz w:val="18"/>
                <w:szCs w:val="18"/>
              </w:rPr>
              <w:t>控股股东名称</w:t>
            </w:r>
          </w:p>
        </w:tc>
        <w:tc>
          <w:tcPr>
            <w:tcW w:w="17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709" w:right="147" w:hanging="566"/>
              <w:jc w:val="left"/>
              <w:rPr>
                <w:rFonts w:ascii="宋体" w:hAnsi="宋体" w:cs="宋体" w:eastAsia="宋体" w:hint="default"/>
                <w:sz w:val="18"/>
                <w:szCs w:val="18"/>
              </w:rPr>
            </w:pPr>
            <w:r>
              <w:rPr>
                <w:rFonts w:ascii="宋体" w:hAnsi="宋体" w:cs="宋体" w:eastAsia="宋体" w:hint="default"/>
                <w:sz w:val="18"/>
                <w:szCs w:val="18"/>
              </w:rPr>
              <w:t>法定代表人</w:t>
            </w:r>
            <w:r>
              <w:rPr>
                <w:rFonts w:ascii="Times New Roman" w:hAnsi="Times New Roman" w:cs="Times New Roman" w:eastAsia="Times New Roman" w:hint="default"/>
                <w:sz w:val="18"/>
                <w:szCs w:val="18"/>
              </w:rPr>
              <w:t>/</w:t>
            </w:r>
            <w:r>
              <w:rPr>
                <w:rFonts w:ascii="宋体" w:hAnsi="宋体" w:cs="宋体" w:eastAsia="宋体" w:hint="default"/>
                <w:sz w:val="18"/>
                <w:szCs w:val="18"/>
              </w:rPr>
              <w:t>单位负 责人</w:t>
            </w:r>
          </w:p>
        </w:tc>
        <w:tc>
          <w:tcPr>
            <w:tcW w:w="15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成立日期</w:t>
            </w:r>
          </w:p>
        </w:tc>
        <w:tc>
          <w:tcPr>
            <w:tcW w:w="17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31" w:right="0"/>
              <w:jc w:val="left"/>
              <w:rPr>
                <w:rFonts w:ascii="宋体" w:hAnsi="宋体" w:cs="宋体" w:eastAsia="宋体" w:hint="default"/>
                <w:sz w:val="18"/>
                <w:szCs w:val="18"/>
              </w:rPr>
            </w:pPr>
            <w:r>
              <w:rPr>
                <w:rFonts w:ascii="宋体" w:hAnsi="宋体" w:cs="宋体" w:eastAsia="宋体" w:hint="default"/>
                <w:sz w:val="18"/>
                <w:szCs w:val="18"/>
              </w:rPr>
              <w:t>组织机构代码</w:t>
            </w:r>
          </w:p>
        </w:tc>
        <w:tc>
          <w:tcPr>
            <w:tcW w:w="22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69" w:right="0"/>
              <w:jc w:val="left"/>
              <w:rPr>
                <w:rFonts w:ascii="宋体" w:hAnsi="宋体" w:cs="宋体" w:eastAsia="宋体" w:hint="default"/>
                <w:sz w:val="18"/>
                <w:szCs w:val="18"/>
              </w:rPr>
            </w:pPr>
            <w:r>
              <w:rPr>
                <w:rFonts w:ascii="宋体" w:hAnsi="宋体" w:cs="宋体" w:eastAsia="宋体" w:hint="default"/>
                <w:sz w:val="18"/>
                <w:szCs w:val="18"/>
              </w:rPr>
              <w:t>主要经营业务</w:t>
            </w:r>
          </w:p>
        </w:tc>
      </w:tr>
      <w:tr>
        <w:trPr>
          <w:trHeight w:val="714" w:hRule="exact"/>
        </w:trPr>
        <w:tc>
          <w:tcPr>
            <w:tcW w:w="220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05"/>
              <w:jc w:val="left"/>
              <w:rPr>
                <w:rFonts w:ascii="宋体" w:hAnsi="宋体" w:cs="宋体" w:eastAsia="宋体" w:hint="default"/>
                <w:sz w:val="18"/>
                <w:szCs w:val="18"/>
              </w:rPr>
            </w:pPr>
            <w:r>
              <w:rPr>
                <w:rFonts w:ascii="宋体" w:hAnsi="宋体" w:cs="宋体" w:eastAsia="宋体" w:hint="default"/>
                <w:sz w:val="18"/>
                <w:szCs w:val="18"/>
              </w:rPr>
              <w:t>上海中信电子发展有限公 司</w:t>
            </w:r>
          </w:p>
        </w:tc>
        <w:tc>
          <w:tcPr>
            <w:tcW w:w="17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张曙华</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1993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7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06000000201411240</w:t>
            </w: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sz w:val="18"/>
              </w:rPr>
              <w:t>073</w:t>
            </w:r>
          </w:p>
        </w:tc>
        <w:tc>
          <w:tcPr>
            <w:tcW w:w="223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37"/>
              <w:jc w:val="left"/>
              <w:rPr>
                <w:rFonts w:ascii="宋体" w:hAnsi="宋体" w:cs="宋体" w:eastAsia="宋体" w:hint="default"/>
                <w:sz w:val="18"/>
                <w:szCs w:val="18"/>
              </w:rPr>
            </w:pPr>
            <w:r>
              <w:rPr>
                <w:rFonts w:ascii="宋体" w:hAnsi="宋体" w:cs="宋体" w:eastAsia="宋体" w:hint="default"/>
                <w:sz w:val="18"/>
                <w:szCs w:val="18"/>
              </w:rPr>
              <w:t>持有信息发展股权，无具 体</w:t>
            </w:r>
          </w:p>
        </w:tc>
      </w:tr>
    </w:tbl>
    <w:p>
      <w:pPr>
        <w:spacing w:before="66"/>
        <w:ind w:left="114" w:right="0" w:firstLine="0"/>
        <w:jc w:val="left"/>
        <w:rPr>
          <w:rFonts w:ascii="宋体" w:hAnsi="宋体" w:cs="宋体" w:eastAsia="宋体" w:hint="default"/>
          <w:sz w:val="18"/>
          <w:szCs w:val="18"/>
        </w:rPr>
      </w:pPr>
      <w:r>
        <w:rPr>
          <w:rFonts w:ascii="宋体" w:hAnsi="宋体" w:cs="宋体" w:eastAsia="宋体" w:hint="default"/>
          <w:sz w:val="18"/>
          <w:szCs w:val="18"/>
        </w:rPr>
        <w:t>控股股东报告期内变更</w:t>
      </w:r>
    </w:p>
    <w:p>
      <w:pPr>
        <w:spacing w:line="357" w:lineRule="auto" w:before="117"/>
        <w:ind w:left="114" w:right="769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公司报告期控股股东未发生变更。</w:t>
      </w:r>
    </w:p>
    <w:p>
      <w:pPr>
        <w:spacing w:line="240" w:lineRule="auto" w:before="1"/>
        <w:rPr>
          <w:rFonts w:ascii="宋体" w:hAnsi="宋体" w:cs="宋体" w:eastAsia="宋体" w:hint="default"/>
          <w:sz w:val="20"/>
          <w:szCs w:val="20"/>
        </w:rPr>
      </w:pPr>
    </w:p>
    <w:p>
      <w:pPr>
        <w:spacing w:before="0"/>
        <w:ind w:left="114" w:right="0" w:firstLine="0"/>
        <w:jc w:val="left"/>
        <w:rPr>
          <w:rFonts w:ascii="宋体" w:hAnsi="宋体" w:cs="宋体" w:eastAsia="宋体" w:hint="default"/>
          <w:sz w:val="21"/>
          <w:szCs w:val="21"/>
        </w:rPr>
      </w:pPr>
      <w:bookmarkStart w:name="3、公司实际控制人及其一致行动人" w:id="118"/>
      <w:bookmarkEnd w:id="118"/>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、公司实际控制人及其一致行动人</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60" w:lineRule="auto" w:before="0"/>
        <w:ind w:left="114" w:right="8412" w:firstLine="0"/>
        <w:jc w:val="left"/>
        <w:rPr>
          <w:rFonts w:ascii="宋体" w:hAnsi="宋体" w:cs="宋体" w:eastAsia="宋体" w:hint="default"/>
          <w:sz w:val="18"/>
          <w:szCs w:val="18"/>
        </w:rPr>
      </w:pPr>
      <w:r>
        <w:rPr>
          <w:rFonts w:ascii="宋体" w:hAnsi="宋体" w:cs="宋体" w:eastAsia="宋体" w:hint="default"/>
          <w:sz w:val="18"/>
          <w:szCs w:val="18"/>
        </w:rPr>
        <w:t>实际控制人性质：境内自然人 实际控制人类型：自然人</w:t>
      </w:r>
    </w:p>
    <w:tbl>
      <w:tblPr>
        <w:tblW w:w="0" w:type="auto"/>
        <w:jc w:val="left"/>
        <w:tblInd w:w="109" w:type="dxa"/>
        <w:tblLayout w:type="fixed"/>
        <w:tblCellMar>
          <w:top w:w="0" w:type="dxa"/>
          <w:left w:w="0" w:type="dxa"/>
          <w:bottom w:w="0" w:type="dxa"/>
          <w:right w:w="0" w:type="dxa"/>
        </w:tblCellMar>
        <w:tblLook w:val="01E0"/>
      </w:tblPr>
      <w:tblGrid>
        <w:gridCol w:w="2392"/>
        <w:gridCol w:w="2393"/>
        <w:gridCol w:w="2392"/>
        <w:gridCol w:w="2392"/>
      </w:tblGrid>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60" w:right="0"/>
              <w:jc w:val="left"/>
              <w:rPr>
                <w:rFonts w:ascii="宋体" w:hAnsi="宋体" w:cs="宋体" w:eastAsia="宋体" w:hint="default"/>
                <w:sz w:val="18"/>
                <w:szCs w:val="18"/>
              </w:rPr>
            </w:pPr>
            <w:r>
              <w:rPr>
                <w:rFonts w:ascii="宋体" w:hAnsi="宋体" w:cs="宋体" w:eastAsia="宋体" w:hint="default"/>
                <w:sz w:val="18"/>
                <w:szCs w:val="18"/>
              </w:rPr>
              <w:t>实际控制人姓名</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0" w:right="0"/>
              <w:jc w:val="left"/>
              <w:rPr>
                <w:rFonts w:ascii="宋体" w:hAnsi="宋体" w:cs="宋体" w:eastAsia="宋体" w:hint="default"/>
                <w:sz w:val="18"/>
                <w:szCs w:val="18"/>
              </w:rPr>
            </w:pPr>
            <w:r>
              <w:rPr>
                <w:rFonts w:ascii="宋体" w:hAnsi="宋体" w:cs="宋体" w:eastAsia="宋体" w:hint="default"/>
                <w:sz w:val="18"/>
                <w:szCs w:val="18"/>
              </w:rPr>
              <w:t>与实际控制人关系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国籍</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10" w:right="109" w:hanging="900"/>
              <w:jc w:val="left"/>
              <w:rPr>
                <w:rFonts w:ascii="宋体" w:hAnsi="宋体" w:cs="宋体" w:eastAsia="宋体" w:hint="default"/>
                <w:sz w:val="18"/>
                <w:szCs w:val="18"/>
              </w:rPr>
            </w:pPr>
            <w:r>
              <w:rPr>
                <w:rFonts w:ascii="宋体" w:hAnsi="宋体" w:cs="宋体" w:eastAsia="宋体" w:hint="default"/>
                <w:sz w:val="18"/>
                <w:szCs w:val="18"/>
              </w:rPr>
              <w:t>是否取得其他国家或地区居 留权</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张曙华</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18"/>
              <w:jc w:val="left"/>
              <w:rPr>
                <w:rFonts w:ascii="宋体" w:hAnsi="宋体" w:cs="宋体" w:eastAsia="宋体" w:hint="default"/>
                <w:sz w:val="18"/>
                <w:szCs w:val="18"/>
              </w:rPr>
            </w:pPr>
            <w:r>
              <w:rPr>
                <w:rFonts w:ascii="宋体" w:hAnsi="宋体" w:cs="宋体" w:eastAsia="宋体" w:hint="default"/>
                <w:sz w:val="18"/>
                <w:szCs w:val="18"/>
              </w:rPr>
              <w:t>一致行动（含协议、亲属、 同一控制）</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中国</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主要职业及职务</w:t>
            </w:r>
          </w:p>
        </w:tc>
        <w:tc>
          <w:tcPr>
            <w:tcW w:w="717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06"/>
              <w:jc w:val="left"/>
              <w:rPr>
                <w:rFonts w:ascii="宋体" w:hAnsi="宋体" w:cs="宋体" w:eastAsia="宋体" w:hint="default"/>
                <w:sz w:val="18"/>
                <w:szCs w:val="18"/>
              </w:rPr>
            </w:pPr>
            <w:r>
              <w:rPr>
                <w:rFonts w:ascii="宋体" w:hAnsi="宋体" w:cs="宋体" w:eastAsia="宋体" w:hint="default"/>
                <w:sz w:val="18"/>
                <w:szCs w:val="18"/>
              </w:rPr>
              <w:t>过去</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年曾控股的境内外 上市公司情况</w:t>
            </w:r>
          </w:p>
        </w:tc>
        <w:tc>
          <w:tcPr>
            <w:tcW w:w="7177" w:type="dxa"/>
            <w:gridSpan w:val="3"/>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65"/>
        <w:ind w:left="114" w:right="0" w:firstLine="0"/>
        <w:jc w:val="left"/>
        <w:rPr>
          <w:rFonts w:ascii="宋体" w:hAnsi="宋体" w:cs="宋体" w:eastAsia="宋体" w:hint="default"/>
          <w:sz w:val="18"/>
          <w:szCs w:val="18"/>
        </w:rPr>
      </w:pPr>
      <w:r>
        <w:rPr>
          <w:rFonts w:ascii="宋体" w:hAnsi="宋体" w:cs="宋体" w:eastAsia="宋体" w:hint="default"/>
          <w:sz w:val="18"/>
          <w:szCs w:val="18"/>
        </w:rPr>
        <w:t>实际控制人报告期内变更</w:t>
      </w:r>
    </w:p>
    <w:p>
      <w:pPr>
        <w:spacing w:line="360" w:lineRule="auto" w:before="117"/>
        <w:ind w:left="114" w:right="6792" w:firstLine="0"/>
        <w:jc w:val="left"/>
        <w:rPr>
          <w:rFonts w:ascii="宋体" w:hAnsi="宋体" w:cs="宋体" w:eastAsia="宋体" w:hint="default"/>
          <w:sz w:val="18"/>
          <w:szCs w:val="18"/>
        </w:rPr>
      </w:pPr>
      <w:r>
        <w:rPr>
          <w:rFonts w:ascii="宋体" w:hAnsi="宋体" w:cs="宋体" w:eastAsia="宋体" w:hint="default"/>
          <w:sz w:val="18"/>
          <w:szCs w:val="18"/>
        </w:rPr>
        <w:t>□ 适用 √ 不适用 公司报告期实际控制人未发生变更。 公司与实际控制人之间的产权及控制关系的方框图</w:t>
      </w:r>
    </w:p>
    <w:p>
      <w:pPr>
        <w:spacing w:after="0" w:line="36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0"/>
        <w:rPr>
          <w:rFonts w:ascii="宋体" w:hAnsi="宋体" w:cs="宋体" w:eastAsia="宋体" w:hint="default"/>
          <w:sz w:val="23"/>
          <w:szCs w:val="23"/>
        </w:rPr>
      </w:pPr>
    </w:p>
    <w:p>
      <w:pPr>
        <w:spacing w:line="2814" w:lineRule="exact"/>
        <w:ind w:left="2522" w:right="0" w:firstLine="0"/>
        <w:rPr>
          <w:rFonts w:ascii="宋体" w:hAnsi="宋体" w:cs="宋体" w:eastAsia="宋体" w:hint="default"/>
          <w:sz w:val="20"/>
          <w:szCs w:val="20"/>
        </w:rPr>
      </w:pPr>
      <w:r>
        <w:rPr>
          <w:rFonts w:ascii="宋体" w:hAnsi="宋体" w:cs="宋体" w:eastAsia="宋体" w:hint="default"/>
          <w:position w:val="-55"/>
          <w:sz w:val="20"/>
          <w:szCs w:val="20"/>
        </w:rPr>
        <w:drawing>
          <wp:inline distT="0" distB="0" distL="0" distR="0">
            <wp:extent cx="3077740" cy="1786890"/>
            <wp:effectExtent l="0" t="0" r="0" b="0"/>
            <wp:docPr id="3" name="image4.jpeg" descr=""/>
            <wp:cNvGraphicFramePr>
              <a:graphicFrameLocks noChangeAspect="1"/>
            </wp:cNvGraphicFramePr>
            <a:graphic>
              <a:graphicData uri="http://schemas.openxmlformats.org/drawingml/2006/picture">
                <pic:pic>
                  <pic:nvPicPr>
                    <pic:cNvPr id="4" name="image4.jpeg"/>
                    <pic:cNvPicPr/>
                  </pic:nvPicPr>
                  <pic:blipFill>
                    <a:blip r:embed="rId15" cstate="print"/>
                    <a:stretch>
                      <a:fillRect/>
                    </a:stretch>
                  </pic:blipFill>
                  <pic:spPr>
                    <a:xfrm>
                      <a:off x="0" y="0"/>
                      <a:ext cx="3077740" cy="1786890"/>
                    </a:xfrm>
                    <a:prstGeom prst="rect">
                      <a:avLst/>
                    </a:prstGeom>
                  </pic:spPr>
                </pic:pic>
              </a:graphicData>
            </a:graphic>
          </wp:inline>
        </w:drawing>
      </w:r>
      <w:r>
        <w:rPr>
          <w:rFonts w:ascii="宋体" w:hAnsi="宋体" w:cs="宋体" w:eastAsia="宋体" w:hint="default"/>
          <w:position w:val="-55"/>
          <w:sz w:val="20"/>
          <w:szCs w:val="20"/>
        </w:rPr>
      </w:r>
    </w:p>
    <w:p>
      <w:pPr>
        <w:spacing w:line="240" w:lineRule="auto" w:before="8"/>
        <w:rPr>
          <w:rFonts w:ascii="宋体" w:hAnsi="宋体" w:cs="宋体" w:eastAsia="宋体" w:hint="default"/>
          <w:sz w:val="9"/>
          <w:szCs w:val="9"/>
        </w:rPr>
      </w:pPr>
    </w:p>
    <w:p>
      <w:pPr>
        <w:pStyle w:val="BodyText"/>
        <w:spacing w:line="240" w:lineRule="auto" w:before="26"/>
        <w:ind w:right="0"/>
        <w:jc w:val="left"/>
      </w:pPr>
      <w:r>
        <w:rPr/>
        <w:t>实际控制人通过信托或其他资产管理方式控制公司</w:t>
      </w:r>
    </w:p>
    <w:p>
      <w:pPr>
        <w:spacing w:line="240" w:lineRule="auto" w:before="12"/>
        <w:rPr>
          <w:rFonts w:ascii="宋体" w:hAnsi="宋体" w:cs="宋体" w:eastAsia="宋体" w:hint="default"/>
          <w:sz w:val="18"/>
          <w:szCs w:val="18"/>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其他持股在10%以上的法人股东" w:id="119"/>
      <w:bookmarkEnd w:id="119"/>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、其他持股在</w:t>
      </w:r>
      <w:r>
        <w:rPr>
          <w:rFonts w:ascii="宋体" w:hAnsi="宋体" w:cs="宋体" w:eastAsia="宋体" w:hint="default"/>
          <w:b/>
          <w:bCs/>
          <w:spacing w:val="-57"/>
          <w:sz w:val="21"/>
          <w:szCs w:val="21"/>
        </w:rPr>
        <w:t> </w:t>
      </w: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以上的法人股东</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5、控股股东、实际控制人、重组方及其他承诺主体股份限制减持情况" w:id="120"/>
      <w:bookmarkEnd w:id="120"/>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、控股股东、实际控制人、重组方及其他承诺主体股份限制减持情况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Heading1"/>
        <w:spacing w:line="240" w:lineRule="auto"/>
        <w:ind w:left="3246" w:right="0"/>
        <w:jc w:val="left"/>
        <w:rPr>
          <w:b w:val="0"/>
          <w:bCs w:val="0"/>
        </w:rPr>
      </w:pPr>
      <w:bookmarkStart w:name="第七节 优先股相关情况" w:id="121"/>
      <w:bookmarkEnd w:id="121"/>
      <w:r>
        <w:rPr>
          <w:b w:val="0"/>
          <w:bCs w:val="0"/>
        </w:rPr>
      </w:r>
      <w:bookmarkStart w:name="_bookmark5" w:id="122"/>
      <w:bookmarkEnd w:id="122"/>
      <w:r>
        <w:rPr>
          <w:b w:val="0"/>
          <w:bCs w:val="0"/>
        </w:rPr>
      </w:r>
      <w:r>
        <w:rPr/>
        <w:t>第七节</w:t>
      </w:r>
      <w:r>
        <w:rPr>
          <w:spacing w:val="-8"/>
        </w:rPr>
        <w:t> </w:t>
      </w:r>
      <w:r>
        <w:rPr/>
        <w:t>优先股相关情况</w:t>
      </w:r>
      <w:r>
        <w:rPr>
          <w:b w:val="0"/>
          <w:bCs w:val="0"/>
        </w:rPr>
      </w:r>
    </w:p>
    <w:p>
      <w:pPr>
        <w:spacing w:line="240" w:lineRule="auto" w:before="0"/>
        <w:rPr>
          <w:rFonts w:ascii="宋体" w:hAnsi="宋体" w:cs="宋体" w:eastAsia="宋体" w:hint="default"/>
          <w:b/>
          <w:bCs/>
          <w:sz w:val="20"/>
          <w:szCs w:val="20"/>
        </w:rPr>
      </w:pPr>
    </w:p>
    <w:p>
      <w:pPr>
        <w:spacing w:line="240" w:lineRule="auto" w:before="3"/>
        <w:rPr>
          <w:rFonts w:ascii="宋体" w:hAnsi="宋体" w:cs="宋体" w:eastAsia="宋体" w:hint="default"/>
          <w:b/>
          <w:bCs/>
          <w:sz w:val="19"/>
          <w:szCs w:val="19"/>
        </w:rPr>
      </w:pPr>
    </w:p>
    <w:p>
      <w:pPr>
        <w:spacing w:line="357" w:lineRule="auto" w:before="44"/>
        <w:ind w:left="114" w:right="8592" w:firstLine="0"/>
        <w:jc w:val="left"/>
        <w:rPr>
          <w:rFonts w:ascii="宋体" w:hAnsi="宋体" w:cs="宋体" w:eastAsia="宋体" w:hint="default"/>
          <w:sz w:val="18"/>
          <w:szCs w:val="18"/>
        </w:rPr>
      </w:pPr>
      <w:r>
        <w:rPr>
          <w:rFonts w:ascii="宋体" w:hAnsi="宋体" w:cs="宋体" w:eastAsia="宋体" w:hint="default"/>
          <w:sz w:val="18"/>
          <w:szCs w:val="18"/>
        </w:rPr>
        <w:t>□ 适用 √ 不适用 报告期公司不存在优先股。</w:t>
      </w:r>
    </w:p>
    <w:p>
      <w:pPr>
        <w:spacing w:after="0" w:line="357"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Heading1"/>
        <w:spacing w:line="240" w:lineRule="auto"/>
        <w:ind w:left="1640" w:right="0"/>
        <w:jc w:val="left"/>
        <w:rPr>
          <w:b w:val="0"/>
          <w:bCs w:val="0"/>
        </w:rPr>
      </w:pPr>
      <w:bookmarkStart w:name="第八节 董事、监事、高级管理人员和员工情况" w:id="123"/>
      <w:bookmarkEnd w:id="123"/>
      <w:r>
        <w:rPr>
          <w:b w:val="0"/>
          <w:bCs w:val="0"/>
        </w:rPr>
      </w:r>
      <w:bookmarkStart w:name="_bookmark6" w:id="124"/>
      <w:bookmarkEnd w:id="124"/>
      <w:r>
        <w:rPr>
          <w:b w:val="0"/>
          <w:bCs w:val="0"/>
        </w:rPr>
      </w:r>
      <w:r>
        <w:rPr/>
        <w:t>第八节</w:t>
      </w:r>
      <w:r>
        <w:rPr>
          <w:spacing w:val="-16"/>
        </w:rPr>
        <w:t> </w:t>
      </w:r>
      <w:r>
        <w:rPr/>
        <w:t>董事、监事、高级管理人员和员工情况</w:t>
      </w:r>
      <w:r>
        <w:rPr>
          <w:b w:val="0"/>
          <w:bCs w:val="0"/>
        </w:rPr>
      </w:r>
    </w:p>
    <w:p>
      <w:pPr>
        <w:spacing w:line="240" w:lineRule="auto" w:before="12"/>
        <w:rPr>
          <w:rFonts w:ascii="宋体" w:hAnsi="宋体" w:cs="宋体" w:eastAsia="宋体" w:hint="default"/>
          <w:b/>
          <w:bCs/>
          <w:sz w:val="38"/>
          <w:szCs w:val="38"/>
        </w:rPr>
      </w:pPr>
    </w:p>
    <w:p>
      <w:pPr>
        <w:pStyle w:val="Heading4"/>
        <w:spacing w:line="240" w:lineRule="auto"/>
        <w:ind w:right="0"/>
        <w:jc w:val="left"/>
        <w:rPr>
          <w:b w:val="0"/>
          <w:bCs w:val="0"/>
        </w:rPr>
      </w:pPr>
      <w:bookmarkStart w:name="一、董事、监事和高级管理人员持股变动" w:id="125"/>
      <w:bookmarkEnd w:id="125"/>
      <w:r>
        <w:rPr>
          <w:b w:val="0"/>
          <w:bCs w:val="0"/>
        </w:rPr>
      </w:r>
      <w:r>
        <w:rPr/>
        <w:t>一、董事、监事和高级管理人员持股变动</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798"/>
        <w:gridCol w:w="797"/>
        <w:gridCol w:w="797"/>
        <w:gridCol w:w="798"/>
        <w:gridCol w:w="798"/>
        <w:gridCol w:w="797"/>
        <w:gridCol w:w="798"/>
        <w:gridCol w:w="798"/>
        <w:gridCol w:w="798"/>
        <w:gridCol w:w="798"/>
        <w:gridCol w:w="798"/>
        <w:gridCol w:w="798"/>
      </w:tblGrid>
      <w:tr>
        <w:trPr>
          <w:trHeight w:val="1337"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姓名</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职务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8"/>
              <w:ind w:left="303" w:right="121" w:hanging="180"/>
              <w:jc w:val="left"/>
              <w:rPr>
                <w:rFonts w:ascii="宋体" w:hAnsi="宋体" w:cs="宋体" w:eastAsia="宋体" w:hint="default"/>
                <w:sz w:val="18"/>
                <w:szCs w:val="18"/>
              </w:rPr>
            </w:pPr>
            <w:r>
              <w:rPr>
                <w:rFonts w:ascii="宋体" w:hAnsi="宋体" w:cs="宋体" w:eastAsia="宋体" w:hint="default"/>
                <w:sz w:val="18"/>
                <w:szCs w:val="18"/>
              </w:rPr>
              <w:t>任职状 态</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性别</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212" w:right="0"/>
              <w:jc w:val="left"/>
              <w:rPr>
                <w:rFonts w:ascii="宋体" w:hAnsi="宋体" w:cs="宋体" w:eastAsia="宋体" w:hint="default"/>
                <w:sz w:val="18"/>
                <w:szCs w:val="18"/>
              </w:rPr>
            </w:pPr>
            <w:r>
              <w:rPr>
                <w:rFonts w:ascii="宋体" w:hAnsi="宋体" w:cs="宋体" w:eastAsia="宋体" w:hint="default"/>
                <w:sz w:val="18"/>
                <w:szCs w:val="18"/>
              </w:rPr>
              <w:t>年龄</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8"/>
              <w:ind w:left="122" w:right="122"/>
              <w:jc w:val="left"/>
              <w:rPr>
                <w:rFonts w:ascii="宋体" w:hAnsi="宋体" w:cs="宋体" w:eastAsia="宋体" w:hint="default"/>
                <w:sz w:val="18"/>
                <w:szCs w:val="18"/>
              </w:rPr>
            </w:pPr>
            <w:r>
              <w:rPr>
                <w:rFonts w:ascii="宋体" w:hAnsi="宋体" w:cs="宋体" w:eastAsia="宋体" w:hint="default"/>
                <w:sz w:val="18"/>
                <w:szCs w:val="18"/>
              </w:rPr>
              <w:t>任期起 始日期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8"/>
              <w:ind w:left="123" w:right="122"/>
              <w:jc w:val="left"/>
              <w:rPr>
                <w:rFonts w:ascii="宋体" w:hAnsi="宋体" w:cs="宋体" w:eastAsia="宋体" w:hint="default"/>
                <w:sz w:val="18"/>
                <w:szCs w:val="18"/>
              </w:rPr>
            </w:pPr>
            <w:r>
              <w:rPr>
                <w:rFonts w:ascii="宋体" w:hAnsi="宋体" w:cs="宋体" w:eastAsia="宋体" w:hint="default"/>
                <w:sz w:val="18"/>
                <w:szCs w:val="18"/>
              </w:rPr>
              <w:t>任期终 止日期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13" w:right="122" w:hanging="90"/>
              <w:jc w:val="left"/>
              <w:rPr>
                <w:rFonts w:ascii="宋体" w:hAnsi="宋体" w:cs="宋体" w:eastAsia="宋体" w:hint="default"/>
                <w:sz w:val="18"/>
                <w:szCs w:val="18"/>
              </w:rPr>
            </w:pPr>
            <w:r>
              <w:rPr>
                <w:rFonts w:ascii="宋体" w:hAnsi="宋体" w:cs="宋体" w:eastAsia="宋体" w:hint="default"/>
                <w:sz w:val="18"/>
                <w:szCs w:val="18"/>
              </w:rPr>
              <w:t>期初持 股数</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23" w:right="123"/>
              <w:jc w:val="both"/>
              <w:rPr>
                <w:rFonts w:ascii="宋体" w:hAnsi="宋体" w:cs="宋体" w:eastAsia="宋体" w:hint="default"/>
                <w:sz w:val="18"/>
                <w:szCs w:val="18"/>
              </w:rPr>
            </w:pPr>
            <w:r>
              <w:rPr>
                <w:rFonts w:ascii="宋体" w:hAnsi="宋体" w:cs="宋体" w:eastAsia="宋体" w:hint="default"/>
                <w:sz w:val="18"/>
                <w:szCs w:val="18"/>
              </w:rPr>
              <w:t>本期增 持股份 数量</w:t>
            </w:r>
          </w:p>
          <w:p>
            <w:pPr>
              <w:pStyle w:val="TableParagraph"/>
              <w:spacing w:line="240" w:lineRule="auto" w:before="20"/>
              <w:ind w:left="123" w:right="0"/>
              <w:jc w:val="both"/>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23" w:right="122"/>
              <w:jc w:val="both"/>
              <w:rPr>
                <w:rFonts w:ascii="宋体" w:hAnsi="宋体" w:cs="宋体" w:eastAsia="宋体" w:hint="default"/>
                <w:sz w:val="18"/>
                <w:szCs w:val="18"/>
              </w:rPr>
            </w:pPr>
            <w:r>
              <w:rPr>
                <w:rFonts w:ascii="宋体" w:hAnsi="宋体" w:cs="宋体" w:eastAsia="宋体" w:hint="default"/>
                <w:sz w:val="18"/>
                <w:szCs w:val="18"/>
              </w:rPr>
              <w:t>本期减 持股份 数量</w:t>
            </w:r>
          </w:p>
          <w:p>
            <w:pPr>
              <w:pStyle w:val="TableParagraph"/>
              <w:spacing w:line="240" w:lineRule="auto" w:before="20"/>
              <w:ind w:left="123" w:right="0"/>
              <w:jc w:val="both"/>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23" w:right="122"/>
              <w:jc w:val="left"/>
              <w:rPr>
                <w:rFonts w:ascii="宋体" w:hAnsi="宋体" w:cs="宋体" w:eastAsia="宋体" w:hint="default"/>
                <w:sz w:val="18"/>
                <w:szCs w:val="18"/>
              </w:rPr>
            </w:pPr>
            <w:r>
              <w:rPr>
                <w:rFonts w:ascii="宋体" w:hAnsi="宋体" w:cs="宋体" w:eastAsia="宋体" w:hint="default"/>
                <w:sz w:val="18"/>
                <w:szCs w:val="18"/>
              </w:rPr>
              <w:t>其他增 减变动</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213" w:right="122" w:hanging="90"/>
              <w:jc w:val="left"/>
              <w:rPr>
                <w:rFonts w:ascii="宋体" w:hAnsi="宋体" w:cs="宋体" w:eastAsia="宋体" w:hint="default"/>
                <w:sz w:val="18"/>
                <w:szCs w:val="18"/>
              </w:rPr>
            </w:pPr>
            <w:r>
              <w:rPr>
                <w:rFonts w:ascii="宋体" w:hAnsi="宋体" w:cs="宋体" w:eastAsia="宋体" w:hint="default"/>
                <w:sz w:val="18"/>
                <w:szCs w:val="18"/>
              </w:rPr>
              <w:t>期末持 股数</w:t>
            </w:r>
          </w:p>
          <w:p>
            <w:pPr>
              <w:pStyle w:val="TableParagraph"/>
              <w:spacing w:line="240" w:lineRule="auto" w:before="20"/>
              <w:ind w:left="123" w:right="0"/>
              <w:jc w:val="left"/>
              <w:rPr>
                <w:rFonts w:ascii="宋体" w:hAnsi="宋体" w:cs="宋体" w:eastAsia="宋体" w:hint="default"/>
                <w:sz w:val="18"/>
                <w:szCs w:val="18"/>
              </w:rPr>
            </w:pPr>
            <w:r>
              <w:rPr>
                <w:rFonts w:ascii="宋体" w:hAnsi="宋体" w:cs="宋体" w:eastAsia="宋体" w:hint="default"/>
                <w:sz w:val="18"/>
                <w:szCs w:val="18"/>
              </w:rPr>
              <w:t>（股）</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张曙华</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52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15,070,</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080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-820,00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12,136,</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064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26,486,</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144</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黄海清</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杨安荣</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03" w:right="143"/>
              <w:jc w:val="left"/>
              <w:rPr>
                <w:rFonts w:ascii="宋体" w:hAnsi="宋体" w:cs="宋体" w:eastAsia="宋体" w:hint="default"/>
                <w:sz w:val="18"/>
                <w:szCs w:val="18"/>
              </w:rPr>
            </w:pPr>
            <w:r>
              <w:rPr>
                <w:rFonts w:ascii="宋体" w:hAnsi="宋体" w:cs="宋体" w:eastAsia="宋体" w:hint="default"/>
                <w:sz w:val="18"/>
                <w:szCs w:val="18"/>
              </w:rPr>
              <w:t>董事、 副总裁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44</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1,062,3</w:t>
            </w:r>
          </w:p>
          <w:p>
            <w:pPr>
              <w:pStyle w:val="TableParagraph"/>
              <w:spacing w:line="240" w:lineRule="auto" w:before="105"/>
              <w:ind w:left="505" w:right="0"/>
              <w:jc w:val="left"/>
              <w:rPr>
                <w:rFonts w:ascii="Times New Roman" w:hAnsi="Times New Roman" w:cs="Times New Roman" w:eastAsia="Times New Roman" w:hint="default"/>
                <w:sz w:val="18"/>
                <w:szCs w:val="18"/>
              </w:rPr>
            </w:pPr>
            <w:r>
              <w:rPr>
                <w:rFonts w:ascii="Times New Roman"/>
                <w:sz w:val="18"/>
              </w:rPr>
              <w:t>20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849,85</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6</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1,912,1</w:t>
            </w:r>
          </w:p>
          <w:p>
            <w:pPr>
              <w:pStyle w:val="TableParagraph"/>
              <w:spacing w:line="240" w:lineRule="auto" w:before="105"/>
              <w:ind w:left="505" w:right="0"/>
              <w:jc w:val="left"/>
              <w:rPr>
                <w:rFonts w:ascii="Times New Roman" w:hAnsi="Times New Roman" w:cs="Times New Roman" w:eastAsia="Times New Roman" w:hint="default"/>
                <w:sz w:val="18"/>
                <w:szCs w:val="18"/>
              </w:rPr>
            </w:pPr>
            <w:r>
              <w:rPr>
                <w:rFonts w:ascii="Times New Roman"/>
                <w:sz w:val="18"/>
              </w:rPr>
              <w:t>76</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刘理洲</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42</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806,88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645,50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1,452,3</w:t>
            </w:r>
          </w:p>
          <w:p>
            <w:pPr>
              <w:pStyle w:val="TableParagraph"/>
              <w:spacing w:line="240" w:lineRule="auto" w:before="105"/>
              <w:ind w:left="505" w:right="0"/>
              <w:jc w:val="left"/>
              <w:rPr>
                <w:rFonts w:ascii="Times New Roman" w:hAnsi="Times New Roman" w:cs="Times New Roman" w:eastAsia="Times New Roman" w:hint="default"/>
                <w:sz w:val="18"/>
                <w:szCs w:val="18"/>
              </w:rPr>
            </w:pPr>
            <w:r>
              <w:rPr>
                <w:rFonts w:ascii="Times New Roman"/>
                <w:sz w:val="18"/>
              </w:rPr>
              <w:t>84</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李志卿</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46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641,48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-149,98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513,18</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1,004,6</w:t>
            </w:r>
          </w:p>
          <w:p>
            <w:pPr>
              <w:pStyle w:val="TableParagraph"/>
              <w:spacing w:line="240" w:lineRule="auto" w:before="105"/>
              <w:ind w:left="505" w:right="0"/>
              <w:jc w:val="left"/>
              <w:rPr>
                <w:rFonts w:ascii="Times New Roman" w:hAnsi="Times New Roman" w:cs="Times New Roman" w:eastAsia="Times New Roman" w:hint="default"/>
                <w:sz w:val="18"/>
                <w:szCs w:val="18"/>
              </w:rPr>
            </w:pPr>
            <w:r>
              <w:rPr>
                <w:rFonts w:ascii="Times New Roman"/>
                <w:sz w:val="18"/>
              </w:rPr>
              <w:t>84</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张元利</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46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10,400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50,400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张颖</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43"/>
              <w:jc w:val="both"/>
              <w:rPr>
                <w:rFonts w:ascii="宋体" w:hAnsi="宋体" w:cs="宋体" w:eastAsia="宋体" w:hint="default"/>
                <w:sz w:val="18"/>
                <w:szCs w:val="18"/>
              </w:rPr>
            </w:pPr>
            <w:r>
              <w:rPr>
                <w:rFonts w:ascii="宋体" w:hAnsi="宋体" w:cs="宋体" w:eastAsia="宋体" w:hint="default"/>
                <w:sz w:val="18"/>
                <w:szCs w:val="18"/>
              </w:rPr>
              <w:t>董事、 财务总 监</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41</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20,800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100,80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黄亚钧</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03" w:right="143"/>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66</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刘红梅</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03" w:right="143"/>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49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乐嘉锦</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103" w:right="143"/>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67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17</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bl>
    <w:p>
      <w:pPr>
        <w:spacing w:after="0" w:line="240" w:lineRule="auto"/>
        <w:jc w:val="right"/>
        <w:rPr>
          <w:rFonts w:ascii="Times New Roman" w:hAnsi="Times New Roman" w:cs="Times New Roman" w:eastAsia="Times New Roman" w:hint="default"/>
          <w:sz w:val="18"/>
          <w:szCs w:val="18"/>
        </w:rPr>
        <w:sectPr>
          <w:pgSz w:w="11910" w:h="16840"/>
          <w:pgMar w:header="822" w:footer="1019" w:top="1140" w:bottom="1200" w:left="1020" w:right="0"/>
        </w:sectPr>
      </w:pPr>
    </w:p>
    <w:p>
      <w:pPr>
        <w:spacing w:line="240" w:lineRule="auto" w:before="9"/>
        <w:rPr>
          <w:rFonts w:ascii="宋体" w:hAnsi="宋体" w:cs="宋体" w:eastAsia="宋体" w:hint="default"/>
          <w:b/>
          <w:bCs/>
          <w:sz w:val="22"/>
          <w:szCs w:val="22"/>
        </w:rPr>
      </w:pPr>
    </w:p>
    <w:tbl>
      <w:tblPr>
        <w:tblW w:w="0" w:type="auto"/>
        <w:jc w:val="left"/>
        <w:tblInd w:w="109" w:type="dxa"/>
        <w:tblLayout w:type="fixed"/>
        <w:tblCellMar>
          <w:top w:w="0" w:type="dxa"/>
          <w:left w:w="0" w:type="dxa"/>
          <w:bottom w:w="0" w:type="dxa"/>
          <w:right w:w="0" w:type="dxa"/>
        </w:tblCellMar>
        <w:tblLook w:val="01E0"/>
      </w:tblPr>
      <w:tblGrid>
        <w:gridCol w:w="798"/>
        <w:gridCol w:w="797"/>
        <w:gridCol w:w="797"/>
        <w:gridCol w:w="798"/>
        <w:gridCol w:w="798"/>
        <w:gridCol w:w="797"/>
        <w:gridCol w:w="798"/>
        <w:gridCol w:w="798"/>
        <w:gridCol w:w="798"/>
        <w:gridCol w:w="798"/>
        <w:gridCol w:w="798"/>
        <w:gridCol w:w="798"/>
      </w:tblGrid>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祝小兵</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103" w:right="143"/>
              <w:jc w:val="left"/>
              <w:rPr>
                <w:rFonts w:ascii="宋体" w:hAnsi="宋体" w:cs="宋体" w:eastAsia="宋体" w:hint="default"/>
                <w:sz w:val="18"/>
                <w:szCs w:val="18"/>
              </w:rPr>
            </w:pPr>
            <w:r>
              <w:rPr>
                <w:rFonts w:ascii="宋体" w:hAnsi="宋体" w:cs="宋体" w:eastAsia="宋体" w:hint="default"/>
                <w:sz w:val="18"/>
                <w:szCs w:val="18"/>
              </w:rPr>
              <w:t>独立董 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323"/>
              <w:jc w:val="righ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53</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3"/>
              <w:ind w:left="101"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21"/>
                <w:sz w:val="18"/>
                <w:szCs w:val="18"/>
              </w:rPr>
              <w:t> </w:t>
            </w:r>
            <w:r>
              <w:rPr>
                <w:rFonts w:ascii="宋体" w:hAnsi="宋体" w:cs="宋体" w:eastAsia="宋体" w:hint="default"/>
                <w:sz w:val="18"/>
                <w:szCs w:val="18"/>
              </w:rPr>
              <w:t>月</w:t>
            </w:r>
            <w:r>
              <w:rPr>
                <w:rFonts w:ascii="宋体" w:hAnsi="宋体" w:cs="宋体" w:eastAsia="宋体" w:hint="default"/>
                <w:spacing w:val="-66"/>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101" w:right="0"/>
              <w:jc w:val="left"/>
              <w:rPr>
                <w:rFonts w:ascii="宋体" w:hAnsi="宋体" w:cs="宋体" w:eastAsia="宋体" w:hint="default"/>
                <w:sz w:val="18"/>
                <w:szCs w:val="18"/>
              </w:rPr>
            </w:pP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陈若初</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9" w:lineRule="auto"/>
              <w:ind w:left="103" w:right="143"/>
              <w:jc w:val="left"/>
              <w:rPr>
                <w:rFonts w:ascii="宋体" w:hAnsi="宋体" w:cs="宋体" w:eastAsia="宋体" w:hint="default"/>
                <w:sz w:val="18"/>
                <w:szCs w:val="18"/>
              </w:rPr>
            </w:pPr>
            <w:r>
              <w:rPr>
                <w:rFonts w:ascii="宋体" w:hAnsi="宋体" w:cs="宋体" w:eastAsia="宋体" w:hint="default"/>
                <w:sz w:val="18"/>
                <w:szCs w:val="18"/>
              </w:rPr>
              <w:t>监事会 主席</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323"/>
              <w:jc w:val="righ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59</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2008</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尹於舜</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323"/>
              <w:jc w:val="righ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323"/>
              <w:jc w:val="righ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55</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时泂</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323"/>
              <w:jc w:val="right"/>
              <w:rPr>
                <w:rFonts w:ascii="宋体" w:hAnsi="宋体" w:cs="宋体" w:eastAsia="宋体" w:hint="default"/>
                <w:sz w:val="18"/>
                <w:szCs w:val="18"/>
              </w:rPr>
            </w:pPr>
            <w:r>
              <w:rPr>
                <w:rFonts w:ascii="宋体" w:hAnsi="宋体" w:cs="宋体" w:eastAsia="宋体" w:hint="default"/>
                <w:sz w:val="18"/>
                <w:szCs w:val="18"/>
              </w:rPr>
              <w:t>监事</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323"/>
              <w:jc w:val="righ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48</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2014</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r>
      <w:tr>
        <w:trPr>
          <w:trHeight w:val="1026" w:hRule="exact"/>
        </w:trPr>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徐云蔚</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43"/>
              <w:jc w:val="both"/>
              <w:rPr>
                <w:rFonts w:ascii="宋体" w:hAnsi="宋体" w:cs="宋体" w:eastAsia="宋体" w:hint="default"/>
                <w:sz w:val="18"/>
                <w:szCs w:val="18"/>
              </w:rPr>
            </w:pPr>
            <w:r>
              <w:rPr>
                <w:rFonts w:ascii="宋体" w:hAnsi="宋体" w:cs="宋体" w:eastAsia="宋体" w:hint="default"/>
                <w:sz w:val="18"/>
                <w:szCs w:val="18"/>
              </w:rPr>
              <w:t>董事会 秘书、 副总裁</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right="323"/>
              <w:jc w:val="right"/>
              <w:rPr>
                <w:rFonts w:ascii="宋体" w:hAnsi="宋体" w:cs="宋体" w:eastAsia="宋体" w:hint="default"/>
                <w:sz w:val="18"/>
                <w:szCs w:val="18"/>
              </w:rPr>
            </w:pPr>
            <w:r>
              <w:rPr>
                <w:rFonts w:ascii="宋体" w:hAnsi="宋体" w:cs="宋体" w:eastAsia="宋体" w:hint="default"/>
                <w:sz w:val="18"/>
                <w:szCs w:val="18"/>
              </w:rPr>
              <w:t>现任</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47</w:t>
            </w: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5"/>
                <w:sz w:val="18"/>
                <w:szCs w:val="18"/>
              </w:rPr>
              <w:t> </w:t>
            </w:r>
            <w:r>
              <w:rPr>
                <w:rFonts w:ascii="宋体" w:hAnsi="宋体" w:cs="宋体" w:eastAsia="宋体" w:hint="default"/>
                <w:sz w:val="18"/>
                <w:szCs w:val="18"/>
              </w:rPr>
              <w:t>年</w:t>
            </w:r>
          </w:p>
          <w:p>
            <w:pPr>
              <w:pStyle w:val="TableParagraph"/>
              <w:spacing w:line="240" w:lineRule="auto" w:before="63"/>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1"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2020</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年</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5,200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25,200</w:t>
            </w:r>
          </w:p>
        </w:tc>
      </w:tr>
      <w:tr>
        <w:trPr>
          <w:trHeight w:val="714"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331"/>
              <w:jc w:val="right"/>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331"/>
              <w:jc w:val="right"/>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w:t>
            </w: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5" w:right="0"/>
              <w:jc w:val="left"/>
              <w:rPr>
                <w:rFonts w:ascii="Times New Roman" w:hAnsi="Times New Roman" w:cs="Times New Roman" w:eastAsia="Times New Roman" w:hint="default"/>
                <w:sz w:val="18"/>
                <w:szCs w:val="18"/>
              </w:rPr>
            </w:pPr>
            <w:r>
              <w:rPr>
                <w:rFonts w:ascii="Times New Roman"/>
                <w:sz w:val="18"/>
              </w:rPr>
              <w:t>17,720,</w:t>
            </w:r>
          </w:p>
          <w:p>
            <w:pPr>
              <w:pStyle w:val="TableParagraph"/>
              <w:spacing w:line="240" w:lineRule="auto" w:before="106"/>
              <w:ind w:left="415" w:right="0"/>
              <w:jc w:val="left"/>
              <w:rPr>
                <w:rFonts w:ascii="Times New Roman" w:hAnsi="Times New Roman" w:cs="Times New Roman" w:eastAsia="Times New Roman" w:hint="default"/>
                <w:sz w:val="18"/>
                <w:szCs w:val="18"/>
              </w:rPr>
            </w:pPr>
            <w:r>
              <w:rPr>
                <w:rFonts w:ascii="Times New Roman"/>
                <w:sz w:val="18"/>
              </w:rPr>
              <w:t>760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-969,98</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5" w:right="0"/>
              <w:jc w:val="left"/>
              <w:rPr>
                <w:rFonts w:ascii="Times New Roman" w:hAnsi="Times New Roman" w:cs="Times New Roman" w:eastAsia="Times New Roman" w:hint="default"/>
                <w:sz w:val="18"/>
                <w:szCs w:val="18"/>
              </w:rPr>
            </w:pPr>
            <w:r>
              <w:rPr>
                <w:rFonts w:ascii="Times New Roman"/>
                <w:sz w:val="18"/>
              </w:rPr>
              <w:t>14,181,</w:t>
            </w:r>
          </w:p>
          <w:p>
            <w:pPr>
              <w:pStyle w:val="TableParagraph"/>
              <w:spacing w:line="240" w:lineRule="auto" w:before="106"/>
              <w:ind w:left="415" w:right="0"/>
              <w:jc w:val="left"/>
              <w:rPr>
                <w:rFonts w:ascii="Times New Roman" w:hAnsi="Times New Roman" w:cs="Times New Roman" w:eastAsia="Times New Roman" w:hint="default"/>
                <w:sz w:val="18"/>
                <w:szCs w:val="18"/>
              </w:rPr>
            </w:pPr>
            <w:r>
              <w:rPr>
                <w:rFonts w:ascii="Times New Roman"/>
                <w:sz w:val="18"/>
              </w:rPr>
              <w:t>008</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5" w:right="0"/>
              <w:jc w:val="left"/>
              <w:rPr>
                <w:rFonts w:ascii="Times New Roman" w:hAnsi="Times New Roman" w:cs="Times New Roman" w:eastAsia="Times New Roman" w:hint="default"/>
                <w:sz w:val="18"/>
                <w:szCs w:val="18"/>
              </w:rPr>
            </w:pPr>
            <w:r>
              <w:rPr>
                <w:rFonts w:ascii="Times New Roman"/>
                <w:sz w:val="18"/>
              </w:rPr>
              <w:t>31,031,</w:t>
            </w:r>
          </w:p>
          <w:p>
            <w:pPr>
              <w:pStyle w:val="TableParagraph"/>
              <w:spacing w:line="240" w:lineRule="auto" w:before="106"/>
              <w:ind w:left="415" w:right="0"/>
              <w:jc w:val="left"/>
              <w:rPr>
                <w:rFonts w:ascii="Times New Roman" w:hAnsi="Times New Roman" w:cs="Times New Roman" w:eastAsia="Times New Roman" w:hint="default"/>
                <w:sz w:val="18"/>
                <w:szCs w:val="18"/>
              </w:rPr>
            </w:pPr>
            <w:r>
              <w:rPr>
                <w:rFonts w:ascii="Times New Roman"/>
                <w:sz w:val="18"/>
              </w:rPr>
              <w:t>788</w:t>
            </w:r>
          </w:p>
        </w:tc>
      </w:tr>
    </w:tbl>
    <w:p>
      <w:pPr>
        <w:spacing w:line="240" w:lineRule="auto" w:before="2"/>
        <w:rPr>
          <w:rFonts w:ascii="宋体" w:hAnsi="宋体" w:cs="宋体" w:eastAsia="宋体" w:hint="default"/>
          <w:b/>
          <w:bCs/>
          <w:sz w:val="18"/>
          <w:szCs w:val="18"/>
        </w:rPr>
      </w:pPr>
    </w:p>
    <w:p>
      <w:pPr>
        <w:pStyle w:val="Heading4"/>
        <w:spacing w:line="240" w:lineRule="auto" w:before="26"/>
        <w:ind w:right="0"/>
        <w:jc w:val="left"/>
        <w:rPr>
          <w:b w:val="0"/>
          <w:bCs w:val="0"/>
        </w:rPr>
      </w:pPr>
      <w:bookmarkStart w:name="二、公司董事、监事、高级管理人员变动情况" w:id="126"/>
      <w:bookmarkEnd w:id="126"/>
      <w:r>
        <w:rPr>
          <w:b w:val="0"/>
          <w:bCs w:val="0"/>
        </w:rPr>
      </w:r>
      <w:r>
        <w:rPr/>
        <w:t>二、公司董事、监事、高级管理人员变动情况</w:t>
      </w:r>
      <w:r>
        <w:rPr>
          <w:b w:val="0"/>
          <w:bCs w:val="0"/>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30"/>
        <w:gridCol w:w="1330"/>
        <w:gridCol w:w="1330"/>
        <w:gridCol w:w="1331"/>
        <w:gridCol w:w="4248"/>
      </w:tblGrid>
      <w:tr>
        <w:trPr>
          <w:trHeight w:val="402" w:hRule="exact"/>
        </w:trPr>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08" w:right="0"/>
              <w:jc w:val="left"/>
              <w:rPr>
                <w:rFonts w:ascii="宋体" w:hAnsi="宋体" w:cs="宋体" w:eastAsia="宋体" w:hint="default"/>
                <w:sz w:val="18"/>
                <w:szCs w:val="18"/>
              </w:rPr>
            </w:pPr>
            <w:r>
              <w:rPr>
                <w:rFonts w:ascii="宋体" w:hAnsi="宋体" w:cs="宋体" w:eastAsia="宋体" w:hint="default"/>
                <w:sz w:val="18"/>
                <w:szCs w:val="18"/>
              </w:rPr>
              <w:t>担任的职务</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类型</w:t>
            </w:r>
          </w:p>
        </w:tc>
        <w:tc>
          <w:tcPr>
            <w:tcW w:w="133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日期</w:t>
            </w:r>
          </w:p>
        </w:tc>
        <w:tc>
          <w:tcPr>
            <w:tcW w:w="4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原因</w:t>
            </w:r>
          </w:p>
        </w:tc>
      </w:tr>
      <w:tr>
        <w:trPr>
          <w:trHeight w:val="71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张曙华</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总裁</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辞职</w:t>
            </w:r>
          </w:p>
        </w:tc>
      </w:tr>
      <w:tr>
        <w:trPr>
          <w:trHeight w:val="71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黄海清</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总裁</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任免</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聘任</w:t>
            </w:r>
          </w:p>
        </w:tc>
      </w:tr>
      <w:tr>
        <w:trPr>
          <w:trHeight w:val="71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黄亚钧</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连任独立董事已满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年离任</w:t>
            </w:r>
          </w:p>
        </w:tc>
      </w:tr>
      <w:tr>
        <w:trPr>
          <w:trHeight w:val="714" w:hRule="exact"/>
        </w:trPr>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祝小兵</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3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解聘</w:t>
            </w:r>
          </w:p>
        </w:tc>
        <w:tc>
          <w:tcPr>
            <w:tcW w:w="133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4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聘任</w:t>
            </w:r>
          </w:p>
        </w:tc>
      </w:tr>
    </w:tbl>
    <w:p>
      <w:pPr>
        <w:spacing w:line="240" w:lineRule="auto" w:before="2"/>
        <w:rPr>
          <w:rFonts w:ascii="宋体" w:hAnsi="宋体" w:cs="宋体" w:eastAsia="宋体" w:hint="default"/>
          <w:sz w:val="18"/>
          <w:szCs w:val="18"/>
        </w:rPr>
      </w:pPr>
    </w:p>
    <w:p>
      <w:pPr>
        <w:pStyle w:val="Heading4"/>
        <w:spacing w:line="240" w:lineRule="auto" w:before="26"/>
        <w:ind w:right="0"/>
        <w:jc w:val="left"/>
        <w:rPr>
          <w:b w:val="0"/>
          <w:bCs w:val="0"/>
        </w:rPr>
      </w:pPr>
      <w:bookmarkStart w:name="三、任职情况" w:id="127"/>
      <w:bookmarkEnd w:id="127"/>
      <w:r>
        <w:rPr>
          <w:b w:val="0"/>
          <w:bCs w:val="0"/>
        </w:rPr>
      </w:r>
      <w:r>
        <w:rPr/>
        <w:t>三、任职情况</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公司现任董事、监事、高级管理人员专业背景、主要工作经历以及目前在公司的主要职责</w:t>
      </w:r>
    </w:p>
    <w:p>
      <w:pPr>
        <w:pStyle w:val="BodyText"/>
        <w:spacing w:line="237" w:lineRule="auto" w:before="68"/>
        <w:ind w:right="1132" w:firstLine="480"/>
        <w:jc w:val="both"/>
      </w:pPr>
      <w:r>
        <w:rPr>
          <w:spacing w:val="-5"/>
        </w:rPr>
        <w:t>张曙华先生，中国国籍，无境外永久居留权，</w:t>
      </w:r>
      <w:r>
        <w:rPr>
          <w:rFonts w:ascii="宋体" w:hAnsi="宋体" w:cs="宋体" w:eastAsia="宋体" w:hint="default"/>
          <w:spacing w:val="-5"/>
        </w:rPr>
        <w:t>1967</w:t>
      </w:r>
      <w:r>
        <w:rPr>
          <w:spacing w:val="-5"/>
        </w:rPr>
        <w:t>年</w:t>
      </w:r>
      <w:r>
        <w:rPr>
          <w:rFonts w:ascii="宋体" w:hAnsi="宋体" w:cs="宋体" w:eastAsia="宋体" w:hint="default"/>
          <w:spacing w:val="-5"/>
        </w:rPr>
        <w:t>12</w:t>
      </w:r>
      <w:r>
        <w:rPr>
          <w:spacing w:val="-5"/>
        </w:rPr>
        <w:t>月出生，本科学历。</w:t>
      </w:r>
      <w:r>
        <w:rPr>
          <w:rFonts w:ascii="宋体" w:hAnsi="宋体" w:cs="宋体" w:eastAsia="宋体" w:hint="default"/>
          <w:spacing w:val="-5"/>
        </w:rPr>
        <w:t>1993</w:t>
      </w:r>
      <w:r>
        <w:rPr>
          <w:spacing w:val="-5"/>
        </w:rPr>
        <w:t>年至</w:t>
      </w:r>
      <w:r>
        <w:rPr>
          <w:rFonts w:ascii="宋体" w:hAnsi="宋体" w:cs="宋体" w:eastAsia="宋体" w:hint="default"/>
          <w:spacing w:val="-5"/>
        </w:rPr>
        <w:t>1997</w:t>
      </w:r>
      <w:r>
        <w:rPr>
          <w:rFonts w:ascii="宋体" w:hAnsi="宋体" w:cs="宋体" w:eastAsia="宋体" w:hint="default"/>
        </w:rPr>
        <w:t> </w:t>
      </w:r>
      <w:r>
        <w:rPr/>
        <w:t>年任上海中信电子发展公司副总经理；</w:t>
      </w:r>
      <w:r>
        <w:rPr>
          <w:rFonts w:ascii="宋体" w:hAnsi="宋体" w:cs="宋体" w:eastAsia="宋体" w:hint="default"/>
        </w:rPr>
        <w:t>1997</w:t>
      </w:r>
      <w:r>
        <w:rPr/>
        <w:t>年</w:t>
      </w:r>
      <w:r>
        <w:rPr>
          <w:rFonts w:ascii="宋体" w:hAnsi="宋体" w:cs="宋体" w:eastAsia="宋体" w:hint="default"/>
        </w:rPr>
        <w:t>10</w:t>
      </w:r>
      <w:r>
        <w:rPr/>
        <w:t>月创办本公司，现任公司董事长、董事会战 略委员会主任委员，并兼任中信电子、金档信息、光典信息、追索信息执行董事。张曙华先 生曾荣获</w:t>
      </w:r>
      <w:r>
        <w:rPr>
          <w:rFonts w:ascii="宋体" w:hAnsi="宋体" w:cs="宋体" w:eastAsia="宋体" w:hint="default"/>
        </w:rPr>
        <w:t>2015</w:t>
      </w:r>
      <w:r>
        <w:rPr/>
        <w:t>年静安区杰出人才奖；</w:t>
      </w:r>
      <w:r>
        <w:rPr>
          <w:rFonts w:ascii="宋体" w:hAnsi="宋体" w:cs="宋体" w:eastAsia="宋体" w:hint="default"/>
        </w:rPr>
        <w:t>2003</w:t>
      </w:r>
      <w:r>
        <w:rPr/>
        <w:t>年荣获“上海市科学技术进步二等奖”以及“上海 </w:t>
      </w:r>
      <w:r>
        <w:rPr>
          <w:spacing w:val="-11"/>
        </w:rPr>
        <w:t>市科学技术进步三等奖”；</w:t>
      </w:r>
      <w:r>
        <w:rPr>
          <w:rFonts w:ascii="宋体" w:hAnsi="宋体" w:cs="宋体" w:eastAsia="宋体" w:hint="default"/>
          <w:spacing w:val="-11"/>
        </w:rPr>
        <w:t>2007</w:t>
      </w:r>
      <w:r>
        <w:rPr>
          <w:spacing w:val="-11"/>
        </w:rPr>
        <w:t>年荣获“上海市科学技术成果证书”、“上海实施发明成果优秀</w:t>
      </w:r>
      <w:r>
        <w:rPr>
          <w:spacing w:val="-80"/>
        </w:rPr>
        <w:t> </w:t>
      </w:r>
      <w:r>
        <w:rPr>
          <w:spacing w:val="-80"/>
        </w:rPr>
      </w:r>
      <w:r>
        <w:rPr>
          <w:spacing w:val="-5"/>
        </w:rPr>
        <w:t>企业家”称号；</w:t>
      </w:r>
      <w:r>
        <w:rPr>
          <w:rFonts w:ascii="宋体" w:hAnsi="宋体" w:cs="宋体" w:eastAsia="宋体" w:hint="default"/>
          <w:spacing w:val="-5"/>
        </w:rPr>
        <w:t>2009</w:t>
      </w:r>
      <w:r>
        <w:rPr>
          <w:spacing w:val="-5"/>
        </w:rPr>
        <w:t>年荣获“上海市科学技术进步三等奖”；</w:t>
      </w:r>
      <w:r>
        <w:rPr>
          <w:rFonts w:ascii="宋体" w:hAnsi="宋体" w:cs="宋体" w:eastAsia="宋体" w:hint="default"/>
          <w:spacing w:val="-5"/>
        </w:rPr>
        <w:t>2010</w:t>
      </w:r>
      <w:r>
        <w:rPr>
          <w:spacing w:val="-5"/>
        </w:rPr>
        <w:t>年荣获“上海市软件行业标</w:t>
      </w:r>
      <w:r>
        <w:rPr>
          <w:spacing w:val="-100"/>
        </w:rPr>
        <w:t> </w:t>
      </w:r>
      <w:r>
        <w:rPr>
          <w:spacing w:val="-100"/>
        </w:rPr>
      </w:r>
      <w:r>
        <w:rPr>
          <w:spacing w:val="-11"/>
        </w:rPr>
        <w:t>兵”、“静安区优秀中国特色社会主义事业建设者”；</w:t>
      </w:r>
      <w:r>
        <w:rPr>
          <w:rFonts w:ascii="宋体" w:hAnsi="宋体" w:cs="宋体" w:eastAsia="宋体" w:hint="default"/>
          <w:spacing w:val="-11"/>
        </w:rPr>
        <w:t>2011</w:t>
      </w:r>
      <w:r>
        <w:rPr>
          <w:spacing w:val="-11"/>
        </w:rPr>
        <w:t>年荣获国家档案局颁发的“档案科研</w:t>
      </w:r>
    </w:p>
    <w:p>
      <w:pPr>
        <w:spacing w:after="0" w:line="237" w:lineRule="auto"/>
        <w:jc w:val="both"/>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237" w:lineRule="auto" w:before="28"/>
        <w:ind w:right="0"/>
        <w:jc w:val="left"/>
      </w:pPr>
      <w:r>
        <w:rPr>
          <w:spacing w:val="-11"/>
        </w:rPr>
        <w:t>成果三等奖”；“上海市企业管理现代化创新成果三等奖”；</w:t>
      </w:r>
      <w:r>
        <w:rPr>
          <w:rFonts w:ascii="宋体" w:hAnsi="宋体" w:cs="宋体" w:eastAsia="宋体" w:hint="default"/>
          <w:spacing w:val="-11"/>
        </w:rPr>
        <w:t>2012</w:t>
      </w:r>
      <w:r>
        <w:rPr>
          <w:spacing w:val="-11"/>
        </w:rPr>
        <w:t>年荣获上海市静安区“第三批</w:t>
      </w:r>
      <w:r>
        <w:rPr>
          <w:spacing w:val="-80"/>
        </w:rPr>
        <w:t> </w:t>
      </w:r>
      <w:r>
        <w:rPr>
          <w:spacing w:val="-80"/>
        </w:rPr>
      </w:r>
      <w:r>
        <w:rPr>
          <w:spacing w:val="-8"/>
        </w:rPr>
        <w:t>领军人才”称号；</w:t>
      </w:r>
      <w:r>
        <w:rPr>
          <w:rFonts w:ascii="宋体" w:hAnsi="宋体" w:cs="宋体" w:eastAsia="宋体" w:hint="default"/>
          <w:spacing w:val="-8"/>
        </w:rPr>
        <w:t>2013</w:t>
      </w:r>
      <w:r>
        <w:rPr>
          <w:spacing w:val="-8"/>
        </w:rPr>
        <w:t>年荣获“上海市软件行业标兵”；</w:t>
      </w:r>
      <w:r>
        <w:rPr>
          <w:rFonts w:ascii="宋体" w:hAnsi="宋体" w:cs="宋体" w:eastAsia="宋体" w:hint="default"/>
          <w:spacing w:val="-8"/>
        </w:rPr>
        <w:t>2015</w:t>
      </w:r>
      <w:r>
        <w:rPr>
          <w:spacing w:val="-8"/>
        </w:rPr>
        <w:t>年荣获第二届“静安区杰出人才”</w:t>
      </w:r>
      <w:r>
        <w:rPr>
          <w:spacing w:val="-76"/>
        </w:rPr>
        <w:t> </w:t>
      </w:r>
      <w:r>
        <w:rPr>
          <w:spacing w:val="-76"/>
        </w:rPr>
      </w:r>
      <w:r>
        <w:rPr>
          <w:spacing w:val="-11"/>
        </w:rPr>
        <w:t>提名奖、“上海市科学技术进步三等奖”；</w:t>
      </w:r>
      <w:r>
        <w:rPr>
          <w:rFonts w:ascii="宋体" w:hAnsi="宋体" w:cs="宋体" w:eastAsia="宋体" w:hint="default"/>
          <w:spacing w:val="-11"/>
        </w:rPr>
        <w:t>2016</w:t>
      </w:r>
      <w:r>
        <w:rPr>
          <w:spacing w:val="-11"/>
        </w:rPr>
        <w:t>年荣获上海市计算机行业“创新人物”、“上海</w:t>
      </w:r>
      <w:r>
        <w:rPr>
          <w:spacing w:val="-116"/>
        </w:rPr>
        <w:t> </w:t>
      </w:r>
      <w:r>
        <w:rPr>
          <w:spacing w:val="-116"/>
        </w:rPr>
      </w:r>
      <w:r>
        <w:rPr>
          <w:spacing w:val="-11"/>
        </w:rPr>
        <w:t>市科学技术进步二等奖”、“首届静安质量奖”。张曙华曾担任上海市静安区政协委员，上海市</w:t>
      </w:r>
      <w:r>
        <w:rPr>
          <w:spacing w:val="-102"/>
        </w:rPr>
        <w:t> </w:t>
      </w:r>
      <w:r>
        <w:rPr>
          <w:spacing w:val="-102"/>
        </w:rPr>
      </w:r>
      <w:r>
        <w:rPr/>
        <w:t>静安区工商业联合会（商会）副会长，现任长三角重要产品追溯联盟暨长三角区块链追溯联 盟理事长。</w:t>
      </w:r>
    </w:p>
    <w:p>
      <w:pPr>
        <w:pStyle w:val="BodyText"/>
        <w:spacing w:line="312" w:lineRule="exact" w:before="29"/>
        <w:ind w:right="994" w:firstLine="480"/>
        <w:jc w:val="left"/>
      </w:pPr>
      <w:r>
        <w:rPr/>
        <w:t>黄海清先生</w:t>
      </w:r>
      <w:r>
        <w:rPr>
          <w:rFonts w:ascii="宋体" w:hAnsi="宋体" w:cs="宋体" w:eastAsia="宋体" w:hint="default"/>
        </w:rPr>
        <w:t>,</w:t>
      </w:r>
      <w:r>
        <w:rPr/>
        <w:t>中国国籍</w:t>
      </w:r>
      <w:r>
        <w:rPr>
          <w:rFonts w:ascii="宋体" w:hAnsi="宋体" w:cs="宋体" w:eastAsia="宋体" w:hint="default"/>
        </w:rPr>
        <w:t>,</w:t>
      </w:r>
      <w:r>
        <w:rPr/>
        <w:t>无境外永久居留权</w:t>
      </w:r>
      <w:r>
        <w:rPr>
          <w:rFonts w:ascii="宋体" w:hAnsi="宋体" w:cs="宋体" w:eastAsia="宋体" w:hint="default"/>
        </w:rPr>
        <w:t>,1975</w:t>
      </w:r>
      <w:r>
        <w:rPr/>
        <w:t>年</w:t>
      </w:r>
      <w:r>
        <w:rPr>
          <w:rFonts w:ascii="宋体" w:hAnsi="宋体" w:cs="宋体" w:eastAsia="宋体" w:hint="default"/>
        </w:rPr>
        <w:t>12</w:t>
      </w:r>
      <w:r>
        <w:rPr/>
        <w:t>月出生</w:t>
      </w:r>
      <w:r>
        <w:rPr>
          <w:rFonts w:ascii="宋体" w:hAnsi="宋体" w:cs="宋体" w:eastAsia="宋体" w:hint="default"/>
        </w:rPr>
        <w:t>,</w:t>
      </w:r>
      <w:r>
        <w:rPr/>
        <w:t>上海交通大学高级工商管理 </w:t>
      </w:r>
      <w:r>
        <w:rPr>
          <w:spacing w:val="-7"/>
        </w:rPr>
        <w:t>硕士。</w:t>
      </w:r>
      <w:r>
        <w:rPr>
          <w:rFonts w:ascii="宋体" w:hAnsi="宋体" w:cs="宋体" w:eastAsia="宋体" w:hint="default"/>
          <w:spacing w:val="-7"/>
        </w:rPr>
        <w:t>1999</w:t>
      </w:r>
      <w:r>
        <w:rPr>
          <w:spacing w:val="-7"/>
        </w:rPr>
        <w:t>年</w:t>
      </w:r>
      <w:r>
        <w:rPr>
          <w:rFonts w:ascii="宋体" w:hAnsi="宋体" w:cs="宋体" w:eastAsia="宋体" w:hint="default"/>
          <w:spacing w:val="-7"/>
        </w:rPr>
        <w:t>4</w:t>
      </w:r>
      <w:r>
        <w:rPr>
          <w:spacing w:val="-7"/>
        </w:rPr>
        <w:t>月至</w:t>
      </w:r>
      <w:r>
        <w:rPr>
          <w:rFonts w:ascii="宋体" w:hAnsi="宋体" w:cs="宋体" w:eastAsia="宋体" w:hint="default"/>
          <w:spacing w:val="-7"/>
        </w:rPr>
        <w:t>2002</w:t>
      </w:r>
      <w:r>
        <w:rPr>
          <w:spacing w:val="-7"/>
        </w:rPr>
        <w:t>年</w:t>
      </w:r>
      <w:r>
        <w:rPr>
          <w:rFonts w:ascii="宋体" w:hAnsi="宋体" w:cs="宋体" w:eastAsia="宋体" w:hint="default"/>
          <w:spacing w:val="-7"/>
        </w:rPr>
        <w:t>7</w:t>
      </w:r>
      <w:r>
        <w:rPr>
          <w:spacing w:val="-7"/>
        </w:rPr>
        <w:t>月，相继加入</w:t>
      </w:r>
      <w:r>
        <w:rPr>
          <w:rFonts w:ascii="宋体" w:hAnsi="宋体" w:cs="宋体" w:eastAsia="宋体" w:hint="default"/>
          <w:spacing w:val="-7"/>
        </w:rPr>
        <w:t>DELL</w:t>
      </w:r>
      <w:r>
        <w:rPr>
          <w:spacing w:val="-7"/>
        </w:rPr>
        <w:t>，</w:t>
      </w:r>
      <w:r>
        <w:rPr>
          <w:rFonts w:ascii="宋体" w:hAnsi="宋体" w:cs="宋体" w:eastAsia="宋体" w:hint="default"/>
          <w:spacing w:val="-7"/>
        </w:rPr>
        <w:t>IBM</w:t>
      </w:r>
      <w:r>
        <w:rPr>
          <w:spacing w:val="-7"/>
        </w:rPr>
        <w:t>等跨国公司从事销售及业务拓展工作；</w:t>
      </w:r>
      <w:r>
        <w:rPr>
          <w:rFonts w:ascii="宋体" w:hAnsi="宋体" w:cs="宋体" w:eastAsia="宋体" w:hint="default"/>
          <w:spacing w:val="-7"/>
        </w:rPr>
        <w:t>2002</w:t>
      </w:r>
      <w:r>
        <w:rPr>
          <w:rFonts w:ascii="宋体" w:hAnsi="宋体" w:cs="宋体" w:eastAsia="宋体" w:hint="default"/>
          <w:spacing w:val="-78"/>
        </w:rPr>
        <w:t> </w:t>
      </w:r>
      <w:r>
        <w:rPr/>
        <w:t>年</w:t>
      </w:r>
      <w:r>
        <w:rPr>
          <w:rFonts w:ascii="宋体" w:hAnsi="宋体" w:cs="宋体" w:eastAsia="宋体" w:hint="default"/>
        </w:rPr>
        <w:t>7</w:t>
      </w:r>
      <w:r>
        <w:rPr/>
        <w:t>月至</w:t>
      </w:r>
      <w:r>
        <w:rPr>
          <w:rFonts w:ascii="宋体" w:hAnsi="宋体" w:cs="宋体" w:eastAsia="宋体" w:hint="default"/>
        </w:rPr>
        <w:t>2016</w:t>
      </w:r>
      <w:r>
        <w:rPr/>
        <w:t>年</w:t>
      </w:r>
      <w:r>
        <w:rPr>
          <w:rFonts w:ascii="宋体" w:hAnsi="宋体" w:cs="宋体" w:eastAsia="宋体" w:hint="default"/>
        </w:rPr>
        <w:t>7</w:t>
      </w:r>
      <w:r>
        <w:rPr/>
        <w:t>月历任甲骨文</w:t>
      </w:r>
      <w:r>
        <w:rPr>
          <w:rFonts w:ascii="宋体" w:hAnsi="宋体" w:cs="宋体" w:eastAsia="宋体" w:hint="default"/>
        </w:rPr>
        <w:t>(</w:t>
      </w:r>
      <w:r>
        <w:rPr/>
        <w:t>中国</w:t>
      </w:r>
      <w:r>
        <w:rPr>
          <w:rFonts w:ascii="宋体" w:hAnsi="宋体" w:cs="宋体" w:eastAsia="宋体" w:hint="default"/>
        </w:rPr>
        <w:t>)</w:t>
      </w:r>
      <w:r>
        <w:rPr/>
        <w:t>软件系统有限公司销售总监、上海公司总经理等职位； </w:t>
      </w:r>
      <w:r>
        <w:rPr>
          <w:rFonts w:ascii="宋体" w:hAnsi="宋体" w:cs="宋体" w:eastAsia="宋体" w:hint="default"/>
          <w:spacing w:val="-2"/>
        </w:rPr>
        <w:t>2016</w:t>
      </w:r>
      <w:r>
        <w:rPr>
          <w:spacing w:val="-2"/>
        </w:rPr>
        <w:t>年</w:t>
      </w:r>
      <w:r>
        <w:rPr>
          <w:rFonts w:ascii="宋体" w:hAnsi="宋体" w:cs="宋体" w:eastAsia="宋体" w:hint="default"/>
          <w:spacing w:val="-2"/>
        </w:rPr>
        <w:t>7</w:t>
      </w:r>
      <w:r>
        <w:rPr>
          <w:spacing w:val="-2"/>
        </w:rPr>
        <w:t>月至</w:t>
      </w:r>
      <w:r>
        <w:rPr>
          <w:rFonts w:ascii="宋体" w:hAnsi="宋体" w:cs="宋体" w:eastAsia="宋体" w:hint="default"/>
          <w:spacing w:val="-2"/>
        </w:rPr>
        <w:t>2018</w:t>
      </w:r>
      <w:r>
        <w:rPr>
          <w:spacing w:val="-2"/>
        </w:rPr>
        <w:t>年</w:t>
      </w:r>
      <w:r>
        <w:rPr>
          <w:rFonts w:ascii="宋体" w:hAnsi="宋体" w:cs="宋体" w:eastAsia="宋体" w:hint="default"/>
          <w:spacing w:val="-2"/>
        </w:rPr>
        <w:t>3</w:t>
      </w:r>
      <w:r>
        <w:rPr>
          <w:spacing w:val="-2"/>
        </w:rPr>
        <w:t>月任腾讯云副总裁。黄海清先生曾获得</w:t>
      </w:r>
      <w:r>
        <w:rPr>
          <w:rFonts w:ascii="宋体" w:hAnsi="宋体" w:cs="宋体" w:eastAsia="宋体" w:hint="default"/>
          <w:spacing w:val="-2"/>
        </w:rPr>
        <w:t>2014</w:t>
      </w:r>
      <w:r>
        <w:rPr>
          <w:spacing w:val="-2"/>
        </w:rPr>
        <w:t>年“上海市</w:t>
      </w:r>
      <w:r>
        <w:rPr>
          <w:rFonts w:ascii="宋体" w:hAnsi="宋体" w:cs="宋体" w:eastAsia="宋体" w:hint="default"/>
          <w:spacing w:val="-2"/>
        </w:rPr>
        <w:t>IT</w:t>
      </w:r>
      <w:r>
        <w:rPr>
          <w:spacing w:val="-2"/>
        </w:rPr>
        <w:t>青年十大新锐”</w:t>
      </w:r>
      <w:r>
        <w:rPr>
          <w:spacing w:val="-104"/>
        </w:rPr>
        <w:t> </w:t>
      </w:r>
      <w:r>
        <w:rPr>
          <w:spacing w:val="-3"/>
        </w:rPr>
        <w:t>称号</w:t>
      </w:r>
      <w:r>
        <w:rPr>
          <w:rFonts w:ascii="宋体" w:hAnsi="宋体" w:cs="宋体" w:eastAsia="宋体" w:hint="default"/>
          <w:spacing w:val="-3"/>
        </w:rPr>
        <w:t>,2015</w:t>
      </w:r>
      <w:r>
        <w:rPr>
          <w:spacing w:val="-3"/>
        </w:rPr>
        <w:t>年曾获得“上海交通大学年度杰出校友致远奖”。</w:t>
      </w:r>
      <w:r>
        <w:rPr>
          <w:rFonts w:ascii="宋体" w:hAnsi="宋体" w:cs="宋体" w:eastAsia="宋体" w:hint="default"/>
          <w:spacing w:val="-3"/>
        </w:rPr>
        <w:t>2018</w:t>
      </w:r>
      <w:r>
        <w:rPr>
          <w:spacing w:val="-3"/>
        </w:rPr>
        <w:t>年获得“上海市领军人才”</w:t>
      </w:r>
      <w:r>
        <w:rPr>
          <w:spacing w:val="-105"/>
        </w:rPr>
        <w:t> </w:t>
      </w:r>
      <w:r>
        <w:rPr>
          <w:spacing w:val="-3"/>
        </w:rPr>
        <w:t>称号；“中国长三角十大杰出青商”称号！黄海清先生现兼任上海市青年联合会常委</w:t>
      </w:r>
      <w:r>
        <w:rPr>
          <w:rFonts w:ascii="宋体" w:hAnsi="宋体" w:cs="宋体" w:eastAsia="宋体" w:hint="default"/>
          <w:spacing w:val="-3"/>
        </w:rPr>
        <w:t>,</w:t>
      </w:r>
      <w:r>
        <w:rPr>
          <w:spacing w:val="-3"/>
        </w:rPr>
        <w:t>上海市</w:t>
      </w:r>
      <w:r>
        <w:rPr>
          <w:spacing w:val="-117"/>
        </w:rPr>
        <w:t> </w:t>
      </w:r>
      <w:r>
        <w:rPr/>
        <w:t>信息化青年人才协会执行会长</w:t>
      </w:r>
      <w:r>
        <w:rPr>
          <w:rFonts w:ascii="宋体" w:hAnsi="宋体" w:cs="宋体" w:eastAsia="宋体" w:hint="default"/>
        </w:rPr>
        <w:t>,</w:t>
      </w:r>
      <w:r>
        <w:rPr/>
        <w:t>上海市统战部中青年知识分子联谊会理事</w:t>
      </w:r>
      <w:r>
        <w:rPr>
          <w:rFonts w:ascii="宋体" w:hAnsi="宋体" w:cs="宋体" w:eastAsia="宋体" w:hint="default"/>
        </w:rPr>
        <w:t>,</w:t>
      </w:r>
      <w:r>
        <w:rPr/>
        <w:t>上海市黄浦区政协 委员。</w:t>
      </w:r>
    </w:p>
    <w:p>
      <w:pPr>
        <w:pStyle w:val="BodyText"/>
        <w:spacing w:line="312" w:lineRule="exact"/>
        <w:ind w:right="1130" w:firstLine="480"/>
        <w:jc w:val="both"/>
      </w:pPr>
      <w:r>
        <w:rPr/>
        <w:t>杨安荣先生，中国国籍，无境外永久居留权，</w:t>
      </w:r>
      <w:r>
        <w:rPr>
          <w:rFonts w:ascii="宋体" w:hAnsi="宋体" w:cs="宋体" w:eastAsia="宋体" w:hint="default"/>
        </w:rPr>
        <w:t>1975</w:t>
      </w:r>
      <w:r>
        <w:rPr/>
        <w:t>年</w:t>
      </w:r>
      <w:r>
        <w:rPr>
          <w:rFonts w:ascii="宋体" w:hAnsi="宋体" w:cs="宋体" w:eastAsia="宋体" w:hint="default"/>
        </w:rPr>
        <w:t>10</w:t>
      </w:r>
      <w:r>
        <w:rPr/>
        <w:t>月出生，工学博士，教授级高级 </w:t>
      </w:r>
      <w:r>
        <w:rPr>
          <w:spacing w:val="-2"/>
        </w:rPr>
        <w:t>工程师。</w:t>
      </w:r>
      <w:r>
        <w:rPr>
          <w:rFonts w:ascii="宋体" w:hAnsi="宋体" w:cs="宋体" w:eastAsia="宋体" w:hint="default"/>
          <w:spacing w:val="-2"/>
        </w:rPr>
        <w:t>2000</w:t>
      </w:r>
      <w:r>
        <w:rPr>
          <w:spacing w:val="-2"/>
        </w:rPr>
        <w:t>年</w:t>
      </w:r>
      <w:r>
        <w:rPr>
          <w:rFonts w:ascii="宋体" w:hAnsi="宋体" w:cs="宋体" w:eastAsia="宋体" w:hint="default"/>
          <w:spacing w:val="-2"/>
        </w:rPr>
        <w:t>3</w:t>
      </w:r>
      <w:r>
        <w:rPr>
          <w:spacing w:val="-2"/>
        </w:rPr>
        <w:t>月起就职于中信有限，历任公司项目经理、产品部经理、软件部经理、技术</w:t>
      </w:r>
      <w:r>
        <w:rPr/>
        <w:t> </w:t>
      </w:r>
      <w:r>
        <w:rPr>
          <w:spacing w:val="-2"/>
        </w:rPr>
        <w:t>总监、副总经理等职，现任公司董事，高级副总裁。杨安荣先生曾荣获</w:t>
      </w:r>
      <w:r>
        <w:rPr>
          <w:rFonts w:ascii="宋体" w:hAnsi="宋体" w:cs="宋体" w:eastAsia="宋体" w:hint="default"/>
          <w:spacing w:val="-2"/>
        </w:rPr>
        <w:t>2001-2003</w:t>
      </w:r>
      <w:r>
        <w:rPr>
          <w:spacing w:val="-2"/>
        </w:rPr>
        <w:t>年度“静安</w:t>
      </w:r>
      <w:r>
        <w:rPr>
          <w:spacing w:val="-112"/>
        </w:rPr>
        <w:t> </w:t>
      </w:r>
      <w:r>
        <w:rPr>
          <w:spacing w:val="-112"/>
        </w:rPr>
      </w:r>
      <w:r>
        <w:rPr>
          <w:spacing w:val="-2"/>
        </w:rPr>
        <w:t>区先进生产（工作）者”称号，</w:t>
      </w:r>
      <w:r>
        <w:rPr>
          <w:rFonts w:ascii="宋体" w:hAnsi="宋体" w:cs="宋体" w:eastAsia="宋体" w:hint="default"/>
          <w:spacing w:val="-2"/>
        </w:rPr>
        <w:t>2003</w:t>
      </w:r>
      <w:r>
        <w:rPr>
          <w:spacing w:val="-2"/>
        </w:rPr>
        <w:t>年上海市科技进步二等奖，</w:t>
      </w:r>
      <w:r>
        <w:rPr>
          <w:rFonts w:ascii="宋体" w:hAnsi="宋体" w:cs="宋体" w:eastAsia="宋体" w:hint="default"/>
          <w:spacing w:val="-2"/>
        </w:rPr>
        <w:t>2005</w:t>
      </w:r>
      <w:r>
        <w:rPr>
          <w:spacing w:val="-2"/>
        </w:rPr>
        <w:t>年上海市优秀</w:t>
      </w:r>
      <w:r>
        <w:rPr>
          <w:rFonts w:ascii="宋体" w:hAnsi="宋体" w:cs="宋体" w:eastAsia="宋体" w:hint="default"/>
          <w:spacing w:val="-2"/>
        </w:rPr>
        <w:t>CIO</w:t>
      </w:r>
      <w:r>
        <w:rPr>
          <w:spacing w:val="-2"/>
        </w:rPr>
        <w:t>（信息</w:t>
      </w:r>
      <w:r>
        <w:rPr>
          <w:spacing w:val="-115"/>
        </w:rPr>
        <w:t> </w:t>
      </w:r>
      <w:r>
        <w:rPr/>
        <w:t>主管、信息中心主任）提名奖，</w:t>
      </w:r>
      <w:r>
        <w:rPr>
          <w:rFonts w:ascii="宋体" w:hAnsi="宋体" w:cs="宋体" w:eastAsia="宋体" w:hint="default"/>
        </w:rPr>
        <w:t>2006</w:t>
      </w:r>
      <w:r>
        <w:rPr/>
        <w:t>年度“静安区科技创新标兵”称号，</w:t>
      </w:r>
      <w:r>
        <w:rPr>
          <w:rFonts w:ascii="宋体" w:hAnsi="宋体" w:cs="宋体" w:eastAsia="宋体" w:hint="default"/>
        </w:rPr>
        <w:t>2009</w:t>
      </w:r>
      <w:r>
        <w:rPr/>
        <w:t>年上海市科技 进步三等奖，</w:t>
      </w:r>
      <w:r>
        <w:rPr>
          <w:rFonts w:ascii="宋体" w:hAnsi="宋体" w:cs="宋体" w:eastAsia="宋体" w:hint="default"/>
        </w:rPr>
        <w:t>2009</w:t>
      </w:r>
      <w:r>
        <w:rPr/>
        <w:t>、</w:t>
      </w:r>
      <w:r>
        <w:rPr>
          <w:rFonts w:ascii="宋体" w:hAnsi="宋体" w:cs="宋体" w:eastAsia="宋体" w:hint="default"/>
        </w:rPr>
        <w:t>2013</w:t>
      </w:r>
      <w:r>
        <w:rPr/>
        <w:t>年度“上海市软件行业标兵”称号，</w:t>
      </w:r>
      <w:r>
        <w:rPr>
          <w:rFonts w:ascii="宋体" w:hAnsi="宋体" w:cs="宋体" w:eastAsia="宋体" w:hint="default"/>
        </w:rPr>
        <w:t>2011</w:t>
      </w:r>
      <w:r>
        <w:rPr/>
        <w:t>年中国技术市场协会第五 </w:t>
      </w:r>
      <w:r>
        <w:rPr>
          <w:spacing w:val="-2"/>
        </w:rPr>
        <w:t>届金桥奖先进个人，</w:t>
      </w:r>
      <w:r>
        <w:rPr>
          <w:rFonts w:ascii="宋体" w:hAnsi="宋体" w:cs="宋体" w:eastAsia="宋体" w:hint="default"/>
          <w:spacing w:val="-2"/>
        </w:rPr>
        <w:t>2012</w:t>
      </w:r>
      <w:r>
        <w:rPr>
          <w:spacing w:val="-2"/>
        </w:rPr>
        <w:t>年静安区第七批优秀中青年拔尖人才。</w:t>
      </w:r>
      <w:r>
        <w:rPr>
          <w:rFonts w:ascii="宋体" w:hAnsi="宋体" w:cs="宋体" w:eastAsia="宋体" w:hint="default"/>
          <w:spacing w:val="-2"/>
        </w:rPr>
        <w:t>2009</w:t>
      </w:r>
      <w:r>
        <w:rPr>
          <w:spacing w:val="-2"/>
        </w:rPr>
        <w:t>年</w:t>
      </w:r>
      <w:r>
        <w:rPr>
          <w:rFonts w:ascii="宋体" w:hAnsi="宋体" w:cs="宋体" w:eastAsia="宋体" w:hint="default"/>
          <w:spacing w:val="-2"/>
        </w:rPr>
        <w:t>1</w:t>
      </w:r>
      <w:r>
        <w:rPr>
          <w:spacing w:val="-2"/>
        </w:rPr>
        <w:t>月起至今被上海市财</w:t>
      </w:r>
      <w:r>
        <w:rPr>
          <w:spacing w:val="-112"/>
        </w:rPr>
        <w:t> </w:t>
      </w:r>
      <w:r>
        <w:rPr/>
        <w:t>政局聘为上海市政府采购评审专家。</w:t>
      </w:r>
      <w:r>
        <w:rPr>
          <w:rFonts w:ascii="宋体" w:hAnsi="宋体" w:cs="宋体" w:eastAsia="宋体" w:hint="default"/>
        </w:rPr>
        <w:t>2014</w:t>
      </w:r>
      <w:r>
        <w:rPr/>
        <w:t>年</w:t>
      </w:r>
      <w:r>
        <w:rPr>
          <w:rFonts w:ascii="宋体" w:hAnsi="宋体" w:cs="宋体" w:eastAsia="宋体" w:hint="default"/>
        </w:rPr>
        <w:t>1</w:t>
      </w:r>
      <w:r>
        <w:rPr/>
        <w:t>月起至今被上海市经信委聘为专项资金评审专</w:t>
      </w:r>
    </w:p>
    <w:p>
      <w:pPr>
        <w:pStyle w:val="BodyText"/>
        <w:spacing w:line="283" w:lineRule="exact"/>
        <w:ind w:right="0"/>
        <w:jc w:val="left"/>
      </w:pPr>
      <w:r>
        <w:rPr/>
        <w:t>家。</w:t>
      </w:r>
    </w:p>
    <w:p>
      <w:pPr>
        <w:pStyle w:val="BodyText"/>
        <w:spacing w:line="312" w:lineRule="exact" w:before="29"/>
        <w:ind w:right="1131" w:firstLine="480"/>
        <w:jc w:val="both"/>
      </w:pPr>
      <w:r>
        <w:rPr>
          <w:spacing w:val="-2"/>
        </w:rPr>
        <w:t>刘理洲先生，中国国籍，无境外永久居留权，</w:t>
      </w:r>
      <w:r>
        <w:rPr>
          <w:rFonts w:ascii="宋体" w:hAnsi="宋体" w:cs="宋体" w:eastAsia="宋体" w:hint="default"/>
          <w:spacing w:val="-2"/>
        </w:rPr>
        <w:t>1977</w:t>
      </w:r>
      <w:r>
        <w:rPr>
          <w:spacing w:val="-2"/>
        </w:rPr>
        <w:t>年</w:t>
      </w:r>
      <w:r>
        <w:rPr>
          <w:rFonts w:ascii="宋体" w:hAnsi="宋体" w:cs="宋体" w:eastAsia="宋体" w:hint="default"/>
          <w:spacing w:val="-2"/>
        </w:rPr>
        <w:t>1</w:t>
      </w:r>
      <w:r>
        <w:rPr>
          <w:spacing w:val="-2"/>
        </w:rPr>
        <w:t>月出生，同济大学</w:t>
      </w:r>
      <w:r>
        <w:rPr>
          <w:rFonts w:ascii="宋体" w:hAnsi="宋体" w:cs="宋体" w:eastAsia="宋体" w:hint="default"/>
          <w:spacing w:val="-2"/>
        </w:rPr>
        <w:t>EMBA</w:t>
      </w:r>
      <w:r>
        <w:rPr>
          <w:spacing w:val="-2"/>
        </w:rPr>
        <w:t>，中级工程</w:t>
      </w:r>
      <w:r>
        <w:rPr/>
        <w:t> 师。</w:t>
      </w:r>
      <w:r>
        <w:rPr>
          <w:rFonts w:ascii="宋体" w:hAnsi="宋体" w:cs="宋体" w:eastAsia="宋体" w:hint="default"/>
        </w:rPr>
        <w:t>1998</w:t>
      </w:r>
      <w:r>
        <w:rPr/>
        <w:t>年起就职于中信有限，历任公司技术部经理、销售部经理、</w:t>
      </w:r>
      <w:r>
        <w:rPr>
          <w:rFonts w:ascii="宋体" w:hAnsi="宋体" w:cs="宋体" w:eastAsia="宋体" w:hint="default"/>
        </w:rPr>
        <w:t>S1</w:t>
      </w:r>
      <w:r>
        <w:rPr/>
        <w:t>集成事业部总经理、 </w:t>
      </w:r>
      <w:r>
        <w:rPr>
          <w:spacing w:val="-2"/>
        </w:rPr>
        <w:t>流通追溯事业部总经理、副总裁等职。</w:t>
      </w:r>
      <w:r>
        <w:rPr>
          <w:rFonts w:ascii="宋体" w:hAnsi="宋体" w:cs="宋体" w:eastAsia="宋体" w:hint="default"/>
          <w:spacing w:val="-2"/>
        </w:rPr>
        <w:t>2008</w:t>
      </w:r>
      <w:r>
        <w:rPr>
          <w:spacing w:val="-2"/>
        </w:rPr>
        <w:t>年</w:t>
      </w:r>
      <w:r>
        <w:rPr>
          <w:rFonts w:ascii="宋体" w:hAnsi="宋体" w:cs="宋体" w:eastAsia="宋体" w:hint="default"/>
          <w:spacing w:val="-2"/>
        </w:rPr>
        <w:t>6</w:t>
      </w:r>
      <w:r>
        <w:rPr>
          <w:spacing w:val="-2"/>
        </w:rPr>
        <w:t>月起任公司监事。现任公司董事、食安事业群</w:t>
      </w:r>
      <w:r>
        <w:rPr>
          <w:spacing w:val="-117"/>
        </w:rPr>
        <w:t> </w:t>
      </w:r>
      <w:r>
        <w:rPr>
          <w:spacing w:val="-117"/>
        </w:rPr>
      </w:r>
      <w:r>
        <w:rPr/>
        <w:t>总裁，光典信息监事。刘理洲先生曾荣获</w:t>
      </w:r>
      <w:r>
        <w:rPr>
          <w:rFonts w:ascii="宋体" w:hAnsi="宋体" w:cs="宋体" w:eastAsia="宋体" w:hint="default"/>
        </w:rPr>
        <w:t>2009</w:t>
      </w:r>
      <w:r>
        <w:rPr/>
        <w:t>年度上海市科技进步奖，</w:t>
      </w:r>
      <w:r>
        <w:rPr>
          <w:rFonts w:ascii="宋体" w:hAnsi="宋体" w:cs="宋体" w:eastAsia="宋体" w:hint="default"/>
        </w:rPr>
        <w:t>2010</w:t>
      </w:r>
      <w:r>
        <w:rPr/>
        <w:t>年度被评为上海 市软件行业标兵。</w:t>
      </w:r>
      <w:r>
        <w:rPr>
          <w:rFonts w:ascii="宋体" w:hAnsi="宋体" w:cs="宋体" w:eastAsia="宋体" w:hint="default"/>
        </w:rPr>
        <w:t>2017</w:t>
      </w:r>
      <w:r>
        <w:rPr/>
        <w:t>年获得静安区诚实守信道德模范奖。</w:t>
      </w:r>
    </w:p>
    <w:p>
      <w:pPr>
        <w:pStyle w:val="BodyText"/>
        <w:spacing w:line="312" w:lineRule="exact"/>
        <w:ind w:right="1002" w:firstLine="480"/>
        <w:jc w:val="left"/>
      </w:pPr>
      <w:r>
        <w:rPr>
          <w:spacing w:val="-5"/>
        </w:rPr>
        <w:t>李志卿先生，中国国籍，无境外永久居留权，</w:t>
      </w:r>
      <w:r>
        <w:rPr>
          <w:rFonts w:ascii="宋体" w:hAnsi="宋体" w:cs="宋体" w:eastAsia="宋体" w:hint="default"/>
          <w:spacing w:val="-5"/>
        </w:rPr>
        <w:t>1973</w:t>
      </w:r>
      <w:r>
        <w:rPr>
          <w:spacing w:val="-5"/>
        </w:rPr>
        <w:t>年</w:t>
      </w:r>
      <w:r>
        <w:rPr>
          <w:rFonts w:ascii="宋体" w:hAnsi="宋体" w:cs="宋体" w:eastAsia="宋体" w:hint="default"/>
          <w:spacing w:val="-5"/>
        </w:rPr>
        <w:t>4</w:t>
      </w:r>
      <w:r>
        <w:rPr>
          <w:spacing w:val="-5"/>
        </w:rPr>
        <w:t>月出生，本科学历，高级项目经理，</w:t>
      </w:r>
      <w:r>
        <w:rPr/>
        <w:t> </w:t>
      </w:r>
      <w:r>
        <w:rPr>
          <w:spacing w:val="-9"/>
        </w:rPr>
        <w:t>信息系统项目管理师（高级）。</w:t>
      </w:r>
      <w:r>
        <w:rPr>
          <w:rFonts w:ascii="宋体" w:hAnsi="宋体" w:cs="宋体" w:eastAsia="宋体" w:hint="default"/>
          <w:spacing w:val="-9"/>
        </w:rPr>
        <w:t>1998</w:t>
      </w:r>
      <w:r>
        <w:rPr>
          <w:spacing w:val="-9"/>
        </w:rPr>
        <w:t>年</w:t>
      </w:r>
      <w:r>
        <w:rPr>
          <w:rFonts w:ascii="宋体" w:hAnsi="宋体" w:cs="宋体" w:eastAsia="宋体" w:hint="default"/>
          <w:spacing w:val="-9"/>
        </w:rPr>
        <w:t>2</w:t>
      </w:r>
      <w:r>
        <w:rPr>
          <w:spacing w:val="-9"/>
        </w:rPr>
        <w:t>月至</w:t>
      </w:r>
      <w:r>
        <w:rPr>
          <w:rFonts w:ascii="宋体" w:hAnsi="宋体" w:cs="宋体" w:eastAsia="宋体" w:hint="default"/>
          <w:spacing w:val="-9"/>
        </w:rPr>
        <w:t>2001</w:t>
      </w:r>
      <w:r>
        <w:rPr>
          <w:spacing w:val="-9"/>
        </w:rPr>
        <w:t>年</w:t>
      </w:r>
      <w:r>
        <w:rPr>
          <w:rFonts w:ascii="宋体" w:hAnsi="宋体" w:cs="宋体" w:eastAsia="宋体" w:hint="default"/>
          <w:spacing w:val="-9"/>
        </w:rPr>
        <w:t>2</w:t>
      </w:r>
      <w:r>
        <w:rPr>
          <w:spacing w:val="-9"/>
        </w:rPr>
        <w:t>月任江苏兰德软件有限公司产品经理；</w:t>
      </w:r>
      <w:r>
        <w:rPr>
          <w:rFonts w:ascii="宋体" w:hAnsi="宋体" w:cs="宋体" w:eastAsia="宋体" w:hint="default"/>
          <w:spacing w:val="-9"/>
        </w:rPr>
        <w:t>2001</w:t>
      </w:r>
      <w:r>
        <w:rPr>
          <w:rFonts w:ascii="宋体" w:hAnsi="宋体" w:cs="宋体" w:eastAsia="宋体" w:hint="default"/>
        </w:rPr>
        <w:t> </w:t>
      </w:r>
      <w:r>
        <w:rPr/>
        <w:t>年</w:t>
      </w:r>
      <w:r>
        <w:rPr>
          <w:rFonts w:ascii="宋体" w:hAnsi="宋体" w:cs="宋体" w:eastAsia="宋体" w:hint="default"/>
        </w:rPr>
        <w:t>3</w:t>
      </w:r>
      <w:r>
        <w:rPr/>
        <w:t>月至</w:t>
      </w:r>
      <w:r>
        <w:rPr>
          <w:rFonts w:ascii="宋体" w:hAnsi="宋体" w:cs="宋体" w:eastAsia="宋体" w:hint="default"/>
        </w:rPr>
        <w:t>2004</w:t>
      </w:r>
      <w:r>
        <w:rPr/>
        <w:t>年</w:t>
      </w:r>
      <w:r>
        <w:rPr>
          <w:rFonts w:ascii="宋体" w:hAnsi="宋体" w:cs="宋体" w:eastAsia="宋体" w:hint="default"/>
        </w:rPr>
        <w:t>9</w:t>
      </w:r>
      <w:r>
        <w:rPr/>
        <w:t>月任上海启明软件股份有限公司产品经理；</w:t>
      </w:r>
      <w:r>
        <w:rPr>
          <w:rFonts w:ascii="宋体" w:hAnsi="宋体" w:cs="宋体" w:eastAsia="宋体" w:hint="default"/>
        </w:rPr>
        <w:t>2004</w:t>
      </w:r>
      <w:r>
        <w:rPr/>
        <w:t>年</w:t>
      </w:r>
      <w:r>
        <w:rPr>
          <w:rFonts w:ascii="宋体" w:hAnsi="宋体" w:cs="宋体" w:eastAsia="宋体" w:hint="default"/>
        </w:rPr>
        <w:t>10</w:t>
      </w:r>
      <w:r>
        <w:rPr/>
        <w:t>月至</w:t>
      </w:r>
      <w:r>
        <w:rPr>
          <w:rFonts w:ascii="宋体" w:hAnsi="宋体" w:cs="宋体" w:eastAsia="宋体" w:hint="default"/>
        </w:rPr>
        <w:t>2005</w:t>
      </w:r>
      <w:r>
        <w:rPr/>
        <w:t>年</w:t>
      </w:r>
      <w:r>
        <w:rPr>
          <w:rFonts w:ascii="宋体" w:hAnsi="宋体" w:cs="宋体" w:eastAsia="宋体" w:hint="default"/>
        </w:rPr>
        <w:t>7</w:t>
      </w:r>
      <w:r>
        <w:rPr/>
        <w:t>月任上海仲 </w:t>
      </w:r>
      <w:r>
        <w:rPr>
          <w:spacing w:val="-5"/>
        </w:rPr>
        <w:t>尼软件有限公司技术总监；</w:t>
      </w:r>
      <w:r>
        <w:rPr>
          <w:rFonts w:ascii="宋体" w:hAnsi="宋体" w:cs="宋体" w:eastAsia="宋体" w:hint="default"/>
          <w:spacing w:val="-5"/>
        </w:rPr>
        <w:t>2005</w:t>
      </w:r>
      <w:r>
        <w:rPr>
          <w:spacing w:val="-5"/>
        </w:rPr>
        <w:t>年</w:t>
      </w:r>
      <w:r>
        <w:rPr>
          <w:rFonts w:ascii="宋体" w:hAnsi="宋体" w:cs="宋体" w:eastAsia="宋体" w:hint="default"/>
          <w:spacing w:val="-5"/>
        </w:rPr>
        <w:t>8</w:t>
      </w:r>
      <w:r>
        <w:rPr>
          <w:spacing w:val="-5"/>
        </w:rPr>
        <w:t>月起就职于中信有限，历任技术总监、档案事业部总经理、</w:t>
      </w:r>
      <w:r>
        <w:rPr>
          <w:spacing w:val="-103"/>
        </w:rPr>
        <w:t> </w:t>
      </w:r>
      <w:r>
        <w:rPr>
          <w:spacing w:val="-103"/>
        </w:rPr>
      </w:r>
      <w:r>
        <w:rPr/>
        <w:t>产品技术中心副总经理，现任公司董事、档案事业群总裁。李志卿先生曾荣获“</w:t>
      </w:r>
      <w:r>
        <w:rPr>
          <w:rFonts w:ascii="宋体" w:hAnsi="宋体" w:cs="宋体" w:eastAsia="宋体" w:hint="default"/>
        </w:rPr>
        <w:t>2009</w:t>
      </w:r>
      <w:r>
        <w:rPr/>
        <w:t>年度上 海市软件行业标兵”称号，</w:t>
      </w:r>
      <w:r>
        <w:rPr>
          <w:rFonts w:ascii="宋体" w:hAnsi="宋体" w:cs="宋体" w:eastAsia="宋体" w:hint="default"/>
        </w:rPr>
        <w:t>2009</w:t>
      </w:r>
      <w:r>
        <w:rPr/>
        <w:t>年度上海市科技进步奖，</w:t>
      </w:r>
      <w:r>
        <w:rPr>
          <w:rFonts w:ascii="宋体" w:hAnsi="宋体" w:cs="宋体" w:eastAsia="宋体" w:hint="default"/>
        </w:rPr>
        <w:t>2011</w:t>
      </w:r>
      <w:r>
        <w:rPr/>
        <w:t>年度上海市档案科技研究成果 奖三等奖。</w:t>
      </w:r>
    </w:p>
    <w:p>
      <w:pPr>
        <w:pStyle w:val="BodyText"/>
        <w:spacing w:line="312" w:lineRule="exact"/>
        <w:ind w:right="1169" w:firstLine="480"/>
        <w:jc w:val="both"/>
      </w:pPr>
      <w:r>
        <w:rPr/>
        <w:t>张元利先生，中国国籍，无境外永久居留权，</w:t>
      </w:r>
      <w:r>
        <w:rPr>
          <w:rFonts w:ascii="宋体" w:hAnsi="宋体" w:cs="宋体" w:eastAsia="宋体" w:hint="default"/>
        </w:rPr>
        <w:t>1973</w:t>
      </w:r>
      <w:r>
        <w:rPr/>
        <w:t>年</w:t>
      </w:r>
      <w:r>
        <w:rPr>
          <w:rFonts w:ascii="宋体" w:hAnsi="宋体" w:cs="宋体" w:eastAsia="宋体" w:hint="default"/>
        </w:rPr>
        <w:t>11</w:t>
      </w:r>
      <w:r>
        <w:rPr/>
        <w:t>月出生，研究生学历。</w:t>
      </w:r>
      <w:r>
        <w:rPr>
          <w:rFonts w:ascii="宋体" w:hAnsi="宋体" w:cs="宋体" w:eastAsia="宋体" w:hint="default"/>
        </w:rPr>
        <w:t>1996</w:t>
      </w:r>
      <w:r>
        <w:rPr/>
        <w:t>年至 </w:t>
      </w:r>
      <w:r>
        <w:rPr>
          <w:rFonts w:ascii="宋体" w:hAnsi="宋体" w:cs="宋体" w:eastAsia="宋体" w:hint="default"/>
        </w:rPr>
        <w:t>2003</w:t>
      </w:r>
      <w:r>
        <w:rPr/>
        <w:t>年任泰安市卫生局医学仪器研究所（医疗器械维修管理站）副主任；</w:t>
      </w:r>
      <w:r>
        <w:rPr>
          <w:rFonts w:ascii="宋体" w:hAnsi="宋体" w:cs="宋体" w:eastAsia="宋体" w:hint="default"/>
        </w:rPr>
        <w:t>2003</w:t>
      </w:r>
      <w:r>
        <w:rPr/>
        <w:t>年至</w:t>
      </w:r>
      <w:r>
        <w:rPr>
          <w:rFonts w:ascii="宋体" w:hAnsi="宋体" w:cs="宋体" w:eastAsia="宋体" w:hint="default"/>
        </w:rPr>
        <w:t>2005</w:t>
      </w:r>
      <w:r>
        <w:rPr/>
        <w:t>年就 职于联合软件，先后任部门经理、项目技术总监；</w:t>
      </w:r>
      <w:r>
        <w:rPr>
          <w:rFonts w:ascii="宋体" w:hAnsi="宋体" w:cs="宋体" w:eastAsia="宋体" w:hint="default"/>
        </w:rPr>
        <w:t>2005</w:t>
      </w:r>
      <w:r>
        <w:rPr/>
        <w:t>年至</w:t>
      </w:r>
      <w:r>
        <w:rPr>
          <w:rFonts w:ascii="宋体" w:hAnsi="宋体" w:cs="宋体" w:eastAsia="宋体" w:hint="default"/>
        </w:rPr>
        <w:t>2008</w:t>
      </w:r>
      <w:r>
        <w:rPr/>
        <w:t>年任山大鲁能易通信息科技 有限公司部门经理。</w:t>
      </w:r>
      <w:r>
        <w:rPr>
          <w:rFonts w:ascii="宋体" w:hAnsi="宋体" w:cs="宋体" w:eastAsia="宋体" w:hint="default"/>
        </w:rPr>
        <w:t>2008</w:t>
      </w:r>
      <w:r>
        <w:rPr/>
        <w:t>年</w:t>
      </w:r>
      <w:r>
        <w:rPr>
          <w:rFonts w:ascii="宋体" w:hAnsi="宋体" w:cs="宋体" w:eastAsia="宋体" w:hint="default"/>
        </w:rPr>
        <w:t>3</w:t>
      </w:r>
      <w:r>
        <w:rPr/>
        <w:t>月起就职于中信有限，现任公司董事，项目总监。</w:t>
      </w:r>
    </w:p>
    <w:p>
      <w:pPr>
        <w:pStyle w:val="BodyText"/>
        <w:spacing w:line="283" w:lineRule="exact"/>
        <w:ind w:right="0" w:firstLine="480"/>
        <w:jc w:val="both"/>
      </w:pPr>
      <w:r>
        <w:rPr/>
        <w:t>张颖女士，中国国籍，无境外永久居留权，</w:t>
      </w:r>
      <w:r>
        <w:rPr>
          <w:rFonts w:ascii="宋体" w:hAnsi="宋体" w:cs="宋体" w:eastAsia="宋体" w:hint="default"/>
        </w:rPr>
        <w:t>1978</w:t>
      </w:r>
      <w:r>
        <w:rPr/>
        <w:t>年</w:t>
      </w:r>
      <w:r>
        <w:rPr>
          <w:rFonts w:ascii="宋体" w:hAnsi="宋体" w:cs="宋体" w:eastAsia="宋体" w:hint="default"/>
        </w:rPr>
        <w:t>12</w:t>
      </w:r>
      <w:r>
        <w:rPr/>
        <w:t>月出生，研究生学历，高级国际财</w:t>
      </w:r>
    </w:p>
    <w:p>
      <w:pPr>
        <w:pStyle w:val="BodyText"/>
        <w:spacing w:line="312" w:lineRule="exact" w:before="30"/>
        <w:ind w:right="1132"/>
        <w:jc w:val="both"/>
      </w:pPr>
      <w:r>
        <w:rPr/>
        <w:t>务管理师。</w:t>
      </w:r>
      <w:r>
        <w:rPr>
          <w:rFonts w:ascii="宋体" w:hAnsi="宋体" w:cs="宋体" w:eastAsia="宋体" w:hint="default"/>
        </w:rPr>
        <w:t>2006</w:t>
      </w:r>
      <w:r>
        <w:rPr/>
        <w:t>年起就职于中信有限，任公司财务部经理。现任公司董事、财务总监，兼任 追索信息财务总监及追溯云董事。</w:t>
      </w:r>
      <w:r>
        <w:rPr>
          <w:rFonts w:ascii="宋体" w:hAnsi="宋体" w:cs="宋体" w:eastAsia="宋体" w:hint="default"/>
        </w:rPr>
        <w:t>2011</w:t>
      </w:r>
      <w:r>
        <w:rPr/>
        <w:t>年至</w:t>
      </w:r>
      <w:r>
        <w:rPr>
          <w:rFonts w:ascii="宋体" w:hAnsi="宋体" w:cs="宋体" w:eastAsia="宋体" w:hint="default"/>
        </w:rPr>
        <w:t>2016</w:t>
      </w:r>
      <w:r>
        <w:rPr/>
        <w:t>年上海市普陀区长征镇人大代表，</w:t>
      </w:r>
      <w:r>
        <w:rPr>
          <w:rFonts w:ascii="宋体" w:hAnsi="宋体" w:cs="宋体" w:eastAsia="宋体" w:hint="default"/>
        </w:rPr>
        <w:t>2011</w:t>
      </w:r>
      <w:r>
        <w:rPr/>
        <w:t>年荣 获软件企业一体化管理实践个人三等奖，</w:t>
      </w:r>
      <w:r>
        <w:rPr>
          <w:rFonts w:ascii="宋体" w:hAnsi="宋体" w:cs="宋体" w:eastAsia="宋体" w:hint="default"/>
        </w:rPr>
        <w:t>2014</w:t>
      </w:r>
      <w:r>
        <w:rPr/>
        <w:t>年荣获软件行业标兵称号，</w:t>
      </w:r>
      <w:r>
        <w:rPr>
          <w:rFonts w:ascii="宋体" w:hAnsi="宋体" w:cs="宋体" w:eastAsia="宋体" w:hint="default"/>
        </w:rPr>
        <w:t>2017</w:t>
      </w:r>
      <w:r>
        <w:rPr/>
        <w:t>年中国上海国 </w:t>
      </w:r>
      <w:r>
        <w:rPr>
          <w:spacing w:val="-10"/>
        </w:rPr>
        <w:t>际财务管理师（</w:t>
      </w:r>
      <w:r>
        <w:rPr>
          <w:rFonts w:ascii="宋体" w:hAnsi="宋体" w:cs="宋体" w:eastAsia="宋体" w:hint="default"/>
          <w:spacing w:val="-10"/>
        </w:rPr>
        <w:t>IFM</w:t>
      </w:r>
      <w:r>
        <w:rPr>
          <w:spacing w:val="-10"/>
        </w:rPr>
        <w:t>）“十大年度人物”，</w:t>
      </w:r>
      <w:r>
        <w:rPr>
          <w:rFonts w:ascii="宋体" w:hAnsi="宋体" w:cs="宋体" w:eastAsia="宋体" w:hint="default"/>
          <w:spacing w:val="-10"/>
        </w:rPr>
        <w:t>2018</w:t>
      </w:r>
      <w:r>
        <w:rPr>
          <w:spacing w:val="-10"/>
        </w:rPr>
        <w:t>年中国上海国际财务管理师（</w:t>
      </w:r>
      <w:r>
        <w:rPr>
          <w:rFonts w:ascii="宋体" w:hAnsi="宋体" w:cs="宋体" w:eastAsia="宋体" w:hint="default"/>
          <w:spacing w:val="-10"/>
        </w:rPr>
        <w:t>IFM</w:t>
      </w:r>
      <w:r>
        <w:rPr>
          <w:spacing w:val="-10"/>
        </w:rPr>
        <w:t>）“十大领军人</w:t>
      </w:r>
    </w:p>
    <w:p>
      <w:pPr>
        <w:spacing w:after="0" w:line="312" w:lineRule="exact"/>
        <w:jc w:val="both"/>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313" w:lineRule="exact" w:before="26"/>
        <w:ind w:right="0"/>
        <w:jc w:val="left"/>
      </w:pPr>
      <w:r>
        <w:rPr/>
        <w:t>物</w:t>
      </w:r>
      <w:r>
        <w:rPr>
          <w:spacing w:val="-120"/>
        </w:rPr>
        <w:t>”</w:t>
      </w:r>
      <w:r>
        <w:rPr/>
        <w:t>。</w:t>
      </w:r>
    </w:p>
    <w:p>
      <w:pPr>
        <w:pStyle w:val="BodyText"/>
        <w:spacing w:line="237" w:lineRule="auto" w:before="1"/>
        <w:ind w:right="1131" w:firstLine="480"/>
        <w:jc w:val="both"/>
      </w:pPr>
      <w:r>
        <w:rPr>
          <w:spacing w:val="-3"/>
        </w:rPr>
        <w:t>黄亚钧先生，中国国籍，无境外永久居留权，</w:t>
      </w:r>
      <w:r>
        <w:rPr>
          <w:rFonts w:ascii="宋体" w:hAnsi="宋体" w:cs="宋体" w:eastAsia="宋体" w:hint="default"/>
          <w:spacing w:val="-3"/>
        </w:rPr>
        <w:t>1953</w:t>
      </w:r>
      <w:r>
        <w:rPr>
          <w:spacing w:val="-3"/>
        </w:rPr>
        <w:t>年</w:t>
      </w:r>
      <w:r>
        <w:rPr>
          <w:rFonts w:ascii="宋体" w:hAnsi="宋体" w:cs="宋体" w:eastAsia="宋体" w:hint="default"/>
          <w:spacing w:val="-3"/>
        </w:rPr>
        <w:t>1</w:t>
      </w:r>
      <w:r>
        <w:rPr>
          <w:spacing w:val="-3"/>
        </w:rPr>
        <w:t>月出生，博士学历，教授，博士生</w:t>
      </w:r>
      <w:r>
        <w:rPr/>
        <w:t> 导师。历任复旦大学经济学院副院长、院长，澳门大学副校长等职。现任复旦大学世界经济 系主任，复旦大学证券研究所所长，东海证券有限责任公司独立董事，上海紫江企业集团股 份有限公司（紫江企业</w:t>
      </w:r>
      <w:r>
        <w:rPr>
          <w:rFonts w:ascii="宋体" w:hAnsi="宋体" w:cs="宋体" w:eastAsia="宋体" w:hint="default"/>
        </w:rPr>
        <w:t>600210</w:t>
      </w:r>
      <w:r>
        <w:rPr/>
        <w:t>）独立董事，山西榆次农村商业银行独立董事，现任公司独立 董事。黄亚钧先生曾先后兼任教育部经济学教学指导委员会副主任、中国国际贸易学会常务 理事、中国世界经济学会常务理事、中国美国经济学会副会长、上海证券研究学会副会长、 上海证券交易所上证指数委员会委员、深圳证券交易所特聘专家等职务。享受国务院政府特 </w:t>
      </w:r>
      <w:r>
        <w:rPr>
          <w:spacing w:val="-6"/>
        </w:rPr>
        <w:t>殊津贴（</w:t>
      </w:r>
      <w:r>
        <w:rPr>
          <w:rFonts w:ascii="宋体" w:hAnsi="宋体" w:cs="宋体" w:eastAsia="宋体" w:hint="default"/>
          <w:spacing w:val="-6"/>
        </w:rPr>
        <w:t>1996</w:t>
      </w:r>
      <w:r>
        <w:rPr>
          <w:spacing w:val="-6"/>
        </w:rPr>
        <w:t>年），入选教育部首批跨世纪优秀人才（人文社会科学），荣获中宣部“五个一</w:t>
      </w:r>
      <w:r>
        <w:rPr>
          <w:spacing w:val="-102"/>
        </w:rPr>
        <w:t> </w:t>
      </w:r>
      <w:r>
        <w:rPr>
          <w:spacing w:val="-102"/>
        </w:rPr>
      </w:r>
      <w:r>
        <w:rPr/>
        <w:t>工程”奖。</w:t>
      </w:r>
    </w:p>
    <w:p>
      <w:pPr>
        <w:pStyle w:val="BodyText"/>
        <w:spacing w:line="312" w:lineRule="exact" w:before="29"/>
        <w:ind w:right="994" w:firstLine="480"/>
        <w:jc w:val="left"/>
      </w:pPr>
      <w:r>
        <w:rPr/>
        <w:t>刘红梅女士，中国国籍，无境外永久居留权，</w:t>
      </w:r>
      <w:r>
        <w:rPr>
          <w:rFonts w:ascii="宋体" w:hAnsi="宋体" w:cs="宋体" w:eastAsia="宋体" w:hint="default"/>
        </w:rPr>
        <w:t>1970</w:t>
      </w:r>
      <w:r>
        <w:rPr/>
        <w:t>年</w:t>
      </w:r>
      <w:r>
        <w:rPr>
          <w:rFonts w:ascii="宋体" w:hAnsi="宋体" w:cs="宋体" w:eastAsia="宋体" w:hint="default"/>
        </w:rPr>
        <w:t>11</w:t>
      </w:r>
      <w:r>
        <w:rPr/>
        <w:t>月出生，博士学历，教授。历任 </w:t>
      </w:r>
      <w:r>
        <w:rPr>
          <w:spacing w:val="-2"/>
        </w:rPr>
        <w:t>上海交通大学安泰管理学院会计学教研室讲师，上海师范大学商学院财务管理系副教授等职。</w:t>
      </w:r>
      <w:r>
        <w:rPr/>
        <w:t> 现任上海师范大学商学院财务管理系教授，并担任公司独立董事。刘红梅女士为上海市政府 采购评审专家，并获得上海市曙光学者，上海市教育系统三八红旗手荣誉称号。</w:t>
      </w:r>
    </w:p>
    <w:p>
      <w:pPr>
        <w:pStyle w:val="BodyText"/>
        <w:spacing w:line="312" w:lineRule="exact"/>
        <w:ind w:right="1169" w:firstLine="480"/>
        <w:jc w:val="both"/>
      </w:pPr>
      <w:r>
        <w:rPr/>
        <w:t>乐嘉锦先生，男，中国国籍，</w:t>
      </w:r>
      <w:r>
        <w:rPr>
          <w:rFonts w:ascii="宋体" w:hAnsi="宋体" w:cs="宋体" w:eastAsia="宋体" w:hint="default"/>
        </w:rPr>
        <w:t>1951</w:t>
      </w:r>
      <w:r>
        <w:rPr/>
        <w:t>年出生，无永久境外居留权，</w:t>
      </w:r>
      <w:r>
        <w:rPr>
          <w:rFonts w:ascii="宋体" w:hAnsi="宋体" w:cs="宋体" w:eastAsia="宋体" w:hint="default"/>
        </w:rPr>
        <w:t>1984</w:t>
      </w:r>
      <w:r>
        <w:rPr/>
        <w:t>年获复旦大学计算 机理学硕士，中共党员，东华大学计算机科学与技术学院教授，博士生导师。任中国计算机 学会数据库专委会委员、上海计算机开放系统协会常务副理事长兼秘书长、上海市浦东新区 信息协会会长。受聘于上海市公安局、档案局、民政局、上海市科委、上海市经信委、上海 市卫计委等委办局信息化专家。</w:t>
      </w:r>
    </w:p>
    <w:p>
      <w:pPr>
        <w:pStyle w:val="BodyText"/>
        <w:spacing w:line="312" w:lineRule="exact"/>
        <w:ind w:right="1130" w:firstLine="480"/>
        <w:jc w:val="both"/>
      </w:pPr>
      <w:r>
        <w:rPr/>
        <w:t>祝小兵，男，中国国籍</w:t>
      </w:r>
      <w:r>
        <w:rPr>
          <w:rFonts w:ascii="宋体" w:hAnsi="宋体" w:cs="宋体" w:eastAsia="宋体" w:hint="default"/>
        </w:rPr>
        <w:t>,1966</w:t>
      </w:r>
      <w:r>
        <w:rPr/>
        <w:t>年</w:t>
      </w:r>
      <w:r>
        <w:rPr>
          <w:rFonts w:ascii="宋体" w:hAnsi="宋体" w:cs="宋体" w:eastAsia="宋体" w:hint="default"/>
        </w:rPr>
        <w:t>8</w:t>
      </w:r>
      <w:r>
        <w:rPr/>
        <w:t>月出生，无境外永久居留权，博士学历，教授。历任上 海财经大学金融学院硕士生导师，现任上海开放大学经济管理学院教授、中国数量经济学会 远程教育专业委员会副理事长、上海市杨浦区第十二、十三、十四届政协委员、中国黄金协</w:t>
      </w:r>
    </w:p>
    <w:p>
      <w:pPr>
        <w:pStyle w:val="BodyText"/>
        <w:spacing w:line="312" w:lineRule="exact"/>
        <w:ind w:right="1116"/>
        <w:jc w:val="left"/>
      </w:pPr>
      <w:r>
        <w:rPr>
          <w:spacing w:val="-2"/>
        </w:rPr>
        <w:t>会顾问专家、国际金融理财标准委员会</w:t>
      </w:r>
      <w:r>
        <w:rPr>
          <w:rFonts w:ascii="宋体" w:hAnsi="宋体" w:cs="宋体" w:eastAsia="宋体" w:hint="default"/>
          <w:spacing w:val="-2"/>
        </w:rPr>
        <w:t>CFP</w:t>
      </w:r>
      <w:r>
        <w:rPr>
          <w:spacing w:val="-2"/>
        </w:rPr>
        <w:t>上海项目中心特聘讲师。曾获得“宝钢”优秀教师</w:t>
      </w:r>
      <w:r>
        <w:rPr/>
        <w:t> 奖，上海市教学成果奖一等奖。</w:t>
      </w:r>
    </w:p>
    <w:p>
      <w:pPr>
        <w:pStyle w:val="BodyText"/>
        <w:spacing w:line="312" w:lineRule="exact"/>
        <w:ind w:right="1169" w:firstLine="480"/>
        <w:jc w:val="both"/>
      </w:pPr>
      <w:r>
        <w:rPr/>
        <w:t>陈若初先生，中国国籍，无境外永久居留权，</w:t>
      </w:r>
      <w:r>
        <w:rPr>
          <w:rFonts w:ascii="宋体" w:hAnsi="宋体" w:cs="宋体" w:eastAsia="宋体" w:hint="default"/>
        </w:rPr>
        <w:t>1960</w:t>
      </w:r>
      <w:r>
        <w:rPr/>
        <w:t>年</w:t>
      </w:r>
      <w:r>
        <w:rPr>
          <w:rFonts w:ascii="宋体" w:hAnsi="宋体" w:cs="宋体" w:eastAsia="宋体" w:hint="default"/>
        </w:rPr>
        <w:t>5</w:t>
      </w:r>
      <w:r>
        <w:rPr/>
        <w:t>月出生，中专学历。</w:t>
      </w:r>
      <w:r>
        <w:rPr>
          <w:rFonts w:ascii="宋体" w:hAnsi="宋体" w:cs="宋体" w:eastAsia="宋体" w:hint="default"/>
        </w:rPr>
        <w:t>1981</w:t>
      </w:r>
      <w:r>
        <w:rPr/>
        <w:t>年</w:t>
      </w:r>
      <w:r>
        <w:rPr>
          <w:rFonts w:ascii="宋体" w:hAnsi="宋体" w:cs="宋体" w:eastAsia="宋体" w:hint="default"/>
        </w:rPr>
        <w:t>8</w:t>
      </w:r>
      <w:r>
        <w:rPr/>
        <w:t>月至 </w:t>
      </w:r>
      <w:r>
        <w:rPr>
          <w:rFonts w:ascii="宋体" w:hAnsi="宋体" w:cs="宋体" w:eastAsia="宋体" w:hint="default"/>
        </w:rPr>
        <w:t>2000</w:t>
      </w:r>
      <w:r>
        <w:rPr/>
        <w:t>年</w:t>
      </w:r>
      <w:r>
        <w:rPr>
          <w:rFonts w:ascii="宋体" w:hAnsi="宋体" w:cs="宋体" w:eastAsia="宋体" w:hint="default"/>
        </w:rPr>
        <w:t>5</w:t>
      </w:r>
      <w:r>
        <w:rPr/>
        <w:t>月任上海彭浦化工厂助理工程师、科员；</w:t>
      </w:r>
      <w:r>
        <w:rPr>
          <w:rFonts w:ascii="宋体" w:hAnsi="宋体" w:cs="宋体" w:eastAsia="宋体" w:hint="default"/>
        </w:rPr>
        <w:t>2000</w:t>
      </w:r>
      <w:r>
        <w:rPr/>
        <w:t>年</w:t>
      </w:r>
      <w:r>
        <w:rPr>
          <w:rFonts w:ascii="宋体" w:hAnsi="宋体" w:cs="宋体" w:eastAsia="宋体" w:hint="default"/>
        </w:rPr>
        <w:t>5</w:t>
      </w:r>
      <w:r>
        <w:rPr/>
        <w:t>月起就职于中信有限，历任公司项 目部经理、商务部经理、金档信息副总经理、总经理等职。现任公司监事会主席。</w:t>
      </w:r>
    </w:p>
    <w:p>
      <w:pPr>
        <w:pStyle w:val="BodyText"/>
        <w:spacing w:line="312" w:lineRule="exact"/>
        <w:ind w:right="1131" w:firstLine="480"/>
        <w:jc w:val="both"/>
      </w:pPr>
      <w:r>
        <w:rPr>
          <w:spacing w:val="-2"/>
        </w:rPr>
        <w:t>尹於舜先生，中国国籍，无境外永久居留权，</w:t>
      </w:r>
      <w:r>
        <w:rPr>
          <w:rFonts w:ascii="宋体" w:hAnsi="宋体" w:cs="宋体" w:eastAsia="宋体" w:hint="default"/>
          <w:spacing w:val="-2"/>
        </w:rPr>
        <w:t>1964</w:t>
      </w:r>
      <w:r>
        <w:rPr>
          <w:spacing w:val="-2"/>
        </w:rPr>
        <w:t>年</w:t>
      </w:r>
      <w:r>
        <w:rPr>
          <w:rFonts w:ascii="宋体" w:hAnsi="宋体" w:cs="宋体" w:eastAsia="宋体" w:hint="default"/>
          <w:spacing w:val="-2"/>
        </w:rPr>
        <w:t>4</w:t>
      </w:r>
      <w:r>
        <w:rPr>
          <w:spacing w:val="-2"/>
        </w:rPr>
        <w:t>月出生，博士学历。</w:t>
      </w:r>
      <w:r>
        <w:rPr>
          <w:rFonts w:ascii="宋体" w:hAnsi="宋体" w:cs="宋体" w:eastAsia="宋体" w:hint="default"/>
          <w:spacing w:val="-2"/>
        </w:rPr>
        <w:t>1988</w:t>
      </w:r>
      <w:r>
        <w:rPr>
          <w:spacing w:val="-2"/>
        </w:rPr>
        <w:t>年至</w:t>
      </w:r>
      <w:r>
        <w:rPr>
          <w:rFonts w:ascii="宋体" w:hAnsi="宋体" w:cs="宋体" w:eastAsia="宋体" w:hint="default"/>
          <w:spacing w:val="-2"/>
        </w:rPr>
        <w:t>1990</w:t>
      </w:r>
      <w:r>
        <w:rPr>
          <w:rFonts w:ascii="宋体" w:hAnsi="宋体" w:cs="宋体" w:eastAsia="宋体" w:hint="default"/>
        </w:rPr>
        <w:t> </w:t>
      </w:r>
      <w:r>
        <w:rPr/>
        <w:t>年任中央财经大学金融系讲师，</w:t>
      </w:r>
      <w:r>
        <w:rPr>
          <w:rFonts w:ascii="宋体" w:hAnsi="宋体" w:cs="宋体" w:eastAsia="宋体" w:hint="default"/>
        </w:rPr>
        <w:t>1990</w:t>
      </w:r>
      <w:r>
        <w:rPr/>
        <w:t>年至</w:t>
      </w:r>
      <w:r>
        <w:rPr>
          <w:rFonts w:ascii="宋体" w:hAnsi="宋体" w:cs="宋体" w:eastAsia="宋体" w:hint="default"/>
        </w:rPr>
        <w:t>1992</w:t>
      </w:r>
      <w:r>
        <w:rPr/>
        <w:t>年任中国京安公司金融部经理，</w:t>
      </w:r>
      <w:r>
        <w:rPr>
          <w:rFonts w:ascii="宋体" w:hAnsi="宋体" w:cs="宋体" w:eastAsia="宋体" w:hint="default"/>
        </w:rPr>
        <w:t>1993</w:t>
      </w:r>
      <w:r>
        <w:rPr/>
        <w:t>年至</w:t>
      </w:r>
      <w:r>
        <w:rPr>
          <w:rFonts w:ascii="宋体" w:hAnsi="宋体" w:cs="宋体" w:eastAsia="宋体" w:hint="default"/>
        </w:rPr>
        <w:t>1999 </w:t>
      </w:r>
      <w:r>
        <w:rPr>
          <w:spacing w:val="-2"/>
        </w:rPr>
        <w:t>年任珠海经济特区金图实业公司董事长兼总经理。</w:t>
      </w:r>
      <w:r>
        <w:rPr>
          <w:rFonts w:ascii="宋体" w:hAnsi="宋体" w:cs="宋体" w:eastAsia="宋体" w:hint="default"/>
          <w:spacing w:val="-2"/>
        </w:rPr>
        <w:t>2002</w:t>
      </w:r>
      <w:r>
        <w:rPr>
          <w:spacing w:val="-2"/>
        </w:rPr>
        <w:t>年</w:t>
      </w:r>
      <w:r>
        <w:rPr>
          <w:rFonts w:ascii="宋体" w:hAnsi="宋体" w:cs="宋体" w:eastAsia="宋体" w:hint="default"/>
          <w:spacing w:val="-2"/>
        </w:rPr>
        <w:t>7</w:t>
      </w:r>
      <w:r>
        <w:rPr>
          <w:spacing w:val="-2"/>
        </w:rPr>
        <w:t>月起就职于深圳市创新投资集团有</w:t>
      </w:r>
      <w:r>
        <w:rPr>
          <w:spacing w:val="-115"/>
        </w:rPr>
        <w:t> </w:t>
      </w:r>
      <w:r>
        <w:rPr/>
        <w:t>限公司，现任深圳市创新投资集团有限公司沪浙区域总经理，并兼任上海创新投资管理有限 公司总经理，上海红土创业投资有限公司董事，浙江红土创业投资有限公司董事、总经理， 杭州红土创业投资有限公司董事、总经理，上海米粒影业董事，杭州米娶董事，福建圣元环 保监事，云南丽都花卉发展有限公司副董事长，米粒影业有限公司董事、浙江爱侣科技有限 公司董事。</w:t>
      </w:r>
      <w:r>
        <w:rPr>
          <w:rFonts w:ascii="宋体" w:hAnsi="宋体" w:cs="宋体" w:eastAsia="宋体" w:hint="default"/>
        </w:rPr>
        <w:t>2009</w:t>
      </w:r>
      <w:r>
        <w:rPr/>
        <w:t>年</w:t>
      </w:r>
      <w:r>
        <w:rPr>
          <w:rFonts w:ascii="宋体" w:hAnsi="宋体" w:cs="宋体" w:eastAsia="宋体" w:hint="default"/>
        </w:rPr>
        <w:t>12</w:t>
      </w:r>
      <w:r>
        <w:rPr/>
        <w:t>月至</w:t>
      </w:r>
      <w:r>
        <w:rPr>
          <w:rFonts w:ascii="宋体" w:hAnsi="宋体" w:cs="宋体" w:eastAsia="宋体" w:hint="default"/>
        </w:rPr>
        <w:t>2017</w:t>
      </w:r>
      <w:r>
        <w:rPr/>
        <w:t>年</w:t>
      </w:r>
      <w:r>
        <w:rPr>
          <w:rFonts w:ascii="宋体" w:hAnsi="宋体" w:cs="宋体" w:eastAsia="宋体" w:hint="default"/>
        </w:rPr>
        <w:t>9</w:t>
      </w:r>
      <w:r>
        <w:rPr/>
        <w:t>月任公司董事，</w:t>
      </w:r>
      <w:r>
        <w:rPr>
          <w:rFonts w:ascii="宋体" w:hAnsi="宋体" w:cs="宋体" w:eastAsia="宋体" w:hint="default"/>
        </w:rPr>
        <w:t>2017</w:t>
      </w:r>
      <w:r>
        <w:rPr/>
        <w:t>年</w:t>
      </w:r>
      <w:r>
        <w:rPr>
          <w:rFonts w:ascii="宋体" w:hAnsi="宋体" w:cs="宋体" w:eastAsia="宋体" w:hint="default"/>
        </w:rPr>
        <w:t>9</w:t>
      </w:r>
      <w:r>
        <w:rPr/>
        <w:t>月至今任公司监事。</w:t>
      </w:r>
    </w:p>
    <w:p>
      <w:pPr>
        <w:pStyle w:val="BodyText"/>
        <w:spacing w:line="312" w:lineRule="exact"/>
        <w:ind w:right="1152" w:firstLine="480"/>
        <w:jc w:val="left"/>
      </w:pPr>
      <w:r>
        <w:rPr/>
        <w:t>时泂先生，中国国籍，无境外永久居留权，</w:t>
      </w:r>
      <w:r>
        <w:rPr>
          <w:rFonts w:ascii="宋体" w:hAnsi="宋体" w:cs="宋体" w:eastAsia="宋体" w:hint="default"/>
        </w:rPr>
        <w:t>1971</w:t>
      </w:r>
      <w:r>
        <w:rPr/>
        <w:t>年</w:t>
      </w:r>
      <w:r>
        <w:rPr>
          <w:rFonts w:ascii="宋体" w:hAnsi="宋体" w:cs="宋体" w:eastAsia="宋体" w:hint="default"/>
        </w:rPr>
        <w:t>5</w:t>
      </w:r>
      <w:r>
        <w:rPr/>
        <w:t>月出生，本科学历。</w:t>
      </w:r>
      <w:r>
        <w:rPr>
          <w:rFonts w:ascii="宋体" w:hAnsi="宋体" w:cs="宋体" w:eastAsia="宋体" w:hint="default"/>
        </w:rPr>
        <w:t>1993</w:t>
      </w:r>
      <w:r>
        <w:rPr/>
        <w:t>年至</w:t>
      </w:r>
      <w:r>
        <w:rPr>
          <w:rFonts w:ascii="宋体" w:hAnsi="宋体" w:cs="宋体" w:eastAsia="宋体" w:hint="default"/>
        </w:rPr>
        <w:t>1995 </w:t>
      </w:r>
      <w:r>
        <w:rPr/>
        <w:t>年任台湾英协电通集团英业达电子有限公司程序员；</w:t>
      </w:r>
      <w:r>
        <w:rPr>
          <w:rFonts w:ascii="宋体" w:hAnsi="宋体" w:cs="宋体" w:eastAsia="宋体" w:hint="default"/>
        </w:rPr>
        <w:t>1995</w:t>
      </w:r>
      <w:r>
        <w:rPr/>
        <w:t>年至</w:t>
      </w:r>
      <w:r>
        <w:rPr>
          <w:rFonts w:ascii="宋体" w:hAnsi="宋体" w:cs="宋体" w:eastAsia="宋体" w:hint="default"/>
        </w:rPr>
        <w:t>1999</w:t>
      </w:r>
      <w:r>
        <w:rPr/>
        <w:t>年任上海（香港）霸才数 据信息有限公司（上海分公司）工程部开发主管；</w:t>
      </w:r>
      <w:r>
        <w:rPr>
          <w:rFonts w:ascii="宋体" w:hAnsi="宋体" w:cs="宋体" w:eastAsia="宋体" w:hint="default"/>
        </w:rPr>
        <w:t>1999</w:t>
      </w:r>
      <w:r>
        <w:rPr/>
        <w:t>年至</w:t>
      </w:r>
      <w:r>
        <w:rPr>
          <w:rFonts w:ascii="宋体" w:hAnsi="宋体" w:cs="宋体" w:eastAsia="宋体" w:hint="default"/>
        </w:rPr>
        <w:t>2000</w:t>
      </w:r>
      <w:r>
        <w:rPr/>
        <w:t>年任法国赛特有限公司信息 系统开发主管；</w:t>
      </w:r>
      <w:r>
        <w:rPr>
          <w:rFonts w:ascii="宋体" w:hAnsi="宋体" w:cs="宋体" w:eastAsia="宋体" w:hint="default"/>
        </w:rPr>
        <w:t>2000</w:t>
      </w:r>
      <w:r>
        <w:rPr/>
        <w:t>年至</w:t>
      </w:r>
      <w:r>
        <w:rPr>
          <w:rFonts w:ascii="宋体" w:hAnsi="宋体" w:cs="宋体" w:eastAsia="宋体" w:hint="default"/>
        </w:rPr>
        <w:t>2007</w:t>
      </w:r>
      <w:r>
        <w:rPr/>
        <w:t>任万达信息股份有限公司综合业务部部门经理；</w:t>
      </w:r>
      <w:r>
        <w:rPr>
          <w:rFonts w:ascii="宋体" w:hAnsi="宋体" w:cs="宋体" w:eastAsia="宋体" w:hint="default"/>
        </w:rPr>
        <w:t>2007</w:t>
      </w:r>
      <w:r>
        <w:rPr/>
        <w:t>年至</w:t>
      </w:r>
      <w:r>
        <w:rPr>
          <w:rFonts w:ascii="宋体" w:hAnsi="宋体" w:cs="宋体" w:eastAsia="宋体" w:hint="default"/>
        </w:rPr>
        <w:t>2011 </w:t>
      </w:r>
      <w:r>
        <w:rPr/>
        <w:t>任上海易宝软件有限公司总经理；</w:t>
      </w:r>
      <w:r>
        <w:rPr>
          <w:rFonts w:ascii="宋体" w:hAnsi="宋体" w:cs="宋体" w:eastAsia="宋体" w:hint="default"/>
        </w:rPr>
        <w:t>2011</w:t>
      </w:r>
      <w:r>
        <w:rPr/>
        <w:t>年起就职于信息发展，任质量管理中心质量总监。</w:t>
      </w:r>
    </w:p>
    <w:p>
      <w:pPr>
        <w:pStyle w:val="BodyText"/>
        <w:spacing w:line="237" w:lineRule="auto" w:before="13"/>
        <w:ind w:right="1132" w:firstLine="480"/>
        <w:jc w:val="both"/>
      </w:pPr>
      <w:r>
        <w:rPr/>
        <w:t>徐云蔚先生，中国国籍，无境外永久居留权，</w:t>
      </w:r>
      <w:r>
        <w:rPr>
          <w:rFonts w:ascii="宋体" w:hAnsi="宋体" w:cs="宋体" w:eastAsia="宋体" w:hint="default"/>
        </w:rPr>
        <w:t>1972</w:t>
      </w:r>
      <w:r>
        <w:rPr/>
        <w:t>年</w:t>
      </w:r>
      <w:r>
        <w:rPr>
          <w:rFonts w:ascii="宋体" w:hAnsi="宋体" w:cs="宋体" w:eastAsia="宋体" w:hint="default"/>
        </w:rPr>
        <w:t>12</w:t>
      </w:r>
      <w:r>
        <w:rPr/>
        <w:t>月出生，大专学历，西安交通大 学金融财务硕士研究生在读。</w:t>
      </w:r>
      <w:r>
        <w:rPr>
          <w:rFonts w:ascii="宋体" w:hAnsi="宋体" w:cs="宋体" w:eastAsia="宋体" w:hint="default"/>
        </w:rPr>
        <w:t>1994</w:t>
      </w:r>
      <w:r>
        <w:rPr/>
        <w:t>年至</w:t>
      </w:r>
      <w:r>
        <w:rPr>
          <w:rFonts w:ascii="宋体" w:hAnsi="宋体" w:cs="宋体" w:eastAsia="宋体" w:hint="default"/>
        </w:rPr>
        <w:t>1998</w:t>
      </w:r>
      <w:r>
        <w:rPr/>
        <w:t>年任百事顺期货经纪有限公司期货交易员；</w:t>
      </w:r>
      <w:r>
        <w:rPr>
          <w:rFonts w:ascii="宋体" w:hAnsi="宋体" w:cs="宋体" w:eastAsia="宋体" w:hint="default"/>
        </w:rPr>
        <w:t>1999</w:t>
      </w:r>
      <w:r>
        <w:rPr>
          <w:rFonts w:ascii="宋体" w:hAnsi="宋体" w:cs="宋体" w:eastAsia="宋体" w:hint="default"/>
          <w:spacing w:val="-110"/>
        </w:rPr>
        <w:t> </w:t>
      </w:r>
      <w:r>
        <w:rPr/>
        <w:t>年至</w:t>
      </w:r>
      <w:r>
        <w:rPr>
          <w:rFonts w:ascii="宋体" w:hAnsi="宋体" w:cs="宋体" w:eastAsia="宋体" w:hint="default"/>
        </w:rPr>
        <w:t>2001</w:t>
      </w:r>
      <w:r>
        <w:rPr/>
        <w:t>年任环球资源销售代表；</w:t>
      </w:r>
      <w:r>
        <w:rPr>
          <w:rFonts w:ascii="宋体" w:hAnsi="宋体" w:cs="宋体" w:eastAsia="宋体" w:hint="default"/>
        </w:rPr>
        <w:t>2001</w:t>
      </w:r>
      <w:r>
        <w:rPr/>
        <w:t>年至</w:t>
      </w:r>
      <w:r>
        <w:rPr>
          <w:rFonts w:ascii="宋体" w:hAnsi="宋体" w:cs="宋体" w:eastAsia="宋体" w:hint="default"/>
        </w:rPr>
        <w:t>2004</w:t>
      </w:r>
      <w:r>
        <w:rPr/>
        <w:t>年任新加坡利全信息（上海）有限公司负责</w:t>
      </w:r>
      <w:r>
        <w:rPr>
          <w:spacing w:val="-108"/>
        </w:rPr>
        <w:t> </w:t>
      </w:r>
      <w:r>
        <w:rPr>
          <w:spacing w:val="-108"/>
        </w:rPr>
      </w:r>
      <w:r>
        <w:rPr/>
        <w:t>人。</w:t>
      </w:r>
      <w:r>
        <w:rPr>
          <w:rFonts w:ascii="宋体" w:hAnsi="宋体" w:cs="宋体" w:eastAsia="宋体" w:hint="default"/>
        </w:rPr>
        <w:t>2004</w:t>
      </w:r>
      <w:r>
        <w:rPr/>
        <w:t>年</w:t>
      </w:r>
      <w:r>
        <w:rPr>
          <w:rFonts w:ascii="宋体" w:hAnsi="宋体" w:cs="宋体" w:eastAsia="宋体" w:hint="default"/>
        </w:rPr>
        <w:t>10</w:t>
      </w:r>
      <w:r>
        <w:rPr/>
        <w:t>月起就职于中信有限，历任公司高级销售经理、市场部经理、总经理助理、华</w:t>
      </w:r>
    </w:p>
    <w:p>
      <w:pPr>
        <w:spacing w:after="0" w:line="237" w:lineRule="auto"/>
        <w:jc w:val="both"/>
        <w:sectPr>
          <w:pgSz w:w="11910" w:h="16840"/>
          <w:pgMar w:header="822" w:footer="1019" w:top="1140" w:bottom="1200" w:left="1020" w:right="0"/>
        </w:sectPr>
      </w:pPr>
    </w:p>
    <w:p>
      <w:pPr>
        <w:spacing w:line="240" w:lineRule="auto" w:before="11"/>
        <w:rPr>
          <w:rFonts w:ascii="宋体" w:hAnsi="宋体" w:cs="宋体" w:eastAsia="宋体" w:hint="default"/>
          <w:sz w:val="17"/>
          <w:szCs w:val="17"/>
        </w:rPr>
      </w:pPr>
    </w:p>
    <w:p>
      <w:pPr>
        <w:pStyle w:val="BodyText"/>
        <w:spacing w:line="240" w:lineRule="auto" w:before="26"/>
        <w:ind w:right="0"/>
        <w:jc w:val="left"/>
      </w:pPr>
      <w:r>
        <w:rPr/>
        <w:t>北区总经理、总裁助理、副总裁、董事会秘书</w:t>
      </w:r>
    </w:p>
    <w:p>
      <w:pPr>
        <w:spacing w:before="87"/>
        <w:ind w:left="114" w:right="0" w:firstLine="0"/>
        <w:jc w:val="left"/>
        <w:rPr>
          <w:rFonts w:ascii="宋体" w:hAnsi="宋体" w:cs="宋体" w:eastAsia="宋体" w:hint="default"/>
          <w:sz w:val="18"/>
          <w:szCs w:val="18"/>
        </w:rPr>
      </w:pPr>
      <w:r>
        <w:rPr>
          <w:rFonts w:ascii="宋体" w:hAnsi="宋体" w:cs="宋体" w:eastAsia="宋体" w:hint="default"/>
          <w:sz w:val="18"/>
          <w:szCs w:val="18"/>
        </w:rPr>
        <w:t>在股东单位任职情况</w:t>
      </w:r>
    </w:p>
    <w:p>
      <w:pPr>
        <w:spacing w:before="117"/>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202"/>
        <w:gridCol w:w="3189"/>
        <w:gridCol w:w="1064"/>
        <w:gridCol w:w="1196"/>
        <w:gridCol w:w="1330"/>
        <w:gridCol w:w="1588"/>
      </w:tblGrid>
      <w:tr>
        <w:trPr>
          <w:trHeight w:val="1026" w:hRule="exact"/>
        </w:trPr>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505" w:right="144" w:hanging="361"/>
              <w:jc w:val="left"/>
              <w:rPr>
                <w:rFonts w:ascii="宋体" w:hAnsi="宋体" w:cs="宋体" w:eastAsia="宋体" w:hint="default"/>
                <w:sz w:val="18"/>
                <w:szCs w:val="18"/>
              </w:rPr>
            </w:pPr>
            <w:r>
              <w:rPr>
                <w:rFonts w:ascii="宋体" w:hAnsi="宋体" w:cs="宋体" w:eastAsia="宋体" w:hint="default"/>
                <w:sz w:val="18"/>
                <w:szCs w:val="18"/>
              </w:rPr>
              <w:t>任职人员姓 名</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48" w:right="0"/>
              <w:jc w:val="left"/>
              <w:rPr>
                <w:rFonts w:ascii="宋体" w:hAnsi="宋体" w:cs="宋体" w:eastAsia="宋体" w:hint="default"/>
                <w:sz w:val="18"/>
                <w:szCs w:val="18"/>
              </w:rPr>
            </w:pPr>
            <w:r>
              <w:rPr>
                <w:rFonts w:ascii="宋体" w:hAnsi="宋体" w:cs="宋体" w:eastAsia="宋体" w:hint="default"/>
                <w:sz w:val="18"/>
                <w:szCs w:val="18"/>
              </w:rPr>
              <w:t>股东单位名称</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66" w:right="167"/>
              <w:jc w:val="center"/>
              <w:rPr>
                <w:rFonts w:ascii="宋体" w:hAnsi="宋体" w:cs="宋体" w:eastAsia="宋体" w:hint="default"/>
                <w:sz w:val="18"/>
                <w:szCs w:val="18"/>
              </w:rPr>
            </w:pPr>
            <w:r>
              <w:rPr>
                <w:rFonts w:ascii="宋体" w:hAnsi="宋体" w:cs="宋体" w:eastAsia="宋体" w:hint="default"/>
                <w:sz w:val="18"/>
                <w:szCs w:val="18"/>
              </w:rPr>
              <w:t>在股东单 位担任的 职务</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502" w:right="143" w:hanging="360"/>
              <w:jc w:val="left"/>
              <w:rPr>
                <w:rFonts w:ascii="宋体" w:hAnsi="宋体" w:cs="宋体" w:eastAsia="宋体" w:hint="default"/>
                <w:sz w:val="18"/>
                <w:szCs w:val="18"/>
              </w:rPr>
            </w:pPr>
            <w:r>
              <w:rPr>
                <w:rFonts w:ascii="宋体" w:hAnsi="宋体" w:cs="宋体" w:eastAsia="宋体" w:hint="default"/>
                <w:sz w:val="18"/>
                <w:szCs w:val="18"/>
              </w:rPr>
              <w:t>任期起始日 期</w:t>
            </w:r>
          </w:p>
        </w:tc>
        <w:tc>
          <w:tcPr>
            <w:tcW w:w="13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19"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5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248" w:right="157" w:hanging="90"/>
              <w:jc w:val="left"/>
              <w:rPr>
                <w:rFonts w:ascii="宋体" w:hAnsi="宋体" w:cs="宋体" w:eastAsia="宋体" w:hint="default"/>
                <w:sz w:val="18"/>
                <w:szCs w:val="18"/>
              </w:rPr>
            </w:pPr>
            <w:r>
              <w:rPr>
                <w:rFonts w:ascii="宋体" w:hAnsi="宋体" w:cs="宋体" w:eastAsia="宋体" w:hint="default"/>
                <w:sz w:val="18"/>
                <w:szCs w:val="18"/>
              </w:rPr>
              <w:t>在股东单位是否 领取报酬津贴</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尹於舜</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深圳市创新投资集团有限公司</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29"/>
              <w:jc w:val="left"/>
              <w:rPr>
                <w:rFonts w:ascii="宋体" w:hAnsi="宋体" w:cs="宋体" w:eastAsia="宋体" w:hint="default"/>
                <w:sz w:val="18"/>
                <w:szCs w:val="18"/>
              </w:rPr>
            </w:pPr>
            <w:r>
              <w:rPr>
                <w:rFonts w:ascii="宋体" w:hAnsi="宋体" w:cs="宋体" w:eastAsia="宋体" w:hint="default"/>
                <w:sz w:val="18"/>
                <w:szCs w:val="18"/>
              </w:rPr>
              <w:t>沪浙区域 总经理</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2002</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月</w:t>
            </w:r>
          </w:p>
          <w:p>
            <w:pPr>
              <w:pStyle w:val="TableParagraph"/>
              <w:spacing w:line="240" w:lineRule="auto" w:before="64"/>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30" w:type="dxa"/>
            <w:tcBorders>
              <w:top w:val="single" w:sz="4" w:space="0" w:color="000000"/>
              <w:left w:val="single" w:sz="4" w:space="0" w:color="000000"/>
              <w:bottom w:val="single" w:sz="4" w:space="0" w:color="000000"/>
              <w:right w:val="single" w:sz="4" w:space="0" w:color="000000"/>
            </w:tcBorders>
          </w:tcPr>
          <w:p>
            <w:pPr/>
          </w:p>
        </w:tc>
        <w:tc>
          <w:tcPr>
            <w:tcW w:w="15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在其他单位任职情况</w:t>
      </w:r>
    </w:p>
    <w:p>
      <w:pPr>
        <w:spacing w:before="117"/>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202"/>
        <w:gridCol w:w="3190"/>
        <w:gridCol w:w="1063"/>
        <w:gridCol w:w="1196"/>
        <w:gridCol w:w="1324"/>
        <w:gridCol w:w="1594"/>
      </w:tblGrid>
      <w:tr>
        <w:trPr>
          <w:trHeight w:val="1025" w:hRule="exact"/>
        </w:trPr>
        <w:tc>
          <w:tcPr>
            <w:tcW w:w="12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505" w:right="144" w:hanging="361"/>
              <w:jc w:val="left"/>
              <w:rPr>
                <w:rFonts w:ascii="宋体" w:hAnsi="宋体" w:cs="宋体" w:eastAsia="宋体" w:hint="default"/>
                <w:sz w:val="18"/>
                <w:szCs w:val="18"/>
              </w:rPr>
            </w:pPr>
            <w:r>
              <w:rPr>
                <w:rFonts w:ascii="宋体" w:hAnsi="宋体" w:cs="宋体" w:eastAsia="宋体" w:hint="default"/>
                <w:sz w:val="18"/>
                <w:szCs w:val="18"/>
              </w:rPr>
              <w:t>任职人员姓 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50" w:right="0"/>
              <w:jc w:val="left"/>
              <w:rPr>
                <w:rFonts w:ascii="宋体" w:hAnsi="宋体" w:cs="宋体" w:eastAsia="宋体" w:hint="default"/>
                <w:sz w:val="18"/>
                <w:szCs w:val="18"/>
              </w:rPr>
            </w:pPr>
            <w:r>
              <w:rPr>
                <w:rFonts w:ascii="宋体" w:hAnsi="宋体" w:cs="宋体" w:eastAsia="宋体" w:hint="default"/>
                <w:sz w:val="18"/>
                <w:szCs w:val="18"/>
              </w:rPr>
              <w:t>其他单位名称</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66" w:right="164"/>
              <w:jc w:val="center"/>
              <w:rPr>
                <w:rFonts w:ascii="宋体" w:hAnsi="宋体" w:cs="宋体" w:eastAsia="宋体" w:hint="default"/>
                <w:sz w:val="18"/>
                <w:szCs w:val="18"/>
              </w:rPr>
            </w:pPr>
            <w:r>
              <w:rPr>
                <w:rFonts w:ascii="宋体" w:hAnsi="宋体" w:cs="宋体" w:eastAsia="宋体" w:hint="default"/>
                <w:sz w:val="18"/>
                <w:szCs w:val="18"/>
              </w:rPr>
              <w:t>在其他单 位担任的 职务</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502" w:right="143" w:hanging="360"/>
              <w:jc w:val="left"/>
              <w:rPr>
                <w:rFonts w:ascii="宋体" w:hAnsi="宋体" w:cs="宋体" w:eastAsia="宋体" w:hint="default"/>
                <w:sz w:val="18"/>
                <w:szCs w:val="18"/>
              </w:rPr>
            </w:pPr>
            <w:r>
              <w:rPr>
                <w:rFonts w:ascii="宋体" w:hAnsi="宋体" w:cs="宋体" w:eastAsia="宋体" w:hint="default"/>
                <w:sz w:val="18"/>
                <w:szCs w:val="18"/>
              </w:rPr>
              <w:t>任期起始日 期</w:t>
            </w:r>
          </w:p>
        </w:tc>
        <w:tc>
          <w:tcPr>
            <w:tcW w:w="1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16" w:right="0"/>
              <w:jc w:val="left"/>
              <w:rPr>
                <w:rFonts w:ascii="宋体" w:hAnsi="宋体" w:cs="宋体" w:eastAsia="宋体" w:hint="default"/>
                <w:sz w:val="18"/>
                <w:szCs w:val="18"/>
              </w:rPr>
            </w:pPr>
            <w:r>
              <w:rPr>
                <w:rFonts w:ascii="宋体" w:hAnsi="宋体" w:cs="宋体" w:eastAsia="宋体" w:hint="default"/>
                <w:sz w:val="18"/>
                <w:szCs w:val="18"/>
              </w:rPr>
              <w:t>任期终止日期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252" w:right="161" w:hanging="90"/>
              <w:jc w:val="left"/>
              <w:rPr>
                <w:rFonts w:ascii="宋体" w:hAnsi="宋体" w:cs="宋体" w:eastAsia="宋体" w:hint="default"/>
                <w:sz w:val="18"/>
                <w:szCs w:val="18"/>
              </w:rPr>
            </w:pPr>
            <w:r>
              <w:rPr>
                <w:rFonts w:ascii="宋体" w:hAnsi="宋体" w:cs="宋体" w:eastAsia="宋体" w:hint="default"/>
                <w:sz w:val="18"/>
                <w:szCs w:val="18"/>
              </w:rPr>
              <w:t>在其他单位是否 领取报酬津贴</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黄亚钧</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复旦大学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教授</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1992</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刘红梅</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上海师范大学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教授</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2004</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4"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乐嘉锦</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东华大学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教授</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1984</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716" w:hRule="exact"/>
        </w:trPr>
        <w:tc>
          <w:tcPr>
            <w:tcW w:w="12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祝小兵</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上海开放大学</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教授</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1999</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年</w:t>
            </w:r>
            <w:r>
              <w:rPr>
                <w:rFonts w:ascii="宋体" w:hAnsi="宋体" w:cs="宋体" w:eastAsia="宋体" w:hint="default"/>
                <w:spacing w:val="-64"/>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9"/>
                <w:sz w:val="18"/>
                <w:szCs w:val="18"/>
              </w:rPr>
              <w:t> </w:t>
            </w:r>
            <w:r>
              <w:rPr>
                <w:rFonts w:ascii="宋体" w:hAnsi="宋体" w:cs="宋体" w:eastAsia="宋体" w:hint="default"/>
                <w:sz w:val="18"/>
                <w:szCs w:val="18"/>
              </w:rPr>
              <w:t>月</w:t>
            </w:r>
          </w:p>
          <w:p>
            <w:pPr>
              <w:pStyle w:val="TableParagraph"/>
              <w:spacing w:line="240" w:lineRule="auto" w:before="6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32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公司现任及报告期内离任董事、监事和高级管理人员近三年证券监管机构处罚的情况</w:t>
      </w:r>
    </w:p>
    <w:p>
      <w:pPr>
        <w:spacing w:before="116"/>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25"/>
          <w:szCs w:val="25"/>
        </w:rPr>
      </w:pPr>
    </w:p>
    <w:p>
      <w:pPr>
        <w:pStyle w:val="Heading4"/>
        <w:spacing w:line="240" w:lineRule="auto"/>
        <w:ind w:right="0"/>
        <w:jc w:val="left"/>
        <w:rPr>
          <w:b w:val="0"/>
          <w:bCs w:val="0"/>
        </w:rPr>
      </w:pPr>
      <w:bookmarkStart w:name="四、董事、监事、高级管理人员报酬情况" w:id="128"/>
      <w:bookmarkEnd w:id="128"/>
      <w:r>
        <w:rPr>
          <w:b w:val="0"/>
          <w:bCs w:val="0"/>
        </w:rPr>
      </w:r>
      <w:r>
        <w:rPr/>
        <w:t>四、董事、监事、高级管理人员报酬情况</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董事、监事、高级管理人员报酬的决策程序、确定依据、实际支付情况</w:t>
      </w:r>
    </w:p>
    <w:p>
      <w:pPr>
        <w:pStyle w:val="BodyText"/>
        <w:spacing w:line="312" w:lineRule="exact" w:before="97"/>
        <w:ind w:right="1130" w:firstLine="480"/>
        <w:jc w:val="both"/>
        <w:rPr>
          <w:rFonts w:ascii="Times New Roman" w:hAnsi="Times New Roman" w:cs="Times New Roman" w:eastAsia="Times New Roman" w:hint="default"/>
          <w:sz w:val="18"/>
          <w:szCs w:val="18"/>
        </w:rPr>
      </w:pPr>
      <w:r>
        <w:rPr/>
        <w:pict>
          <v:shape style="position:absolute;margin-left:164.720001pt;margin-top:118.48999pt;width:26.73pt;height:9.960pt;mso-position-horizontal-relative:page;mso-position-vertical-relative:paragraph;z-index:-1232032" type="#_x0000_t75" stroked="false">
            <v:imagedata r:id="rId16" o:title=""/>
          </v:shape>
        </w:pict>
      </w:r>
      <w:r>
        <w:rPr/>
        <w:t>公司董事、监事、高级管理人员报酬由基本薪酬、绩效奖励两部分组成。基本薪酬主要 考虑职位、责任、能力、市场薪资行情等因素确定，按月发放，公司董事、监事及高级管理 人员基本薪酬由薪酬与考核委员会拟订，董事和监事的薪酬由股东大会审议批准，独立董事 薪酬由股东大会审议批准，高级管理人员薪酬由董事会审议批准。绩效奖励以年度经营目标 为考核基础，根据董事、监事及高级管理人员完成年度经营指标核定年度奖励总额，并根据 董事、监事及高级管理人员的绩效奖励总额、等级、系数、计算和发放办法等由薪酬考核委 </w:t>
      </w:r>
      <w:r>
        <w:rPr>
          <w:spacing w:val="-5"/>
        </w:rPr>
        <w:t>员会确定。</w:t>
      </w:r>
      <w:r>
        <w:rPr>
          <w:rFonts w:ascii="宋体" w:hAnsi="宋体" w:cs="宋体" w:eastAsia="宋体" w:hint="default"/>
          <w:spacing w:val="-5"/>
        </w:rPr>
        <w:t>2018</w:t>
      </w:r>
      <w:r>
        <w:rPr>
          <w:spacing w:val="-5"/>
        </w:rPr>
        <w:t>年度公司董事、监事及高级管理人员共</w:t>
      </w:r>
      <w:r>
        <w:rPr>
          <w:rFonts w:ascii="宋体" w:hAnsi="宋体" w:cs="宋体" w:eastAsia="宋体" w:hint="default"/>
          <w:spacing w:val="-5"/>
        </w:rPr>
        <w:t>15</w:t>
      </w:r>
      <w:r>
        <w:rPr>
          <w:spacing w:val="-5"/>
        </w:rPr>
        <w:t>人（含历任董事会秘书），</w:t>
      </w:r>
      <w:r>
        <w:rPr>
          <w:rFonts w:ascii="宋体" w:hAnsi="宋体" w:cs="宋体" w:eastAsia="宋体" w:hint="default"/>
          <w:spacing w:val="-5"/>
        </w:rPr>
        <w:t>2018</w:t>
      </w:r>
      <w:r>
        <w:rPr>
          <w:spacing w:val="-5"/>
        </w:rPr>
        <w:t>年度</w:t>
      </w:r>
      <w:r>
        <w:rPr>
          <w:spacing w:val="-92"/>
        </w:rPr>
        <w:t> </w:t>
      </w:r>
      <w:r>
        <w:rPr/>
        <w:t>实际支付</w:t>
      </w:r>
      <w:r>
        <w:rPr>
          <w:rFonts w:ascii="宋体" w:hAnsi="宋体" w:cs="宋体" w:eastAsia="宋体" w:hint="default"/>
        </w:rPr>
        <w:t>485.21</w:t>
      </w:r>
      <w:r>
        <w:rPr/>
        <w:t>万元 </w:t>
      </w:r>
      <w:r>
        <w:rPr>
          <w:spacing w:val="116"/>
        </w:rPr>
        <w:t> </w:t>
      </w:r>
      <w:r>
        <w:rPr>
          <w:rFonts w:ascii="Times New Roman" w:hAnsi="Times New Roman" w:cs="Times New Roman" w:eastAsia="Times New Roman" w:hint="default"/>
          <w:sz w:val="18"/>
          <w:szCs w:val="18"/>
        </w:rPr>
        <w:t>;</w:t>
      </w:r>
    </w:p>
    <w:p>
      <w:pPr>
        <w:spacing w:before="59"/>
        <w:ind w:left="114" w:right="0" w:firstLine="0"/>
        <w:jc w:val="left"/>
        <w:rPr>
          <w:rFonts w:ascii="宋体" w:hAnsi="宋体" w:cs="宋体" w:eastAsia="宋体" w:hint="default"/>
          <w:sz w:val="18"/>
          <w:szCs w:val="18"/>
        </w:rPr>
      </w:pPr>
      <w:r>
        <w:rPr>
          <w:rFonts w:ascii="宋体" w:hAnsi="宋体" w:cs="宋体" w:eastAsia="宋体" w:hint="default"/>
          <w:sz w:val="18"/>
          <w:szCs w:val="18"/>
        </w:rPr>
        <w:t>公司报告期内董事、监事和高级管理人员报酬情况</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单位：万元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714"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姓名</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职务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性别</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年龄</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任职状态</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36" w:right="138"/>
              <w:jc w:val="left"/>
              <w:rPr>
                <w:rFonts w:ascii="宋体" w:hAnsi="宋体" w:cs="宋体" w:eastAsia="宋体" w:hint="default"/>
                <w:sz w:val="18"/>
                <w:szCs w:val="18"/>
              </w:rPr>
            </w:pPr>
            <w:r>
              <w:rPr>
                <w:rFonts w:ascii="宋体" w:hAnsi="宋体" w:cs="宋体" w:eastAsia="宋体" w:hint="default"/>
                <w:sz w:val="18"/>
                <w:szCs w:val="18"/>
              </w:rPr>
              <w:t>从公司获得的 税前报酬总额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37" w:right="137"/>
              <w:jc w:val="left"/>
              <w:rPr>
                <w:rFonts w:ascii="宋体" w:hAnsi="宋体" w:cs="宋体" w:eastAsia="宋体" w:hint="default"/>
                <w:sz w:val="18"/>
                <w:szCs w:val="18"/>
              </w:rPr>
            </w:pPr>
            <w:r>
              <w:rPr>
                <w:rFonts w:ascii="宋体" w:hAnsi="宋体" w:cs="宋体" w:eastAsia="宋体" w:hint="default"/>
                <w:sz w:val="18"/>
                <w:szCs w:val="18"/>
              </w:rPr>
              <w:t>是否在公司关 联方获取报酬</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张曙华</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董事长</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48" w:right="0"/>
              <w:jc w:val="left"/>
              <w:rPr>
                <w:rFonts w:ascii="Times New Roman" w:hAnsi="Times New Roman" w:cs="Times New Roman" w:eastAsia="Times New Roman" w:hint="default"/>
                <w:sz w:val="18"/>
                <w:szCs w:val="18"/>
              </w:rPr>
            </w:pPr>
            <w:r>
              <w:rPr>
                <w:rFonts w:ascii="Times New Roman"/>
                <w:sz w:val="18"/>
              </w:rPr>
              <w:t>55.07</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1370"/>
        <w:gridCol w:w="1367"/>
        <w:gridCol w:w="1367"/>
        <w:gridCol w:w="1367"/>
        <w:gridCol w:w="1368"/>
        <w:gridCol w:w="1367"/>
        <w:gridCol w:w="1367"/>
      </w:tblGrid>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黄海清</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总裁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38.68</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杨安荣</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董事、副总裁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44</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55.75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刘理洲</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48.03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李志卿</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53.36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张元利</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51.83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张颖</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73"/>
              <w:jc w:val="left"/>
              <w:rPr>
                <w:rFonts w:ascii="宋体" w:hAnsi="宋体" w:cs="宋体" w:eastAsia="宋体" w:hint="default"/>
                <w:sz w:val="18"/>
                <w:szCs w:val="18"/>
              </w:rPr>
            </w:pPr>
            <w:r>
              <w:rPr>
                <w:rFonts w:ascii="宋体" w:hAnsi="宋体" w:cs="宋体" w:eastAsia="宋体" w:hint="default"/>
                <w:sz w:val="18"/>
                <w:szCs w:val="18"/>
              </w:rPr>
              <w:t>董事、财务总 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41</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46.46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黄亚钧</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离任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刘红梅</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女</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乐嘉锦</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6</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祝小兵</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独立董事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53</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0.5</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陈若初</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监事会主席</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59</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38.21</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尹於舜</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55</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时泂</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监事</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42.43</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714" w:hRule="exact"/>
        </w:trPr>
        <w:tc>
          <w:tcPr>
            <w:tcW w:w="13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徐云蔚</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73"/>
              <w:jc w:val="left"/>
              <w:rPr>
                <w:rFonts w:ascii="宋体" w:hAnsi="宋体" w:cs="宋体" w:eastAsia="宋体" w:hint="default"/>
                <w:sz w:val="18"/>
                <w:szCs w:val="18"/>
              </w:rPr>
            </w:pPr>
            <w:r>
              <w:rPr>
                <w:rFonts w:ascii="宋体" w:hAnsi="宋体" w:cs="宋体" w:eastAsia="宋体" w:hint="default"/>
                <w:sz w:val="18"/>
                <w:szCs w:val="18"/>
              </w:rPr>
              <w:t>董事会秘书、 副总裁</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47</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现任</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37.39</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3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485.21</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公司董事、高级管理人员报告期内被授予的股权激励情况</w:t>
      </w:r>
    </w:p>
    <w:p>
      <w:pPr>
        <w:spacing w:before="117"/>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3"/>
        <w:rPr>
          <w:rFonts w:ascii="宋体" w:hAnsi="宋体" w:cs="宋体" w:eastAsia="宋体" w:hint="default"/>
          <w:sz w:val="24"/>
          <w:szCs w:val="24"/>
        </w:rPr>
      </w:pPr>
    </w:p>
    <w:p>
      <w:pPr>
        <w:pStyle w:val="Heading4"/>
        <w:spacing w:line="240" w:lineRule="auto"/>
        <w:ind w:right="0"/>
        <w:jc w:val="left"/>
        <w:rPr>
          <w:b w:val="0"/>
          <w:bCs w:val="0"/>
        </w:rPr>
      </w:pPr>
      <w:bookmarkStart w:name="五、公司员工情况" w:id="129"/>
      <w:bookmarkEnd w:id="129"/>
      <w:r>
        <w:rPr>
          <w:b w:val="0"/>
          <w:bCs w:val="0"/>
        </w:rPr>
      </w:r>
      <w:r>
        <w:rPr/>
        <w:t>五、公司员工情况</w:t>
      </w:r>
      <w:r>
        <w:rPr>
          <w:b w:val="0"/>
          <w:bCs w:val="0"/>
        </w:rPr>
      </w:r>
    </w:p>
    <w:p>
      <w:pPr>
        <w:spacing w:line="240" w:lineRule="auto" w:before="9"/>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员工数量、专业构成及教育程度" w:id="130"/>
      <w:bookmarkEnd w:id="130"/>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、员工数量、专业构成及教育程度</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母公司在职员工的数量（人）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1,096</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主要子公司在职员工的数量（人）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640</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在职员工的数量合计（人）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1,736</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当期领取薪酬员工总人数（人）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1,736</w:t>
            </w:r>
          </w:p>
        </w:tc>
      </w:tr>
      <w:tr>
        <w:trPr>
          <w:trHeight w:val="407"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母公司及主要子公司需承担费用的离退休职工人数（人）</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7"/>
              <w:jc w:val="right"/>
              <w:rPr>
                <w:rFonts w:ascii="Times New Roman" w:hAnsi="Times New Roman" w:cs="Times New Roman" w:eastAsia="Times New Roman" w:hint="default"/>
                <w:sz w:val="18"/>
                <w:szCs w:val="18"/>
              </w:rPr>
            </w:pPr>
            <w:r>
              <w:rPr>
                <w:rFonts w:ascii="Times New Roman"/>
                <w:spacing w:val="-8"/>
                <w:sz w:val="18"/>
              </w:rPr>
              <w:t>11</w:t>
            </w:r>
            <w:r>
              <w:rPr>
                <w:rFonts w:ascii="Times New Roman"/>
                <w:sz w:val="18"/>
              </w:rPr>
            </w:r>
          </w:p>
        </w:tc>
      </w:tr>
      <w:tr>
        <w:trPr>
          <w:trHeight w:val="397"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专业构成</w:t>
            </w:r>
          </w:p>
        </w:tc>
      </w:tr>
      <w:tr>
        <w:trPr>
          <w:trHeight w:val="397"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专业构成类别</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6" w:right="0"/>
              <w:jc w:val="left"/>
              <w:rPr>
                <w:rFonts w:ascii="宋体" w:hAnsi="宋体" w:cs="宋体" w:eastAsia="宋体" w:hint="default"/>
                <w:sz w:val="18"/>
                <w:szCs w:val="18"/>
              </w:rPr>
            </w:pPr>
            <w:r>
              <w:rPr>
                <w:rFonts w:ascii="宋体" w:hAnsi="宋体" w:cs="宋体" w:eastAsia="宋体" w:hint="default"/>
                <w:sz w:val="18"/>
                <w:szCs w:val="18"/>
              </w:rPr>
              <w:t>专业构成人数（人）</w:t>
            </w:r>
          </w:p>
        </w:tc>
      </w:tr>
      <w:tr>
        <w:trPr>
          <w:trHeight w:val="407"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103" w:right="0"/>
              <w:jc w:val="left"/>
              <w:rPr>
                <w:rFonts w:ascii="宋体" w:hAnsi="宋体" w:cs="宋体" w:eastAsia="宋体" w:hint="default"/>
                <w:sz w:val="18"/>
                <w:szCs w:val="18"/>
              </w:rPr>
            </w:pPr>
            <w:r>
              <w:rPr>
                <w:rFonts w:ascii="宋体" w:hAnsi="宋体" w:cs="宋体" w:eastAsia="宋体" w:hint="default"/>
                <w:sz w:val="18"/>
                <w:szCs w:val="18"/>
              </w:rPr>
              <w:t>生产人员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6"/>
              <w:ind w:right="101"/>
              <w:jc w:val="right"/>
              <w:rPr>
                <w:rFonts w:ascii="Times New Roman" w:hAnsi="Times New Roman" w:cs="Times New Roman" w:eastAsia="Times New Roman" w:hint="default"/>
                <w:sz w:val="18"/>
                <w:szCs w:val="18"/>
              </w:rPr>
            </w:pPr>
            <w:r>
              <w:rPr>
                <w:rFonts w:ascii="Times New Roman"/>
                <w:sz w:val="18"/>
              </w:rPr>
              <w:t>308</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销售人员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221</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技术人员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1,046</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财务人员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行政人员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94</w:t>
            </w:r>
          </w:p>
        </w:tc>
      </w:tr>
    </w:tbl>
    <w:p>
      <w:pPr>
        <w:spacing w:after="0" w:line="240" w:lineRule="auto"/>
        <w:jc w:val="right"/>
        <w:rPr>
          <w:rFonts w:ascii="Times New Roman" w:hAnsi="Times New Roman" w:cs="Times New Roman" w:eastAsia="Times New Roman" w:hint="default"/>
          <w:sz w:val="18"/>
          <w:szCs w:val="18"/>
        </w:rPr>
        <w:sectPr>
          <w:pgSz w:w="11910" w:h="16840"/>
          <w:pgMar w:header="822" w:footer="1019" w:top="1140" w:bottom="1200" w:left="1020" w:right="0"/>
        </w:sectPr>
      </w:pPr>
    </w:p>
    <w:p>
      <w:pPr>
        <w:spacing w:line="240" w:lineRule="auto" w:before="9"/>
        <w:rPr>
          <w:rFonts w:ascii="宋体" w:hAnsi="宋体" w:cs="宋体" w:eastAsia="宋体" w:hint="default"/>
          <w:b/>
          <w:bCs/>
          <w:sz w:val="22"/>
          <w:szCs w:val="22"/>
        </w:rPr>
      </w:pPr>
    </w:p>
    <w:tbl>
      <w:tblPr>
        <w:tblW w:w="0" w:type="auto"/>
        <w:jc w:val="left"/>
        <w:tblInd w:w="10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管理人员</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47</w:t>
            </w:r>
          </w:p>
        </w:tc>
      </w:tr>
      <w:tr>
        <w:trPr>
          <w:trHeight w:val="407"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1,736</w:t>
            </w:r>
          </w:p>
        </w:tc>
      </w:tr>
      <w:tr>
        <w:trPr>
          <w:trHeight w:val="397" w:hRule="exact"/>
        </w:trPr>
        <w:tc>
          <w:tcPr>
            <w:tcW w:w="956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6"/>
              <w:ind w:right="0"/>
              <w:jc w:val="center"/>
              <w:rPr>
                <w:rFonts w:ascii="宋体" w:hAnsi="宋体" w:cs="宋体" w:eastAsia="宋体" w:hint="default"/>
                <w:sz w:val="18"/>
                <w:szCs w:val="18"/>
              </w:rPr>
            </w:pPr>
            <w:r>
              <w:rPr>
                <w:rFonts w:ascii="宋体" w:hAnsi="宋体" w:cs="宋体" w:eastAsia="宋体" w:hint="default"/>
                <w:sz w:val="18"/>
                <w:szCs w:val="18"/>
              </w:rPr>
              <w:t>教育程度</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教育程度类别</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数量（人）</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硕士及以上</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85</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本科</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812</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大专及以下</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839</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1,736</w:t>
            </w:r>
          </w:p>
        </w:tc>
      </w:tr>
    </w:tbl>
    <w:p>
      <w:pPr>
        <w:spacing w:line="240" w:lineRule="auto" w:before="2"/>
        <w:rPr>
          <w:rFonts w:ascii="宋体" w:hAnsi="宋体" w:cs="宋体" w:eastAsia="宋体" w:hint="default"/>
          <w:b/>
          <w:bCs/>
          <w:sz w:val="19"/>
          <w:szCs w:val="19"/>
        </w:rPr>
      </w:pPr>
    </w:p>
    <w:p>
      <w:pPr>
        <w:spacing w:before="35"/>
        <w:ind w:left="114" w:right="0" w:firstLine="0"/>
        <w:jc w:val="left"/>
        <w:rPr>
          <w:rFonts w:ascii="宋体" w:hAnsi="宋体" w:cs="宋体" w:eastAsia="宋体" w:hint="default"/>
          <w:sz w:val="21"/>
          <w:szCs w:val="21"/>
        </w:rPr>
      </w:pPr>
      <w:bookmarkStart w:name="2、薪酬政策" w:id="131"/>
      <w:bookmarkEnd w:id="131"/>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、薪酬政策</w:t>
      </w:r>
      <w:r>
        <w:rPr>
          <w:rFonts w:ascii="宋体" w:hAnsi="宋体" w:cs="宋体" w:eastAsia="宋体" w:hint="default"/>
          <w:sz w:val="21"/>
          <w:szCs w:val="21"/>
        </w:rPr>
      </w:r>
    </w:p>
    <w:p>
      <w:pPr>
        <w:spacing w:line="240" w:lineRule="auto" w:before="1"/>
        <w:rPr>
          <w:rFonts w:ascii="宋体" w:hAnsi="宋体" w:cs="宋体" w:eastAsia="宋体" w:hint="default"/>
          <w:b/>
          <w:bCs/>
          <w:sz w:val="25"/>
          <w:szCs w:val="25"/>
        </w:rPr>
      </w:pPr>
    </w:p>
    <w:p>
      <w:pPr>
        <w:pStyle w:val="BodyText"/>
        <w:spacing w:line="312" w:lineRule="exact"/>
        <w:ind w:right="1170" w:firstLine="480"/>
        <w:jc w:val="both"/>
      </w:pPr>
      <w:r>
        <w:rPr/>
        <w:t>公司高度重视人力资源建设，根据发展战略，结合人力资源现状和未来需求预测，建立 和实施了薪酬管理制度，制度是根据岗位职级与岗位类别进行制定，并切实做到岗位薪资与 业绩挂钩，以提高员工的满意度，鼓励员工长期稳定的在企业发展，同时为企业的发展做出 应有的贡献。在本公司领取薪酬的人员，按国家及地方的有关规定享受本公司提供的社会保 障。</w:t>
      </w:r>
    </w:p>
    <w:p>
      <w:pPr>
        <w:pStyle w:val="BodyText"/>
        <w:spacing w:line="240" w:lineRule="auto" w:before="10"/>
        <w:ind w:right="1132" w:firstLine="480"/>
        <w:jc w:val="both"/>
      </w:pPr>
      <w:r>
        <w:rPr/>
        <w:t>根据公司薪酬管理制度，公司员工薪酬由基本工资和绩效薪酬所组成。其中，基本工资 系根据工作岗位的主要范围、职责、重要性以及其他相关企业相关岗位的薪酬水平制定，绩 效薪酬则根据绩效考核结果确定</w:t>
      </w:r>
    </w:p>
    <w:p>
      <w:pPr>
        <w:spacing w:line="240" w:lineRule="auto" w:before="7"/>
        <w:rPr>
          <w:rFonts w:ascii="宋体" w:hAnsi="宋体" w:cs="宋体" w:eastAsia="宋体" w:hint="default"/>
          <w:sz w:val="33"/>
          <w:szCs w:val="33"/>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号——上市公司从事软件与信息技术服务业务》的披露要求</w:t>
      </w:r>
    </w:p>
    <w:p>
      <w:pPr>
        <w:spacing w:line="240" w:lineRule="auto" w:before="10"/>
        <w:rPr>
          <w:rFonts w:ascii="宋体" w:hAnsi="宋体" w:cs="宋体" w:eastAsia="宋体" w:hint="default"/>
          <w:sz w:val="25"/>
          <w:szCs w:val="25"/>
        </w:rPr>
      </w:pPr>
    </w:p>
    <w:p>
      <w:pPr>
        <w:spacing w:before="0"/>
        <w:ind w:left="114" w:right="0" w:firstLine="0"/>
        <w:jc w:val="left"/>
        <w:rPr>
          <w:rFonts w:ascii="宋体" w:hAnsi="宋体" w:cs="宋体" w:eastAsia="宋体" w:hint="default"/>
          <w:sz w:val="21"/>
          <w:szCs w:val="21"/>
        </w:rPr>
      </w:pPr>
      <w:bookmarkStart w:name="3、培训计划" w:id="132"/>
      <w:bookmarkEnd w:id="132"/>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、培训计划</w:t>
      </w:r>
      <w:r>
        <w:rPr>
          <w:rFonts w:ascii="宋体" w:hAnsi="宋体" w:cs="宋体" w:eastAsia="宋体" w:hint="default"/>
          <w:sz w:val="21"/>
          <w:szCs w:val="21"/>
        </w:rPr>
      </w:r>
    </w:p>
    <w:p>
      <w:pPr>
        <w:spacing w:line="240" w:lineRule="auto" w:before="1"/>
        <w:rPr>
          <w:rFonts w:ascii="宋体" w:hAnsi="宋体" w:cs="宋体" w:eastAsia="宋体" w:hint="default"/>
          <w:b/>
          <w:bCs/>
          <w:sz w:val="25"/>
          <w:szCs w:val="25"/>
        </w:rPr>
      </w:pPr>
    </w:p>
    <w:p>
      <w:pPr>
        <w:pStyle w:val="BodyText"/>
        <w:spacing w:line="312" w:lineRule="exact"/>
        <w:ind w:right="1133" w:firstLine="360"/>
        <w:jc w:val="both"/>
      </w:pPr>
      <w:r>
        <w:rPr>
          <w:spacing w:val="-3"/>
        </w:rPr>
        <w:t>人才是企业发展的重要战略，人才战略也是信息发展实现业绩增长的加速器，信息发展在</w:t>
      </w:r>
      <w:r>
        <w:rPr/>
        <w:t> 多年的经营发展中一直牢记并努力践行这一人才战略理念，在积累了稳定且结构合理的高素 质人才队伍同时，信息发展更注重高标准人才的选用机制建设工作，并同步引进了许多高端 人才、领军人才来助力企业快速发展，各类人才在管理经营、新产品研发、重大项目建设、 科技公关、前沿技术探索、云计算、人工智能、大数据研究等方面发挥了重要作用，形成了 人尽其才，才尽其用的良好人才发展环境。未来，信息发展将在创新发展过程中，积极做好 人力资源战略规划，构建人才战略版图，让人才成为企业未来发展聚力赋能的重要保障。</w:t>
      </w:r>
    </w:p>
    <w:p>
      <w:pPr>
        <w:pStyle w:val="BodyText"/>
        <w:spacing w:line="237" w:lineRule="auto" w:before="13"/>
        <w:ind w:right="1129" w:firstLine="480"/>
        <w:jc w:val="both"/>
      </w:pPr>
      <w:r>
        <w:rPr/>
        <w:t>在注重人才引进的同时，信息发展非常重视人才培训、培养机制建设工作，信息发展鹰 学院是承担这一重要任务的专业内部机构。学院自成立以来，每年都以企业的战略业务发展</w:t>
      </w:r>
      <w:r>
        <w:rPr>
          <w:spacing w:val="-109"/>
        </w:rPr>
        <w:t> </w:t>
      </w:r>
      <w:r>
        <w:rPr>
          <w:spacing w:val="-109"/>
        </w:rPr>
      </w:r>
      <w:r>
        <w:rPr/>
        <w:t>为导向，凭借行业资源知识的储备、严谨的管理制度、多元化的课程体系、专业的内外部精</w:t>
      </w:r>
      <w:r>
        <w:rPr/>
        <w:t> 英讲师团队、注重成果导向的教学模式，为企业持续不断的培养符合企业核心价值观的复合 </w:t>
      </w:r>
      <w:r>
        <w:rPr>
          <w:spacing w:val="-11"/>
        </w:rPr>
        <w:t>型优秀人才，并以“鹰”的成长为主线，将人才划分为“雄鹰、精鹰、飞鹰、雏鹰”，通过“历</w:t>
      </w:r>
      <w:r>
        <w:rPr>
          <w:spacing w:val="-105"/>
        </w:rPr>
        <w:t> </w:t>
      </w:r>
      <w:r>
        <w:rPr>
          <w:spacing w:val="-105"/>
        </w:rPr>
      </w:r>
      <w:r>
        <w:rPr>
          <w:spacing w:val="-4"/>
        </w:rPr>
        <w:t>练”成长，最终成为企业未来发展需要的“鹰人才”和“鹰团队”。</w:t>
      </w:r>
    </w:p>
    <w:p>
      <w:pPr>
        <w:spacing w:line="240" w:lineRule="auto" w:before="8"/>
        <w:rPr>
          <w:rFonts w:ascii="宋体" w:hAnsi="宋体" w:cs="宋体" w:eastAsia="宋体" w:hint="default"/>
          <w:sz w:val="24"/>
          <w:szCs w:val="24"/>
        </w:rPr>
      </w:pPr>
    </w:p>
    <w:p>
      <w:pPr>
        <w:spacing w:before="0"/>
        <w:ind w:left="114" w:right="0" w:firstLine="0"/>
        <w:jc w:val="left"/>
        <w:rPr>
          <w:rFonts w:ascii="宋体" w:hAnsi="宋体" w:cs="宋体" w:eastAsia="宋体" w:hint="default"/>
          <w:sz w:val="21"/>
          <w:szCs w:val="21"/>
        </w:rPr>
      </w:pPr>
      <w:bookmarkStart w:name="4、劳务外包情况" w:id="133"/>
      <w:bookmarkEnd w:id="133"/>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、劳务外包情况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劳务外包的工时总数（小时）</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63,360</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劳务外包支付的报酬总额（元）</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1,178,287.80</w:t>
            </w:r>
          </w:p>
        </w:tc>
      </w:tr>
    </w:tbl>
    <w:p>
      <w:pPr>
        <w:spacing w:after="0" w:line="240" w:lineRule="auto"/>
        <w:jc w:val="right"/>
        <w:rPr>
          <w:rFonts w:ascii="Times New Roman" w:hAnsi="Times New Roman" w:cs="Times New Roman" w:eastAsia="Times New Roman" w:hint="default"/>
          <w:sz w:val="18"/>
          <w:szCs w:val="18"/>
        </w:rPr>
        <w:sectPr>
          <w:pgSz w:w="11910" w:h="16840"/>
          <w:pgMar w:header="822" w:footer="1019" w:top="1140" w:bottom="1200" w:left="102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11"/>
        <w:rPr>
          <w:rFonts w:ascii="Times New Roman" w:hAnsi="Times New Roman" w:cs="Times New Roman" w:eastAsia="Times New Roman" w:hint="default"/>
          <w:sz w:val="21"/>
          <w:szCs w:val="21"/>
        </w:rPr>
      </w:pPr>
    </w:p>
    <w:p>
      <w:pPr>
        <w:pStyle w:val="Heading1"/>
        <w:spacing w:line="240" w:lineRule="auto"/>
        <w:ind w:right="3401"/>
        <w:jc w:val="center"/>
        <w:rPr>
          <w:b w:val="0"/>
          <w:bCs w:val="0"/>
        </w:rPr>
      </w:pPr>
      <w:bookmarkStart w:name="第九节 公司治理" w:id="134"/>
      <w:bookmarkEnd w:id="134"/>
      <w:r>
        <w:rPr>
          <w:b w:val="0"/>
          <w:bCs w:val="0"/>
        </w:rPr>
      </w:r>
      <w:bookmarkStart w:name="_bookmark7" w:id="135"/>
      <w:bookmarkEnd w:id="135"/>
      <w:r>
        <w:rPr>
          <w:b w:val="0"/>
          <w:bCs w:val="0"/>
        </w:rPr>
      </w:r>
      <w:r>
        <w:rPr/>
        <w:t>第九节</w:t>
      </w:r>
      <w:r>
        <w:rPr>
          <w:spacing w:val="-5"/>
        </w:rPr>
        <w:t> </w:t>
      </w:r>
      <w:r>
        <w:rPr/>
        <w:t>公司治理</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4"/>
        <w:spacing w:line="240" w:lineRule="auto" w:before="26"/>
        <w:ind w:right="0"/>
        <w:jc w:val="left"/>
        <w:rPr>
          <w:b w:val="0"/>
          <w:bCs w:val="0"/>
        </w:rPr>
      </w:pPr>
      <w:bookmarkStart w:name="一、公司治理的基本状况" w:id="136"/>
      <w:bookmarkEnd w:id="136"/>
      <w:r>
        <w:rPr>
          <w:b w:val="0"/>
          <w:bCs w:val="0"/>
        </w:rPr>
      </w:r>
      <w:r>
        <w:rPr/>
        <w:t>一、公司治理的基本状况</w:t>
      </w:r>
      <w:r>
        <w:rPr>
          <w:b w:val="0"/>
          <w:bCs w:val="0"/>
        </w:rPr>
      </w:r>
    </w:p>
    <w:p>
      <w:pPr>
        <w:spacing w:line="240" w:lineRule="auto" w:before="0"/>
        <w:rPr>
          <w:rFonts w:ascii="宋体" w:hAnsi="宋体" w:cs="宋体" w:eastAsia="宋体" w:hint="default"/>
          <w:b/>
          <w:bCs/>
          <w:sz w:val="25"/>
          <w:szCs w:val="25"/>
        </w:rPr>
      </w:pPr>
    </w:p>
    <w:p>
      <w:pPr>
        <w:pStyle w:val="BodyText"/>
        <w:spacing w:line="312" w:lineRule="exact"/>
        <w:ind w:right="1170" w:firstLine="480"/>
        <w:jc w:val="both"/>
      </w:pPr>
      <w:r>
        <w:rPr>
          <w:spacing w:val="-18"/>
        </w:rPr>
        <w:t>报告期内，公司严格按照《公司法》、《证券法》、《上市公司治理准则》、《深圳证券交易</w:t>
      </w:r>
      <w:r>
        <w:rPr/>
        <w:t> </w:t>
      </w:r>
      <w:r>
        <w:rPr>
          <w:spacing w:val="-6"/>
        </w:rPr>
        <w:t>所创业板股票上市规则》、《深圳证券交易所创业板上市公司规范运作指引》等法律、法规和</w:t>
      </w:r>
      <w:r>
        <w:rPr>
          <w:spacing w:val="-114"/>
        </w:rPr>
        <w:t> </w:t>
      </w:r>
      <w:r>
        <w:rPr>
          <w:spacing w:val="-114"/>
        </w:rPr>
      </w:r>
      <w:r>
        <w:rPr/>
        <w:t>中国证监会有关法律法规等的要求，不断完善公司的法人治理结构，建立健全公司内部管理 和控制制度，持续深入开展公司治理活动，促进了公司规范运作，提高了公司治理水平。</w:t>
      </w:r>
    </w:p>
    <w:p>
      <w:pPr>
        <w:pStyle w:val="BodyText"/>
        <w:spacing w:line="312" w:lineRule="exact"/>
        <w:ind w:right="1171" w:firstLine="480"/>
        <w:jc w:val="both"/>
      </w:pPr>
      <w:r>
        <w:rPr/>
        <w:t>截至报告期末，公司治理的实际状况符合《上市公司治理准则》和《深圳证券交易所创 业板上市公司规范运作指引》等要求，在企业管理各个流程、重大事项、重大风险等方面发 挥了较好的控制和防范作用。</w:t>
      </w:r>
    </w:p>
    <w:p>
      <w:pPr>
        <w:pStyle w:val="BodyText"/>
        <w:spacing w:line="312" w:lineRule="exact"/>
        <w:ind w:left="594" w:right="1152"/>
        <w:jc w:val="left"/>
      </w:pPr>
      <w:r>
        <w:rPr/>
        <w:t>一、关于股东与股东大会 </w:t>
      </w:r>
      <w:r>
        <w:rPr>
          <w:spacing w:val="-12"/>
        </w:rPr>
        <w:t>公司严格按照《公司法》、《上市公司股东大会规则》、《深圳证券交易所创业板上市公司</w:t>
      </w:r>
    </w:p>
    <w:p>
      <w:pPr>
        <w:pStyle w:val="BodyText"/>
        <w:spacing w:line="312" w:lineRule="exact"/>
        <w:ind w:right="1169"/>
        <w:jc w:val="both"/>
      </w:pPr>
      <w:r>
        <w:rPr>
          <w:spacing w:val="-6"/>
        </w:rPr>
        <w:t>规范运作指引》、《公司章程》和公司《股东大会议事规则》等的规定和要求召集、召开股东</w:t>
      </w:r>
      <w:r>
        <w:rPr>
          <w:spacing w:val="-114"/>
        </w:rPr>
        <w:t> </w:t>
      </w:r>
      <w:r>
        <w:rPr>
          <w:spacing w:val="-114"/>
        </w:rPr>
      </w:r>
      <w:r>
        <w:rPr/>
        <w:t>大会，能够确保全体股东特别是中小股东享有平等地位，充分行使自己的权力。同时，公司 聘请专业律师见证股东大会，确保会议召集召开以及表决程序符合相关法律规定，维护股东 的合法权益。报告期内公司共召开了</w:t>
      </w:r>
      <w:r>
        <w:rPr>
          <w:rFonts w:ascii="宋体" w:hAnsi="宋体" w:cs="宋体" w:eastAsia="宋体" w:hint="default"/>
        </w:rPr>
        <w:t>1</w:t>
      </w:r>
      <w:r>
        <w:rPr/>
        <w:t>次年度股东大会，</w:t>
      </w:r>
      <w:r>
        <w:rPr>
          <w:rFonts w:ascii="宋体" w:hAnsi="宋体" w:cs="宋体" w:eastAsia="宋体" w:hint="default"/>
        </w:rPr>
        <w:t>7</w:t>
      </w:r>
      <w:r>
        <w:rPr/>
        <w:t>次临时股东大会，会议均由董事会 召集召开。</w:t>
      </w:r>
    </w:p>
    <w:p>
      <w:pPr>
        <w:pStyle w:val="BodyText"/>
        <w:spacing w:line="312" w:lineRule="exact"/>
        <w:ind w:left="594" w:right="1152"/>
        <w:jc w:val="left"/>
      </w:pPr>
      <w:r>
        <w:rPr/>
        <w:t>二、关于公司与控股股东 公司控股股东能严格规范自己的行为，通过股东大会依法行使其权利并承担义务，没有</w:t>
      </w:r>
    </w:p>
    <w:p>
      <w:pPr>
        <w:pStyle w:val="BodyText"/>
        <w:spacing w:line="312" w:lineRule="exact"/>
        <w:ind w:right="1170"/>
        <w:jc w:val="both"/>
      </w:pPr>
      <w:r>
        <w:rPr/>
        <w:t>超越股东大会直接或间接干预公司经营活动。报告期内，公司没有为控股股东提供担保，亦 不存在控股股东非经营性占用公司资金的行为。公司拥有独立完整的业务和自主经营能力， 在业务、人员、资产、机构、财务上独立于控股股东。</w:t>
      </w:r>
    </w:p>
    <w:p>
      <w:pPr>
        <w:pStyle w:val="BodyText"/>
        <w:spacing w:line="312" w:lineRule="exact"/>
        <w:ind w:left="594" w:right="0"/>
        <w:jc w:val="left"/>
      </w:pPr>
      <w:r>
        <w:rPr/>
        <w:t>三、关于董事和董事会 </w:t>
      </w:r>
      <w:r>
        <w:rPr>
          <w:spacing w:val="-7"/>
        </w:rPr>
        <w:t>公司已制定《董事会议事规则》、《独立董事制度》等制度确保董事会规范、高效运作和</w:t>
      </w:r>
    </w:p>
    <w:p>
      <w:pPr>
        <w:pStyle w:val="BodyText"/>
        <w:spacing w:line="312" w:lineRule="exact"/>
        <w:ind w:right="0"/>
        <w:jc w:val="left"/>
      </w:pPr>
      <w:r>
        <w:rPr/>
        <w:t>审慎、科学决策。公司董事会由九名成员组成，其中独立董事三名，董事会成员具有履行职 </w:t>
      </w:r>
      <w:r>
        <w:rPr>
          <w:spacing w:val="-3"/>
        </w:rPr>
        <w:t>务所必需的知识、技能和素质，按规定出席董事会和股东大会，勤勉尽责的履行职责和义务，</w:t>
      </w:r>
      <w:r>
        <w:rPr>
          <w:spacing w:val="-81"/>
        </w:rPr>
        <w:t> </w:t>
      </w:r>
      <w:r>
        <w:rPr>
          <w:spacing w:val="-81"/>
        </w:rPr>
      </w:r>
      <w:r>
        <w:rPr/>
        <w:t>同时积极参加相关培训，熟悉相关法律法规。报告期共召开董事会会议</w:t>
      </w:r>
      <w:r>
        <w:rPr>
          <w:rFonts w:ascii="宋体" w:hAnsi="宋体" w:cs="宋体" w:eastAsia="宋体" w:hint="default"/>
        </w:rPr>
        <w:t>18</w:t>
      </w:r>
      <w:r>
        <w:rPr/>
        <w:t>次。公司董事会会 议能够按照有关规定召集、召开，记录完整、准确，并妥善保存。</w:t>
      </w:r>
    </w:p>
    <w:p>
      <w:pPr>
        <w:pStyle w:val="BodyText"/>
        <w:spacing w:line="312" w:lineRule="exact"/>
        <w:ind w:left="594" w:right="0"/>
        <w:jc w:val="left"/>
      </w:pPr>
      <w:r>
        <w:rPr/>
        <w:t>四、关于监事与监事会 </w:t>
      </w:r>
      <w:r>
        <w:rPr>
          <w:spacing w:val="-3"/>
        </w:rPr>
        <w:t>公司监事会设监事</w:t>
      </w:r>
      <w:r>
        <w:rPr>
          <w:rFonts w:ascii="宋体" w:hAnsi="宋体" w:cs="宋体" w:eastAsia="宋体" w:hint="default"/>
          <w:spacing w:val="-3"/>
        </w:rPr>
        <w:t>3</w:t>
      </w:r>
      <w:r>
        <w:rPr>
          <w:spacing w:val="-3"/>
        </w:rPr>
        <w:t>名，其中职工监事</w:t>
      </w:r>
      <w:r>
        <w:rPr>
          <w:rFonts w:ascii="宋体" w:hAnsi="宋体" w:cs="宋体" w:eastAsia="宋体" w:hint="default"/>
          <w:spacing w:val="-3"/>
        </w:rPr>
        <w:t>1</w:t>
      </w:r>
      <w:r>
        <w:rPr>
          <w:spacing w:val="-3"/>
        </w:rPr>
        <w:t>名，监事会的人数和构成符合法律、法规的要求。</w:t>
      </w:r>
    </w:p>
    <w:p>
      <w:pPr>
        <w:pStyle w:val="BodyText"/>
        <w:spacing w:line="312" w:lineRule="exact"/>
        <w:ind w:right="994"/>
        <w:jc w:val="left"/>
      </w:pPr>
      <w:r>
        <w:rPr>
          <w:spacing w:val="-8"/>
        </w:rPr>
        <w:t>各位监事严格按照《公司法》、《公司章程》和《监事会议事规则》的有关规定认真履行职责，</w:t>
      </w:r>
      <w:r>
        <w:rPr>
          <w:spacing w:val="-109"/>
        </w:rPr>
        <w:t> </w:t>
      </w:r>
      <w:r>
        <w:rPr>
          <w:spacing w:val="-109"/>
        </w:rPr>
      </w:r>
      <w:r>
        <w:rPr>
          <w:spacing w:val="-2"/>
        </w:rPr>
        <w:t>对公司财务状况、重大事项以及公司董事及高级管理人员履行职责的合法合规性等进行监督，</w:t>
      </w:r>
      <w:r>
        <w:rPr/>
        <w:t> 维护公司及股东的合法权益。报告期内，公司共召开</w:t>
      </w:r>
      <w:r>
        <w:rPr>
          <w:rFonts w:ascii="宋体" w:hAnsi="宋体" w:cs="宋体" w:eastAsia="宋体" w:hint="default"/>
        </w:rPr>
        <w:t>13</w:t>
      </w:r>
      <w:r>
        <w:rPr/>
        <w:t>次监事会，会议均由监事会主席召集 召开。</w:t>
      </w:r>
    </w:p>
    <w:p>
      <w:pPr>
        <w:pStyle w:val="BodyText"/>
        <w:spacing w:line="312" w:lineRule="exact"/>
        <w:ind w:left="594" w:right="1152"/>
        <w:jc w:val="left"/>
      </w:pPr>
      <w:r>
        <w:rPr/>
        <w:t>五、关于信息披露与透明度 公司严格按照有关法律法规和公司《信息披露管理制度》的规定，加强信息披露事务管</w:t>
      </w:r>
    </w:p>
    <w:p>
      <w:pPr>
        <w:pStyle w:val="BodyText"/>
        <w:spacing w:line="283" w:lineRule="exact"/>
        <w:ind w:right="0"/>
        <w:jc w:val="left"/>
      </w:pPr>
      <w:r>
        <w:rPr/>
        <w:t>理，履行信息披露义务，并指定《证券时报</w:t>
      </w:r>
      <w:r>
        <w:rPr>
          <w:spacing w:val="-120"/>
        </w:rPr>
        <w:t>》、</w:t>
      </w:r>
      <w:r>
        <w:rPr/>
        <w:t>《中国证券报</w:t>
      </w:r>
      <w:r>
        <w:rPr>
          <w:spacing w:val="-120"/>
        </w:rPr>
        <w:t>》、</w:t>
      </w:r>
      <w:r>
        <w:rPr/>
        <w:t>《上海证券报</w:t>
      </w:r>
      <w:r>
        <w:rPr>
          <w:spacing w:val="-120"/>
        </w:rPr>
        <w:t>》、</w:t>
      </w:r>
      <w:r>
        <w:rPr/>
        <w:t>《证券日报》</w:t>
      </w:r>
    </w:p>
    <w:p>
      <w:pPr>
        <w:pStyle w:val="BodyText"/>
        <w:spacing w:line="312" w:lineRule="exact" w:before="30"/>
        <w:ind w:right="0"/>
        <w:jc w:val="left"/>
      </w:pPr>
      <w:r>
        <w:rPr>
          <w:spacing w:val="-2"/>
        </w:rPr>
        <w:t>和中国证监会指定的创业板信息披露网站（巨潮资讯网</w:t>
      </w:r>
      <w:hyperlink r:id="rId11">
        <w:r>
          <w:rPr>
            <w:rFonts w:ascii="宋体" w:hAnsi="宋体" w:cs="宋体" w:eastAsia="宋体" w:hint="default"/>
            <w:spacing w:val="-2"/>
          </w:rPr>
          <w:t>www.cninfo.com.cn</w:t>
        </w:r>
      </w:hyperlink>
      <w:r>
        <w:rPr>
          <w:spacing w:val="-2"/>
        </w:rPr>
        <w:t>）为公司信息披露</w:t>
      </w:r>
      <w:r>
        <w:rPr>
          <w:spacing w:val="-104"/>
        </w:rPr>
        <w:t> </w:t>
      </w:r>
      <w:r>
        <w:rPr>
          <w:spacing w:val="-104"/>
        </w:rPr>
      </w:r>
      <w:r>
        <w:rPr/>
        <w:t>报纸和网站，真实、准确、及时、完整的披露信息，确保所有投资者公平获取公司信息。</w:t>
      </w:r>
    </w:p>
    <w:p>
      <w:pPr>
        <w:pStyle w:val="BodyText"/>
        <w:spacing w:line="312" w:lineRule="exact"/>
        <w:ind w:left="594" w:right="1152"/>
        <w:jc w:val="left"/>
      </w:pPr>
      <w:r>
        <w:rPr/>
        <w:t>六、关于绩效评价与激励约束机制 公司已建立了有效的绩效评价和激励约束机制，公司实行高管人员薪酬与企业经营目标</w:t>
      </w:r>
    </w:p>
    <w:p>
      <w:pPr>
        <w:spacing w:after="0" w:line="312" w:lineRule="exact"/>
        <w:jc w:val="left"/>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254" w:lineRule="auto" w:before="26"/>
        <w:ind w:left="594" w:right="0" w:hanging="480"/>
        <w:jc w:val="left"/>
      </w:pPr>
      <w:r>
        <w:rPr/>
        <w:t>和个人绩效挂钩的薪酬福利，公司现有的考核及激励约束机制符合公司的发展现状。 七、关于相关利益者 公司充分尊重和维护相关利益者的合法权益，实现股东、员工、社会等各方利益的协调</w:t>
      </w:r>
    </w:p>
    <w:p>
      <w:pPr>
        <w:pStyle w:val="BodyText"/>
        <w:spacing w:line="314" w:lineRule="exact" w:before="11"/>
        <w:ind w:right="1118"/>
        <w:jc w:val="left"/>
      </w:pPr>
      <w:r>
        <w:rPr/>
        <w:t>平衡，诚信对待供应商和客户，坚持与相关利益者互利共赢的原则，共同推动公司持续、稳 健发展。</w:t>
      </w:r>
    </w:p>
    <w:p>
      <w:pPr>
        <w:spacing w:before="59"/>
        <w:ind w:left="114" w:right="0" w:firstLine="0"/>
        <w:jc w:val="left"/>
        <w:rPr>
          <w:rFonts w:ascii="宋体" w:hAnsi="宋体" w:cs="宋体" w:eastAsia="宋体" w:hint="default"/>
          <w:sz w:val="18"/>
          <w:szCs w:val="18"/>
        </w:rPr>
      </w:pPr>
      <w:r>
        <w:rPr>
          <w:rFonts w:ascii="宋体" w:hAnsi="宋体" w:cs="宋体" w:eastAsia="宋体" w:hint="default"/>
          <w:sz w:val="18"/>
          <w:szCs w:val="18"/>
        </w:rPr>
        <w:t>公司治理的实际状况与中国证监会发布的有关上市公司治理的规范性文件是否存在重大差异</w:t>
      </w:r>
    </w:p>
    <w:p>
      <w:pPr>
        <w:spacing w:line="357" w:lineRule="auto" w:before="116"/>
        <w:ind w:left="114" w:right="3552" w:firstLine="0"/>
        <w:jc w:val="left"/>
        <w:rPr>
          <w:rFonts w:ascii="宋体" w:hAnsi="宋体" w:cs="宋体" w:eastAsia="宋体" w:hint="default"/>
          <w:sz w:val="18"/>
          <w:szCs w:val="18"/>
        </w:rPr>
      </w:pPr>
      <w:r>
        <w:rPr>
          <w:rFonts w:ascii="宋体" w:hAnsi="宋体" w:cs="宋体" w:eastAsia="宋体" w:hint="default"/>
          <w:sz w:val="18"/>
          <w:szCs w:val="18"/>
        </w:rPr>
        <w:t>□ 是 √ 否 公司治理的实际状况与中国证监会发布的有关上市公司治理的规范性文件不存在重大差异。</w:t>
      </w:r>
    </w:p>
    <w:p>
      <w:pPr>
        <w:spacing w:line="610" w:lineRule="exact" w:before="32"/>
        <w:ind w:left="594" w:right="0" w:hanging="480"/>
        <w:jc w:val="left"/>
        <w:rPr>
          <w:rFonts w:ascii="宋体" w:hAnsi="宋体" w:cs="宋体" w:eastAsia="宋体" w:hint="default"/>
          <w:sz w:val="24"/>
          <w:szCs w:val="24"/>
        </w:rPr>
      </w:pPr>
      <w:bookmarkStart w:name="二、公司相对于控股股东在业务、人员、资产、机构、财务等方面的独立情况" w:id="137"/>
      <w:bookmarkEnd w:id="137"/>
      <w:r>
        <w:rPr/>
      </w:r>
      <w:r>
        <w:rPr>
          <w:rFonts w:ascii="宋体" w:hAnsi="宋体" w:cs="宋体" w:eastAsia="宋体" w:hint="default"/>
          <w:b/>
          <w:bCs/>
          <w:sz w:val="24"/>
          <w:szCs w:val="24"/>
        </w:rPr>
        <w:t>二、公司相对于控股股东在业务、人员、资产、机构、财务等方面的独立情况</w:t>
      </w:r>
      <w:r>
        <w:rPr>
          <w:rFonts w:ascii="宋体" w:hAnsi="宋体" w:cs="宋体" w:eastAsia="宋体" w:hint="default"/>
          <w:b/>
          <w:bCs/>
          <w:w w:val="99"/>
          <w:sz w:val="24"/>
          <w:szCs w:val="24"/>
        </w:rPr>
        <w:t> </w:t>
      </w:r>
      <w:r>
        <w:rPr>
          <w:rFonts w:ascii="宋体" w:hAnsi="宋体" w:cs="宋体" w:eastAsia="宋体" w:hint="default"/>
          <w:spacing w:val="-9"/>
          <w:sz w:val="24"/>
          <w:szCs w:val="24"/>
        </w:rPr>
        <w:t>公司严格按照《公司法》、《证券法》等有关法律、法规和《公司章程》的要求规范运作，</w:t>
      </w:r>
    </w:p>
    <w:p>
      <w:pPr>
        <w:pStyle w:val="BodyText"/>
        <w:spacing w:line="223" w:lineRule="exact"/>
        <w:ind w:right="0"/>
        <w:jc w:val="left"/>
      </w:pPr>
      <w:r>
        <w:rPr/>
        <w:t>与控股股东在业务、人员、资产、机构、财务等方面完全独立，具有独立完整的业务及自主</w:t>
      </w:r>
    </w:p>
    <w:p>
      <w:pPr>
        <w:pStyle w:val="BodyText"/>
        <w:spacing w:line="312" w:lineRule="exact"/>
        <w:ind w:right="0"/>
        <w:jc w:val="left"/>
      </w:pPr>
      <w:r>
        <w:rPr/>
        <w:t>经营能力。</w:t>
      </w:r>
    </w:p>
    <w:p>
      <w:pPr>
        <w:pStyle w:val="BodyText"/>
        <w:spacing w:line="312" w:lineRule="exact" w:before="29"/>
        <w:ind w:right="994" w:firstLine="480"/>
        <w:jc w:val="left"/>
      </w:pPr>
      <w:r>
        <w:rPr>
          <w:rFonts w:ascii="宋体" w:hAnsi="宋体" w:cs="宋体" w:eastAsia="宋体" w:hint="default"/>
          <w:spacing w:val="-3"/>
        </w:rPr>
        <w:t>1</w:t>
      </w:r>
      <w:r>
        <w:rPr>
          <w:spacing w:val="-3"/>
        </w:rPr>
        <w:t>、公司的人员独立：公司的董事、监事以及高级管理人员均严格按照法定程序产生。本</w:t>
      </w:r>
      <w:r>
        <w:rPr/>
        <w:t> 公司已建立独立的劳动、人事、社会保障体系及工资管理体系，与员工签订了劳动合同，并 </w:t>
      </w:r>
      <w:r>
        <w:rPr>
          <w:spacing w:val="-2"/>
        </w:rPr>
        <w:t>按国家规定办理了社会保险。除本公司的总裁兼任公司控股股东的执行董事外，公司副总裁、</w:t>
      </w:r>
      <w:r>
        <w:rPr/>
        <w:t> 财务总监和董事会秘书均未在本公司的控股股东、实际控制人及其控制的其他企业中担任除 董事、监事以外的其他职务，且均未在本公司的控股股东、实际控制人及其控制的其他企业 </w:t>
      </w:r>
      <w:r>
        <w:rPr>
          <w:spacing w:val="-2"/>
        </w:rPr>
        <w:t>领薪。本公司的财务人员也未在本公司的控股股东、实际控制人及其控制的其他企业中兼职。</w:t>
      </w:r>
    </w:p>
    <w:p>
      <w:pPr>
        <w:pStyle w:val="BodyText"/>
        <w:spacing w:line="312" w:lineRule="exact"/>
        <w:ind w:right="1131" w:firstLine="480"/>
        <w:jc w:val="both"/>
      </w:pPr>
      <w:r>
        <w:rPr>
          <w:rFonts w:ascii="宋体" w:hAnsi="宋体" w:cs="宋体" w:eastAsia="宋体" w:hint="default"/>
          <w:spacing w:val="-3"/>
        </w:rPr>
        <w:t>2</w:t>
      </w:r>
      <w:r>
        <w:rPr>
          <w:spacing w:val="-3"/>
        </w:rPr>
        <w:t>、公司的资产独立完整、权属清晰：公司拥有独立的经营和办公场所，拥有经营所需的</w:t>
      </w:r>
      <w:r>
        <w:rPr/>
        <w:t> 设备和其他资产，合法拥有与生产经营有关的注册商标、专利、非专利技术、著作权的所有 权或使用权，与公司股东及实际控制人的资产完全分离，产权关系清晰，公司的资产独立完</w:t>
      </w:r>
    </w:p>
    <w:p>
      <w:pPr>
        <w:pStyle w:val="BodyText"/>
        <w:spacing w:line="282" w:lineRule="exact"/>
        <w:ind w:right="0"/>
        <w:jc w:val="left"/>
      </w:pPr>
      <w:r>
        <w:rPr/>
        <w:t>整。</w:t>
      </w:r>
    </w:p>
    <w:p>
      <w:pPr>
        <w:pStyle w:val="BodyText"/>
        <w:spacing w:line="312" w:lineRule="exact" w:before="29"/>
        <w:ind w:right="1132" w:firstLine="480"/>
        <w:jc w:val="both"/>
      </w:pPr>
      <w:r>
        <w:rPr>
          <w:rFonts w:ascii="宋体" w:hAnsi="宋体" w:cs="宋体" w:eastAsia="宋体" w:hint="default"/>
          <w:spacing w:val="-3"/>
        </w:rPr>
        <w:t>3</w:t>
      </w:r>
      <w:r>
        <w:rPr>
          <w:spacing w:val="-3"/>
        </w:rPr>
        <w:t>、公司财务独立：公司建立了独立的财务部门以及独立的财务核算体系，能够独立作出</w:t>
      </w:r>
      <w:r>
        <w:rPr/>
        <w:t> 财务决策，具有规范、独立的财务会计制度和对分支机构的财务管理制度，并拥有独立的财 务会计账簿。公司拥有独立的银行帐户，未与其股东或关联企业共用银行帐户。</w:t>
      </w:r>
    </w:p>
    <w:p>
      <w:pPr>
        <w:pStyle w:val="BodyText"/>
        <w:spacing w:line="312" w:lineRule="exact"/>
        <w:ind w:right="994" w:firstLine="480"/>
        <w:jc w:val="left"/>
      </w:pPr>
      <w:r>
        <w:rPr>
          <w:rFonts w:ascii="宋体" w:hAnsi="宋体" w:cs="宋体" w:eastAsia="宋体" w:hint="default"/>
          <w:spacing w:val="-4"/>
        </w:rPr>
        <w:t>4</w:t>
      </w:r>
      <w:r>
        <w:rPr>
          <w:spacing w:val="-4"/>
        </w:rPr>
        <w:t>、公司机构独立：公司按照有关法律、法规、《公司章程》设立的董事会、监事会，均</w:t>
      </w:r>
      <w:r>
        <w:rPr/>
        <w:t> 分别对公司股东大会负责。公司的机构独立于股东的机构，不存在与股东合署办公的情况。 </w:t>
      </w:r>
      <w:r>
        <w:rPr>
          <w:spacing w:val="-2"/>
        </w:rPr>
        <w:t>公司已建立健全内部经营管理机构，独立行使经营管理职权，不存在与股东机构混同的情形。</w:t>
      </w:r>
    </w:p>
    <w:p>
      <w:pPr>
        <w:pStyle w:val="BodyText"/>
        <w:spacing w:line="240" w:lineRule="auto" w:before="10"/>
        <w:ind w:right="1131" w:firstLine="480"/>
        <w:jc w:val="both"/>
        <w:rPr>
          <w:sz w:val="18"/>
          <w:szCs w:val="18"/>
        </w:rPr>
      </w:pPr>
      <w:r>
        <w:rPr>
          <w:rFonts w:ascii="宋体" w:hAnsi="宋体" w:cs="宋体" w:eastAsia="宋体" w:hint="default"/>
          <w:spacing w:val="-3"/>
        </w:rPr>
        <w:t>5</w:t>
      </w:r>
      <w:r>
        <w:rPr>
          <w:spacing w:val="-3"/>
        </w:rPr>
        <w:t>、公司业务独立：公司通过自身和下属子公司开展生产、销售业务，拥有完整的业务体</w:t>
      </w:r>
      <w:r>
        <w:rPr/>
        <w:t> 系。公司独立开展业务，具备直接面向市场独立经营的能力。公司的业务独立于控股股东、</w:t>
      </w:r>
      <w:r>
        <w:rPr>
          <w:spacing w:val="-116"/>
        </w:rPr>
        <w:t> </w:t>
      </w:r>
      <w:r>
        <w:rPr>
          <w:spacing w:val="-116"/>
        </w:rPr>
      </w:r>
      <w:r>
        <w:rPr/>
        <w:t>实际控制人，与控股股东、实际控制人不存在同业竞争或者显失公平的关联交易</w:t>
      </w:r>
      <w:r>
        <w:rPr>
          <w:sz w:val="18"/>
          <w:szCs w:val="18"/>
        </w:rPr>
        <w:t>。</w:t>
      </w:r>
    </w:p>
    <w:p>
      <w:pPr>
        <w:spacing w:line="240" w:lineRule="auto" w:before="10"/>
        <w:rPr>
          <w:rFonts w:ascii="宋体" w:hAnsi="宋体" w:cs="宋体" w:eastAsia="宋体" w:hint="default"/>
          <w:sz w:val="22"/>
          <w:szCs w:val="22"/>
        </w:rPr>
      </w:pPr>
    </w:p>
    <w:p>
      <w:pPr>
        <w:pStyle w:val="Heading4"/>
        <w:spacing w:line="240" w:lineRule="auto"/>
        <w:ind w:right="0"/>
        <w:jc w:val="left"/>
        <w:rPr>
          <w:b w:val="0"/>
          <w:bCs w:val="0"/>
        </w:rPr>
      </w:pPr>
      <w:bookmarkStart w:name="三、同业竞争情况" w:id="138"/>
      <w:bookmarkEnd w:id="138"/>
      <w:r>
        <w:rPr>
          <w:b w:val="0"/>
          <w:bCs w:val="0"/>
        </w:rPr>
      </w:r>
      <w:r>
        <w:rPr/>
        <w:t>三、同业竞争情况</w:t>
      </w:r>
      <w:r>
        <w:rPr>
          <w:b w:val="0"/>
          <w:bCs w:val="0"/>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3"/>
        <w:rPr>
          <w:rFonts w:ascii="宋体" w:hAnsi="宋体" w:cs="宋体" w:eastAsia="宋体" w:hint="default"/>
          <w:sz w:val="24"/>
          <w:szCs w:val="24"/>
        </w:rPr>
      </w:pPr>
    </w:p>
    <w:p>
      <w:pPr>
        <w:pStyle w:val="Heading4"/>
        <w:spacing w:line="240" w:lineRule="auto"/>
        <w:ind w:right="0"/>
        <w:jc w:val="left"/>
        <w:rPr>
          <w:b w:val="0"/>
          <w:bCs w:val="0"/>
        </w:rPr>
      </w:pPr>
      <w:bookmarkStart w:name="四、报告期内召开的年度股东大会和临时股东大会的有关情况" w:id="139"/>
      <w:bookmarkEnd w:id="139"/>
      <w:r>
        <w:rPr>
          <w:b w:val="0"/>
          <w:bCs w:val="0"/>
        </w:rPr>
      </w:r>
      <w:r>
        <w:rPr/>
        <w:t>四、报告期内召开的年度股东大会和临时股东大会的有关情况</w:t>
      </w:r>
      <w:r>
        <w:rPr>
          <w:b w:val="0"/>
          <w:bCs w:val="0"/>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本报告期股东大会情况" w:id="140"/>
      <w:bookmarkEnd w:id="140"/>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、本报告期股东大会情况</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402"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会议届次</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会议类型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61" w:right="0"/>
              <w:jc w:val="left"/>
              <w:rPr>
                <w:rFonts w:ascii="宋体" w:hAnsi="宋体" w:cs="宋体" w:eastAsia="宋体" w:hint="default"/>
                <w:sz w:val="18"/>
                <w:szCs w:val="18"/>
              </w:rPr>
            </w:pPr>
            <w:r>
              <w:rPr>
                <w:rFonts w:ascii="宋体" w:hAnsi="宋体" w:cs="宋体" w:eastAsia="宋体" w:hint="default"/>
                <w:sz w:val="18"/>
                <w:szCs w:val="18"/>
              </w:rPr>
              <w:t>投资者参与比例</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召开日期</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披露日期</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披露索引</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1650"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2" w:lineRule="auto" w:before="105"/>
              <w:ind w:left="103"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年第一次临 时股东大会决议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91"/>
              <w:ind w:left="103" w:right="102"/>
              <w:jc w:val="left"/>
              <w:rPr>
                <w:rFonts w:ascii="宋体" w:hAnsi="宋体" w:cs="宋体" w:eastAsia="宋体" w:hint="default"/>
                <w:sz w:val="18"/>
                <w:szCs w:val="18"/>
              </w:rPr>
            </w:pPr>
            <w:hyperlink r:id="rId17">
              <w:r>
                <w:rPr>
                  <w:rFonts w:ascii="Times New Roman" w:hAnsi="Times New Roman" w:cs="Times New Roman" w:eastAsia="Times New Roman" w:hint="default"/>
                  <w:sz w:val="18"/>
                  <w:szCs w:val="18"/>
                </w:rPr>
                <w:t>www.cninfo.com.c</w:t>
              </w:r>
            </w:hyperlink>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n</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年第一次 临时股东大会决 议公告》</w:t>
            </w:r>
          </w:p>
          <w:p>
            <w:pPr>
              <w:pStyle w:val="TableParagraph"/>
              <w:spacing w:line="240" w:lineRule="auto" w:before="24"/>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2018-003</w:t>
            </w:r>
            <w:r>
              <w:rPr>
                <w:rFonts w:ascii="宋体" w:hAnsi="宋体" w:cs="宋体" w:eastAsia="宋体" w:hint="default"/>
                <w:sz w:val="18"/>
                <w:szCs w:val="18"/>
              </w:rPr>
              <w:t>）</w:t>
            </w:r>
          </w:p>
        </w:tc>
      </w:tr>
      <w:tr>
        <w:trPr>
          <w:trHeight w:val="1650"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2" w:lineRule="auto" w:before="105"/>
              <w:ind w:left="103"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年第二次临 时股东大会决议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0.04%</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91"/>
              <w:ind w:left="103" w:right="102"/>
              <w:jc w:val="left"/>
              <w:rPr>
                <w:rFonts w:ascii="宋体" w:hAnsi="宋体" w:cs="宋体" w:eastAsia="宋体" w:hint="default"/>
                <w:sz w:val="18"/>
                <w:szCs w:val="18"/>
              </w:rPr>
            </w:pPr>
            <w:hyperlink r:id="rId17">
              <w:r>
                <w:rPr>
                  <w:rFonts w:ascii="Times New Roman" w:hAnsi="Times New Roman" w:cs="Times New Roman" w:eastAsia="Times New Roman" w:hint="default"/>
                  <w:sz w:val="18"/>
                  <w:szCs w:val="18"/>
                </w:rPr>
                <w:t>www.cninfo.com.c</w:t>
              </w:r>
            </w:hyperlink>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n</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年第二次 临时股东大会决 议公告》</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2018-014</w:t>
            </w:r>
            <w:r>
              <w:rPr>
                <w:rFonts w:ascii="宋体" w:hAnsi="宋体" w:cs="宋体" w:eastAsia="宋体" w:hint="default"/>
                <w:sz w:val="18"/>
                <w:szCs w:val="18"/>
              </w:rPr>
              <w:t>）</w:t>
            </w:r>
          </w:p>
        </w:tc>
      </w:tr>
      <w:tr>
        <w:trPr>
          <w:trHeight w:val="1650"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2" w:lineRule="auto" w:before="105"/>
              <w:ind w:left="103"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年第三次临 时股东大会决议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0.10%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91"/>
              <w:ind w:left="103" w:right="102"/>
              <w:jc w:val="left"/>
              <w:rPr>
                <w:rFonts w:ascii="宋体" w:hAnsi="宋体" w:cs="宋体" w:eastAsia="宋体" w:hint="default"/>
                <w:sz w:val="18"/>
                <w:szCs w:val="18"/>
              </w:rPr>
            </w:pPr>
            <w:hyperlink r:id="rId17">
              <w:r>
                <w:rPr>
                  <w:rFonts w:ascii="Times New Roman" w:hAnsi="Times New Roman" w:cs="Times New Roman" w:eastAsia="Times New Roman" w:hint="default"/>
                  <w:sz w:val="18"/>
                  <w:szCs w:val="18"/>
                </w:rPr>
                <w:t>www.cninfo.com.c</w:t>
              </w:r>
            </w:hyperlink>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n</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年第三次 临时股东大会决 议公告》</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2018-028</w:t>
            </w:r>
            <w:r>
              <w:rPr>
                <w:rFonts w:ascii="宋体" w:hAnsi="宋体" w:cs="宋体" w:eastAsia="宋体" w:hint="default"/>
                <w:sz w:val="18"/>
                <w:szCs w:val="18"/>
              </w:rPr>
              <w:t>）</w:t>
            </w:r>
          </w:p>
        </w:tc>
      </w:tr>
      <w:tr>
        <w:trPr>
          <w:trHeight w:val="1338"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2" w:lineRule="auto" w:before="156"/>
              <w:ind w:left="103"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年年度股东 大会</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宋体" w:hAnsi="宋体" w:cs="宋体" w:eastAsia="宋体" w:hint="default"/>
                <w:sz w:val="18"/>
                <w:szCs w:val="18"/>
              </w:rPr>
            </w:pPr>
            <w:r>
              <w:rPr>
                <w:rFonts w:ascii="宋体" w:hAnsi="宋体" w:cs="宋体" w:eastAsia="宋体" w:hint="default"/>
                <w:sz w:val="18"/>
                <w:szCs w:val="18"/>
              </w:rPr>
              <w:t>年度股东大会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z w:val="18"/>
              </w:rPr>
              <w:t>0.06%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91"/>
              <w:ind w:left="103" w:right="41"/>
              <w:jc w:val="both"/>
              <w:rPr>
                <w:rFonts w:ascii="宋体" w:hAnsi="宋体" w:cs="宋体" w:eastAsia="宋体" w:hint="default"/>
                <w:sz w:val="18"/>
                <w:szCs w:val="18"/>
              </w:rPr>
            </w:pPr>
            <w:hyperlink r:id="rId17">
              <w:r>
                <w:rPr>
                  <w:rFonts w:ascii="Times New Roman" w:hAnsi="Times New Roman" w:cs="Times New Roman" w:eastAsia="Times New Roman" w:hint="default"/>
                  <w:sz w:val="18"/>
                  <w:szCs w:val="18"/>
                </w:rPr>
                <w:t>www.cninfo.com.c</w:t>
              </w:r>
            </w:hyperlink>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n</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年年度股 东大会决议公告》</w:t>
            </w:r>
          </w:p>
          <w:p>
            <w:pPr>
              <w:pStyle w:val="TableParagraph"/>
              <w:spacing w:line="240" w:lineRule="auto" w:before="27"/>
              <w:ind w:left="103" w:right="0"/>
              <w:jc w:val="both"/>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2018-060</w:t>
            </w:r>
            <w:r>
              <w:rPr>
                <w:rFonts w:ascii="宋体" w:hAnsi="宋体" w:cs="宋体" w:eastAsia="宋体" w:hint="default"/>
                <w:sz w:val="18"/>
                <w:szCs w:val="18"/>
              </w:rPr>
              <w:t>）</w:t>
            </w:r>
          </w:p>
        </w:tc>
      </w:tr>
      <w:tr>
        <w:trPr>
          <w:trHeight w:val="1650"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2" w:lineRule="auto" w:before="106"/>
              <w:ind w:left="103"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年第四次临 时股东大会决议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0.26%</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6"/>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29</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91"/>
              <w:ind w:left="103" w:right="102"/>
              <w:jc w:val="left"/>
              <w:rPr>
                <w:rFonts w:ascii="宋体" w:hAnsi="宋体" w:cs="宋体" w:eastAsia="宋体" w:hint="default"/>
                <w:sz w:val="18"/>
                <w:szCs w:val="18"/>
              </w:rPr>
            </w:pPr>
            <w:hyperlink r:id="rId17">
              <w:r>
                <w:rPr>
                  <w:rFonts w:ascii="Times New Roman" w:hAnsi="Times New Roman" w:cs="Times New Roman" w:eastAsia="Times New Roman" w:hint="default"/>
                  <w:sz w:val="18"/>
                  <w:szCs w:val="18"/>
                </w:rPr>
                <w:t>www.cninfo.com.c</w:t>
              </w:r>
            </w:hyperlink>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n</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年第四次 临时股东大会决 议公告》</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2018-064</w:t>
            </w:r>
            <w:r>
              <w:rPr>
                <w:rFonts w:ascii="宋体" w:hAnsi="宋体" w:cs="宋体" w:eastAsia="宋体" w:hint="default"/>
                <w:sz w:val="18"/>
                <w:szCs w:val="18"/>
              </w:rPr>
              <w:t>）</w:t>
            </w:r>
          </w:p>
        </w:tc>
      </w:tr>
      <w:tr>
        <w:trPr>
          <w:trHeight w:val="1650"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2" w:lineRule="auto" w:before="105"/>
              <w:ind w:left="103"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年第五次临 时股东大会决议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0.35%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91"/>
              <w:ind w:left="103" w:right="102"/>
              <w:jc w:val="left"/>
              <w:rPr>
                <w:rFonts w:ascii="宋体" w:hAnsi="宋体" w:cs="宋体" w:eastAsia="宋体" w:hint="default"/>
                <w:sz w:val="18"/>
                <w:szCs w:val="18"/>
              </w:rPr>
            </w:pPr>
            <w:hyperlink r:id="rId17">
              <w:r>
                <w:rPr>
                  <w:rFonts w:ascii="Times New Roman" w:hAnsi="Times New Roman" w:cs="Times New Roman" w:eastAsia="Times New Roman" w:hint="default"/>
                  <w:sz w:val="18"/>
                  <w:szCs w:val="18"/>
                </w:rPr>
                <w:t>www.cninfo.com.c</w:t>
              </w:r>
            </w:hyperlink>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n</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年第五次 临时股东大会决 议公告》</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2018-088</w:t>
            </w:r>
            <w:r>
              <w:rPr>
                <w:rFonts w:ascii="宋体" w:hAnsi="宋体" w:cs="宋体" w:eastAsia="宋体" w:hint="default"/>
                <w:sz w:val="18"/>
                <w:szCs w:val="18"/>
              </w:rPr>
              <w:t>）</w:t>
            </w:r>
          </w:p>
        </w:tc>
      </w:tr>
      <w:tr>
        <w:trPr>
          <w:trHeight w:val="1650"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2" w:lineRule="auto" w:before="105"/>
              <w:ind w:left="103"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年第六次临 时股东大会决议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0.02%</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17</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91"/>
              <w:ind w:left="103" w:right="102"/>
              <w:jc w:val="left"/>
              <w:rPr>
                <w:rFonts w:ascii="宋体" w:hAnsi="宋体" w:cs="宋体" w:eastAsia="宋体" w:hint="default"/>
                <w:sz w:val="18"/>
                <w:szCs w:val="18"/>
              </w:rPr>
            </w:pPr>
            <w:hyperlink r:id="rId17">
              <w:r>
                <w:rPr>
                  <w:rFonts w:ascii="Times New Roman" w:hAnsi="Times New Roman" w:cs="Times New Roman" w:eastAsia="Times New Roman" w:hint="default"/>
                  <w:sz w:val="18"/>
                  <w:szCs w:val="18"/>
                </w:rPr>
                <w:t>www.cninfo.com.c</w:t>
              </w:r>
            </w:hyperlink>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n</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年第六次 临时股东大会决 议公告》</w:t>
            </w:r>
          </w:p>
          <w:p>
            <w:pPr>
              <w:pStyle w:val="TableParagraph"/>
              <w:spacing w:line="240" w:lineRule="auto" w:before="23"/>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2018-112</w:t>
            </w:r>
            <w:r>
              <w:rPr>
                <w:rFonts w:ascii="宋体" w:hAnsi="宋体" w:cs="宋体" w:eastAsia="宋体" w:hint="default"/>
                <w:sz w:val="18"/>
                <w:szCs w:val="18"/>
              </w:rPr>
              <w:t>）</w:t>
            </w:r>
          </w:p>
        </w:tc>
      </w:tr>
      <w:tr>
        <w:trPr>
          <w:trHeight w:val="1650" w:hRule="exact"/>
        </w:trPr>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02" w:lineRule="auto" w:before="105"/>
              <w:ind w:left="103" w:right="176"/>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年第七次临 时股东大会决议</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临时股东大会</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0.03%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05"/>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日</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91"/>
              <w:ind w:left="103" w:right="102"/>
              <w:jc w:val="left"/>
              <w:rPr>
                <w:rFonts w:ascii="宋体" w:hAnsi="宋体" w:cs="宋体" w:eastAsia="宋体" w:hint="default"/>
                <w:sz w:val="18"/>
                <w:szCs w:val="18"/>
              </w:rPr>
            </w:pPr>
            <w:hyperlink r:id="rId17">
              <w:r>
                <w:rPr>
                  <w:rFonts w:ascii="Times New Roman" w:hAnsi="Times New Roman" w:cs="Times New Roman" w:eastAsia="Times New Roman" w:hint="default"/>
                  <w:sz w:val="18"/>
                  <w:szCs w:val="18"/>
                </w:rPr>
                <w:t>www.cninfo.com.c</w:t>
              </w:r>
            </w:hyperlink>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
                <w:sz w:val="18"/>
                <w:szCs w:val="18"/>
              </w:rPr>
              <w:t>n</w:t>
            </w: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年第七次 临时股东大会决 议公告》</w:t>
            </w:r>
          </w:p>
          <w:p>
            <w:pPr>
              <w:pStyle w:val="TableParagraph"/>
              <w:spacing w:line="240" w:lineRule="auto" w:before="24"/>
              <w:ind w:left="10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2018-127</w:t>
            </w:r>
            <w:r>
              <w:rPr>
                <w:rFonts w:ascii="宋体" w:hAnsi="宋体" w:cs="宋体" w:eastAsia="宋体" w:hint="default"/>
                <w:sz w:val="18"/>
                <w:szCs w:val="18"/>
              </w:rPr>
              <w:t>）</w:t>
            </w:r>
          </w:p>
        </w:tc>
      </w:tr>
    </w:tbl>
    <w:p>
      <w:pPr>
        <w:spacing w:after="0" w:line="240"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7"/>
        <w:rPr>
          <w:rFonts w:ascii="Times New Roman" w:hAnsi="Times New Roman" w:cs="Times New Roman" w:eastAsia="Times New Roman" w:hint="default"/>
          <w:sz w:val="21"/>
          <w:szCs w:val="21"/>
        </w:rPr>
      </w:pPr>
    </w:p>
    <w:p>
      <w:pPr>
        <w:spacing w:before="35"/>
        <w:ind w:left="114" w:right="0" w:firstLine="0"/>
        <w:jc w:val="left"/>
        <w:rPr>
          <w:rFonts w:ascii="宋体" w:hAnsi="宋体" w:cs="宋体" w:eastAsia="宋体" w:hint="default"/>
          <w:sz w:val="21"/>
          <w:szCs w:val="21"/>
        </w:rPr>
      </w:pPr>
      <w:bookmarkStart w:name="2、表决权恢复的优先股股东请求召开临时股东大会" w:id="141"/>
      <w:bookmarkEnd w:id="141"/>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、表决权恢复的优先股股东请求召开临时股东大会</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25"/>
          <w:szCs w:val="25"/>
        </w:rPr>
      </w:pPr>
    </w:p>
    <w:p>
      <w:pPr>
        <w:pStyle w:val="Heading4"/>
        <w:spacing w:line="240" w:lineRule="auto"/>
        <w:ind w:right="0"/>
        <w:jc w:val="left"/>
        <w:rPr>
          <w:b w:val="0"/>
          <w:bCs w:val="0"/>
        </w:rPr>
      </w:pPr>
      <w:bookmarkStart w:name="五、报告期内独立董事履行职责的情况" w:id="142"/>
      <w:bookmarkEnd w:id="142"/>
      <w:r>
        <w:rPr>
          <w:b w:val="0"/>
          <w:bCs w:val="0"/>
        </w:rPr>
      </w:r>
      <w:r>
        <w:rPr/>
        <w:t>五、报告期内独立董事履行职责的情况</w:t>
      </w:r>
      <w:r>
        <w:rPr>
          <w:b w:val="0"/>
          <w:bCs w:val="0"/>
        </w:rPr>
      </w:r>
    </w:p>
    <w:p>
      <w:pPr>
        <w:spacing w:line="240" w:lineRule="auto" w:before="9"/>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独立董事出席董事会及股东大会的情况" w:id="143"/>
      <w:bookmarkEnd w:id="143"/>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、独立董事出席董事会及股东大会的情况</w:t>
      </w:r>
      <w:r>
        <w:rPr>
          <w:rFonts w:ascii="宋体" w:hAnsi="宋体" w:cs="宋体" w:eastAsia="宋体" w:hint="default"/>
          <w:sz w:val="21"/>
          <w:szCs w:val="21"/>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427"/>
        <w:gridCol w:w="1164"/>
        <w:gridCol w:w="1164"/>
        <w:gridCol w:w="1163"/>
        <w:gridCol w:w="1164"/>
        <w:gridCol w:w="1163"/>
        <w:gridCol w:w="1163"/>
        <w:gridCol w:w="1163"/>
      </w:tblGrid>
      <w:tr>
        <w:trPr>
          <w:trHeight w:val="401" w:hRule="exact"/>
        </w:trPr>
        <w:tc>
          <w:tcPr>
            <w:tcW w:w="9571"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独立董事出席董事会及股东大会的情况</w:t>
            </w:r>
          </w:p>
        </w:tc>
      </w:tr>
      <w:tr>
        <w:trPr>
          <w:trHeight w:val="1338" w:hRule="exact"/>
        </w:trPr>
        <w:tc>
          <w:tcPr>
            <w:tcW w:w="14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1"/>
                <w:szCs w:val="21"/>
              </w:rPr>
            </w:pPr>
          </w:p>
          <w:p>
            <w:pPr>
              <w:pStyle w:val="TableParagraph"/>
              <w:spacing w:line="240" w:lineRule="auto"/>
              <w:ind w:left="168" w:right="0"/>
              <w:jc w:val="left"/>
              <w:rPr>
                <w:rFonts w:ascii="宋体" w:hAnsi="宋体" w:cs="宋体" w:eastAsia="宋体" w:hint="default"/>
                <w:sz w:val="18"/>
                <w:szCs w:val="18"/>
              </w:rPr>
            </w:pPr>
            <w:r>
              <w:rPr>
                <w:rFonts w:ascii="宋体" w:hAnsi="宋体" w:cs="宋体" w:eastAsia="宋体" w:hint="default"/>
                <w:sz w:val="18"/>
                <w:szCs w:val="18"/>
              </w:rPr>
              <w:t>独立董事姓名</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27" w:right="125"/>
              <w:jc w:val="center"/>
              <w:rPr>
                <w:rFonts w:ascii="宋体" w:hAnsi="宋体" w:cs="宋体" w:eastAsia="宋体" w:hint="default"/>
                <w:sz w:val="18"/>
                <w:szCs w:val="18"/>
              </w:rPr>
            </w:pPr>
            <w:r>
              <w:rPr>
                <w:rFonts w:ascii="宋体" w:hAnsi="宋体" w:cs="宋体" w:eastAsia="宋体" w:hint="default"/>
                <w:sz w:val="18"/>
                <w:szCs w:val="18"/>
              </w:rPr>
              <w:t>本报告期应 参加董事会 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9"/>
              <w:ind w:left="217" w:right="125" w:hanging="90"/>
              <w:jc w:val="left"/>
              <w:rPr>
                <w:rFonts w:ascii="宋体" w:hAnsi="宋体" w:cs="宋体" w:eastAsia="宋体" w:hint="default"/>
                <w:sz w:val="18"/>
                <w:szCs w:val="18"/>
              </w:rPr>
            </w:pPr>
            <w:r>
              <w:rPr>
                <w:rFonts w:ascii="宋体" w:hAnsi="宋体" w:cs="宋体" w:eastAsia="宋体" w:hint="default"/>
                <w:sz w:val="18"/>
                <w:szCs w:val="18"/>
              </w:rPr>
              <w:t>现场出席董 事会次数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316" w:lineRule="auto"/>
              <w:ind w:left="125" w:right="125"/>
              <w:jc w:val="center"/>
              <w:rPr>
                <w:rFonts w:ascii="宋体" w:hAnsi="宋体" w:cs="宋体" w:eastAsia="宋体" w:hint="default"/>
                <w:sz w:val="18"/>
                <w:szCs w:val="18"/>
              </w:rPr>
            </w:pPr>
            <w:r>
              <w:rPr>
                <w:rFonts w:ascii="宋体" w:hAnsi="宋体" w:cs="宋体" w:eastAsia="宋体" w:hint="default"/>
                <w:sz w:val="18"/>
                <w:szCs w:val="18"/>
              </w:rPr>
              <w:t>以通讯方式 参加董事会 次数</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9"/>
              <w:ind w:left="216" w:right="126" w:hanging="90"/>
              <w:jc w:val="left"/>
              <w:rPr>
                <w:rFonts w:ascii="宋体" w:hAnsi="宋体" w:cs="宋体" w:eastAsia="宋体" w:hint="default"/>
                <w:sz w:val="18"/>
                <w:szCs w:val="18"/>
              </w:rPr>
            </w:pPr>
            <w:r>
              <w:rPr>
                <w:rFonts w:ascii="宋体" w:hAnsi="宋体" w:cs="宋体" w:eastAsia="宋体" w:hint="default"/>
                <w:sz w:val="18"/>
                <w:szCs w:val="18"/>
              </w:rPr>
              <w:t>委托出席董 事会次数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9"/>
              <w:ind w:left="394" w:right="126" w:hanging="270"/>
              <w:jc w:val="left"/>
              <w:rPr>
                <w:rFonts w:ascii="宋体" w:hAnsi="宋体" w:cs="宋体" w:eastAsia="宋体" w:hint="default"/>
                <w:sz w:val="18"/>
                <w:szCs w:val="18"/>
              </w:rPr>
            </w:pPr>
            <w:r>
              <w:rPr>
                <w:rFonts w:ascii="宋体" w:hAnsi="宋体" w:cs="宋体" w:eastAsia="宋体" w:hint="default"/>
                <w:sz w:val="18"/>
                <w:szCs w:val="18"/>
              </w:rPr>
              <w:t>缺席董事会 次数</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25" w:right="125"/>
              <w:jc w:val="center"/>
              <w:rPr>
                <w:rFonts w:ascii="宋体" w:hAnsi="宋体" w:cs="宋体" w:eastAsia="宋体" w:hint="default"/>
                <w:sz w:val="18"/>
                <w:szCs w:val="18"/>
              </w:rPr>
            </w:pPr>
            <w:r>
              <w:rPr>
                <w:rFonts w:ascii="宋体" w:hAnsi="宋体" w:cs="宋体" w:eastAsia="宋体" w:hint="default"/>
                <w:sz w:val="18"/>
                <w:szCs w:val="18"/>
              </w:rPr>
              <w:t>是否连续两 次未亲自参 加董事会会 议</w:t>
            </w:r>
          </w:p>
        </w:tc>
        <w:tc>
          <w:tcPr>
            <w:tcW w:w="11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6" w:lineRule="auto" w:before="129"/>
              <w:ind w:left="305" w:right="125" w:hanging="180"/>
              <w:jc w:val="left"/>
              <w:rPr>
                <w:rFonts w:ascii="宋体" w:hAnsi="宋体" w:cs="宋体" w:eastAsia="宋体" w:hint="default"/>
                <w:sz w:val="18"/>
                <w:szCs w:val="18"/>
              </w:rPr>
            </w:pPr>
            <w:r>
              <w:rPr>
                <w:rFonts w:ascii="宋体" w:hAnsi="宋体" w:cs="宋体" w:eastAsia="宋体" w:hint="default"/>
                <w:sz w:val="18"/>
                <w:szCs w:val="18"/>
              </w:rPr>
              <w:t>出席股东大 会次数</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刘红梅</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18</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18</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5</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乐嘉锦</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18</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17</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1</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7</w:t>
            </w:r>
          </w:p>
        </w:tc>
      </w:tr>
      <w:tr>
        <w:trPr>
          <w:trHeight w:val="402"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祝小兵</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w:t>
            </w:r>
          </w:p>
        </w:tc>
      </w:tr>
      <w:tr>
        <w:trPr>
          <w:trHeight w:val="403" w:hRule="exact"/>
        </w:trPr>
        <w:tc>
          <w:tcPr>
            <w:tcW w:w="14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黄亚钧</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15</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15</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0</w:t>
            </w:r>
          </w:p>
        </w:tc>
        <w:tc>
          <w:tcPr>
            <w:tcW w:w="11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z w:val="18"/>
              </w:rPr>
              <w:t>0</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1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3</w:t>
            </w:r>
          </w:p>
        </w:tc>
      </w:tr>
    </w:tbl>
    <w:p>
      <w:pPr>
        <w:spacing w:before="51"/>
        <w:ind w:left="114" w:right="0" w:firstLine="0"/>
        <w:jc w:val="both"/>
        <w:rPr>
          <w:rFonts w:ascii="宋体" w:hAnsi="宋体" w:cs="宋体" w:eastAsia="宋体" w:hint="default"/>
          <w:sz w:val="18"/>
          <w:szCs w:val="18"/>
        </w:rPr>
      </w:pPr>
      <w:r>
        <w:rPr>
          <w:rFonts w:ascii="宋体" w:hAnsi="宋体" w:cs="宋体" w:eastAsia="宋体" w:hint="default"/>
          <w:sz w:val="18"/>
          <w:szCs w:val="18"/>
        </w:rPr>
        <w:t>连续两次未亲自出席董事会的说明</w:t>
      </w:r>
    </w:p>
    <w:p>
      <w:pPr>
        <w:spacing w:line="240" w:lineRule="auto" w:before="10"/>
        <w:rPr>
          <w:rFonts w:ascii="宋体" w:hAnsi="宋体" w:cs="宋体" w:eastAsia="宋体" w:hint="default"/>
          <w:sz w:val="26"/>
          <w:szCs w:val="26"/>
        </w:rPr>
      </w:pPr>
    </w:p>
    <w:p>
      <w:pPr>
        <w:spacing w:before="0"/>
        <w:ind w:left="114" w:right="0" w:firstLine="0"/>
        <w:jc w:val="both"/>
        <w:rPr>
          <w:rFonts w:ascii="宋体" w:hAnsi="宋体" w:cs="宋体" w:eastAsia="宋体" w:hint="default"/>
          <w:sz w:val="21"/>
          <w:szCs w:val="21"/>
        </w:rPr>
      </w:pPr>
      <w:bookmarkStart w:name="2、独立董事对公司有关事项提出异议的情况" w:id="144"/>
      <w:bookmarkEnd w:id="144"/>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、独立董事对公司有关事项提出异议的情况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both"/>
        <w:rPr>
          <w:rFonts w:ascii="宋体" w:hAnsi="宋体" w:cs="宋体" w:eastAsia="宋体" w:hint="default"/>
          <w:sz w:val="18"/>
          <w:szCs w:val="18"/>
        </w:rPr>
      </w:pPr>
      <w:r>
        <w:rPr>
          <w:rFonts w:ascii="宋体" w:hAnsi="宋体" w:cs="宋体" w:eastAsia="宋体" w:hint="default"/>
          <w:sz w:val="18"/>
          <w:szCs w:val="18"/>
        </w:rPr>
        <w:t>独立董事对公司有关事项是否提出异议</w:t>
      </w:r>
    </w:p>
    <w:p>
      <w:pPr>
        <w:spacing w:line="360" w:lineRule="auto" w:before="116"/>
        <w:ind w:left="114" w:right="6972" w:firstLine="0"/>
        <w:jc w:val="left"/>
        <w:rPr>
          <w:rFonts w:ascii="宋体" w:hAnsi="宋体" w:cs="宋体" w:eastAsia="宋体" w:hint="default"/>
          <w:sz w:val="18"/>
          <w:szCs w:val="18"/>
        </w:rPr>
      </w:pPr>
      <w:r>
        <w:rPr>
          <w:rFonts w:ascii="宋体" w:hAnsi="宋体" w:cs="宋体" w:eastAsia="宋体" w:hint="default"/>
          <w:sz w:val="18"/>
          <w:szCs w:val="18"/>
        </w:rPr>
        <w:t>□ 是 √ 否 报告期内独立董事对公司有关事项未提出异议。</w:t>
      </w:r>
    </w:p>
    <w:p>
      <w:pPr>
        <w:spacing w:line="240" w:lineRule="auto" w:before="11"/>
        <w:rPr>
          <w:rFonts w:ascii="宋体" w:hAnsi="宋体" w:cs="宋体" w:eastAsia="宋体" w:hint="default"/>
          <w:sz w:val="19"/>
          <w:szCs w:val="19"/>
        </w:rPr>
      </w:pPr>
    </w:p>
    <w:p>
      <w:pPr>
        <w:spacing w:before="0"/>
        <w:ind w:left="114" w:right="0" w:firstLine="0"/>
        <w:jc w:val="both"/>
        <w:rPr>
          <w:rFonts w:ascii="宋体" w:hAnsi="宋体" w:cs="宋体" w:eastAsia="宋体" w:hint="default"/>
          <w:sz w:val="21"/>
          <w:szCs w:val="21"/>
        </w:rPr>
      </w:pPr>
      <w:bookmarkStart w:name="3、独立董事履行职责的其他说明" w:id="145"/>
      <w:bookmarkEnd w:id="145"/>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、独立董事履行职责的其他说明</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both"/>
        <w:rPr>
          <w:rFonts w:ascii="宋体" w:hAnsi="宋体" w:cs="宋体" w:eastAsia="宋体" w:hint="default"/>
          <w:sz w:val="18"/>
          <w:szCs w:val="18"/>
        </w:rPr>
      </w:pPr>
      <w:r>
        <w:rPr>
          <w:rFonts w:ascii="宋体" w:hAnsi="宋体" w:cs="宋体" w:eastAsia="宋体" w:hint="default"/>
          <w:sz w:val="18"/>
          <w:szCs w:val="18"/>
        </w:rPr>
        <w:t>独立董事对公司有关建议是否被采纳</w:t>
      </w:r>
    </w:p>
    <w:p>
      <w:pPr>
        <w:spacing w:line="357" w:lineRule="auto" w:before="116"/>
        <w:ind w:left="114" w:right="6792" w:firstLine="0"/>
        <w:jc w:val="left"/>
        <w:rPr>
          <w:rFonts w:ascii="宋体" w:hAnsi="宋体" w:cs="宋体" w:eastAsia="宋体" w:hint="default"/>
          <w:sz w:val="18"/>
          <w:szCs w:val="18"/>
        </w:rPr>
      </w:pPr>
      <w:r>
        <w:rPr>
          <w:rFonts w:ascii="宋体" w:hAnsi="宋体" w:cs="宋体" w:eastAsia="宋体" w:hint="default"/>
          <w:sz w:val="18"/>
          <w:szCs w:val="18"/>
        </w:rPr>
        <w:t>√ 是 □ 否 独立董事对公司有关建议被采纳或未被采纳的说明</w:t>
      </w:r>
    </w:p>
    <w:p>
      <w:pPr>
        <w:pStyle w:val="BodyText"/>
        <w:spacing w:line="312" w:lineRule="exact" w:before="9"/>
        <w:ind w:right="1170" w:firstLine="480"/>
        <w:jc w:val="both"/>
        <w:rPr>
          <w:rFonts w:ascii="Times New Roman" w:hAnsi="Times New Roman" w:cs="Times New Roman" w:eastAsia="Times New Roman" w:hint="default"/>
          <w:sz w:val="18"/>
          <w:szCs w:val="18"/>
        </w:rPr>
      </w:pPr>
      <w:r>
        <w:rPr>
          <w:spacing w:val="-7"/>
        </w:rPr>
        <w:t>公司独立董事勤勉尽责，严格按照证监会、深交所的相关规定及《公司章程》、《董事会</w:t>
      </w:r>
      <w:r>
        <w:rPr/>
        <w:t> 议事规则》和《独立董事工作细则》开展工作，对公司管理体系建设、内部控制建设、人才 梯队建设和重大决策等方面提出了宝贵的专业性建议，对公司财务及经营活动进行了有效监 督，为完善公司监督机制、维护公司和全体股东的合法权益发挥了应有的作用</w:t>
      </w:r>
      <w:r>
        <w:rPr>
          <w:rFonts w:ascii="Times New Roman" w:hAnsi="Times New Roman" w:cs="Times New Roman" w:eastAsia="Times New Roman" w:hint="default"/>
          <w:sz w:val="18"/>
          <w:szCs w:val="18"/>
        </w:rPr>
        <w:t>$</w:t>
      </w:r>
    </w:p>
    <w:p>
      <w:pPr>
        <w:spacing w:line="240" w:lineRule="auto" w:before="0"/>
        <w:rPr>
          <w:rFonts w:ascii="Times New Roman" w:hAnsi="Times New Roman" w:cs="Times New Roman" w:eastAsia="Times New Roman" w:hint="default"/>
          <w:sz w:val="25"/>
          <w:szCs w:val="25"/>
        </w:rPr>
      </w:pPr>
    </w:p>
    <w:p>
      <w:pPr>
        <w:spacing w:line="610" w:lineRule="atLeast" w:before="0"/>
        <w:ind w:left="594" w:right="1152" w:hanging="480"/>
        <w:jc w:val="left"/>
        <w:rPr>
          <w:rFonts w:ascii="宋体" w:hAnsi="宋体" w:cs="宋体" w:eastAsia="宋体" w:hint="default"/>
          <w:sz w:val="24"/>
          <w:szCs w:val="24"/>
        </w:rPr>
      </w:pPr>
      <w:bookmarkStart w:name="六、董事会下设专门委员会在报告期内履行职责情况" w:id="146"/>
      <w:bookmarkEnd w:id="146"/>
      <w:r>
        <w:rPr/>
      </w:r>
      <w:r>
        <w:rPr>
          <w:rFonts w:ascii="宋体" w:hAnsi="宋体" w:cs="宋体" w:eastAsia="宋体" w:hint="default"/>
          <w:b/>
          <w:bCs/>
          <w:sz w:val="24"/>
          <w:szCs w:val="24"/>
        </w:rPr>
        <w:t>六、董事会下设专门委员会在报告期内履行职责情况</w:t>
      </w:r>
      <w:r>
        <w:rPr>
          <w:rFonts w:ascii="宋体" w:hAnsi="宋体" w:cs="宋体" w:eastAsia="宋体" w:hint="default"/>
          <w:b/>
          <w:bCs/>
          <w:w w:val="99"/>
          <w:sz w:val="24"/>
          <w:szCs w:val="24"/>
        </w:rPr>
        <w:t> </w:t>
      </w:r>
      <w:r>
        <w:rPr>
          <w:rFonts w:ascii="宋体" w:hAnsi="宋体" w:cs="宋体" w:eastAsia="宋体" w:hint="default"/>
          <w:sz w:val="24"/>
          <w:szCs w:val="24"/>
        </w:rPr>
        <w:t>公司董事会下设审计委员会、战略委员会和薪酬与考核委员会三个专门委员会。报告期</w:t>
      </w:r>
    </w:p>
    <w:p>
      <w:pPr>
        <w:pStyle w:val="BodyText"/>
        <w:spacing w:line="312" w:lineRule="exact" w:before="28"/>
        <w:ind w:right="1169"/>
        <w:jc w:val="both"/>
      </w:pPr>
      <w:r>
        <w:rPr>
          <w:spacing w:val="-6"/>
        </w:rPr>
        <w:t>内，公司董事会下设的三个专门委员会严格按照《公司章程》、《董事会议事规则》及各专门</w:t>
      </w:r>
      <w:r>
        <w:rPr>
          <w:spacing w:val="-114"/>
        </w:rPr>
        <w:t> </w:t>
      </w:r>
      <w:r>
        <w:rPr>
          <w:spacing w:val="-114"/>
        </w:rPr>
      </w:r>
      <w:r>
        <w:rPr/>
        <w:t>委员会的工作细则等相关规定履行各项职责。现将</w:t>
      </w:r>
      <w:r>
        <w:rPr>
          <w:rFonts w:ascii="宋体" w:hAnsi="宋体" w:cs="宋体" w:eastAsia="宋体" w:hint="default"/>
        </w:rPr>
        <w:t>2018</w:t>
      </w:r>
      <w:r>
        <w:rPr/>
        <w:t>年度公司董事会专门委员会履职情况 报告如下：</w:t>
      </w:r>
    </w:p>
    <w:p>
      <w:pPr>
        <w:spacing w:after="0" w:line="312" w:lineRule="exact"/>
        <w:jc w:val="both"/>
        <w:sectPr>
          <w:pgSz w:w="11910" w:h="16840"/>
          <w:pgMar w:header="822" w:footer="1019" w:top="1140" w:bottom="1200" w:left="1020" w:right="0"/>
        </w:sectPr>
      </w:pPr>
    </w:p>
    <w:p>
      <w:pPr>
        <w:spacing w:line="240" w:lineRule="auto" w:before="10"/>
        <w:rPr>
          <w:rFonts w:ascii="宋体" w:hAnsi="宋体" w:cs="宋体" w:eastAsia="宋体" w:hint="default"/>
          <w:sz w:val="17"/>
          <w:szCs w:val="17"/>
        </w:rPr>
      </w:pPr>
    </w:p>
    <w:p>
      <w:pPr>
        <w:pStyle w:val="BodyText"/>
        <w:spacing w:line="312" w:lineRule="exact" w:before="56"/>
        <w:ind w:left="594" w:right="1152"/>
        <w:jc w:val="left"/>
      </w:pPr>
      <w:r>
        <w:rPr>
          <w:spacing w:val="-14"/>
        </w:rPr>
        <w:t>（一）、审计委员会</w:t>
      </w:r>
      <w:r>
        <w:rPr>
          <w:spacing w:val="-114"/>
        </w:rPr>
        <w:t> </w:t>
      </w:r>
      <w:r>
        <w:rPr>
          <w:spacing w:val="-114"/>
        </w:rPr>
      </w:r>
      <w:r>
        <w:rPr/>
        <w:t>由刘红梅女士、乐嘉锦先生、祝小兵先生、黄亚钧先生（已于</w:t>
      </w:r>
      <w:r>
        <w:rPr>
          <w:rFonts w:ascii="宋体" w:hAnsi="宋体" w:cs="宋体" w:eastAsia="宋体" w:hint="default"/>
        </w:rPr>
        <w:t>2018</w:t>
      </w:r>
      <w:r>
        <w:rPr/>
        <w:t>年</w:t>
      </w:r>
      <w:r>
        <w:rPr>
          <w:rFonts w:ascii="宋体" w:hAnsi="宋体" w:cs="宋体" w:eastAsia="宋体" w:hint="default"/>
        </w:rPr>
        <w:t>10</w:t>
      </w:r>
      <w:r>
        <w:rPr/>
        <w:t>月</w:t>
      </w:r>
      <w:r>
        <w:rPr>
          <w:rFonts w:ascii="宋体" w:hAnsi="宋体" w:cs="宋体" w:eastAsia="宋体" w:hint="default"/>
        </w:rPr>
        <w:t>16</w:t>
      </w:r>
      <w:r>
        <w:rPr/>
        <w:t>日辞去独立</w:t>
      </w:r>
    </w:p>
    <w:p>
      <w:pPr>
        <w:pStyle w:val="BodyText"/>
        <w:spacing w:line="312" w:lineRule="exact"/>
        <w:ind w:right="1152"/>
        <w:jc w:val="left"/>
      </w:pPr>
      <w:r>
        <w:rPr/>
        <w:t>董事职务）组成，其中独立董事刘红梅女士为召集人，为会计专业人士。审计委员会负责提 议聘请或更换外部审计机构；监督公司的内部审计制度及其实施；负责内部审计与外部审计</w:t>
      </w:r>
    </w:p>
    <w:p>
      <w:pPr>
        <w:pStyle w:val="BodyText"/>
        <w:spacing w:line="312" w:lineRule="exact"/>
        <w:ind w:right="1132"/>
        <w:jc w:val="both"/>
      </w:pPr>
      <w:r>
        <w:rPr/>
        <w:t>之间的沟通；审核公司的财务信息及其披露；审查公司的内部控制制度，对重大关联交易进 行审计；公司董事会授予的其他职权。审计委员会对董事会负责，委员会的提案提交董事会 </w:t>
      </w:r>
      <w:r>
        <w:rPr>
          <w:spacing w:val="-3"/>
        </w:rPr>
        <w:t>审议决定。审计委员会应配合监事会的监事审计活动。本报告期内共召开</w:t>
      </w:r>
      <w:r>
        <w:rPr>
          <w:rFonts w:ascii="宋体" w:hAnsi="宋体" w:cs="宋体" w:eastAsia="宋体" w:hint="default"/>
          <w:spacing w:val="-3"/>
        </w:rPr>
        <w:t>4</w:t>
      </w:r>
      <w:r>
        <w:rPr>
          <w:spacing w:val="-3"/>
        </w:rPr>
        <w:t>次会议，分别对公</w:t>
      </w:r>
      <w:r>
        <w:rPr>
          <w:spacing w:val="-80"/>
        </w:rPr>
        <w:t> </w:t>
      </w:r>
      <w:r>
        <w:rPr>
          <w:spacing w:val="-80"/>
        </w:rPr>
      </w:r>
      <w:r>
        <w:rPr/>
        <w:t>司定期报告、内部审计报告等事项进行审议。</w:t>
      </w:r>
    </w:p>
    <w:p>
      <w:pPr>
        <w:pStyle w:val="BodyText"/>
        <w:spacing w:line="312" w:lineRule="exact"/>
        <w:ind w:left="594" w:right="1152"/>
        <w:jc w:val="left"/>
      </w:pPr>
      <w:r>
        <w:rPr>
          <w:spacing w:val="-10"/>
        </w:rPr>
        <w:t>（二）、薪酬与考核委员会</w:t>
      </w:r>
      <w:r>
        <w:rPr/>
        <w:t> 由杨安荣先生、乐嘉锦先生、祝小兵先生、黄亚钧先生（已于</w:t>
      </w:r>
      <w:r>
        <w:rPr>
          <w:rFonts w:ascii="宋体" w:hAnsi="宋体" w:cs="宋体" w:eastAsia="宋体" w:hint="default"/>
        </w:rPr>
        <w:t>2018</w:t>
      </w:r>
      <w:r>
        <w:rPr/>
        <w:t>年</w:t>
      </w:r>
      <w:r>
        <w:rPr>
          <w:rFonts w:ascii="宋体" w:hAnsi="宋体" w:cs="宋体" w:eastAsia="宋体" w:hint="default"/>
        </w:rPr>
        <w:t>10</w:t>
      </w:r>
      <w:r>
        <w:rPr/>
        <w:t>月</w:t>
      </w:r>
      <w:r>
        <w:rPr>
          <w:rFonts w:ascii="宋体" w:hAnsi="宋体" w:cs="宋体" w:eastAsia="宋体" w:hint="default"/>
        </w:rPr>
        <w:t>16</w:t>
      </w:r>
      <w:r>
        <w:rPr/>
        <w:t>日辞去独立</w:t>
      </w:r>
    </w:p>
    <w:p>
      <w:pPr>
        <w:pStyle w:val="BodyText"/>
        <w:spacing w:line="312" w:lineRule="exact"/>
        <w:ind w:right="1002"/>
        <w:jc w:val="left"/>
      </w:pPr>
      <w:r>
        <w:rPr/>
        <w:t>董事职务）组成，其中独立董事乐嘉锦先生为召集人。薪酬与考核委员会负责根据董事及高 级管理人员管理岗位的主要范围、职责、重要性以及其他相关企业相关岗位的薪酬水平制定 薪酬计划或方案；审查公司董事（非独立董事）及高级管理人员的履行职责情况并对其进行 年度绩效考评；负责对公司薪酬制度执行情况进行监督；董事会授权的其他事宜。董事会有 权否决损害股东利益的薪酬计划或方案。薪酬与考核委员会提出的公司董事的薪酬计划，须 报经董事会同意后，提交股东大会审议通过后方可实施；公司经理人员的薪酬分配方案须报 </w:t>
      </w:r>
      <w:r>
        <w:rPr>
          <w:spacing w:val="-5"/>
        </w:rPr>
        <w:t>董事会批准。本报告期内共召开</w:t>
      </w:r>
      <w:r>
        <w:rPr>
          <w:rFonts w:ascii="宋体" w:hAnsi="宋体" w:cs="宋体" w:eastAsia="宋体" w:hint="default"/>
          <w:spacing w:val="-5"/>
        </w:rPr>
        <w:t>1</w:t>
      </w:r>
      <w:r>
        <w:rPr>
          <w:spacing w:val="-5"/>
        </w:rPr>
        <w:t>次会议，分别对公司独立董事津贴、高管薪酬事宜进行审议。</w:t>
      </w:r>
    </w:p>
    <w:p>
      <w:pPr>
        <w:pStyle w:val="BodyText"/>
        <w:spacing w:line="283" w:lineRule="exact"/>
        <w:ind w:left="594" w:right="0"/>
        <w:jc w:val="left"/>
      </w:pPr>
      <w:r>
        <w:rPr/>
        <w:t>（三</w:t>
      </w:r>
      <w:r>
        <w:rPr>
          <w:spacing w:val="-120"/>
        </w:rPr>
        <w:t>）</w:t>
      </w:r>
      <w:r>
        <w:rPr/>
        <w:t>、战略委员会</w:t>
      </w:r>
    </w:p>
    <w:p>
      <w:pPr>
        <w:pStyle w:val="BodyText"/>
        <w:spacing w:line="237" w:lineRule="auto" w:before="41"/>
        <w:ind w:right="1132" w:firstLine="480"/>
        <w:jc w:val="both"/>
      </w:pPr>
      <w:r>
        <w:rPr/>
        <w:t>由张曙华先生、刘理洲先生、李志卿先生组成，其中张曙华先生为召集人。战略委员会 负责对公司长期发展战略规划进行研究并提出建议；对《公司章程》规定须经董事会批准的 重大投资融资方案进行研究并提出建议；对《公司章程》规定须经董事会批准的重大资本运 作、资产经营项目进行研究并提出建议；对其他影响公司发展的重大事项进行研究并提出建 议；对以上事项的实施进行检查；董事会授权的其他事宜。战略委员会对董事会负责，委员 </w:t>
      </w:r>
      <w:r>
        <w:rPr>
          <w:spacing w:val="-3"/>
        </w:rPr>
        <w:t>会的提案提交董事会审议决定。本报告期内共召开</w:t>
      </w:r>
      <w:r>
        <w:rPr>
          <w:rFonts w:ascii="宋体" w:hAnsi="宋体" w:cs="宋体" w:eastAsia="宋体" w:hint="default"/>
          <w:spacing w:val="-3"/>
        </w:rPr>
        <w:t>1</w:t>
      </w:r>
      <w:r>
        <w:rPr>
          <w:spacing w:val="-3"/>
        </w:rPr>
        <w:t>次会议，分别对</w:t>
      </w:r>
      <w:r>
        <w:rPr>
          <w:rFonts w:ascii="宋体" w:hAnsi="宋体" w:cs="宋体" w:eastAsia="宋体" w:hint="default"/>
          <w:spacing w:val="-3"/>
        </w:rPr>
        <w:t>2017</w:t>
      </w:r>
      <w:r>
        <w:rPr>
          <w:spacing w:val="-3"/>
        </w:rPr>
        <w:t>年度董事会工作、总</w:t>
      </w:r>
      <w:r>
        <w:rPr>
          <w:spacing w:val="-103"/>
        </w:rPr>
        <w:t> </w:t>
      </w:r>
      <w:r>
        <w:rPr>
          <w:spacing w:val="-103"/>
        </w:rPr>
      </w:r>
      <w:r>
        <w:rPr/>
        <w:t>经理工作事宜进行审议</w:t>
      </w:r>
    </w:p>
    <w:p>
      <w:pPr>
        <w:spacing w:line="240" w:lineRule="auto" w:before="12"/>
        <w:rPr>
          <w:rFonts w:ascii="宋体" w:hAnsi="宋体" w:cs="宋体" w:eastAsia="宋体" w:hint="default"/>
          <w:sz w:val="22"/>
          <w:szCs w:val="22"/>
        </w:rPr>
      </w:pPr>
    </w:p>
    <w:p>
      <w:pPr>
        <w:pStyle w:val="Heading4"/>
        <w:spacing w:line="240" w:lineRule="auto"/>
        <w:ind w:right="0"/>
        <w:jc w:val="both"/>
        <w:rPr>
          <w:b w:val="0"/>
          <w:bCs w:val="0"/>
        </w:rPr>
      </w:pPr>
      <w:bookmarkStart w:name="七、监事会工作情况" w:id="147"/>
      <w:bookmarkEnd w:id="147"/>
      <w:r>
        <w:rPr>
          <w:b w:val="0"/>
          <w:bCs w:val="0"/>
        </w:rPr>
      </w:r>
      <w:r>
        <w:rPr/>
        <w:t>七、监事会工作情况</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both"/>
        <w:rPr>
          <w:rFonts w:ascii="宋体" w:hAnsi="宋体" w:cs="宋体" w:eastAsia="宋体" w:hint="default"/>
          <w:sz w:val="18"/>
          <w:szCs w:val="18"/>
        </w:rPr>
      </w:pPr>
      <w:r>
        <w:rPr>
          <w:rFonts w:ascii="宋体" w:hAnsi="宋体" w:cs="宋体" w:eastAsia="宋体" w:hint="default"/>
          <w:sz w:val="18"/>
          <w:szCs w:val="18"/>
        </w:rPr>
        <w:t>监事会在报告期内的监督活动中发现公司是否存在风险</w:t>
      </w:r>
    </w:p>
    <w:p>
      <w:pPr>
        <w:spacing w:line="357" w:lineRule="auto" w:before="117"/>
        <w:ind w:left="114" w:right="7332" w:firstLine="0"/>
        <w:jc w:val="left"/>
        <w:rPr>
          <w:rFonts w:ascii="宋体" w:hAnsi="宋体" w:cs="宋体" w:eastAsia="宋体" w:hint="default"/>
          <w:sz w:val="18"/>
          <w:szCs w:val="18"/>
        </w:rPr>
      </w:pPr>
      <w:r>
        <w:rPr>
          <w:rFonts w:ascii="宋体" w:hAnsi="宋体" w:cs="宋体" w:eastAsia="宋体" w:hint="default"/>
          <w:sz w:val="18"/>
          <w:szCs w:val="18"/>
        </w:rPr>
        <w:t>□ 是 √ 否 公司监事会对报告期内的监督事项无异议。</w:t>
      </w:r>
    </w:p>
    <w:p>
      <w:pPr>
        <w:spacing w:line="612" w:lineRule="exact" w:before="29"/>
        <w:ind w:left="594" w:right="1152" w:hanging="480"/>
        <w:jc w:val="left"/>
        <w:rPr>
          <w:rFonts w:ascii="宋体" w:hAnsi="宋体" w:cs="宋体" w:eastAsia="宋体" w:hint="default"/>
          <w:sz w:val="24"/>
          <w:szCs w:val="24"/>
        </w:rPr>
      </w:pPr>
      <w:bookmarkStart w:name="八、高级管理人员的考评及激励情况" w:id="148"/>
      <w:bookmarkEnd w:id="148"/>
      <w:r>
        <w:rPr/>
      </w:r>
      <w:r>
        <w:rPr>
          <w:rFonts w:ascii="宋体" w:hAnsi="宋体" w:cs="宋体" w:eastAsia="宋体" w:hint="default"/>
          <w:b/>
          <w:bCs/>
          <w:sz w:val="24"/>
          <w:szCs w:val="24"/>
        </w:rPr>
        <w:t>八、高级管理人员的考评及激励情况</w:t>
      </w:r>
      <w:r>
        <w:rPr>
          <w:rFonts w:ascii="宋体" w:hAnsi="宋体" w:cs="宋体" w:eastAsia="宋体" w:hint="default"/>
          <w:b/>
          <w:bCs/>
          <w:w w:val="99"/>
          <w:sz w:val="24"/>
          <w:szCs w:val="24"/>
        </w:rPr>
        <w:t> </w:t>
      </w:r>
      <w:r>
        <w:rPr>
          <w:rFonts w:ascii="宋体" w:hAnsi="宋体" w:cs="宋体" w:eastAsia="宋体" w:hint="default"/>
          <w:sz w:val="24"/>
          <w:szCs w:val="24"/>
        </w:rPr>
        <w:t>公司建立了完善的薪酬管理制度和绩效考核管理制度，设立董事会薪酬和考核委员会，</w:t>
      </w:r>
    </w:p>
    <w:p>
      <w:pPr>
        <w:pStyle w:val="BodyText"/>
        <w:spacing w:line="222" w:lineRule="exact"/>
        <w:ind w:right="0"/>
        <w:jc w:val="both"/>
      </w:pPr>
      <w:r>
        <w:rPr/>
        <w:t>负责公司高级管理人员绩效考核制度、流程的制定，以及考核标准及关键指标的确立。薪酬</w:t>
      </w:r>
    </w:p>
    <w:p>
      <w:pPr>
        <w:pStyle w:val="BodyText"/>
        <w:spacing w:line="237" w:lineRule="auto" w:before="1"/>
        <w:ind w:right="1169"/>
        <w:jc w:val="both"/>
      </w:pPr>
      <w:r>
        <w:rPr/>
        <w:t>和考核委员会负责对公司高级管理人员进行绩效考核，公司根据绩效考核结果实施相应的奖 惩。报告期内，公司高级管理人员的薪酬由基本工资和绩效薪酬所组成。其中，基本工资系 根据高级管理人员工作岗位的主要范围、职责、重要性以及其他相关企业相关岗位的薪酬水 平制定，绩效薪酬则根据绩效考核结果确定。公司董事会薪酬和考核委员会根据实际情况对 公司高级管理人员进行考核后，一致认为：</w:t>
      </w:r>
      <w:r>
        <w:rPr>
          <w:rFonts w:ascii="宋体" w:hAnsi="宋体" w:cs="宋体" w:eastAsia="宋体" w:hint="default"/>
        </w:rPr>
        <w:t>2018</w:t>
      </w:r>
      <w:r>
        <w:rPr/>
        <w:t>年度公司高级管理人员薪酬方案严格执行了 公司薪酬管理制度，绩效考核和薪酬发放的程序符合有关法律、法规、公司章程、规章制度 等规定。</w:t>
      </w:r>
    </w:p>
    <w:p>
      <w:pPr>
        <w:spacing w:after="0" w:line="237" w:lineRule="auto"/>
        <w:jc w:val="both"/>
        <w:sectPr>
          <w:pgSz w:w="11910" w:h="16840"/>
          <w:pgMar w:header="822" w:footer="1019" w:top="1140" w:bottom="1200" w:left="1020" w:right="0"/>
        </w:sectPr>
      </w:pPr>
    </w:p>
    <w:p>
      <w:pPr>
        <w:spacing w:line="240" w:lineRule="auto" w:before="12"/>
        <w:rPr>
          <w:rFonts w:ascii="宋体" w:hAnsi="宋体" w:cs="宋体" w:eastAsia="宋体" w:hint="default"/>
          <w:sz w:val="17"/>
          <w:szCs w:val="17"/>
        </w:rPr>
      </w:pPr>
    </w:p>
    <w:p>
      <w:pPr>
        <w:pStyle w:val="Heading4"/>
        <w:spacing w:line="240" w:lineRule="auto" w:before="26"/>
        <w:ind w:right="0"/>
        <w:jc w:val="left"/>
        <w:rPr>
          <w:b w:val="0"/>
          <w:bCs w:val="0"/>
        </w:rPr>
      </w:pPr>
      <w:bookmarkStart w:name="九、内部控制评价报告" w:id="149"/>
      <w:bookmarkEnd w:id="149"/>
      <w:r>
        <w:rPr>
          <w:b w:val="0"/>
          <w:bCs w:val="0"/>
        </w:rPr>
      </w:r>
      <w:r>
        <w:rPr/>
        <w:t>九、内部控制评价报告</w:t>
      </w:r>
      <w:r>
        <w:rPr>
          <w:b w:val="0"/>
          <w:bCs w:val="0"/>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报告期内发现的内部控制重大缺陷的具体情况" w:id="150"/>
      <w:bookmarkEnd w:id="150"/>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、报告期内发现的内部控制重大缺陷的具体情况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内控自我评价报告" w:id="151"/>
      <w:bookmarkEnd w:id="151"/>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、内控自我评价报告</w:t>
      </w:r>
      <w:r>
        <w:rPr>
          <w:rFonts w:ascii="宋体" w:hAnsi="宋体" w:cs="宋体" w:eastAsia="宋体" w:hint="default"/>
          <w:sz w:val="21"/>
          <w:szCs w:val="21"/>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195"/>
        <w:gridCol w:w="3324"/>
        <w:gridCol w:w="3051"/>
      </w:tblGrid>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内部控制评价报告全文披露日期</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714"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内部控制评价报告全文披露索引</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103" w:right="101"/>
              <w:jc w:val="left"/>
              <w:rPr>
                <w:rFonts w:ascii="宋体" w:hAnsi="宋体" w:cs="宋体" w:eastAsia="宋体" w:hint="default"/>
                <w:sz w:val="18"/>
                <w:szCs w:val="18"/>
              </w:rPr>
            </w:pPr>
            <w:r>
              <w:rPr>
                <w:rFonts w:ascii="宋体" w:hAnsi="宋体" w:cs="宋体" w:eastAsia="宋体" w:hint="default"/>
                <w:sz w:val="18"/>
                <w:szCs w:val="18"/>
              </w:rPr>
              <w:t>公司于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日在巨潮资讯网刊登的《</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年度内部控制自我评价报 告》</w:t>
            </w:r>
          </w:p>
        </w:tc>
      </w:tr>
      <w:tr>
        <w:trPr>
          <w:trHeight w:val="714"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99"/>
              <w:jc w:val="left"/>
              <w:rPr>
                <w:rFonts w:ascii="宋体" w:hAnsi="宋体" w:cs="宋体" w:eastAsia="宋体" w:hint="default"/>
                <w:sz w:val="18"/>
                <w:szCs w:val="18"/>
              </w:rPr>
            </w:pPr>
            <w:r>
              <w:rPr>
                <w:rFonts w:ascii="宋体" w:hAnsi="宋体" w:cs="宋体" w:eastAsia="宋体" w:hint="default"/>
                <w:sz w:val="18"/>
                <w:szCs w:val="18"/>
              </w:rPr>
              <w:t>纳入评价范围单位资产总额占公司合 并财务报表资产总额的比例</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100.00%</w:t>
            </w:r>
          </w:p>
        </w:tc>
      </w:tr>
      <w:tr>
        <w:trPr>
          <w:trHeight w:val="715"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99"/>
              <w:jc w:val="left"/>
              <w:rPr>
                <w:rFonts w:ascii="宋体" w:hAnsi="宋体" w:cs="宋体" w:eastAsia="宋体" w:hint="default"/>
                <w:sz w:val="18"/>
                <w:szCs w:val="18"/>
              </w:rPr>
            </w:pPr>
            <w:r>
              <w:rPr>
                <w:rFonts w:ascii="宋体" w:hAnsi="宋体" w:cs="宋体" w:eastAsia="宋体" w:hint="default"/>
                <w:sz w:val="18"/>
                <w:szCs w:val="18"/>
              </w:rPr>
              <w:t>纳入评价范围单位营业收入占公司合 并财务报表营业收入的比例</w:t>
            </w:r>
          </w:p>
        </w:tc>
        <w:tc>
          <w:tcPr>
            <w:tcW w:w="6374"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9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9569"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缺陷认定标准</w:t>
            </w:r>
          </w:p>
        </w:tc>
      </w:tr>
      <w:tr>
        <w:trPr>
          <w:trHeight w:val="401"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财务报告</w:t>
            </w:r>
          </w:p>
        </w:tc>
        <w:tc>
          <w:tcPr>
            <w:tcW w:w="305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非财务报告</w:t>
            </w:r>
          </w:p>
        </w:tc>
      </w:tr>
      <w:tr>
        <w:trPr>
          <w:trHeight w:val="508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0"/>
                <w:szCs w:val="20"/>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定性标准</w:t>
            </w:r>
          </w:p>
        </w:tc>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103" w:right="101"/>
              <w:jc w:val="both"/>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、重大缺陷：公司董事、监事和高级管</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理人员的舞弊行为；公司更正已公布的 财务报告；注册会计师发现的却未被公 司内部控制识别的当期财务报告中的重 大报错；审计委员会和内审部对公司的 对外财务报告和财务报告内部控制监督 </w:t>
            </w:r>
            <w:r>
              <w:rPr>
                <w:rFonts w:ascii="宋体" w:hAnsi="宋体" w:cs="宋体" w:eastAsia="宋体" w:hint="default"/>
                <w:spacing w:val="-3"/>
                <w:sz w:val="18"/>
                <w:szCs w:val="18"/>
              </w:rPr>
              <w:t>无效。</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、重要缺陷：未依照公认会计准</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则选择和应用会计政策；未建立反舞弊 程序和控制措施；对于非常规或特殊交 易的账务处理没有建立相应的控制机制 或没有实施且没有相应的补偿性控制； 对于期末财务报告过程的控制存在一项 或多项缺陷且不能合理保证编制的财务 </w:t>
            </w:r>
            <w:r>
              <w:rPr>
                <w:rFonts w:ascii="宋体" w:hAnsi="宋体" w:cs="宋体" w:eastAsia="宋体" w:hint="default"/>
                <w:spacing w:val="-3"/>
                <w:sz w:val="18"/>
                <w:szCs w:val="18"/>
              </w:rPr>
              <w:t>报表达到真实、准确的目标。</w:t>
            </w:r>
            <w:r>
              <w:rPr>
                <w:rFonts w:ascii="Times New Roman" w:hAnsi="Times New Roman" w:cs="Times New Roman" w:eastAsia="Times New Roman" w:hint="default"/>
                <w:spacing w:val="-3"/>
                <w:sz w:val="18"/>
                <w:szCs w:val="18"/>
              </w:rPr>
              <w:t>3</w:t>
            </w:r>
            <w:r>
              <w:rPr>
                <w:rFonts w:ascii="宋体" w:hAnsi="宋体" w:cs="宋体" w:eastAsia="宋体" w:hint="default"/>
                <w:spacing w:val="-3"/>
                <w:sz w:val="18"/>
                <w:szCs w:val="18"/>
              </w:rPr>
              <w:t>、一般缺</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陷：指除上述重大缺陷和重要缺陷之外 的其他控制缺陷。</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6"/>
              <w:ind w:right="0"/>
              <w:jc w:val="left"/>
              <w:rPr>
                <w:rFonts w:ascii="宋体" w:hAnsi="宋体" w:cs="宋体" w:eastAsia="宋体" w:hint="default"/>
                <w:b/>
                <w:bCs/>
                <w:sz w:val="15"/>
                <w:szCs w:val="15"/>
              </w:rPr>
            </w:pPr>
          </w:p>
          <w:p>
            <w:pPr>
              <w:pStyle w:val="TableParagraph"/>
              <w:spacing w:line="316" w:lineRule="auto"/>
              <w:ind w:left="103" w:right="55"/>
              <w:jc w:val="left"/>
              <w:rPr>
                <w:rFonts w:ascii="宋体" w:hAnsi="宋体" w:cs="宋体" w:eastAsia="宋体" w:hint="default"/>
                <w:sz w:val="18"/>
                <w:szCs w:val="18"/>
              </w:rPr>
            </w:pPr>
            <w:r>
              <w:rPr>
                <w:rFonts w:ascii="宋体" w:hAnsi="宋体" w:cs="宋体" w:eastAsia="宋体" w:hint="default"/>
                <w:sz w:val="18"/>
                <w:szCs w:val="18"/>
              </w:rPr>
              <w:t>公司确定的非财务报告内部控制缺 </w:t>
            </w:r>
            <w:r>
              <w:rPr>
                <w:rFonts w:ascii="宋体" w:hAnsi="宋体" w:cs="宋体" w:eastAsia="宋体" w:hint="default"/>
                <w:spacing w:val="-3"/>
                <w:sz w:val="18"/>
                <w:szCs w:val="18"/>
              </w:rPr>
              <w:t>陷评价的定性标准如下，出现以下情</w:t>
            </w:r>
            <w:r>
              <w:rPr>
                <w:rFonts w:ascii="宋体" w:hAnsi="宋体" w:cs="宋体" w:eastAsia="宋体" w:hint="default"/>
                <w:sz w:val="18"/>
                <w:szCs w:val="18"/>
              </w:rPr>
              <w:t> </w:t>
            </w:r>
            <w:r>
              <w:rPr>
                <w:rFonts w:ascii="宋体" w:hAnsi="宋体" w:cs="宋体" w:eastAsia="宋体" w:hint="default"/>
                <w:spacing w:val="-3"/>
                <w:sz w:val="18"/>
                <w:szCs w:val="18"/>
              </w:rPr>
              <w:t>形的，可认定为重大缺陷，其他情形</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按影响程度分别确定为重要缺陷或 </w:t>
            </w:r>
            <w:r>
              <w:rPr>
                <w:rFonts w:ascii="宋体" w:hAnsi="宋体" w:cs="宋体" w:eastAsia="宋体" w:hint="default"/>
                <w:spacing w:val="-3"/>
                <w:sz w:val="18"/>
                <w:szCs w:val="18"/>
              </w:rPr>
              <w:t>一般缺陷：⑴违反国家法律法规或规</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范性文件；⑵重大决策程序不科学；</w:t>
            </w:r>
          </w:p>
          <w:p>
            <w:pPr>
              <w:pStyle w:val="TableParagraph"/>
              <w:spacing w:line="319" w:lineRule="auto" w:before="19"/>
              <w:ind w:left="103" w:right="101"/>
              <w:jc w:val="both"/>
              <w:rPr>
                <w:rFonts w:ascii="宋体" w:hAnsi="宋体" w:cs="宋体" w:eastAsia="宋体" w:hint="default"/>
                <w:sz w:val="18"/>
                <w:szCs w:val="18"/>
              </w:rPr>
            </w:pPr>
            <w:r>
              <w:rPr>
                <w:rFonts w:ascii="宋体" w:hAnsi="宋体" w:cs="宋体" w:eastAsia="宋体" w:hint="default"/>
                <w:spacing w:val="-3"/>
                <w:sz w:val="18"/>
                <w:szCs w:val="18"/>
              </w:rPr>
              <w:t>⑶制度缺失可能导致系统性失效；⑷</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pacing w:val="-3"/>
                <w:sz w:val="18"/>
                <w:szCs w:val="18"/>
              </w:rPr>
              <w:t>重大或重要缺陷不能得到整改；⑸其</w:t>
            </w:r>
            <w:r>
              <w:rPr>
                <w:rFonts w:ascii="宋体" w:hAnsi="宋体" w:cs="宋体" w:eastAsia="宋体" w:hint="default"/>
                <w:spacing w:val="-86"/>
                <w:sz w:val="18"/>
                <w:szCs w:val="18"/>
              </w:rPr>
              <w:t> </w:t>
            </w:r>
            <w:r>
              <w:rPr>
                <w:rFonts w:ascii="宋体" w:hAnsi="宋体" w:cs="宋体" w:eastAsia="宋体" w:hint="default"/>
                <w:spacing w:val="-86"/>
                <w:sz w:val="18"/>
                <w:szCs w:val="18"/>
              </w:rPr>
            </w:r>
            <w:r>
              <w:rPr>
                <w:rFonts w:ascii="宋体" w:hAnsi="宋体" w:cs="宋体" w:eastAsia="宋体" w:hint="default"/>
                <w:sz w:val="18"/>
                <w:szCs w:val="18"/>
              </w:rPr>
              <w:t>他对公司负面影响重大的情形。</w:t>
            </w:r>
          </w:p>
        </w:tc>
      </w:tr>
      <w:tr>
        <w:trPr>
          <w:trHeight w:val="2859"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25"/>
                <w:szCs w:val="2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定量标准</w:t>
            </w:r>
          </w:p>
        </w:tc>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2"/>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、重大缺陷：考虑补偿性控制措施和实</w:t>
            </w:r>
            <w:r>
              <w:rPr>
                <w:rFonts w:ascii="宋体" w:hAnsi="宋体" w:cs="宋体" w:eastAsia="宋体" w:hint="default"/>
                <w:spacing w:val="-80"/>
                <w:sz w:val="18"/>
                <w:szCs w:val="18"/>
              </w:rPr>
              <w:t> </w:t>
            </w:r>
            <w:r>
              <w:rPr>
                <w:rFonts w:ascii="宋体" w:hAnsi="宋体" w:cs="宋体" w:eastAsia="宋体" w:hint="default"/>
                <w:spacing w:val="-80"/>
                <w:sz w:val="18"/>
                <w:szCs w:val="18"/>
              </w:rPr>
            </w:r>
            <w:r>
              <w:rPr>
                <w:rFonts w:ascii="宋体" w:hAnsi="宋体" w:cs="宋体" w:eastAsia="宋体" w:hint="default"/>
                <w:sz w:val="18"/>
                <w:szCs w:val="18"/>
              </w:rPr>
              <w:t>际偏差率后，该缺陷总体影响水平高于 </w:t>
            </w:r>
            <w:r>
              <w:rPr>
                <w:rFonts w:ascii="宋体" w:hAnsi="宋体" w:cs="宋体" w:eastAsia="宋体" w:hint="default"/>
                <w:spacing w:val="-1"/>
                <w:sz w:val="18"/>
                <w:szCs w:val="18"/>
              </w:rPr>
              <w:t>重要性水平（营业收入的</w:t>
            </w:r>
            <w:r>
              <w:rPr>
                <w:rFonts w:ascii="宋体" w:hAnsi="宋体" w:cs="宋体" w:eastAsia="宋体" w:hint="default"/>
                <w:spacing w:val="-40"/>
                <w:sz w:val="18"/>
                <w:szCs w:val="18"/>
              </w:rPr>
              <w:t> </w:t>
            </w:r>
            <w:r>
              <w:rPr>
                <w:rFonts w:ascii="Times New Roman" w:hAnsi="Times New Roman" w:cs="Times New Roman" w:eastAsia="Times New Roman" w:hint="default"/>
                <w:spacing w:val="-12"/>
                <w:sz w:val="18"/>
                <w:szCs w:val="18"/>
              </w:rPr>
              <w:t>0.5%</w:t>
            </w:r>
            <w:r>
              <w:rPr>
                <w:rFonts w:ascii="宋体" w:hAnsi="宋体" w:cs="宋体" w:eastAsia="宋体" w:hint="default"/>
                <w:spacing w:val="-12"/>
                <w:sz w:val="18"/>
                <w:szCs w:val="18"/>
              </w:rPr>
              <w:t>）：</w:t>
            </w:r>
            <w:r>
              <w:rPr>
                <w:rFonts w:ascii="Times New Roman" w:hAnsi="Times New Roman" w:cs="Times New Roman" w:eastAsia="Times New Roman" w:hint="default"/>
                <w:spacing w:val="-12"/>
                <w:sz w:val="18"/>
                <w:szCs w:val="18"/>
              </w:rPr>
              <w:t>2</w:t>
            </w:r>
            <w:r>
              <w:rPr>
                <w:rFonts w:ascii="宋体" w:hAnsi="宋体" w:cs="宋体" w:eastAsia="宋体" w:hint="default"/>
                <w:spacing w:val="-12"/>
                <w:sz w:val="18"/>
                <w:szCs w:val="18"/>
              </w:rPr>
              <w:t>、重</w:t>
            </w:r>
            <w:r>
              <w:rPr>
                <w:rFonts w:ascii="宋体" w:hAnsi="宋体" w:cs="宋体" w:eastAsia="宋体" w:hint="default"/>
                <w:spacing w:val="-88"/>
                <w:sz w:val="18"/>
                <w:szCs w:val="18"/>
              </w:rPr>
              <w:t> </w:t>
            </w:r>
            <w:r>
              <w:rPr>
                <w:rFonts w:ascii="宋体" w:hAnsi="宋体" w:cs="宋体" w:eastAsia="宋体" w:hint="default"/>
                <w:sz w:val="18"/>
                <w:szCs w:val="18"/>
              </w:rPr>
              <w:t>要缺陷：考虑补偿性控制措施和实际偏</w:t>
            </w:r>
            <w:r>
              <w:rPr>
                <w:rFonts w:ascii="宋体" w:hAnsi="宋体" w:cs="宋体" w:eastAsia="宋体" w:hint="default"/>
                <w:sz w:val="18"/>
                <w:szCs w:val="18"/>
              </w:rPr>
              <w:t> 差率后，该缺陷总体影响水平低于重要 性水平（营业收入的</w:t>
            </w:r>
            <w:r>
              <w:rPr>
                <w:rFonts w:ascii="宋体" w:hAnsi="宋体" w:cs="宋体" w:eastAsia="宋体" w:hint="default"/>
                <w:spacing w:val="-46"/>
                <w:sz w:val="18"/>
                <w:szCs w:val="18"/>
              </w:rPr>
              <w:t> </w:t>
            </w:r>
            <w:r>
              <w:rPr>
                <w:rFonts w:ascii="Times New Roman" w:hAnsi="Times New Roman" w:cs="Times New Roman" w:eastAsia="Times New Roman" w:hint="default"/>
                <w:spacing w:val="-9"/>
                <w:sz w:val="18"/>
                <w:szCs w:val="18"/>
              </w:rPr>
              <w:t>0.5%</w:t>
            </w:r>
            <w:r>
              <w:rPr>
                <w:rFonts w:ascii="宋体" w:hAnsi="宋体" w:cs="宋体" w:eastAsia="宋体" w:hint="default"/>
                <w:spacing w:val="-9"/>
                <w:sz w:val="18"/>
                <w:szCs w:val="18"/>
              </w:rPr>
              <w:t>），但高于一</w:t>
            </w:r>
            <w:r>
              <w:rPr>
                <w:rFonts w:ascii="宋体" w:hAnsi="宋体" w:cs="宋体" w:eastAsia="宋体" w:hint="default"/>
                <w:sz w:val="18"/>
                <w:szCs w:val="18"/>
              </w:rPr>
              <w:t> </w:t>
            </w:r>
            <w:r>
              <w:rPr>
                <w:rFonts w:ascii="宋体" w:hAnsi="宋体" w:cs="宋体" w:eastAsia="宋体" w:hint="default"/>
                <w:spacing w:val="-1"/>
                <w:sz w:val="18"/>
                <w:szCs w:val="18"/>
              </w:rPr>
              <w:t>般性水平（营业收入的</w:t>
            </w:r>
            <w:r>
              <w:rPr>
                <w:rFonts w:ascii="宋体" w:hAnsi="宋体" w:cs="宋体" w:eastAsia="宋体" w:hint="default"/>
                <w:spacing w:val="-43"/>
                <w:sz w:val="18"/>
                <w:szCs w:val="18"/>
              </w:rPr>
              <w:t> </w:t>
            </w:r>
            <w:r>
              <w:rPr>
                <w:rFonts w:ascii="Times New Roman" w:hAnsi="Times New Roman" w:cs="Times New Roman" w:eastAsia="Times New Roman" w:hint="default"/>
                <w:spacing w:val="-10"/>
                <w:sz w:val="18"/>
                <w:szCs w:val="18"/>
              </w:rPr>
              <w:t>0.1%</w:t>
            </w:r>
            <w:r>
              <w:rPr>
                <w:rFonts w:ascii="宋体" w:hAnsi="宋体" w:cs="宋体" w:eastAsia="宋体" w:hint="default"/>
                <w:spacing w:val="-10"/>
                <w:sz w:val="18"/>
                <w:szCs w:val="18"/>
              </w:rPr>
              <w:t>）；</w:t>
            </w:r>
            <w:r>
              <w:rPr>
                <w:rFonts w:ascii="Times New Roman" w:hAnsi="Times New Roman" w:cs="Times New Roman" w:eastAsia="Times New Roman" w:hint="default"/>
                <w:spacing w:val="-10"/>
                <w:sz w:val="18"/>
                <w:szCs w:val="18"/>
              </w:rPr>
              <w:t>3</w:t>
            </w:r>
            <w:r>
              <w:rPr>
                <w:rFonts w:ascii="宋体" w:hAnsi="宋体" w:cs="宋体" w:eastAsia="宋体" w:hint="default"/>
                <w:spacing w:val="-10"/>
                <w:sz w:val="18"/>
                <w:szCs w:val="18"/>
              </w:rPr>
              <w:t>、一般</w:t>
            </w:r>
            <w:r>
              <w:rPr>
                <w:rFonts w:ascii="宋体" w:hAnsi="宋体" w:cs="宋体" w:eastAsia="宋体" w:hint="default"/>
                <w:sz w:val="18"/>
                <w:szCs w:val="18"/>
              </w:rPr>
              <w:t> 缺陷：考虑补偿性控制措施和实际偏差 率后，该缺陷总体影响水平低于一般性</w:t>
            </w:r>
          </w:p>
        </w:tc>
        <w:tc>
          <w:tcPr>
            <w:tcW w:w="305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b/>
                <w:bCs/>
                <w:sz w:val="26"/>
                <w:szCs w:val="26"/>
              </w:rPr>
            </w:pPr>
          </w:p>
          <w:p>
            <w:pPr>
              <w:pStyle w:val="TableParagraph"/>
              <w:spacing w:line="307" w:lineRule="auto"/>
              <w:ind w:left="103" w:right="11"/>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、重大缺陷：非财务报告内部控制 缺陷导致的直接财产损失金额≥</w:t>
            </w:r>
            <w:r>
              <w:rPr>
                <w:rFonts w:ascii="Times New Roman" w:hAnsi="Times New Roman" w:cs="Times New Roman" w:eastAsia="Times New Roman" w:hint="default"/>
                <w:sz w:val="18"/>
                <w:szCs w:val="18"/>
              </w:rPr>
              <w:t>500 </w:t>
            </w:r>
            <w:r>
              <w:rPr>
                <w:rFonts w:ascii="宋体" w:hAnsi="宋体" w:cs="宋体" w:eastAsia="宋体" w:hint="default"/>
                <w:sz w:val="18"/>
                <w:szCs w:val="18"/>
              </w:rPr>
              <w:t>万元。</w:t>
            </w:r>
            <w:r>
              <w:rPr>
                <w:rFonts w:ascii="Times New Roman" w:hAnsi="Times New Roman" w:cs="Times New Roman" w:eastAsia="Times New Roman" w:hint="default"/>
                <w:sz w:val="18"/>
                <w:szCs w:val="18"/>
              </w:rPr>
              <w:t>2</w:t>
            </w:r>
            <w:r>
              <w:rPr>
                <w:rFonts w:ascii="宋体" w:hAnsi="宋体" w:cs="宋体" w:eastAsia="宋体" w:hint="default"/>
                <w:sz w:val="18"/>
                <w:szCs w:val="18"/>
              </w:rPr>
              <w:t>、重要缺陷：</w:t>
            </w: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万元≤非财 务报告内部控制缺陷导致的直接财 产损失金额＜</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pacing w:val="-18"/>
                <w:sz w:val="18"/>
                <w:szCs w:val="18"/>
              </w:rPr>
              <w:t>万元。</w:t>
            </w:r>
            <w:r>
              <w:rPr>
                <w:rFonts w:ascii="Times New Roman" w:hAnsi="Times New Roman" w:cs="Times New Roman" w:eastAsia="Times New Roman" w:hint="default"/>
                <w:spacing w:val="-18"/>
                <w:sz w:val="18"/>
                <w:szCs w:val="18"/>
              </w:rPr>
              <w:t>3</w:t>
            </w:r>
            <w:r>
              <w:rPr>
                <w:rFonts w:ascii="宋体" w:hAnsi="宋体" w:cs="宋体" w:eastAsia="宋体" w:hint="default"/>
                <w:spacing w:val="-18"/>
                <w:sz w:val="18"/>
                <w:szCs w:val="18"/>
              </w:rPr>
              <w:t>、一般缺陷：</w:t>
            </w:r>
            <w:r>
              <w:rPr>
                <w:rFonts w:ascii="宋体" w:hAnsi="宋体" w:cs="宋体" w:eastAsia="宋体" w:hint="default"/>
                <w:sz w:val="18"/>
                <w:szCs w:val="18"/>
              </w:rPr>
              <w:t> 非财务报告内部控制缺陷导致的直 接财产损失金额＜</w:t>
            </w:r>
            <w:r>
              <w:rPr>
                <w:rFonts w:ascii="Times New Roman" w:hAnsi="Times New Roman" w:cs="Times New Roman" w:eastAsia="Times New Roman" w:hint="default"/>
                <w:sz w:val="18"/>
                <w:szCs w:val="18"/>
              </w:rPr>
              <w:t>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r>
    </w:tbl>
    <w:p>
      <w:pPr>
        <w:spacing w:after="0" w:line="307"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9"/>
        <w:rPr>
          <w:rFonts w:ascii="宋体" w:hAnsi="宋体" w:cs="宋体" w:eastAsia="宋体" w:hint="default"/>
          <w:b/>
          <w:bCs/>
          <w:sz w:val="22"/>
          <w:szCs w:val="22"/>
        </w:rPr>
      </w:pPr>
    </w:p>
    <w:tbl>
      <w:tblPr>
        <w:tblW w:w="0" w:type="auto"/>
        <w:jc w:val="left"/>
        <w:tblInd w:w="109" w:type="dxa"/>
        <w:tblLayout w:type="fixed"/>
        <w:tblCellMar>
          <w:top w:w="0" w:type="dxa"/>
          <w:left w:w="0" w:type="dxa"/>
          <w:bottom w:w="0" w:type="dxa"/>
          <w:right w:w="0" w:type="dxa"/>
        </w:tblCellMar>
        <w:tblLook w:val="01E0"/>
      </w:tblPr>
      <w:tblGrid>
        <w:gridCol w:w="3194"/>
        <w:gridCol w:w="3324"/>
        <w:gridCol w:w="3051"/>
      </w:tblGrid>
      <w:tr>
        <w:trPr>
          <w:trHeight w:val="36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水平（营业收入的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宋体" w:hAnsi="宋体" w:cs="宋体" w:eastAsia="宋体" w:hint="default"/>
                <w:spacing w:val="-90"/>
                <w:sz w:val="18"/>
                <w:szCs w:val="18"/>
              </w:rPr>
              <w:t>）。</w:t>
            </w:r>
            <w:r>
              <w:rPr>
                <w:rFonts w:ascii="宋体" w:hAnsi="宋体" w:cs="宋体" w:eastAsia="宋体" w:hint="default"/>
                <w:sz w:val="18"/>
                <w:szCs w:val="18"/>
              </w:rPr>
            </w:r>
          </w:p>
        </w:tc>
        <w:tc>
          <w:tcPr>
            <w:tcW w:w="305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非财务报告重大缺陷数量（个）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非财务报告重要缺陷数量（个）</w:t>
            </w:r>
          </w:p>
        </w:tc>
        <w:tc>
          <w:tcPr>
            <w:tcW w:w="6375" w:type="dxa"/>
            <w:gridSpan w:val="2"/>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w:t>
            </w:r>
          </w:p>
        </w:tc>
      </w:tr>
    </w:tbl>
    <w:p>
      <w:pPr>
        <w:spacing w:line="240" w:lineRule="auto" w:before="2"/>
        <w:rPr>
          <w:rFonts w:ascii="宋体" w:hAnsi="宋体" w:cs="宋体" w:eastAsia="宋体" w:hint="default"/>
          <w:b/>
          <w:bCs/>
          <w:sz w:val="18"/>
          <w:szCs w:val="18"/>
        </w:rPr>
      </w:pPr>
    </w:p>
    <w:p>
      <w:pPr>
        <w:pStyle w:val="Heading4"/>
        <w:spacing w:line="240" w:lineRule="auto" w:before="26"/>
        <w:ind w:right="0"/>
        <w:jc w:val="left"/>
        <w:rPr>
          <w:b w:val="0"/>
          <w:bCs w:val="0"/>
        </w:rPr>
      </w:pPr>
      <w:bookmarkStart w:name="十、内部控制审计报告或鉴证报告" w:id="152"/>
      <w:bookmarkEnd w:id="152"/>
      <w:r>
        <w:rPr>
          <w:b w:val="0"/>
          <w:bCs w:val="0"/>
        </w:rPr>
      </w:r>
      <w:r>
        <w:rPr/>
        <w:t>十、内部控制审计报告或鉴证报告</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不适用</w:t>
      </w:r>
    </w:p>
    <w:p>
      <w:pPr>
        <w:spacing w:after="0"/>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Heading1"/>
        <w:spacing w:line="240" w:lineRule="auto"/>
        <w:ind w:left="3086" w:right="0"/>
        <w:jc w:val="left"/>
        <w:rPr>
          <w:b w:val="0"/>
          <w:bCs w:val="0"/>
        </w:rPr>
      </w:pPr>
      <w:bookmarkStart w:name="第十节 公司债券相关情况" w:id="153"/>
      <w:bookmarkEnd w:id="153"/>
      <w:r>
        <w:rPr>
          <w:b w:val="0"/>
          <w:bCs w:val="0"/>
        </w:rPr>
      </w:r>
      <w:bookmarkStart w:name="_bookmark8" w:id="154"/>
      <w:bookmarkEnd w:id="154"/>
      <w:r>
        <w:rPr>
          <w:b w:val="0"/>
          <w:bCs w:val="0"/>
        </w:rPr>
      </w:r>
      <w:r>
        <w:rPr/>
        <w:t>第十节</w:t>
      </w:r>
      <w:r>
        <w:rPr>
          <w:spacing w:val="-9"/>
        </w:rPr>
        <w:t> </w:t>
      </w:r>
      <w:r>
        <w:rPr/>
        <w:t>公司债券相关情况</w:t>
      </w:r>
      <w:r>
        <w:rPr>
          <w:b w:val="0"/>
          <w:bCs w:val="0"/>
        </w:rPr>
      </w:r>
    </w:p>
    <w:p>
      <w:pPr>
        <w:spacing w:line="240" w:lineRule="auto" w:before="8"/>
        <w:rPr>
          <w:rFonts w:ascii="宋体" w:hAnsi="宋体" w:cs="宋体" w:eastAsia="宋体" w:hint="default"/>
          <w:b/>
          <w:bCs/>
          <w:sz w:val="42"/>
          <w:szCs w:val="42"/>
        </w:rPr>
      </w:pPr>
    </w:p>
    <w:p>
      <w:pPr>
        <w:spacing w:line="357" w:lineRule="auto" w:before="0"/>
        <w:ind w:left="114" w:right="2112" w:firstLine="0"/>
        <w:jc w:val="left"/>
        <w:rPr>
          <w:rFonts w:ascii="宋体" w:hAnsi="宋体" w:cs="宋体" w:eastAsia="宋体" w:hint="default"/>
          <w:sz w:val="18"/>
          <w:szCs w:val="18"/>
        </w:rPr>
      </w:pPr>
      <w:r>
        <w:rPr>
          <w:rFonts w:ascii="宋体" w:hAnsi="宋体" w:cs="宋体" w:eastAsia="宋体" w:hint="default"/>
          <w:sz w:val="18"/>
          <w:szCs w:val="18"/>
        </w:rPr>
        <w:t>公司是否存在公开发行并在证券交易所上市，且在年度报告批准报出日未到期或到期未能全额兑付的公司债券 否</w:t>
      </w:r>
    </w:p>
    <w:p>
      <w:pPr>
        <w:spacing w:after="0" w:line="357" w:lineRule="auto"/>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pStyle w:val="Heading1"/>
        <w:spacing w:line="240" w:lineRule="auto"/>
        <w:ind w:left="3568" w:right="0"/>
        <w:jc w:val="left"/>
        <w:rPr>
          <w:b w:val="0"/>
          <w:bCs w:val="0"/>
        </w:rPr>
      </w:pPr>
      <w:bookmarkStart w:name="第十一节 财务报告" w:id="155"/>
      <w:bookmarkEnd w:id="155"/>
      <w:r>
        <w:rPr>
          <w:b w:val="0"/>
          <w:bCs w:val="0"/>
        </w:rPr>
      </w:r>
      <w:bookmarkStart w:name="_bookmark9" w:id="156"/>
      <w:bookmarkEnd w:id="156"/>
      <w:r>
        <w:rPr>
          <w:b w:val="0"/>
          <w:bCs w:val="0"/>
        </w:rPr>
      </w:r>
      <w:r>
        <w:rPr/>
        <w:t>第十一节</w:t>
      </w:r>
      <w:r>
        <w:rPr>
          <w:spacing w:val="-6"/>
        </w:rPr>
        <w:t> </w:t>
      </w:r>
      <w:r>
        <w:rPr/>
        <w:t>财务报告</w:t>
      </w:r>
      <w:r>
        <w:rPr>
          <w:b w:val="0"/>
          <w:bCs w:val="0"/>
        </w:rPr>
      </w:r>
    </w:p>
    <w:p>
      <w:pPr>
        <w:spacing w:line="240" w:lineRule="auto" w:before="0"/>
        <w:rPr>
          <w:rFonts w:ascii="宋体" w:hAnsi="宋体" w:cs="宋体" w:eastAsia="宋体" w:hint="default"/>
          <w:b/>
          <w:bCs/>
          <w:sz w:val="20"/>
          <w:szCs w:val="20"/>
        </w:rPr>
      </w:pPr>
    </w:p>
    <w:p>
      <w:pPr>
        <w:spacing w:line="240" w:lineRule="auto" w:before="12"/>
        <w:rPr>
          <w:rFonts w:ascii="宋体" w:hAnsi="宋体" w:cs="宋体" w:eastAsia="宋体" w:hint="default"/>
          <w:b/>
          <w:bCs/>
          <w:sz w:val="16"/>
          <w:szCs w:val="16"/>
        </w:rPr>
      </w:pPr>
    </w:p>
    <w:p>
      <w:pPr>
        <w:pStyle w:val="Heading4"/>
        <w:spacing w:line="240" w:lineRule="auto" w:before="26"/>
        <w:ind w:right="0"/>
        <w:jc w:val="left"/>
        <w:rPr>
          <w:b w:val="0"/>
          <w:bCs w:val="0"/>
        </w:rPr>
      </w:pPr>
      <w:bookmarkStart w:name="一、审计报告" w:id="157"/>
      <w:bookmarkEnd w:id="157"/>
      <w:r>
        <w:rPr>
          <w:b w:val="0"/>
          <w:bCs w:val="0"/>
        </w:rPr>
      </w:r>
      <w:r>
        <w:rPr/>
        <w:t>一、审计报告</w:t>
      </w:r>
      <w:r>
        <w:rPr>
          <w:b w:val="0"/>
          <w:bCs w:val="0"/>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4"/>
        <w:gridCol w:w="4785"/>
      </w:tblGrid>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审计意见类型</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标准的无保留意见</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审计报告签署日期</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审计机构名称</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立信会计师事务所（特殊普通合伙）</w:t>
            </w:r>
          </w:p>
        </w:tc>
      </w:tr>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审计报告文号</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信会师报字</w:t>
            </w:r>
            <w:r>
              <w:rPr>
                <w:rFonts w:ascii="Times New Roman" w:hAnsi="Times New Roman" w:cs="Times New Roman" w:eastAsia="Times New Roman" w:hint="default"/>
                <w:sz w:val="18"/>
                <w:szCs w:val="18"/>
              </w:rPr>
              <w:t>[2019]</w:t>
            </w:r>
            <w:r>
              <w:rPr>
                <w:rFonts w:ascii="宋体" w:hAnsi="宋体" w:cs="宋体" w:eastAsia="宋体" w:hint="default"/>
                <w:sz w:val="18"/>
                <w:szCs w:val="18"/>
              </w:rPr>
              <w:t>第</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ZA11298</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号</w:t>
            </w:r>
          </w:p>
        </w:tc>
      </w:tr>
      <w:tr>
        <w:trPr>
          <w:trHeight w:val="403"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注册会计师姓名</w:t>
            </w:r>
          </w:p>
        </w:tc>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庄继宁、吴海燕</w:t>
            </w:r>
          </w:p>
        </w:tc>
      </w:tr>
    </w:tbl>
    <w:p>
      <w:pPr>
        <w:spacing w:before="51"/>
        <w:ind w:left="2384" w:right="3400" w:firstLine="0"/>
        <w:jc w:val="center"/>
        <w:rPr>
          <w:rFonts w:ascii="宋体" w:hAnsi="宋体" w:cs="宋体" w:eastAsia="宋体" w:hint="default"/>
          <w:sz w:val="18"/>
          <w:szCs w:val="18"/>
        </w:rPr>
      </w:pPr>
      <w:r>
        <w:rPr>
          <w:rFonts w:ascii="宋体" w:hAnsi="宋体" w:cs="宋体" w:eastAsia="宋体" w:hint="default"/>
          <w:sz w:val="18"/>
          <w:szCs w:val="18"/>
        </w:rPr>
        <w:t>审计报告正文</w:t>
      </w:r>
    </w:p>
    <w:p>
      <w:pPr>
        <w:spacing w:line="240" w:lineRule="auto" w:before="6"/>
        <w:rPr>
          <w:rFonts w:ascii="宋体" w:hAnsi="宋体" w:cs="宋体" w:eastAsia="宋体" w:hint="default"/>
          <w:sz w:val="14"/>
          <w:szCs w:val="14"/>
        </w:rPr>
      </w:pPr>
    </w:p>
    <w:p>
      <w:pPr>
        <w:pStyle w:val="Heading2"/>
        <w:spacing w:line="240" w:lineRule="auto"/>
        <w:ind w:right="0"/>
        <w:jc w:val="left"/>
        <w:rPr>
          <w:b w:val="0"/>
          <w:bCs w:val="0"/>
        </w:rPr>
      </w:pPr>
      <w:r>
        <w:rPr/>
        <w:t>上海中信信息发展股份有限公司全体股东：</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39"/>
          <w:szCs w:val="39"/>
        </w:rPr>
      </w:pPr>
    </w:p>
    <w:p>
      <w:pPr>
        <w:pStyle w:val="Heading2"/>
        <w:spacing w:line="240" w:lineRule="auto"/>
        <w:ind w:left="1101" w:right="0"/>
        <w:jc w:val="left"/>
        <w:rPr>
          <w:b w:val="0"/>
          <w:bCs w:val="0"/>
        </w:rPr>
      </w:pPr>
      <w:r>
        <w:rPr/>
        <w:t>审计意见</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39"/>
          <w:szCs w:val="39"/>
        </w:rPr>
      </w:pPr>
    </w:p>
    <w:p>
      <w:pPr>
        <w:pStyle w:val="Heading3"/>
        <w:spacing w:line="400" w:lineRule="auto"/>
        <w:ind w:left="474" w:right="1168"/>
        <w:jc w:val="both"/>
      </w:pPr>
      <w:r>
        <w:rPr>
          <w:w w:val="95"/>
        </w:rPr>
        <w:t>我们审计了上海中信信息发展股份有限公司（以下简称信息发展公司）</w:t>
      </w:r>
      <w:r>
        <w:rPr>
          <w:w w:val="99"/>
        </w:rPr>
        <w:t> </w:t>
      </w:r>
      <w:r>
        <w:rPr/>
        <w:t>财务报表，包括</w:t>
      </w:r>
      <w:r>
        <w:rPr>
          <w:rFonts w:ascii="Times New Roman" w:hAnsi="Times New Roman" w:cs="Times New Roman" w:eastAsia="Times New Roman" w:hint="default"/>
        </w:rPr>
        <w:t>2018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日的合并及母公司资产负债表，</w:t>
      </w:r>
      <w:r>
        <w:rPr>
          <w:rFonts w:ascii="Times New Roman" w:hAnsi="Times New Roman" w:cs="Times New Roman" w:eastAsia="Times New Roman" w:hint="default"/>
        </w:rPr>
        <w:t>2018</w:t>
      </w:r>
      <w:r>
        <w:rPr/>
        <w:t>年度的合</w:t>
      </w:r>
      <w:r>
        <w:rPr>
          <w:w w:val="99"/>
        </w:rPr>
        <w:t> </w:t>
      </w:r>
      <w:r>
        <w:rPr/>
        <w:t>并及母公司利润表、合并及母公司现金流量表、合并及母公司股东权益变动</w:t>
      </w:r>
      <w:r>
        <w:rPr>
          <w:w w:val="99"/>
        </w:rPr>
        <w:t> </w:t>
      </w:r>
      <w:r>
        <w:rPr/>
        <w:t>表以及相关财务报表附注。</w:t>
      </w:r>
    </w:p>
    <w:p>
      <w:pPr>
        <w:pStyle w:val="Heading3"/>
        <w:spacing w:line="398" w:lineRule="auto" w:before="70"/>
        <w:ind w:left="474" w:right="1168"/>
        <w:jc w:val="both"/>
      </w:pPr>
      <w:r>
        <w:rPr>
          <w:w w:val="95"/>
        </w:rPr>
        <w:t>我们认为，后附的财务报表在所有重大方面按照企业会计准则的规定编</w:t>
      </w:r>
      <w:r>
        <w:rPr>
          <w:w w:val="99"/>
        </w:rPr>
        <w:t> </w:t>
      </w:r>
      <w:r>
        <w:rPr>
          <w:w w:val="95"/>
        </w:rPr>
        <w:t>制，公允反映了信息发展公司</w:t>
      </w:r>
      <w:r>
        <w:rPr>
          <w:rFonts w:ascii="Times New Roman" w:hAnsi="Times New Roman" w:cs="Times New Roman" w:eastAsia="Times New Roman" w:hint="default"/>
          <w:w w:val="95"/>
        </w:rPr>
        <w:t>2018</w:t>
      </w:r>
      <w:r>
        <w:rPr>
          <w:w w:val="95"/>
        </w:rPr>
        <w:t>年</w:t>
      </w:r>
      <w:r>
        <w:rPr>
          <w:rFonts w:ascii="Times New Roman" w:hAnsi="Times New Roman" w:cs="Times New Roman" w:eastAsia="Times New Roman" w:hint="default"/>
          <w:w w:val="95"/>
        </w:rPr>
        <w:t>12</w:t>
      </w:r>
      <w:r>
        <w:rPr>
          <w:w w:val="95"/>
        </w:rPr>
        <w:t>月</w:t>
      </w:r>
      <w:r>
        <w:rPr>
          <w:rFonts w:ascii="Times New Roman" w:hAnsi="Times New Roman" w:cs="Times New Roman" w:eastAsia="Times New Roman" w:hint="default"/>
          <w:w w:val="95"/>
        </w:rPr>
        <w:t>31</w:t>
      </w:r>
      <w:r>
        <w:rPr>
          <w:w w:val="95"/>
        </w:rPr>
        <w:t>日的合并及母公司财务状况以及</w:t>
      </w:r>
      <w:r>
        <w:rPr>
          <w:spacing w:val="46"/>
          <w:w w:val="95"/>
        </w:rPr>
        <w:t> </w:t>
      </w:r>
      <w:r>
        <w:rPr>
          <w:spacing w:val="46"/>
          <w:w w:val="95"/>
        </w:rPr>
      </w:r>
      <w:r>
        <w:rPr>
          <w:rFonts w:ascii="Times New Roman" w:hAnsi="Times New Roman" w:cs="Times New Roman" w:eastAsia="Times New Roman" w:hint="default"/>
        </w:rPr>
        <w:t>2018</w:t>
      </w:r>
      <w:r>
        <w:rPr/>
        <w:t>年度的合并及母公司经营成果和现金流量。</w:t>
      </w:r>
    </w:p>
    <w:p>
      <w:pPr>
        <w:spacing w:line="240" w:lineRule="auto" w:before="0"/>
        <w:rPr>
          <w:rFonts w:ascii="宋体" w:hAnsi="宋体" w:cs="宋体" w:eastAsia="宋体" w:hint="default"/>
          <w:sz w:val="28"/>
          <w:szCs w:val="28"/>
        </w:rPr>
      </w:pPr>
    </w:p>
    <w:p>
      <w:pPr>
        <w:spacing w:line="240" w:lineRule="auto" w:before="1"/>
        <w:rPr>
          <w:rFonts w:ascii="宋体" w:hAnsi="宋体" w:cs="宋体" w:eastAsia="宋体" w:hint="default"/>
          <w:sz w:val="22"/>
          <w:szCs w:val="22"/>
        </w:rPr>
      </w:pPr>
    </w:p>
    <w:p>
      <w:pPr>
        <w:pStyle w:val="Heading2"/>
        <w:spacing w:line="240" w:lineRule="auto"/>
        <w:ind w:left="1101" w:right="0"/>
        <w:jc w:val="left"/>
        <w:rPr>
          <w:b w:val="0"/>
          <w:bCs w:val="0"/>
        </w:rPr>
      </w:pPr>
      <w:r>
        <w:rPr/>
        <w:t>形成审计意见的基础</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39"/>
          <w:szCs w:val="39"/>
        </w:rPr>
      </w:pPr>
    </w:p>
    <w:p>
      <w:pPr>
        <w:pStyle w:val="Heading3"/>
        <w:spacing w:line="240" w:lineRule="auto"/>
        <w:ind w:left="1041" w:right="0" w:firstLine="0"/>
        <w:jc w:val="left"/>
      </w:pPr>
      <w:r>
        <w:rPr/>
        <w:t>我们按照中国注册会计师审计准则的规定执行了审计工作。审计报告的</w:t>
      </w:r>
    </w:p>
    <w:p>
      <w:pPr>
        <w:spacing w:after="0" w:line="240" w:lineRule="auto"/>
        <w:jc w:val="left"/>
        <w:sectPr>
          <w:pgSz w:w="11910" w:h="16840"/>
          <w:pgMar w:header="822" w:footer="1019" w:top="1140" w:bottom="1200" w:left="1020" w:right="0"/>
        </w:sectPr>
      </w:pPr>
    </w:p>
    <w:p>
      <w:pPr>
        <w:spacing w:line="240" w:lineRule="auto" w:before="2"/>
        <w:rPr>
          <w:rFonts w:ascii="宋体" w:hAnsi="宋体" w:cs="宋体" w:eastAsia="宋体" w:hint="default"/>
          <w:sz w:val="28"/>
          <w:szCs w:val="28"/>
        </w:rPr>
      </w:pPr>
    </w:p>
    <w:p>
      <w:pPr>
        <w:pStyle w:val="Heading3"/>
        <w:spacing w:line="400" w:lineRule="auto" w:before="13"/>
        <w:ind w:left="474" w:right="1176" w:firstLine="0"/>
        <w:jc w:val="both"/>
      </w:pPr>
      <w:r>
        <w:rPr>
          <w:rFonts w:ascii="Times New Roman" w:hAnsi="Times New Roman" w:cs="Times New Roman" w:eastAsia="Times New Roman" w:hint="default"/>
        </w:rPr>
        <w:t>“</w:t>
      </w:r>
      <w:r>
        <w:rPr/>
        <w:t>注册会计师对财务报表审计的责任</w:t>
      </w:r>
      <w:r>
        <w:rPr>
          <w:rFonts w:ascii="Times New Roman" w:hAnsi="Times New Roman" w:cs="Times New Roman" w:eastAsia="Times New Roman" w:hint="default"/>
        </w:rPr>
        <w:t>”</w:t>
      </w:r>
      <w:r>
        <w:rPr/>
        <w:t>部分进一步阐述了我们在这些准则下的</w:t>
      </w:r>
      <w:r>
        <w:rPr>
          <w:w w:val="99"/>
        </w:rPr>
        <w:t> </w:t>
      </w:r>
      <w:r>
        <w:rPr>
          <w:w w:val="95"/>
        </w:rPr>
        <w:t>责任。按照中国注册会计师职业道德守则，我们独立于信息发展公司，并履</w:t>
      </w:r>
      <w:r>
        <w:rPr>
          <w:spacing w:val="49"/>
          <w:w w:val="95"/>
        </w:rPr>
        <w:t> </w:t>
      </w:r>
      <w:r>
        <w:rPr>
          <w:w w:val="95"/>
        </w:rPr>
        <w:t>行了职业道德方面的其他责任。我们相信，我们获取的审计证据是充分、适</w:t>
      </w:r>
      <w:r>
        <w:rPr>
          <w:spacing w:val="49"/>
          <w:w w:val="95"/>
        </w:rPr>
        <w:t> </w:t>
      </w:r>
      <w:r>
        <w:rPr/>
        <w:t>当的，为发表审计意见提供了基础。</w:t>
      </w:r>
    </w:p>
    <w:p>
      <w:pPr>
        <w:spacing w:line="240" w:lineRule="auto" w:before="0"/>
        <w:rPr>
          <w:rFonts w:ascii="宋体" w:hAnsi="宋体" w:cs="宋体" w:eastAsia="宋体" w:hint="default"/>
          <w:sz w:val="28"/>
          <w:szCs w:val="28"/>
        </w:rPr>
      </w:pPr>
    </w:p>
    <w:p>
      <w:pPr>
        <w:spacing w:line="240" w:lineRule="auto" w:before="0"/>
        <w:rPr>
          <w:rFonts w:ascii="宋体" w:hAnsi="宋体" w:cs="宋体" w:eastAsia="宋体" w:hint="default"/>
          <w:sz w:val="25"/>
          <w:szCs w:val="25"/>
        </w:rPr>
      </w:pPr>
    </w:p>
    <w:p>
      <w:pPr>
        <w:pStyle w:val="Heading2"/>
        <w:spacing w:line="240" w:lineRule="auto"/>
        <w:ind w:left="741" w:right="0"/>
        <w:jc w:val="left"/>
        <w:rPr>
          <w:b w:val="0"/>
          <w:bCs w:val="0"/>
        </w:rPr>
      </w:pPr>
      <w:r>
        <w:rPr/>
        <w:t>关键审计事项</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39"/>
          <w:szCs w:val="39"/>
        </w:rPr>
      </w:pPr>
    </w:p>
    <w:p>
      <w:pPr>
        <w:pStyle w:val="Heading3"/>
        <w:spacing w:line="408" w:lineRule="auto"/>
        <w:ind w:right="1249"/>
        <w:jc w:val="both"/>
      </w:pPr>
      <w:r>
        <w:rPr>
          <w:w w:val="95"/>
        </w:rPr>
        <w:t>关键审计事项是我们根据职业判断，认为对本期财务报表审计最为重要的</w:t>
      </w:r>
      <w:r>
        <w:rPr>
          <w:w w:val="99"/>
        </w:rPr>
        <w:t> </w:t>
      </w:r>
      <w:r>
        <w:rPr/>
        <w:t>事项。这些事项的应对以对财务报表整体进行审计并形成审计意见为背景，我</w:t>
      </w:r>
      <w:r>
        <w:rPr>
          <w:w w:val="99"/>
        </w:rPr>
        <w:t> </w:t>
      </w:r>
      <w:r>
        <w:rPr/>
        <w:t>们不对这些事项单独发表意见。我们确定下列事项是需要在审计报告中沟通的</w:t>
      </w:r>
      <w:r>
        <w:rPr>
          <w:w w:val="99"/>
        </w:rPr>
        <w:t> </w:t>
      </w:r>
      <w:r>
        <w:rPr/>
        <w:t>关键审计事项。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3"/>
          <w:szCs w:val="13"/>
        </w:rPr>
      </w:pPr>
    </w:p>
    <w:tbl>
      <w:tblPr>
        <w:tblW w:w="0" w:type="auto"/>
        <w:jc w:val="left"/>
        <w:tblInd w:w="106" w:type="dxa"/>
        <w:tblLayout w:type="fixed"/>
        <w:tblCellMar>
          <w:top w:w="0" w:type="dxa"/>
          <w:left w:w="0" w:type="dxa"/>
          <w:bottom w:w="0" w:type="dxa"/>
          <w:right w:w="0" w:type="dxa"/>
        </w:tblCellMar>
        <w:tblLook w:val="01E0"/>
      </w:tblPr>
      <w:tblGrid>
        <w:gridCol w:w="4154"/>
        <w:gridCol w:w="4070"/>
      </w:tblGrid>
      <w:tr>
        <w:trPr>
          <w:trHeight w:val="667" w:hRule="exact"/>
        </w:trPr>
        <w:tc>
          <w:tcPr>
            <w:tcW w:w="4154" w:type="dxa"/>
            <w:tcBorders>
              <w:top w:val="single" w:sz="6" w:space="0" w:color="000000"/>
              <w:left w:val="single" w:sz="6" w:space="0" w:color="000000"/>
              <w:bottom w:val="single" w:sz="12" w:space="0" w:color="000000"/>
              <w:right w:val="single" w:sz="6" w:space="0" w:color="000000"/>
            </w:tcBorders>
          </w:tcPr>
          <w:p>
            <w:pPr>
              <w:pStyle w:val="TableParagraph"/>
              <w:spacing w:line="240" w:lineRule="auto" w:before="95"/>
              <w:ind w:left="1225" w:right="0"/>
              <w:jc w:val="left"/>
              <w:rPr>
                <w:rFonts w:ascii="宋体" w:hAnsi="宋体" w:cs="宋体" w:eastAsia="宋体" w:hint="default"/>
                <w:sz w:val="28"/>
                <w:szCs w:val="28"/>
              </w:rPr>
            </w:pPr>
            <w:r>
              <w:rPr>
                <w:rFonts w:ascii="宋体" w:hAnsi="宋体" w:cs="宋体" w:eastAsia="宋体" w:hint="default"/>
                <w:b/>
                <w:bCs/>
                <w:sz w:val="28"/>
                <w:szCs w:val="28"/>
              </w:rPr>
              <w:t>关键审计事项</w:t>
            </w:r>
            <w:r>
              <w:rPr>
                <w:rFonts w:ascii="宋体" w:hAnsi="宋体" w:cs="宋体" w:eastAsia="宋体" w:hint="default"/>
                <w:sz w:val="28"/>
                <w:szCs w:val="28"/>
              </w:rPr>
            </w:r>
          </w:p>
        </w:tc>
        <w:tc>
          <w:tcPr>
            <w:tcW w:w="4070" w:type="dxa"/>
            <w:tcBorders>
              <w:top w:val="single" w:sz="6" w:space="0" w:color="000000"/>
              <w:left w:val="single" w:sz="6" w:space="0" w:color="000000"/>
              <w:bottom w:val="single" w:sz="12" w:space="0" w:color="000000"/>
              <w:right w:val="nil" w:sz="6" w:space="0" w:color="auto"/>
            </w:tcBorders>
          </w:tcPr>
          <w:p>
            <w:pPr>
              <w:pStyle w:val="TableParagraph"/>
              <w:spacing w:line="240" w:lineRule="auto" w:before="95"/>
              <w:ind w:left="199" w:right="0"/>
              <w:jc w:val="left"/>
              <w:rPr>
                <w:rFonts w:ascii="宋体" w:hAnsi="宋体" w:cs="宋体" w:eastAsia="宋体" w:hint="default"/>
                <w:sz w:val="28"/>
                <w:szCs w:val="28"/>
              </w:rPr>
            </w:pPr>
            <w:r>
              <w:rPr>
                <w:rFonts w:ascii="宋体" w:hAnsi="宋体" w:cs="宋体" w:eastAsia="宋体" w:hint="default"/>
                <w:b/>
                <w:bCs/>
                <w:sz w:val="28"/>
                <w:szCs w:val="28"/>
              </w:rPr>
              <w:t>该事项在审计中是如何应对的</w:t>
            </w:r>
            <w:r>
              <w:rPr>
                <w:rFonts w:ascii="宋体" w:hAnsi="宋体" w:cs="宋体" w:eastAsia="宋体" w:hint="default"/>
                <w:sz w:val="28"/>
                <w:szCs w:val="28"/>
              </w:rPr>
            </w:r>
          </w:p>
        </w:tc>
      </w:tr>
      <w:tr>
        <w:trPr>
          <w:trHeight w:val="352" w:hRule="exact"/>
        </w:trPr>
        <w:tc>
          <w:tcPr>
            <w:tcW w:w="8224" w:type="dxa"/>
            <w:gridSpan w:val="2"/>
            <w:tcBorders>
              <w:top w:val="single" w:sz="12" w:space="0" w:color="000000"/>
              <w:left w:val="single" w:sz="6" w:space="0" w:color="000000"/>
              <w:bottom w:val="single" w:sz="12" w:space="0" w:color="000000"/>
              <w:right w:val="nil" w:sz="6" w:space="0" w:color="auto"/>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b/>
                <w:bCs/>
                <w:sz w:val="21"/>
                <w:szCs w:val="21"/>
              </w:rPr>
              <w:t>（一）收入确认</w:t>
            </w:r>
            <w:r>
              <w:rPr>
                <w:rFonts w:ascii="宋体" w:hAnsi="宋体" w:cs="宋体" w:eastAsia="宋体" w:hint="default"/>
                <w:sz w:val="21"/>
                <w:szCs w:val="21"/>
              </w:rPr>
            </w:r>
          </w:p>
        </w:tc>
      </w:tr>
      <w:tr>
        <w:trPr>
          <w:trHeight w:val="4721" w:hRule="exact"/>
        </w:trPr>
        <w:tc>
          <w:tcPr>
            <w:tcW w:w="415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收入确认的会计政策详情及收入的分析请参</w:t>
            </w:r>
          </w:p>
          <w:p>
            <w:pPr>
              <w:pStyle w:val="TableParagraph"/>
              <w:spacing w:line="273" w:lineRule="auto" w:before="37"/>
              <w:ind w:left="2" w:right="-17"/>
              <w:jc w:val="left"/>
              <w:rPr>
                <w:rFonts w:ascii="宋体" w:hAnsi="宋体" w:cs="宋体" w:eastAsia="宋体" w:hint="default"/>
                <w:sz w:val="21"/>
                <w:szCs w:val="21"/>
              </w:rPr>
            </w:pPr>
            <w:r>
              <w:rPr>
                <w:rFonts w:ascii="宋体" w:hAnsi="宋体" w:cs="宋体" w:eastAsia="宋体" w:hint="default"/>
                <w:spacing w:val="-4"/>
                <w:sz w:val="21"/>
                <w:szCs w:val="21"/>
              </w:rPr>
              <w:t>阅合并财务报表附注“三、重要会计政策和会</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计估计”注释（二十二）所述的会计政策及 </w:t>
            </w:r>
            <w:r>
              <w:rPr>
                <w:rFonts w:ascii="Times New Roman" w:hAnsi="Times New Roman" w:cs="Times New Roman" w:eastAsia="Times New Roman" w:hint="default"/>
                <w:spacing w:val="-16"/>
                <w:w w:val="100"/>
                <w:sz w:val="21"/>
                <w:szCs w:val="21"/>
              </w:rPr>
              <w:t>“</w:t>
            </w:r>
            <w:r>
              <w:rPr>
                <w:rFonts w:ascii="宋体" w:hAnsi="宋体" w:cs="宋体" w:eastAsia="宋体" w:hint="default"/>
                <w:spacing w:val="-16"/>
                <w:w w:val="100"/>
                <w:sz w:val="21"/>
                <w:szCs w:val="21"/>
              </w:rPr>
              <w:t>五、合并财务报表项目附注”注释（二十九）。</w:t>
            </w:r>
            <w:r>
              <w:rPr>
                <w:rFonts w:ascii="宋体" w:hAnsi="宋体" w:cs="宋体" w:eastAsia="宋体" w:hint="default"/>
                <w:w w:val="100"/>
                <w:sz w:val="21"/>
                <w:szCs w:val="21"/>
              </w:rPr>
            </w:r>
          </w:p>
          <w:p>
            <w:pPr>
              <w:pStyle w:val="TableParagraph"/>
              <w:spacing w:line="240" w:lineRule="auto" w:before="13"/>
              <w:ind w:right="0"/>
              <w:jc w:val="left"/>
              <w:rPr>
                <w:rFonts w:ascii="宋体" w:hAnsi="宋体" w:cs="宋体" w:eastAsia="宋体" w:hint="default"/>
                <w:sz w:val="22"/>
                <w:szCs w:val="22"/>
              </w:rPr>
            </w:pPr>
          </w:p>
          <w:p>
            <w:pPr>
              <w:pStyle w:val="TableParagraph"/>
              <w:spacing w:line="268" w:lineRule="auto"/>
              <w:ind w:left="2" w:right="3"/>
              <w:jc w:val="left"/>
              <w:rPr>
                <w:rFonts w:ascii="宋体" w:hAnsi="宋体" w:cs="宋体" w:eastAsia="宋体" w:hint="default"/>
                <w:sz w:val="21"/>
                <w:szCs w:val="21"/>
              </w:rPr>
            </w:pPr>
            <w:r>
              <w:rPr>
                <w:rFonts w:ascii="宋体" w:hAnsi="宋体" w:cs="宋体" w:eastAsia="宋体" w:hint="default"/>
                <w:sz w:val="21"/>
                <w:szCs w:val="21"/>
              </w:rPr>
              <w:t>信息发展公司已确认</w:t>
            </w:r>
            <w:r>
              <w:rPr>
                <w:rFonts w:ascii="Times New Roman" w:hAnsi="Times New Roman" w:cs="Times New Roman" w:eastAsia="Times New Roman" w:hint="default"/>
                <w:sz w:val="21"/>
                <w:szCs w:val="21"/>
              </w:rPr>
              <w:t>2018</w:t>
            </w:r>
            <w:r>
              <w:rPr>
                <w:rFonts w:ascii="宋体" w:hAnsi="宋体" w:cs="宋体" w:eastAsia="宋体" w:hint="default"/>
                <w:sz w:val="21"/>
                <w:szCs w:val="21"/>
              </w:rPr>
              <w:t>年度的收入为人民 </w:t>
            </w:r>
            <w:r>
              <w:rPr>
                <w:rFonts w:ascii="宋体" w:hAnsi="宋体" w:cs="宋体" w:eastAsia="宋体" w:hint="default"/>
                <w:spacing w:val="-3"/>
                <w:sz w:val="21"/>
                <w:szCs w:val="21"/>
              </w:rPr>
              <w:t>币</w:t>
            </w:r>
            <w:r>
              <w:rPr>
                <w:rFonts w:ascii="Times New Roman" w:hAnsi="Times New Roman" w:cs="Times New Roman" w:eastAsia="Times New Roman" w:hint="default"/>
                <w:spacing w:val="-3"/>
                <w:sz w:val="21"/>
                <w:szCs w:val="21"/>
              </w:rPr>
              <w:t>70,694.01</w:t>
            </w:r>
            <w:r>
              <w:rPr>
                <w:rFonts w:ascii="宋体" w:hAnsi="宋体" w:cs="宋体" w:eastAsia="宋体" w:hint="default"/>
                <w:spacing w:val="-3"/>
                <w:sz w:val="21"/>
                <w:szCs w:val="21"/>
              </w:rPr>
              <w:t>万元，主要包括系统集成、技术支</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持与服务及应用软件开发与销售收入。 </w:t>
            </w:r>
            <w:r>
              <w:rPr>
                <w:rFonts w:ascii="宋体" w:hAnsi="宋体" w:cs="宋体" w:eastAsia="宋体" w:hint="default"/>
                <w:spacing w:val="-4"/>
                <w:sz w:val="21"/>
                <w:szCs w:val="21"/>
              </w:rPr>
              <w:t>系统集成业务，是根据合同的约定，在系统集</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4"/>
                <w:sz w:val="21"/>
                <w:szCs w:val="21"/>
              </w:rPr>
              <w:t>成项目中的软件产品和外购硬件（原材料、设</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4"/>
                <w:sz w:val="21"/>
                <w:szCs w:val="21"/>
              </w:rPr>
              <w:t>备等）已交付给客户，系统已按合同约定的条</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4"/>
                <w:sz w:val="21"/>
                <w:szCs w:val="21"/>
              </w:rPr>
              <w:t>件完成安装调试，通过客户验收完成后确认收</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4"/>
                <w:sz w:val="21"/>
                <w:szCs w:val="21"/>
              </w:rPr>
              <w:t>入的实现。技术支持与服务，是按合同约定的</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4"/>
                <w:sz w:val="21"/>
                <w:szCs w:val="21"/>
              </w:rPr>
              <w:t>服务期限或经用户确认后确认收入的实现。应</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4"/>
                <w:sz w:val="21"/>
                <w:szCs w:val="21"/>
              </w:rPr>
              <w:t>用软件开发与销售，是按照合同约定、在项目</w:t>
            </w:r>
          </w:p>
        </w:tc>
        <w:tc>
          <w:tcPr>
            <w:tcW w:w="407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与评价收入确认相关的审计程序包括以下程</w:t>
            </w:r>
          </w:p>
          <w:p>
            <w:pPr>
              <w:pStyle w:val="TableParagraph"/>
              <w:spacing w:line="268" w:lineRule="auto" w:before="37"/>
              <w:ind w:left="2" w:right="-35"/>
              <w:jc w:val="left"/>
              <w:rPr>
                <w:rFonts w:ascii="宋体" w:hAnsi="宋体" w:cs="宋体" w:eastAsia="宋体" w:hint="default"/>
                <w:sz w:val="21"/>
                <w:szCs w:val="21"/>
              </w:rPr>
            </w:pPr>
            <w:r>
              <w:rPr>
                <w:rFonts w:ascii="宋体" w:hAnsi="宋体" w:cs="宋体" w:eastAsia="宋体" w:hint="default"/>
                <w:sz w:val="21"/>
                <w:szCs w:val="21"/>
              </w:rPr>
              <w:t>序： </w:t>
            </w:r>
            <w:r>
              <w:rPr>
                <w:rFonts w:ascii="Times New Roman" w:hAnsi="Times New Roman" w:cs="Times New Roman" w:eastAsia="Times New Roman" w:hint="default"/>
                <w:spacing w:val="-3"/>
                <w:sz w:val="21"/>
                <w:szCs w:val="21"/>
              </w:rPr>
              <w:t>1</w:t>
            </w:r>
            <w:r>
              <w:rPr>
                <w:rFonts w:ascii="宋体" w:hAnsi="宋体" w:cs="宋体" w:eastAsia="宋体" w:hint="default"/>
                <w:spacing w:val="-3"/>
                <w:sz w:val="21"/>
                <w:szCs w:val="21"/>
              </w:rPr>
              <w:t>、了解和评价管理层与收入确认相关的关键</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内部控制的设计和运行有效性，确定其可依 赖； </w:t>
            </w: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、根据不同收入类别，选取样本检查销售合</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同，识别与商品所有权上的风险和报酬转移 相关的合同条款与条件，评价收入确认时点 是否符合企业会计准则的要求； </w:t>
            </w:r>
            <w:r>
              <w:rPr>
                <w:rFonts w:ascii="Times New Roman" w:hAnsi="Times New Roman" w:cs="Times New Roman" w:eastAsia="Times New Roman" w:hint="default"/>
                <w:sz w:val="21"/>
                <w:szCs w:val="21"/>
              </w:rPr>
              <w:t>3</w:t>
            </w:r>
            <w:r>
              <w:rPr>
                <w:rFonts w:ascii="宋体" w:hAnsi="宋体" w:cs="宋体" w:eastAsia="宋体" w:hint="default"/>
                <w:sz w:val="21"/>
                <w:szCs w:val="21"/>
              </w:rPr>
              <w:t>、按项目类别对收入和成本执行分析程序， 包括：本期收入、成本、毛利波动分析，以 及与上期比较分析；主要项目本期收入、成 本、毛利率的具体分析等，判断是否出现异 常波动的情况； </w:t>
            </w:r>
            <w:r>
              <w:rPr>
                <w:rFonts w:ascii="Times New Roman" w:hAnsi="Times New Roman" w:cs="Times New Roman" w:eastAsia="Times New Roman" w:hint="default"/>
                <w:spacing w:val="-3"/>
                <w:sz w:val="21"/>
                <w:szCs w:val="21"/>
              </w:rPr>
              <w:t>4</w:t>
            </w:r>
            <w:r>
              <w:rPr>
                <w:rFonts w:ascii="宋体" w:hAnsi="宋体" w:cs="宋体" w:eastAsia="宋体" w:hint="default"/>
                <w:spacing w:val="-3"/>
                <w:sz w:val="21"/>
                <w:szCs w:val="21"/>
              </w:rPr>
              <w:t>、对本年记录的收入交易选取样本，核对销</w:t>
            </w:r>
          </w:p>
        </w:tc>
      </w:tr>
    </w:tbl>
    <w:p>
      <w:pPr>
        <w:spacing w:after="0" w:line="268" w:lineRule="auto"/>
        <w:jc w:val="left"/>
        <w:rPr>
          <w:rFonts w:ascii="宋体" w:hAnsi="宋体" w:cs="宋体" w:eastAsia="宋体" w:hint="default"/>
          <w:sz w:val="21"/>
          <w:szCs w:val="21"/>
        </w:rPr>
        <w:sectPr>
          <w:pgSz w:w="11910" w:h="16840"/>
          <w:pgMar w:header="822" w:footer="1019" w:top="1140" w:bottom="1200" w:left="1020" w:right="0"/>
        </w:sectPr>
      </w:pPr>
    </w:p>
    <w:p>
      <w:pPr>
        <w:spacing w:line="240" w:lineRule="auto" w:before="0"/>
        <w:rPr>
          <w:rFonts w:ascii="宋体" w:hAnsi="宋体" w:cs="宋体" w:eastAsia="宋体" w:hint="default"/>
          <w:sz w:val="20"/>
          <w:szCs w:val="20"/>
        </w:rPr>
      </w:pPr>
      <w:r>
        <w:rPr/>
        <w:pict>
          <v:shape style="position:absolute;margin-left:56.34pt;margin-top:71.999985pt;width:413.05pt;height:697.7pt;mso-position-horizontal-relative:page;mso-position-vertical-relative:page;z-index:126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154"/>
                    <w:gridCol w:w="4070"/>
                  </w:tblGrid>
                  <w:tr>
                    <w:trPr>
                      <w:trHeight w:val="3787" w:hRule="exact"/>
                    </w:trPr>
                    <w:tc>
                      <w:tcPr>
                        <w:tcW w:w="4154" w:type="dxa"/>
                        <w:tcBorders>
                          <w:top w:val="single" w:sz="6" w:space="0" w:color="000000"/>
                          <w:left w:val="single" w:sz="6" w:space="0" w:color="000000"/>
                          <w:bottom w:val="single" w:sz="12" w:space="0" w:color="000000"/>
                          <w:right w:val="single" w:sz="6" w:space="0" w:color="000000"/>
                        </w:tcBorders>
                      </w:tcPr>
                      <w:p>
                        <w:pPr>
                          <w:pStyle w:val="TableParagraph"/>
                          <w:spacing w:line="273" w:lineRule="auto"/>
                          <w:ind w:left="2" w:right="145"/>
                          <w:jc w:val="left"/>
                          <w:rPr>
                            <w:rFonts w:ascii="宋体" w:hAnsi="宋体" w:cs="宋体" w:eastAsia="宋体" w:hint="default"/>
                            <w:sz w:val="21"/>
                            <w:szCs w:val="21"/>
                          </w:rPr>
                        </w:pPr>
                        <w:r>
                          <w:rPr>
                            <w:rFonts w:ascii="宋体" w:hAnsi="宋体" w:cs="宋体" w:eastAsia="宋体" w:hint="default"/>
                            <w:sz w:val="21"/>
                            <w:szCs w:val="21"/>
                          </w:rPr>
                          <w:t>实施完成并经对方验收合格后确认收入的实 现。</w:t>
                        </w:r>
                      </w:p>
                      <w:p>
                        <w:pPr>
                          <w:pStyle w:val="TableParagraph"/>
                          <w:spacing w:line="240" w:lineRule="auto" w:before="6"/>
                          <w:ind w:right="0"/>
                          <w:jc w:val="left"/>
                          <w:rPr>
                            <w:rFonts w:ascii="宋体" w:hAnsi="宋体" w:cs="宋体" w:eastAsia="宋体" w:hint="default"/>
                            <w:sz w:val="24"/>
                            <w:szCs w:val="24"/>
                          </w:rPr>
                        </w:pPr>
                      </w:p>
                      <w:p>
                        <w:pPr>
                          <w:pStyle w:val="TableParagraph"/>
                          <w:spacing w:line="273" w:lineRule="auto"/>
                          <w:ind w:left="2" w:right="2"/>
                          <w:jc w:val="left"/>
                          <w:rPr>
                            <w:rFonts w:ascii="宋体" w:hAnsi="宋体" w:cs="宋体" w:eastAsia="宋体" w:hint="default"/>
                            <w:sz w:val="21"/>
                            <w:szCs w:val="21"/>
                          </w:rPr>
                        </w:pPr>
                        <w:r>
                          <w:rPr>
                            <w:rFonts w:ascii="宋体" w:hAnsi="宋体" w:cs="宋体" w:eastAsia="宋体" w:hint="default"/>
                            <w:sz w:val="21"/>
                            <w:szCs w:val="21"/>
                          </w:rPr>
                          <w:t>因为收入是信息发展公司的主要业绩指标之 </w:t>
                        </w:r>
                        <w:r>
                          <w:rPr>
                            <w:rFonts w:ascii="宋体" w:hAnsi="宋体" w:cs="宋体" w:eastAsia="宋体" w:hint="default"/>
                            <w:spacing w:val="-4"/>
                            <w:sz w:val="21"/>
                            <w:szCs w:val="21"/>
                          </w:rPr>
                          <w:t>一，且涉及管理层判断，我们将收入确认识别</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为关键审计事项。</w:t>
                        </w:r>
                      </w:p>
                    </w:tc>
                    <w:tc>
                      <w:tcPr>
                        <w:tcW w:w="4070" w:type="dxa"/>
                        <w:tcBorders>
                          <w:top w:val="single" w:sz="6" w:space="0" w:color="000000"/>
                          <w:left w:val="single" w:sz="6" w:space="0" w:color="000000"/>
                          <w:bottom w:val="single" w:sz="12" w:space="0" w:color="000000"/>
                          <w:right w:val="nil" w:sz="6" w:space="0" w:color="auto"/>
                        </w:tcBorders>
                      </w:tcPr>
                      <w:p>
                        <w:pPr>
                          <w:pStyle w:val="TableParagraph"/>
                          <w:spacing w:line="268" w:lineRule="auto"/>
                          <w:ind w:left="2" w:right="9"/>
                          <w:jc w:val="left"/>
                          <w:rPr>
                            <w:rFonts w:ascii="宋体" w:hAnsi="宋体" w:cs="宋体" w:eastAsia="宋体" w:hint="default"/>
                            <w:sz w:val="21"/>
                            <w:szCs w:val="21"/>
                          </w:rPr>
                        </w:pPr>
                        <w:r>
                          <w:rPr>
                            <w:rFonts w:ascii="宋体" w:hAnsi="宋体" w:cs="宋体" w:eastAsia="宋体" w:hint="default"/>
                            <w:sz w:val="21"/>
                            <w:szCs w:val="21"/>
                          </w:rPr>
                          <w:t>售合同、审批单、验收单、项目进度状态、 </w:t>
                        </w:r>
                        <w:r>
                          <w:rPr>
                            <w:rFonts w:ascii="宋体" w:hAnsi="宋体" w:cs="宋体" w:eastAsia="宋体" w:hint="default"/>
                            <w:spacing w:val="-3"/>
                            <w:sz w:val="21"/>
                            <w:szCs w:val="21"/>
                          </w:rPr>
                          <w:t>回款凭证等资料，检查已确认收入的真实性</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评价相关收入确认是否符合公司收入确认的 会计政策； </w:t>
                        </w:r>
                        <w:r>
                          <w:rPr>
                            <w:rFonts w:ascii="Times New Roman" w:hAnsi="Times New Roman" w:cs="Times New Roman" w:eastAsia="Times New Roman" w:hint="default"/>
                            <w:spacing w:val="-3"/>
                            <w:sz w:val="21"/>
                            <w:szCs w:val="21"/>
                          </w:rPr>
                          <w:t>5</w:t>
                        </w:r>
                        <w:r>
                          <w:rPr>
                            <w:rFonts w:ascii="宋体" w:hAnsi="宋体" w:cs="宋体" w:eastAsia="宋体" w:hint="default"/>
                            <w:spacing w:val="-3"/>
                            <w:sz w:val="21"/>
                            <w:szCs w:val="21"/>
                          </w:rPr>
                          <w:t>、结合应收账款函证，一并执行收入的函证</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pacing w:val="-3"/>
                            <w:sz w:val="21"/>
                            <w:szCs w:val="21"/>
                          </w:rPr>
                          <w:t>程序，检查已确认的收入的真实性和准确性</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Times New Roman" w:hAnsi="Times New Roman" w:cs="Times New Roman" w:eastAsia="Times New Roman" w:hint="default"/>
                            <w:spacing w:val="-3"/>
                            <w:sz w:val="21"/>
                            <w:szCs w:val="21"/>
                          </w:rPr>
                          <w:t>6</w:t>
                        </w:r>
                        <w:r>
                          <w:rPr>
                            <w:rFonts w:ascii="宋体" w:hAnsi="宋体" w:cs="宋体" w:eastAsia="宋体" w:hint="default"/>
                            <w:spacing w:val="-3"/>
                            <w:sz w:val="21"/>
                            <w:szCs w:val="21"/>
                          </w:rPr>
                          <w:t>、针对可能出现的完整性风险，我们实施了</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具有针对性的审计程序，包括但不限于：在 增加收入完整性测试样本的基础上，针对资 产负债表日前后确认的销售收入执行截止性 测试，以评估销售收入是否在恰当的会计期 间确认。</w:t>
                        </w:r>
                      </w:p>
                    </w:tc>
                  </w:tr>
                  <w:tr>
                    <w:trPr>
                      <w:trHeight w:val="352" w:hRule="exact"/>
                    </w:trPr>
                    <w:tc>
                      <w:tcPr>
                        <w:tcW w:w="8224" w:type="dxa"/>
                        <w:gridSpan w:val="2"/>
                        <w:tcBorders>
                          <w:top w:val="single" w:sz="12" w:space="0" w:color="000000"/>
                          <w:left w:val="single" w:sz="6" w:space="0" w:color="000000"/>
                          <w:bottom w:val="single" w:sz="12" w:space="0" w:color="000000"/>
                          <w:right w:val="nil" w:sz="6" w:space="0" w:color="auto"/>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b/>
                            <w:bCs/>
                            <w:sz w:val="21"/>
                            <w:szCs w:val="21"/>
                          </w:rPr>
                          <w:t>（二）存货存在性及完整性</w:t>
                        </w:r>
                        <w:r>
                          <w:rPr>
                            <w:rFonts w:ascii="宋体" w:hAnsi="宋体" w:cs="宋体" w:eastAsia="宋体" w:hint="default"/>
                            <w:sz w:val="21"/>
                            <w:szCs w:val="21"/>
                          </w:rPr>
                        </w:r>
                      </w:p>
                    </w:tc>
                  </w:tr>
                  <w:tr>
                    <w:trPr>
                      <w:trHeight w:val="4721" w:hRule="exact"/>
                    </w:trPr>
                    <w:tc>
                      <w:tcPr>
                        <w:tcW w:w="415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pacing w:val="-4"/>
                            <w:sz w:val="21"/>
                            <w:szCs w:val="21"/>
                          </w:rPr>
                          <w:t>请参阅财务报表“附注五、合并财务报表项目</w:t>
                        </w:r>
                      </w:p>
                      <w:p>
                        <w:pPr>
                          <w:pStyle w:val="TableParagraph"/>
                          <w:spacing w:line="261" w:lineRule="auto" w:before="37"/>
                          <w:ind w:left="2" w:right="2"/>
                          <w:jc w:val="left"/>
                          <w:rPr>
                            <w:rFonts w:ascii="宋体" w:hAnsi="宋体" w:cs="宋体" w:eastAsia="宋体" w:hint="default"/>
                            <w:sz w:val="21"/>
                            <w:szCs w:val="21"/>
                          </w:rPr>
                        </w:pPr>
                        <w:r>
                          <w:rPr>
                            <w:rFonts w:ascii="宋体" w:hAnsi="宋体" w:cs="宋体" w:eastAsia="宋体" w:hint="default"/>
                            <w:sz w:val="21"/>
                            <w:szCs w:val="21"/>
                          </w:rPr>
                          <w:t>附注”注释（五）</w:t>
                        </w:r>
                        <w:r>
                          <w:rPr>
                            <w:rFonts w:ascii="宋体" w:hAnsi="宋体" w:cs="宋体" w:eastAsia="宋体" w:hint="default"/>
                            <w:spacing w:val="-21"/>
                            <w:sz w:val="21"/>
                            <w:szCs w:val="21"/>
                          </w:rPr>
                          <w:t> </w:t>
                        </w:r>
                        <w:r>
                          <w:rPr>
                            <w:rFonts w:ascii="宋体" w:hAnsi="宋体" w:cs="宋体" w:eastAsia="宋体" w:hint="default"/>
                            <w:sz w:val="21"/>
                            <w:szCs w:val="21"/>
                          </w:rPr>
                          <w:t>。</w:t>
                        </w:r>
                        <w:r>
                          <w:rPr>
                            <w:rFonts w:ascii="宋体" w:hAnsi="宋体" w:cs="宋体" w:eastAsia="宋体" w:hint="default"/>
                            <w:sz w:val="21"/>
                            <w:szCs w:val="21"/>
                          </w:rPr>
                          <w:t> </w:t>
                        </w:r>
                        <w:r>
                          <w:rPr>
                            <w:rFonts w:ascii="宋体" w:hAnsi="宋体" w:cs="宋体" w:eastAsia="宋体" w:hint="default"/>
                            <w:spacing w:val="-3"/>
                            <w:sz w:val="21"/>
                            <w:szCs w:val="21"/>
                          </w:rPr>
                          <w:t>于</w:t>
                        </w:r>
                        <w:r>
                          <w:rPr>
                            <w:rFonts w:ascii="Times New Roman" w:hAnsi="Times New Roman" w:cs="Times New Roman" w:eastAsia="Times New Roman" w:hint="default"/>
                            <w:spacing w:val="-3"/>
                            <w:sz w:val="21"/>
                            <w:szCs w:val="21"/>
                          </w:rPr>
                          <w:t>2018</w:t>
                        </w:r>
                        <w:r>
                          <w:rPr>
                            <w:rFonts w:ascii="宋体" w:hAnsi="宋体" w:cs="宋体" w:eastAsia="宋体" w:hint="default"/>
                            <w:spacing w:val="-3"/>
                            <w:sz w:val="21"/>
                            <w:szCs w:val="21"/>
                          </w:rPr>
                          <w:t>年</w:t>
                        </w:r>
                        <w:r>
                          <w:rPr>
                            <w:rFonts w:ascii="Times New Roman" w:hAnsi="Times New Roman" w:cs="Times New Roman" w:eastAsia="Times New Roman" w:hint="default"/>
                            <w:spacing w:val="-3"/>
                            <w:sz w:val="21"/>
                            <w:szCs w:val="21"/>
                          </w:rPr>
                          <w:t>12</w:t>
                        </w:r>
                        <w:r>
                          <w:rPr>
                            <w:rFonts w:ascii="宋体" w:hAnsi="宋体" w:cs="宋体" w:eastAsia="宋体" w:hint="default"/>
                            <w:spacing w:val="-3"/>
                            <w:sz w:val="21"/>
                            <w:szCs w:val="21"/>
                          </w:rPr>
                          <w:t>月</w:t>
                        </w:r>
                        <w:r>
                          <w:rPr>
                            <w:rFonts w:ascii="Times New Roman" w:hAnsi="Times New Roman" w:cs="Times New Roman" w:eastAsia="Times New Roman" w:hint="default"/>
                            <w:spacing w:val="-3"/>
                            <w:sz w:val="21"/>
                            <w:szCs w:val="21"/>
                          </w:rPr>
                          <w:t>31</w:t>
                        </w:r>
                        <w:r>
                          <w:rPr>
                            <w:rFonts w:ascii="宋体" w:hAnsi="宋体" w:cs="宋体" w:eastAsia="宋体" w:hint="default"/>
                            <w:spacing w:val="-3"/>
                            <w:sz w:val="21"/>
                            <w:szCs w:val="21"/>
                          </w:rPr>
                          <w:t>日，信息发展公司存货账面金</w:t>
                        </w:r>
                        <w:r>
                          <w:rPr>
                            <w:rFonts w:ascii="宋体" w:hAnsi="宋体" w:cs="宋体" w:eastAsia="宋体" w:hint="default"/>
                            <w:sz w:val="21"/>
                            <w:szCs w:val="21"/>
                          </w:rPr>
                          <w:t> 额人民币</w:t>
                        </w:r>
                        <w:r>
                          <w:rPr>
                            <w:rFonts w:ascii="Times New Roman" w:hAnsi="Times New Roman" w:cs="Times New Roman" w:eastAsia="Times New Roman" w:hint="default"/>
                            <w:sz w:val="21"/>
                            <w:szCs w:val="21"/>
                          </w:rPr>
                          <w:t>34,899.80</w:t>
                        </w:r>
                        <w:r>
                          <w:rPr>
                            <w:rFonts w:ascii="宋体" w:hAnsi="宋体" w:cs="宋体" w:eastAsia="宋体" w:hint="default"/>
                            <w:sz w:val="21"/>
                            <w:szCs w:val="21"/>
                          </w:rPr>
                          <w:t>万元，占报表总资产的 </w:t>
                        </w:r>
                        <w:r>
                          <w:rPr>
                            <w:rFonts w:ascii="Times New Roman" w:hAnsi="Times New Roman" w:cs="Times New Roman" w:eastAsia="Times New Roman" w:hint="default"/>
                            <w:sz w:val="21"/>
                            <w:szCs w:val="21"/>
                          </w:rPr>
                          <w:t>25.38%</w:t>
                        </w:r>
                        <w:r>
                          <w:rPr>
                            <w:rFonts w:ascii="宋体" w:hAnsi="宋体" w:cs="宋体" w:eastAsia="宋体" w:hint="default"/>
                            <w:sz w:val="21"/>
                            <w:szCs w:val="21"/>
                          </w:rPr>
                          <w:t>。</w:t>
                        </w:r>
                      </w:p>
                      <w:p>
                        <w:pPr>
                          <w:pStyle w:val="TableParagraph"/>
                          <w:spacing w:line="273" w:lineRule="auto"/>
                          <w:ind w:left="2" w:right="2"/>
                          <w:jc w:val="left"/>
                          <w:rPr>
                            <w:rFonts w:ascii="宋体" w:hAnsi="宋体" w:cs="宋体" w:eastAsia="宋体" w:hint="default"/>
                            <w:sz w:val="21"/>
                            <w:szCs w:val="21"/>
                          </w:rPr>
                        </w:pPr>
                        <w:r>
                          <w:rPr>
                            <w:rFonts w:ascii="宋体" w:hAnsi="宋体" w:cs="宋体" w:eastAsia="宋体" w:hint="default"/>
                            <w:sz w:val="21"/>
                            <w:szCs w:val="21"/>
                          </w:rPr>
                          <w:t>信息发展公司的存货主要是未完工系统集成 项目等，其存在性和完整性存在重大错报风 </w:t>
                        </w:r>
                        <w:r>
                          <w:rPr>
                            <w:rFonts w:ascii="宋体" w:hAnsi="宋体" w:cs="宋体" w:eastAsia="宋体" w:hint="default"/>
                            <w:spacing w:val="-4"/>
                            <w:sz w:val="21"/>
                            <w:szCs w:val="21"/>
                          </w:rPr>
                          <w:t>险，我们将信息发展公司存货的存在性和完整</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性识别为关键审计事项。</w:t>
                        </w:r>
                      </w:p>
                    </w:tc>
                    <w:tc>
                      <w:tcPr>
                        <w:tcW w:w="407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我们就存货的存在性和完整性实施的审计程</w:t>
                        </w:r>
                      </w:p>
                      <w:p>
                        <w:pPr>
                          <w:pStyle w:val="TableParagraph"/>
                          <w:spacing w:line="266" w:lineRule="auto" w:before="37"/>
                          <w:ind w:left="2" w:right="-35"/>
                          <w:jc w:val="left"/>
                          <w:rPr>
                            <w:rFonts w:ascii="宋体" w:hAnsi="宋体" w:cs="宋体" w:eastAsia="宋体" w:hint="default"/>
                            <w:sz w:val="21"/>
                            <w:szCs w:val="21"/>
                          </w:rPr>
                        </w:pPr>
                        <w:r>
                          <w:rPr>
                            <w:rFonts w:ascii="宋体" w:hAnsi="宋体" w:cs="宋体" w:eastAsia="宋体" w:hint="default"/>
                            <w:sz w:val="21"/>
                            <w:szCs w:val="21"/>
                          </w:rPr>
                          <w:t>序包括： </w:t>
                        </w:r>
                        <w:r>
                          <w:rPr>
                            <w:rFonts w:ascii="Times New Roman" w:hAnsi="Times New Roman" w:cs="Times New Roman" w:eastAsia="Times New Roman" w:hint="default"/>
                            <w:spacing w:val="-3"/>
                            <w:sz w:val="21"/>
                            <w:szCs w:val="21"/>
                          </w:rPr>
                          <w:t>1</w:t>
                        </w:r>
                        <w:r>
                          <w:rPr>
                            <w:rFonts w:ascii="宋体" w:hAnsi="宋体" w:cs="宋体" w:eastAsia="宋体" w:hint="default"/>
                            <w:spacing w:val="-3"/>
                            <w:sz w:val="21"/>
                            <w:szCs w:val="21"/>
                          </w:rPr>
                          <w:t>、了解并测试信息发展公司存货管理的内部</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控制，包括采购和销售等； </w:t>
                        </w: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、询问被审计单位除管理层和财务部门以外</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的其他人员，如营销人员、项目负责人等以 了解有关存货的情况； </w:t>
                        </w:r>
                        <w:r>
                          <w:rPr>
                            <w:rFonts w:ascii="Times New Roman" w:hAnsi="Times New Roman" w:cs="Times New Roman" w:eastAsia="Times New Roman" w:hint="default"/>
                            <w:sz w:val="21"/>
                            <w:szCs w:val="21"/>
                          </w:rPr>
                          <w:t>3</w:t>
                        </w:r>
                        <w:r>
                          <w:rPr>
                            <w:rFonts w:ascii="宋体" w:hAnsi="宋体" w:cs="宋体" w:eastAsia="宋体" w:hint="default"/>
                            <w:sz w:val="21"/>
                            <w:szCs w:val="21"/>
                          </w:rPr>
                          <w:t>、对存货实施现场监盘和发函确认等方法， 评价存货的存在性； </w:t>
                        </w:r>
                        <w:r>
                          <w:rPr>
                            <w:rFonts w:ascii="Times New Roman" w:hAnsi="Times New Roman" w:cs="Times New Roman" w:eastAsia="Times New Roman" w:hint="default"/>
                            <w:spacing w:val="-3"/>
                            <w:sz w:val="21"/>
                            <w:szCs w:val="21"/>
                          </w:rPr>
                          <w:t>4</w:t>
                        </w:r>
                        <w:r>
                          <w:rPr>
                            <w:rFonts w:ascii="宋体" w:hAnsi="宋体" w:cs="宋体" w:eastAsia="宋体" w:hint="default"/>
                            <w:spacing w:val="-3"/>
                            <w:sz w:val="21"/>
                            <w:szCs w:val="21"/>
                          </w:rPr>
                          <w:t>、分析存货的构成内容，并与相关项目合同</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勾稽，判断已执行和正在执行的项目成本是 否已正确归集； </w:t>
                        </w:r>
                        <w:r>
                          <w:rPr>
                            <w:rFonts w:ascii="Times New Roman" w:hAnsi="Times New Roman" w:cs="Times New Roman" w:eastAsia="Times New Roman" w:hint="default"/>
                            <w:spacing w:val="-3"/>
                            <w:sz w:val="21"/>
                            <w:szCs w:val="21"/>
                          </w:rPr>
                          <w:t>5</w:t>
                        </w:r>
                        <w:r>
                          <w:rPr>
                            <w:rFonts w:ascii="宋体" w:hAnsi="宋体" w:cs="宋体" w:eastAsia="宋体" w:hint="default"/>
                            <w:spacing w:val="-3"/>
                            <w:sz w:val="21"/>
                            <w:szCs w:val="21"/>
                          </w:rPr>
                          <w:t>、对期末按项目归集的存货成本，比较相关</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的已签约但尚未达到收入确认条件的合同金 额，以判断存货的存在性和完整性。</w:t>
                        </w:r>
                      </w:p>
                    </w:tc>
                  </w:tr>
                  <w:tr>
                    <w:trPr>
                      <w:trHeight w:val="352" w:hRule="exact"/>
                    </w:trPr>
                    <w:tc>
                      <w:tcPr>
                        <w:tcW w:w="8224" w:type="dxa"/>
                        <w:gridSpan w:val="2"/>
                        <w:tcBorders>
                          <w:top w:val="single" w:sz="12" w:space="0" w:color="000000"/>
                          <w:left w:val="single" w:sz="6" w:space="0" w:color="000000"/>
                          <w:bottom w:val="single" w:sz="12" w:space="0" w:color="000000"/>
                          <w:right w:val="nil" w:sz="6" w:space="0" w:color="auto"/>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b/>
                            <w:bCs/>
                            <w:sz w:val="21"/>
                            <w:szCs w:val="21"/>
                          </w:rPr>
                          <w:t>（三）应收账款的可收回性</w:t>
                        </w:r>
                        <w:r>
                          <w:rPr>
                            <w:rFonts w:ascii="宋体" w:hAnsi="宋体" w:cs="宋体" w:eastAsia="宋体" w:hint="default"/>
                            <w:sz w:val="21"/>
                            <w:szCs w:val="21"/>
                          </w:rPr>
                        </w:r>
                      </w:p>
                    </w:tc>
                  </w:tr>
                  <w:tr>
                    <w:trPr>
                      <w:trHeight w:val="4720" w:hRule="exact"/>
                    </w:trPr>
                    <w:tc>
                      <w:tcPr>
                        <w:tcW w:w="415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17"/>
                          <w:jc w:val="left"/>
                          <w:rPr>
                            <w:rFonts w:ascii="宋体" w:hAnsi="宋体" w:cs="宋体" w:eastAsia="宋体" w:hint="default"/>
                            <w:sz w:val="21"/>
                            <w:szCs w:val="21"/>
                          </w:rPr>
                        </w:pPr>
                        <w:r>
                          <w:rPr>
                            <w:rFonts w:ascii="宋体" w:hAnsi="宋体" w:cs="宋体" w:eastAsia="宋体" w:hint="default"/>
                            <w:sz w:val="21"/>
                            <w:szCs w:val="21"/>
                          </w:rPr>
                          <w:t>请参阅财务报表附</w:t>
                        </w:r>
                        <w:r>
                          <w:rPr>
                            <w:rFonts w:ascii="宋体" w:hAnsi="宋体" w:cs="宋体" w:eastAsia="宋体" w:hint="default"/>
                            <w:spacing w:val="-86"/>
                            <w:sz w:val="21"/>
                            <w:szCs w:val="21"/>
                          </w:rPr>
                          <w:t>注</w:t>
                        </w:r>
                        <w:r>
                          <w:rPr>
                            <w:rFonts w:ascii="宋体" w:hAnsi="宋体" w:cs="宋体" w:eastAsia="宋体" w:hint="default"/>
                            <w:sz w:val="21"/>
                            <w:szCs w:val="21"/>
                          </w:rPr>
                          <w:t>“三</w:t>
                        </w:r>
                        <w:r>
                          <w:rPr>
                            <w:rFonts w:ascii="宋体" w:hAnsi="宋体" w:cs="宋体" w:eastAsia="宋体" w:hint="default"/>
                            <w:spacing w:val="-87"/>
                            <w:sz w:val="21"/>
                            <w:szCs w:val="21"/>
                          </w:rPr>
                          <w:t>、</w:t>
                        </w:r>
                        <w:r>
                          <w:rPr>
                            <w:rFonts w:ascii="宋体" w:hAnsi="宋体" w:cs="宋体" w:eastAsia="宋体" w:hint="default"/>
                            <w:sz w:val="21"/>
                            <w:szCs w:val="21"/>
                          </w:rPr>
                          <w:t>公司重要会计政策</w:t>
                        </w:r>
                        <w:r>
                          <w:rPr>
                            <w:rFonts w:ascii="宋体" w:hAnsi="宋体" w:cs="宋体" w:eastAsia="宋体" w:hint="default"/>
                            <w:spacing w:val="-84"/>
                            <w:sz w:val="21"/>
                            <w:szCs w:val="21"/>
                          </w:rPr>
                          <w:t>、</w:t>
                        </w:r>
                        <w:r>
                          <w:rPr>
                            <w:rFonts w:ascii="宋体" w:hAnsi="宋体" w:cs="宋体" w:eastAsia="宋体" w:hint="default"/>
                            <w:sz w:val="21"/>
                            <w:szCs w:val="21"/>
                          </w:rPr>
                        </w:r>
                      </w:p>
                      <w:p>
                        <w:pPr>
                          <w:pStyle w:val="TableParagraph"/>
                          <w:spacing w:line="273" w:lineRule="auto" w:before="37"/>
                          <w:ind w:left="2" w:right="-17"/>
                          <w:jc w:val="left"/>
                          <w:rPr>
                            <w:rFonts w:ascii="宋体" w:hAnsi="宋体" w:cs="宋体" w:eastAsia="宋体" w:hint="default"/>
                            <w:sz w:val="21"/>
                            <w:szCs w:val="21"/>
                          </w:rPr>
                        </w:pPr>
                        <w:r>
                          <w:rPr>
                            <w:rFonts w:ascii="宋体" w:hAnsi="宋体" w:cs="宋体" w:eastAsia="宋体" w:hint="default"/>
                            <w:spacing w:val="-13"/>
                            <w:sz w:val="21"/>
                            <w:szCs w:val="21"/>
                          </w:rPr>
                          <w:t>会计估计”注释（九）所述的会计政策及“五、</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pacing w:val="-7"/>
                            <w:sz w:val="21"/>
                            <w:szCs w:val="21"/>
                          </w:rPr>
                          <w:t>合并财务报表项目附注”注释（二）。</w:t>
                        </w:r>
                      </w:p>
                      <w:p>
                        <w:pPr>
                          <w:pStyle w:val="TableParagraph"/>
                          <w:spacing w:line="240" w:lineRule="auto" w:before="6"/>
                          <w:ind w:right="0"/>
                          <w:jc w:val="left"/>
                          <w:rPr>
                            <w:rFonts w:ascii="宋体" w:hAnsi="宋体" w:cs="宋体" w:eastAsia="宋体" w:hint="default"/>
                            <w:sz w:val="24"/>
                            <w:szCs w:val="24"/>
                          </w:rPr>
                        </w:pPr>
                      </w:p>
                      <w:p>
                        <w:pPr>
                          <w:pStyle w:val="TableParagraph"/>
                          <w:spacing w:line="264" w:lineRule="auto"/>
                          <w:ind w:left="2" w:right="2"/>
                          <w:jc w:val="left"/>
                          <w:rPr>
                            <w:rFonts w:ascii="宋体" w:hAnsi="宋体" w:cs="宋体" w:eastAsia="宋体" w:hint="default"/>
                            <w:sz w:val="21"/>
                            <w:szCs w:val="21"/>
                          </w:rPr>
                        </w:pPr>
                        <w:r>
                          <w:rPr>
                            <w:rFonts w:ascii="宋体" w:hAnsi="宋体" w:cs="宋体" w:eastAsia="宋体" w:hint="default"/>
                            <w:spacing w:val="-3"/>
                            <w:sz w:val="21"/>
                            <w:szCs w:val="21"/>
                          </w:rPr>
                          <w:t>于</w:t>
                        </w:r>
                        <w:r>
                          <w:rPr>
                            <w:rFonts w:ascii="Times New Roman" w:hAnsi="Times New Roman" w:cs="Times New Roman" w:eastAsia="Times New Roman" w:hint="default"/>
                            <w:spacing w:val="-3"/>
                            <w:sz w:val="21"/>
                            <w:szCs w:val="21"/>
                          </w:rPr>
                          <w:t>2018</w:t>
                        </w:r>
                        <w:r>
                          <w:rPr>
                            <w:rFonts w:ascii="宋体" w:hAnsi="宋体" w:cs="宋体" w:eastAsia="宋体" w:hint="default"/>
                            <w:spacing w:val="-3"/>
                            <w:sz w:val="21"/>
                            <w:szCs w:val="21"/>
                          </w:rPr>
                          <w:t>年</w:t>
                        </w:r>
                        <w:r>
                          <w:rPr>
                            <w:rFonts w:ascii="Times New Roman" w:hAnsi="Times New Roman" w:cs="Times New Roman" w:eastAsia="Times New Roman" w:hint="default"/>
                            <w:spacing w:val="-3"/>
                            <w:sz w:val="21"/>
                            <w:szCs w:val="21"/>
                          </w:rPr>
                          <w:t>12</w:t>
                        </w:r>
                        <w:r>
                          <w:rPr>
                            <w:rFonts w:ascii="宋体" w:hAnsi="宋体" w:cs="宋体" w:eastAsia="宋体" w:hint="default"/>
                            <w:spacing w:val="-3"/>
                            <w:sz w:val="21"/>
                            <w:szCs w:val="21"/>
                          </w:rPr>
                          <w:t>月</w:t>
                        </w:r>
                        <w:r>
                          <w:rPr>
                            <w:rFonts w:ascii="Times New Roman" w:hAnsi="Times New Roman" w:cs="Times New Roman" w:eastAsia="Times New Roman" w:hint="default"/>
                            <w:spacing w:val="-3"/>
                            <w:sz w:val="21"/>
                            <w:szCs w:val="21"/>
                          </w:rPr>
                          <w:t>31</w:t>
                        </w:r>
                        <w:r>
                          <w:rPr>
                            <w:rFonts w:ascii="宋体" w:hAnsi="宋体" w:cs="宋体" w:eastAsia="宋体" w:hint="default"/>
                            <w:spacing w:val="-3"/>
                            <w:sz w:val="21"/>
                            <w:szCs w:val="21"/>
                          </w:rPr>
                          <w:t>日，信息发展公司合并财务报</w:t>
                        </w:r>
                        <w:r>
                          <w:rPr>
                            <w:rFonts w:ascii="宋体" w:hAnsi="宋体" w:cs="宋体" w:eastAsia="宋体" w:hint="default"/>
                            <w:sz w:val="21"/>
                            <w:szCs w:val="21"/>
                          </w:rPr>
                          <w:t> </w:t>
                        </w:r>
                        <w:r>
                          <w:rPr>
                            <w:rFonts w:ascii="宋体" w:hAnsi="宋体" w:cs="宋体" w:eastAsia="宋体" w:hint="default"/>
                            <w:spacing w:val="-3"/>
                            <w:sz w:val="21"/>
                            <w:szCs w:val="21"/>
                          </w:rPr>
                          <w:t>表中应收账款的原值为</w:t>
                        </w:r>
                        <w:r>
                          <w:rPr>
                            <w:rFonts w:ascii="Times New Roman" w:hAnsi="Times New Roman" w:cs="Times New Roman" w:eastAsia="Times New Roman" w:hint="default"/>
                            <w:spacing w:val="-3"/>
                            <w:sz w:val="21"/>
                            <w:szCs w:val="21"/>
                          </w:rPr>
                          <w:t>41,173.57</w:t>
                        </w:r>
                        <w:r>
                          <w:rPr>
                            <w:rFonts w:ascii="宋体" w:hAnsi="宋体" w:cs="宋体" w:eastAsia="宋体" w:hint="default"/>
                            <w:spacing w:val="-3"/>
                            <w:sz w:val="21"/>
                            <w:szCs w:val="21"/>
                          </w:rPr>
                          <w:t>万元，坏账准</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备为</w:t>
                        </w:r>
                        <w:r>
                          <w:rPr>
                            <w:rFonts w:ascii="Times New Roman" w:hAnsi="Times New Roman" w:cs="Times New Roman" w:eastAsia="Times New Roman" w:hint="default"/>
                            <w:sz w:val="21"/>
                            <w:szCs w:val="21"/>
                          </w:rPr>
                          <w:t>5,692.92</w:t>
                        </w:r>
                        <w:r>
                          <w:rPr>
                            <w:rFonts w:ascii="宋体" w:hAnsi="宋体" w:cs="宋体" w:eastAsia="宋体" w:hint="default"/>
                            <w:sz w:val="21"/>
                            <w:szCs w:val="21"/>
                          </w:rPr>
                          <w:t>万元。 由于信息发展公司管理层在确定应收账款预 计可收回金额时需要运用重大会计估计和判 </w:t>
                        </w:r>
                        <w:r>
                          <w:rPr>
                            <w:rFonts w:ascii="宋体" w:hAnsi="宋体" w:cs="宋体" w:eastAsia="宋体" w:hint="default"/>
                            <w:spacing w:val="-4"/>
                            <w:sz w:val="21"/>
                            <w:szCs w:val="21"/>
                          </w:rPr>
                          <w:t>断，且影响金额重大，为此我们确定应收账款</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的可收回性为关键审计事项。</w:t>
                        </w:r>
                      </w:p>
                    </w:tc>
                    <w:tc>
                      <w:tcPr>
                        <w:tcW w:w="407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我们就应收账款的可收回性实施的审计程序</w:t>
                        </w:r>
                      </w:p>
                      <w:p>
                        <w:pPr>
                          <w:pStyle w:val="TableParagraph"/>
                          <w:spacing w:line="266" w:lineRule="auto" w:before="37"/>
                          <w:ind w:left="2" w:right="9"/>
                          <w:jc w:val="left"/>
                          <w:rPr>
                            <w:rFonts w:ascii="宋体" w:hAnsi="宋体" w:cs="宋体" w:eastAsia="宋体" w:hint="default"/>
                            <w:sz w:val="21"/>
                            <w:szCs w:val="21"/>
                          </w:rPr>
                        </w:pPr>
                        <w:r>
                          <w:rPr>
                            <w:rFonts w:ascii="宋体" w:hAnsi="宋体" w:cs="宋体" w:eastAsia="宋体" w:hint="default"/>
                            <w:sz w:val="21"/>
                            <w:szCs w:val="21"/>
                          </w:rPr>
                          <w:t>包括： </w:t>
                        </w:r>
                        <w:r>
                          <w:rPr>
                            <w:rFonts w:ascii="Times New Roman" w:hAnsi="Times New Roman" w:cs="Times New Roman" w:eastAsia="Times New Roman" w:hint="default"/>
                            <w:spacing w:val="-3"/>
                            <w:sz w:val="21"/>
                            <w:szCs w:val="21"/>
                          </w:rPr>
                          <w:t>1</w:t>
                        </w:r>
                        <w:r>
                          <w:rPr>
                            <w:rFonts w:ascii="宋体" w:hAnsi="宋体" w:cs="宋体" w:eastAsia="宋体" w:hint="default"/>
                            <w:spacing w:val="-3"/>
                            <w:sz w:val="21"/>
                            <w:szCs w:val="21"/>
                          </w:rPr>
                          <w:t>、了解、评估并测试管理层对应收账款账龄</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分析以及确定应收账款坏账准备相关的内部 控制； </w:t>
                        </w:r>
                        <w:r>
                          <w:rPr>
                            <w:rFonts w:ascii="Times New Roman" w:hAnsi="Times New Roman" w:cs="Times New Roman" w:eastAsia="Times New Roman" w:hint="default"/>
                            <w:spacing w:val="-3"/>
                            <w:sz w:val="21"/>
                            <w:szCs w:val="21"/>
                          </w:rPr>
                          <w:t>2</w:t>
                        </w:r>
                        <w:r>
                          <w:rPr>
                            <w:rFonts w:ascii="宋体" w:hAnsi="宋体" w:cs="宋体" w:eastAsia="宋体" w:hint="default"/>
                            <w:spacing w:val="-3"/>
                            <w:sz w:val="21"/>
                            <w:szCs w:val="21"/>
                          </w:rPr>
                          <w:t>、复核管理层对应收账款进行减值测试的相</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关考虑及客观证据，关注管理层是否充分识 别已发生减值的项目； </w:t>
                        </w:r>
                        <w:r>
                          <w:rPr>
                            <w:rFonts w:ascii="Times New Roman" w:hAnsi="Times New Roman" w:cs="Times New Roman" w:eastAsia="Times New Roman" w:hint="default"/>
                            <w:spacing w:val="-3"/>
                            <w:sz w:val="21"/>
                            <w:szCs w:val="21"/>
                          </w:rPr>
                          <w:t>3</w:t>
                        </w:r>
                        <w:r>
                          <w:rPr>
                            <w:rFonts w:ascii="宋体" w:hAnsi="宋体" w:cs="宋体" w:eastAsia="宋体" w:hint="default"/>
                            <w:spacing w:val="-3"/>
                            <w:sz w:val="21"/>
                            <w:szCs w:val="21"/>
                          </w:rPr>
                          <w:t>、对于管理层按照信用风险特征组合计提坏</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账准备的应收账款，评价管理层确定的坏账 准备计提比例是否合理； </w:t>
                        </w:r>
                        <w:r>
                          <w:rPr>
                            <w:rFonts w:ascii="Times New Roman" w:hAnsi="Times New Roman" w:cs="Times New Roman" w:eastAsia="Times New Roman" w:hint="default"/>
                            <w:spacing w:val="-3"/>
                            <w:sz w:val="21"/>
                            <w:szCs w:val="21"/>
                          </w:rPr>
                          <w:t>4</w:t>
                        </w:r>
                        <w:r>
                          <w:rPr>
                            <w:rFonts w:ascii="宋体" w:hAnsi="宋体" w:cs="宋体" w:eastAsia="宋体" w:hint="default"/>
                            <w:spacing w:val="-3"/>
                            <w:sz w:val="21"/>
                            <w:szCs w:val="21"/>
                          </w:rPr>
                          <w:t>、实施函证程序，并将函证结果与管理层记</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录的金额进行核对； </w:t>
                        </w:r>
                        <w:r>
                          <w:rPr>
                            <w:rFonts w:ascii="Times New Roman" w:hAnsi="Times New Roman" w:cs="Times New Roman" w:eastAsia="Times New Roman" w:hint="default"/>
                            <w:spacing w:val="-3"/>
                            <w:sz w:val="21"/>
                            <w:szCs w:val="21"/>
                          </w:rPr>
                          <w:t>5</w:t>
                        </w:r>
                        <w:r>
                          <w:rPr>
                            <w:rFonts w:ascii="宋体" w:hAnsi="宋体" w:cs="宋体" w:eastAsia="宋体" w:hint="default"/>
                            <w:spacing w:val="-3"/>
                            <w:sz w:val="21"/>
                            <w:szCs w:val="21"/>
                          </w:rPr>
                          <w:t>、结合期后回款情况检查，评价管理层坏账</w:t>
                        </w:r>
                        <w:r>
                          <w:rPr>
                            <w:rFonts w:ascii="宋体" w:hAnsi="宋体" w:cs="宋体" w:eastAsia="宋体" w:hint="default"/>
                            <w:spacing w:val="-93"/>
                            <w:sz w:val="21"/>
                            <w:szCs w:val="21"/>
                          </w:rPr>
                          <w:t> </w:t>
                        </w:r>
                        <w:r>
                          <w:rPr>
                            <w:rFonts w:ascii="宋体" w:hAnsi="宋体" w:cs="宋体" w:eastAsia="宋体" w:hint="default"/>
                            <w:spacing w:val="-93"/>
                            <w:sz w:val="21"/>
                            <w:szCs w:val="21"/>
                          </w:rPr>
                        </w:r>
                        <w:r>
                          <w:rPr>
                            <w:rFonts w:ascii="宋体" w:hAnsi="宋体" w:cs="宋体" w:eastAsia="宋体" w:hint="default"/>
                            <w:sz w:val="21"/>
                            <w:szCs w:val="21"/>
                          </w:rPr>
                          <w:t>准备计提的合理性。</w:t>
                        </w:r>
                      </w:p>
                    </w:tc>
                  </w:tr>
                </w:tbl>
                <w:p>
                  <w:pPr/>
                </w:p>
              </w:txbxContent>
            </v:textbox>
            <w10:wrap type="none"/>
          </v:shape>
        </w:pict>
      </w:r>
    </w:p>
    <w:p>
      <w:pPr>
        <w:spacing w:line="240" w:lineRule="auto" w:before="9"/>
        <w:rPr>
          <w:rFonts w:ascii="宋体" w:hAnsi="宋体" w:cs="宋体" w:eastAsia="宋体" w:hint="default"/>
          <w:sz w:val="24"/>
          <w:szCs w:val="24"/>
        </w:rPr>
      </w:pPr>
    </w:p>
    <w:p>
      <w:pPr>
        <w:spacing w:before="35"/>
        <w:ind w:left="0" w:right="2452" w:firstLine="0"/>
        <w:jc w:val="right"/>
        <w:rPr>
          <w:rFonts w:ascii="宋体" w:hAnsi="宋体" w:cs="宋体" w:eastAsia="宋体" w:hint="default"/>
          <w:sz w:val="21"/>
          <w:szCs w:val="21"/>
        </w:rPr>
      </w:pPr>
      <w:r>
        <w:rPr>
          <w:rFonts w:ascii="宋体" w:hAnsi="宋体" w:cs="宋体" w:eastAsia="宋体" w:hint="default"/>
          <w:sz w:val="21"/>
          <w:szCs w:val="21"/>
        </w:rPr>
        <w:t>，</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4"/>
          <w:szCs w:val="14"/>
        </w:rPr>
      </w:pPr>
    </w:p>
    <w:p>
      <w:pPr>
        <w:spacing w:before="0"/>
        <w:ind w:left="0" w:right="2452" w:firstLine="0"/>
        <w:jc w:val="right"/>
        <w:rPr>
          <w:rFonts w:ascii="宋体" w:hAnsi="宋体" w:cs="宋体" w:eastAsia="宋体" w:hint="default"/>
          <w:sz w:val="21"/>
          <w:szCs w:val="21"/>
        </w:rPr>
      </w:pPr>
      <w:r>
        <w:rPr>
          <w:rFonts w:ascii="宋体" w:hAnsi="宋体" w:cs="宋体" w:eastAsia="宋体" w:hint="default"/>
          <w:sz w:val="21"/>
          <w:szCs w:val="21"/>
        </w:rPr>
        <w:t>。</w:t>
      </w:r>
    </w:p>
    <w:p>
      <w:pPr>
        <w:spacing w:after="0"/>
        <w:jc w:val="right"/>
        <w:rPr>
          <w:rFonts w:ascii="宋体" w:hAnsi="宋体" w:cs="宋体" w:eastAsia="宋体" w:hint="default"/>
          <w:sz w:val="21"/>
          <w:szCs w:val="21"/>
        </w:rPr>
        <w:sectPr>
          <w:pgSz w:w="11910" w:h="16840"/>
          <w:pgMar w:header="822" w:footer="1019" w:top="114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15"/>
          <w:szCs w:val="15"/>
        </w:rPr>
      </w:pPr>
    </w:p>
    <w:p>
      <w:pPr>
        <w:pStyle w:val="Heading2"/>
        <w:spacing w:line="240" w:lineRule="auto" w:before="13"/>
        <w:ind w:left="1101" w:right="0"/>
        <w:jc w:val="left"/>
        <w:rPr>
          <w:b w:val="0"/>
          <w:bCs w:val="0"/>
        </w:rPr>
      </w:pPr>
      <w:r>
        <w:rPr/>
        <w:t>其他信息</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39"/>
          <w:szCs w:val="39"/>
        </w:rPr>
      </w:pPr>
    </w:p>
    <w:p>
      <w:pPr>
        <w:pStyle w:val="Heading3"/>
        <w:spacing w:line="398" w:lineRule="auto"/>
        <w:ind w:left="474" w:right="1168"/>
        <w:jc w:val="both"/>
      </w:pPr>
      <w:r>
        <w:rPr>
          <w:w w:val="95"/>
        </w:rPr>
        <w:t>信息发展公司管理层（以下简称管理层）对其他信息负责。其他信息包</w:t>
      </w:r>
      <w:r>
        <w:rPr>
          <w:w w:val="99"/>
        </w:rPr>
        <w:t> </w:t>
      </w:r>
      <w:r>
        <w:rPr/>
        <w:t>括信息发展公司</w:t>
      </w:r>
      <w:r>
        <w:rPr>
          <w:rFonts w:ascii="Times New Roman" w:hAnsi="Times New Roman" w:cs="Times New Roman" w:eastAsia="Times New Roman" w:hint="default"/>
        </w:rPr>
        <w:t>2018</w:t>
      </w:r>
      <w:r>
        <w:rPr/>
        <w:t>年年度报告中涵盖的信息，但不包括财务报表和我们的</w:t>
      </w:r>
      <w:r>
        <w:rPr>
          <w:w w:val="99"/>
        </w:rPr>
        <w:t> </w:t>
      </w:r>
      <w:r>
        <w:rPr/>
        <w:t>审计报告。</w:t>
      </w:r>
    </w:p>
    <w:p>
      <w:pPr>
        <w:pStyle w:val="Heading3"/>
        <w:spacing w:line="408" w:lineRule="auto" w:before="72"/>
        <w:ind w:left="474" w:right="0"/>
        <w:jc w:val="left"/>
      </w:pPr>
      <w:r>
        <w:rPr>
          <w:w w:val="95"/>
        </w:rPr>
        <w:t>我们对财务报表发表的审计意见不涵盖其他信息，我们也不对其他信息</w:t>
      </w:r>
      <w:r>
        <w:rPr>
          <w:w w:val="99"/>
        </w:rPr>
        <w:t> </w:t>
      </w:r>
      <w:r>
        <w:rPr/>
        <w:t>发表任何形式的鉴证结论。</w:t>
      </w:r>
    </w:p>
    <w:p>
      <w:pPr>
        <w:pStyle w:val="Heading3"/>
        <w:spacing w:line="408" w:lineRule="auto" w:before="61"/>
        <w:ind w:left="474" w:right="992"/>
        <w:jc w:val="left"/>
      </w:pPr>
      <w:r>
        <w:rPr>
          <w:spacing w:val="-4"/>
        </w:rPr>
        <w:t>结合我们对财务报表的审计，我们的责任是阅读其他信息，在此过程中，</w:t>
      </w:r>
      <w:r>
        <w:rPr>
          <w:w w:val="99"/>
        </w:rPr>
        <w:t> </w:t>
      </w:r>
      <w:r>
        <w:rPr/>
        <w:t>考虑其他信息是否与财务报表或我们在审计过程中了解到的情况存在重大不</w:t>
      </w:r>
      <w:r>
        <w:rPr>
          <w:w w:val="99"/>
        </w:rPr>
        <w:t> </w:t>
      </w:r>
      <w:r>
        <w:rPr/>
        <w:t>一致或者似乎存在重大错报。</w:t>
      </w:r>
    </w:p>
    <w:p>
      <w:pPr>
        <w:pStyle w:val="Heading3"/>
        <w:spacing w:line="408" w:lineRule="auto" w:before="62"/>
        <w:ind w:left="474" w:right="0"/>
        <w:jc w:val="left"/>
      </w:pPr>
      <w:r>
        <w:rPr>
          <w:w w:val="95"/>
        </w:rPr>
        <w:t>基于我们已执行的工作，如果我们确定其他信息存在重大错报，我们应</w:t>
      </w:r>
      <w:r>
        <w:rPr>
          <w:w w:val="99"/>
        </w:rPr>
        <w:t> </w:t>
      </w:r>
      <w:r>
        <w:rPr/>
        <w:t>当报告该事实。在这方面，我们无任何事项需要报告。</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24"/>
          <w:szCs w:val="24"/>
        </w:rPr>
      </w:pPr>
    </w:p>
    <w:p>
      <w:pPr>
        <w:pStyle w:val="Heading2"/>
        <w:spacing w:line="240" w:lineRule="auto"/>
        <w:ind w:left="1101" w:right="0"/>
        <w:jc w:val="left"/>
        <w:rPr>
          <w:b w:val="0"/>
          <w:bCs w:val="0"/>
        </w:rPr>
      </w:pPr>
      <w:r>
        <w:rPr/>
        <w:t>管理层和治理层对财务报表的责任</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39"/>
          <w:szCs w:val="39"/>
        </w:rPr>
      </w:pPr>
    </w:p>
    <w:p>
      <w:pPr>
        <w:pStyle w:val="Heading3"/>
        <w:spacing w:line="408" w:lineRule="auto"/>
        <w:ind w:left="474" w:right="0"/>
        <w:jc w:val="left"/>
      </w:pPr>
      <w:r>
        <w:rPr>
          <w:spacing w:val="-4"/>
          <w:w w:val="99"/>
        </w:rPr>
        <w:t>管理层负责按照企业会计准则的规定编制财务报表，使其实现公允反映，</w:t>
      </w:r>
      <w:r>
        <w:rPr>
          <w:w w:val="99"/>
        </w:rPr>
        <w:t> </w:t>
      </w:r>
      <w:r>
        <w:rPr/>
        <w:t>并设计、执行和维护必要的内部控制，以使财务报表不存在由于舞弊或错误</w:t>
      </w:r>
      <w:r>
        <w:rPr>
          <w:w w:val="99"/>
        </w:rPr>
        <w:t> </w:t>
      </w:r>
      <w:r>
        <w:rPr/>
        <w:t>导致的重大错报。</w:t>
      </w:r>
    </w:p>
    <w:p>
      <w:pPr>
        <w:pStyle w:val="Heading3"/>
        <w:spacing w:line="408" w:lineRule="auto" w:before="61"/>
        <w:ind w:left="474" w:right="1135"/>
        <w:jc w:val="both"/>
      </w:pPr>
      <w:r>
        <w:rPr/>
        <w:t>在编制财务报表时，管理层负责评估信息发展公司的持续经营能力，披</w:t>
      </w:r>
      <w:r>
        <w:rPr>
          <w:w w:val="99"/>
        </w:rPr>
        <w:t> </w:t>
      </w:r>
      <w:r>
        <w:rPr>
          <w:spacing w:val="-8"/>
          <w:w w:val="99"/>
        </w:rPr>
        <w:t>露与持续经营相关的事项（如适用），并运用持续经营假设，除非计划进行清</w:t>
      </w:r>
      <w:r>
        <w:rPr>
          <w:spacing w:val="-108"/>
          <w:w w:val="99"/>
        </w:rPr>
        <w:t> </w:t>
      </w:r>
      <w:r>
        <w:rPr>
          <w:spacing w:val="-108"/>
          <w:w w:val="99"/>
        </w:rPr>
      </w:r>
      <w:r>
        <w:rPr/>
        <w:t>算、终止运营或别无其他现实的选择。</w:t>
      </w:r>
    </w:p>
    <w:p>
      <w:pPr>
        <w:spacing w:after="0" w:line="408" w:lineRule="auto"/>
        <w:jc w:val="both"/>
        <w:sectPr>
          <w:pgSz w:w="11910" w:h="16840"/>
          <w:pgMar w:header="822" w:footer="1019" w:top="1140" w:bottom="1200" w:left="1020" w:right="0"/>
        </w:sectPr>
      </w:pPr>
    </w:p>
    <w:p>
      <w:pPr>
        <w:spacing w:line="240" w:lineRule="auto" w:before="2"/>
        <w:rPr>
          <w:rFonts w:ascii="宋体" w:hAnsi="宋体" w:cs="宋体" w:eastAsia="宋体" w:hint="default"/>
          <w:sz w:val="28"/>
          <w:szCs w:val="28"/>
        </w:rPr>
      </w:pPr>
    </w:p>
    <w:p>
      <w:pPr>
        <w:pStyle w:val="Heading3"/>
        <w:spacing w:line="240" w:lineRule="auto" w:before="13"/>
        <w:ind w:left="1041" w:right="0" w:firstLine="0"/>
        <w:jc w:val="left"/>
      </w:pPr>
      <w:r>
        <w:rPr/>
        <w:t>治理层负责监督信息发展公司的财务报告过程。</w:t>
      </w:r>
    </w:p>
    <w:p>
      <w:pPr>
        <w:spacing w:line="240" w:lineRule="auto" w:before="0"/>
        <w:rPr>
          <w:rFonts w:ascii="宋体" w:hAnsi="宋体" w:cs="宋体" w:eastAsia="宋体" w:hint="default"/>
          <w:sz w:val="28"/>
          <w:szCs w:val="28"/>
        </w:rPr>
      </w:pPr>
    </w:p>
    <w:p>
      <w:pPr>
        <w:spacing w:line="240" w:lineRule="auto" w:before="5"/>
        <w:rPr>
          <w:rFonts w:ascii="宋体" w:hAnsi="宋体" w:cs="宋体" w:eastAsia="宋体" w:hint="default"/>
          <w:sz w:val="39"/>
          <w:szCs w:val="39"/>
        </w:rPr>
      </w:pPr>
    </w:p>
    <w:p>
      <w:pPr>
        <w:pStyle w:val="Heading2"/>
        <w:spacing w:line="240" w:lineRule="auto"/>
        <w:ind w:left="741" w:right="0"/>
        <w:jc w:val="left"/>
        <w:rPr>
          <w:b w:val="0"/>
          <w:bCs w:val="0"/>
        </w:rPr>
      </w:pPr>
      <w:r>
        <w:rPr/>
        <w:t>注册会计师对财务报表审计的责任</w:t>
      </w:r>
      <w:r>
        <w:rPr>
          <w:b w:val="0"/>
          <w:bCs w:val="0"/>
        </w:rPr>
      </w: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39"/>
          <w:szCs w:val="39"/>
        </w:rPr>
      </w:pPr>
    </w:p>
    <w:p>
      <w:pPr>
        <w:pStyle w:val="Heading3"/>
        <w:spacing w:line="408" w:lineRule="auto"/>
        <w:ind w:right="1249"/>
        <w:jc w:val="both"/>
      </w:pPr>
      <w:r>
        <w:rPr>
          <w:w w:val="95"/>
        </w:rPr>
        <w:t>我们的目标是对财务报表整体是否不存在由于舞弊或错误导致的重大错报</w:t>
      </w:r>
      <w:r>
        <w:rPr>
          <w:w w:val="99"/>
        </w:rPr>
        <w:t> </w:t>
      </w:r>
      <w:r>
        <w:rPr/>
        <w:t>获取合理保证，并出具包含审计意见的审计报告。合理保证是高水平的保证，</w:t>
      </w:r>
      <w:r>
        <w:rPr>
          <w:w w:val="99"/>
        </w:rPr>
        <w:t> </w:t>
      </w:r>
      <w:r>
        <w:rPr/>
        <w:t>但并不能保证按照审计准则执行的审计在某一重大错报存在时总能发现。错报</w:t>
      </w:r>
      <w:r>
        <w:rPr>
          <w:w w:val="99"/>
        </w:rPr>
        <w:t> </w:t>
      </w:r>
      <w:r>
        <w:rPr/>
        <w:t>可能由于舞弊或错误导致，如果合理预期错报单独或汇总起来可能影响财务报</w:t>
      </w:r>
      <w:r>
        <w:rPr>
          <w:w w:val="99"/>
        </w:rPr>
        <w:t> </w:t>
      </w:r>
      <w:r>
        <w:rPr/>
        <w:t>表使用者依据财务报表作出的经济决策，则通常认为错报是重大的。</w:t>
      </w:r>
    </w:p>
    <w:p>
      <w:pPr>
        <w:pStyle w:val="Heading3"/>
        <w:spacing w:line="408" w:lineRule="auto" w:before="61"/>
        <w:ind w:right="0"/>
        <w:jc w:val="left"/>
      </w:pPr>
      <w:r>
        <w:rPr>
          <w:w w:val="95"/>
        </w:rPr>
        <w:t>在按照审计准则执行审计工作的过程中，我们运用职业判断，并保持职业</w:t>
      </w:r>
      <w:r>
        <w:rPr>
          <w:w w:val="99"/>
        </w:rPr>
        <w:t> </w:t>
      </w:r>
      <w:r>
        <w:rPr/>
        <w:t>怀疑。同时，我们也执行以下工作：</w:t>
      </w:r>
    </w:p>
    <w:p>
      <w:pPr>
        <w:pStyle w:val="Heading3"/>
        <w:spacing w:line="403" w:lineRule="auto" w:before="62"/>
        <w:ind w:right="1117"/>
        <w:jc w:val="left"/>
      </w:pPr>
      <w:r>
        <w:rPr>
          <w:spacing w:val="-1"/>
        </w:rPr>
        <w:t>（</w:t>
      </w:r>
      <w:r>
        <w:rPr>
          <w:rFonts w:ascii="Times New Roman" w:hAnsi="Times New Roman" w:cs="Times New Roman" w:eastAsia="Times New Roman" w:hint="default"/>
          <w:spacing w:val="-1"/>
        </w:rPr>
        <w:t>1</w:t>
      </w:r>
      <w:r>
        <w:rPr>
          <w:spacing w:val="-1"/>
        </w:rPr>
        <w:t>）识别和评估由于舞弊或错误导致的财务报表重大错报风险，设计和实</w:t>
      </w:r>
      <w:r>
        <w:rPr>
          <w:w w:val="99"/>
        </w:rPr>
        <w:t> </w:t>
      </w:r>
      <w:r>
        <w:rPr/>
        <w:t>施审计程序以应对这些风险，并获取充分、适当的审计证据，作为发表审计意</w:t>
      </w:r>
      <w:r>
        <w:rPr>
          <w:w w:val="99"/>
        </w:rPr>
        <w:t> </w:t>
      </w:r>
      <w:r>
        <w:rPr/>
        <w:t>见的基础。由于舞弊可能涉及串通、伪造、故意遗漏、虚假陈述或凌驾于内部</w:t>
      </w:r>
      <w:r>
        <w:rPr>
          <w:w w:val="99"/>
        </w:rPr>
        <w:t> </w:t>
      </w:r>
      <w:r>
        <w:rPr/>
        <w:t>控制之上，未能发现由于舞弊导致的重大错报的风险高于未能发现由于错误导</w:t>
      </w:r>
      <w:r>
        <w:rPr>
          <w:w w:val="99"/>
        </w:rPr>
        <w:t> </w:t>
      </w:r>
      <w:r>
        <w:rPr/>
        <w:t>致的重大错报的风险。</w:t>
      </w:r>
    </w:p>
    <w:p>
      <w:pPr>
        <w:pStyle w:val="Heading3"/>
        <w:spacing w:line="386" w:lineRule="auto" w:before="67"/>
        <w:ind w:right="1117"/>
        <w:jc w:val="left"/>
      </w:pPr>
      <w:r>
        <w:rPr>
          <w:spacing w:val="-1"/>
        </w:rPr>
        <w:t>（</w:t>
      </w:r>
      <w:r>
        <w:rPr>
          <w:rFonts w:ascii="Times New Roman" w:hAnsi="Times New Roman" w:cs="Times New Roman" w:eastAsia="Times New Roman" w:hint="default"/>
          <w:spacing w:val="-1"/>
        </w:rPr>
        <w:t>2</w:t>
      </w:r>
      <w:r>
        <w:rPr>
          <w:spacing w:val="-1"/>
        </w:rPr>
        <w:t>）了解与审计相关的内部控制，以设计恰当的审计程序，但目的并非对</w:t>
      </w:r>
      <w:r>
        <w:rPr>
          <w:w w:val="99"/>
        </w:rPr>
        <w:t> </w:t>
      </w:r>
      <w:r>
        <w:rPr/>
        <w:t>内部控制的有效性发表意见。</w:t>
      </w:r>
    </w:p>
    <w:p>
      <w:pPr>
        <w:pStyle w:val="Heading3"/>
        <w:spacing w:line="240" w:lineRule="auto" w:before="86"/>
        <w:ind w:left="681" w:right="0" w:firstLine="0"/>
        <w:jc w:val="left"/>
      </w:pPr>
      <w:r>
        <w:rPr/>
        <w:t>（</w:t>
      </w:r>
      <w:r>
        <w:rPr>
          <w:rFonts w:ascii="Times New Roman" w:hAnsi="Times New Roman" w:cs="Times New Roman" w:eastAsia="Times New Roman" w:hint="default"/>
        </w:rPr>
        <w:t>3</w:t>
      </w:r>
      <w:r>
        <w:rPr/>
        <w:t>）评价管理层选用会计政策的恰当性和作出会计估计及相关披露的合理</w:t>
      </w:r>
    </w:p>
    <w:p>
      <w:pPr>
        <w:pStyle w:val="Heading3"/>
        <w:spacing w:line="240" w:lineRule="auto" w:before="236"/>
        <w:ind w:right="0" w:firstLine="0"/>
        <w:jc w:val="left"/>
      </w:pPr>
      <w:r>
        <w:rPr/>
        <w:t>性。</w:t>
      </w:r>
    </w:p>
    <w:p>
      <w:pPr>
        <w:spacing w:line="240" w:lineRule="auto" w:before="9"/>
        <w:rPr>
          <w:rFonts w:ascii="宋体" w:hAnsi="宋体" w:cs="宋体" w:eastAsia="宋体" w:hint="default"/>
          <w:sz w:val="19"/>
          <w:szCs w:val="19"/>
        </w:rPr>
      </w:pPr>
    </w:p>
    <w:p>
      <w:pPr>
        <w:pStyle w:val="Heading3"/>
        <w:spacing w:line="386" w:lineRule="auto"/>
        <w:ind w:right="1117"/>
        <w:jc w:val="left"/>
      </w:pPr>
      <w:r>
        <w:rPr>
          <w:spacing w:val="-1"/>
        </w:rPr>
        <w:t>（</w:t>
      </w:r>
      <w:r>
        <w:rPr>
          <w:rFonts w:ascii="Times New Roman" w:hAnsi="Times New Roman" w:cs="Times New Roman" w:eastAsia="Times New Roman" w:hint="default"/>
          <w:spacing w:val="-1"/>
        </w:rPr>
        <w:t>4</w:t>
      </w:r>
      <w:r>
        <w:rPr>
          <w:spacing w:val="-1"/>
        </w:rPr>
        <w:t>）对管理层使用持续经营假设的恰当性得出结论。同时，根据获取的审</w:t>
      </w:r>
      <w:r>
        <w:rPr>
          <w:w w:val="99"/>
        </w:rPr>
        <w:t> </w:t>
      </w:r>
      <w:r>
        <w:rPr/>
        <w:t>计证据，就可能导致对信息发展公司持续经营能力产生重大疑虑的事项或情况</w:t>
      </w:r>
    </w:p>
    <w:p>
      <w:pPr>
        <w:spacing w:after="0" w:line="386" w:lineRule="auto"/>
        <w:jc w:val="left"/>
        <w:sectPr>
          <w:pgSz w:w="11910" w:h="16840"/>
          <w:pgMar w:header="822" w:footer="1019" w:top="1140" w:bottom="1200" w:left="1020" w:right="0"/>
        </w:sectPr>
      </w:pPr>
    </w:p>
    <w:p>
      <w:pPr>
        <w:spacing w:line="240" w:lineRule="auto" w:before="2"/>
        <w:rPr>
          <w:rFonts w:ascii="宋体" w:hAnsi="宋体" w:cs="宋体" w:eastAsia="宋体" w:hint="default"/>
          <w:sz w:val="28"/>
          <w:szCs w:val="28"/>
        </w:rPr>
      </w:pPr>
    </w:p>
    <w:p>
      <w:pPr>
        <w:pStyle w:val="Heading3"/>
        <w:spacing w:line="408" w:lineRule="auto" w:before="13"/>
        <w:ind w:right="1257" w:firstLine="0"/>
        <w:jc w:val="both"/>
      </w:pPr>
      <w:r>
        <w:rPr>
          <w:w w:val="95"/>
        </w:rPr>
        <w:t>是否存在重大不确定性得出结论。如果我们得出结论认为存在重大不确定性，</w:t>
      </w:r>
      <w:r>
        <w:rPr>
          <w:spacing w:val="63"/>
          <w:w w:val="95"/>
        </w:rPr>
        <w:t> </w:t>
      </w:r>
      <w:r>
        <w:rPr>
          <w:w w:val="95"/>
        </w:rPr>
        <w:t>审计准则要求我们在审计报告中提请报表使用者注意财务报表中的相关披露；</w:t>
      </w:r>
      <w:r>
        <w:rPr>
          <w:spacing w:val="63"/>
          <w:w w:val="95"/>
        </w:rPr>
        <w:t> </w:t>
      </w:r>
      <w:r>
        <w:rPr>
          <w:w w:val="95"/>
        </w:rPr>
        <w:t>如果披露不充分，我们应当发表非无保留意见。我们的结论基于截至审计报告</w:t>
      </w:r>
      <w:r>
        <w:rPr>
          <w:spacing w:val="63"/>
          <w:w w:val="95"/>
        </w:rPr>
        <w:t> </w:t>
      </w:r>
      <w:r>
        <w:rPr>
          <w:w w:val="95"/>
        </w:rPr>
        <w:t>日可获得的信息。然而，未来的事项或情况可能导致信息发展公司不能持续经  </w:t>
      </w:r>
      <w:r>
        <w:rPr>
          <w:spacing w:val="63"/>
          <w:w w:val="95"/>
        </w:rPr>
        <w:t> </w:t>
      </w:r>
      <w:r>
        <w:rPr/>
        <w:t>营。</w:t>
      </w:r>
    </w:p>
    <w:p>
      <w:pPr>
        <w:pStyle w:val="Heading3"/>
        <w:spacing w:line="386" w:lineRule="auto" w:before="61"/>
        <w:ind w:right="1247"/>
        <w:jc w:val="both"/>
      </w:pPr>
      <w:r>
        <w:rPr>
          <w:spacing w:val="-5"/>
          <w:w w:val="99"/>
        </w:rPr>
        <w:t>（</w:t>
      </w:r>
      <w:r>
        <w:rPr>
          <w:rFonts w:ascii="Times New Roman" w:hAnsi="Times New Roman" w:cs="Times New Roman" w:eastAsia="Times New Roman" w:hint="default"/>
          <w:spacing w:val="-5"/>
          <w:w w:val="99"/>
        </w:rPr>
        <w:t>5</w:t>
      </w:r>
      <w:r>
        <w:rPr>
          <w:spacing w:val="-5"/>
          <w:w w:val="99"/>
        </w:rPr>
        <w:t>）评价财务报表的总体列报、结构和内容（包括披露），并评价财务报</w:t>
      </w:r>
      <w:r>
        <w:rPr>
          <w:w w:val="99"/>
        </w:rPr>
        <w:t> </w:t>
      </w:r>
      <w:r>
        <w:rPr/>
        <w:t>表是否公允反映相关交易和事项。</w:t>
      </w:r>
    </w:p>
    <w:p>
      <w:pPr>
        <w:pStyle w:val="Heading3"/>
        <w:spacing w:line="398" w:lineRule="auto" w:before="86"/>
        <w:ind w:right="1117"/>
        <w:jc w:val="left"/>
      </w:pPr>
      <w:r>
        <w:rPr>
          <w:spacing w:val="-1"/>
        </w:rPr>
        <w:t>（</w:t>
      </w:r>
      <w:r>
        <w:rPr>
          <w:rFonts w:ascii="Times New Roman" w:hAnsi="Times New Roman" w:cs="Times New Roman" w:eastAsia="Times New Roman" w:hint="default"/>
          <w:spacing w:val="-1"/>
        </w:rPr>
        <w:t>6</w:t>
      </w:r>
      <w:r>
        <w:rPr>
          <w:spacing w:val="-1"/>
        </w:rPr>
        <w:t>）就信息发展公司中实体或业务活动的财务信息获取充分、适当的审计</w:t>
      </w:r>
      <w:r>
        <w:rPr>
          <w:w w:val="99"/>
        </w:rPr>
        <w:t> </w:t>
      </w:r>
      <w:r>
        <w:rPr/>
        <w:t>证据，以对财务报表发表审计意见。我们负责指导、监督和执行集团审计，并</w:t>
      </w:r>
      <w:r>
        <w:rPr>
          <w:w w:val="99"/>
        </w:rPr>
        <w:t> </w:t>
      </w:r>
      <w:r>
        <w:rPr/>
        <w:t>对审计意见承担全部责任。</w:t>
      </w:r>
    </w:p>
    <w:p>
      <w:pPr>
        <w:pStyle w:val="Heading3"/>
        <w:spacing w:line="408" w:lineRule="auto" w:before="72"/>
        <w:ind w:right="1249"/>
        <w:jc w:val="both"/>
      </w:pPr>
      <w:r>
        <w:rPr>
          <w:w w:val="95"/>
        </w:rPr>
        <w:t>我们与治理层就计划的审计范围、时间安排和重大审计发现等事项进行沟</w:t>
      </w:r>
      <w:r>
        <w:rPr>
          <w:w w:val="99"/>
        </w:rPr>
        <w:t> </w:t>
      </w:r>
      <w:r>
        <w:rPr/>
        <w:t>通，包括沟通我们在审计中识别出的值得关注的内部控制缺陷。</w:t>
      </w:r>
    </w:p>
    <w:p>
      <w:pPr>
        <w:pStyle w:val="Heading3"/>
        <w:spacing w:line="408" w:lineRule="auto" w:before="61"/>
        <w:ind w:right="1249"/>
        <w:jc w:val="both"/>
      </w:pPr>
      <w:r>
        <w:rPr>
          <w:w w:val="95"/>
        </w:rPr>
        <w:t>我们还就已遵守与独立性相关的职业道德要求向治理层提供声明，并与治</w:t>
      </w:r>
      <w:r>
        <w:rPr>
          <w:w w:val="99"/>
        </w:rPr>
        <w:t> </w:t>
      </w:r>
      <w:r>
        <w:rPr/>
        <w:t>理层沟通可能被合理认为影响我们独立性的所有关系和其他事项，以及相关的</w:t>
      </w:r>
      <w:r>
        <w:rPr>
          <w:w w:val="99"/>
        </w:rPr>
        <w:t> </w:t>
      </w:r>
      <w:r>
        <w:rPr>
          <w:spacing w:val="-15"/>
          <w:w w:val="99"/>
        </w:rPr>
        <w:t>防范措施（如适用）。</w:t>
      </w:r>
      <w:r>
        <w:rPr>
          <w:spacing w:val="-15"/>
        </w:rPr>
      </w:r>
    </w:p>
    <w:p>
      <w:pPr>
        <w:pStyle w:val="Heading3"/>
        <w:spacing w:line="408" w:lineRule="auto" w:before="61"/>
        <w:ind w:right="1246"/>
        <w:jc w:val="both"/>
      </w:pPr>
      <w:r>
        <w:rPr>
          <w:w w:val="95"/>
        </w:rPr>
        <w:t>从与治理层沟通过的事项中，我们确定哪些事项对本期财务报表审计最为</w:t>
      </w:r>
      <w:r>
        <w:rPr>
          <w:w w:val="99"/>
        </w:rPr>
        <w:t> </w:t>
      </w:r>
      <w:r>
        <w:rPr/>
        <w:t>重要，因而构成关键审计事项。我们在审计报告中描述这些事项，除非法律法</w:t>
      </w:r>
      <w:r>
        <w:rPr>
          <w:w w:val="99"/>
        </w:rPr>
        <w:t> </w:t>
      </w:r>
      <w:r>
        <w:rPr/>
        <w:t>规禁止公开披露这些事项，或在极少数情形下，如果合理预期在审计报告中沟</w:t>
      </w:r>
      <w:r>
        <w:rPr>
          <w:w w:val="99"/>
        </w:rPr>
        <w:t> </w:t>
      </w:r>
      <w:r>
        <w:rPr/>
        <w:t>通某事项造成的负面后果超过在公众利益方面产生的益处，我们确定不应在审</w:t>
      </w:r>
      <w:r>
        <w:rPr>
          <w:w w:val="99"/>
        </w:rPr>
        <w:t> </w:t>
      </w:r>
      <w:r>
        <w:rPr/>
        <w:t>计报告中沟通该事项。</w:t>
      </w:r>
    </w:p>
    <w:p>
      <w:pPr>
        <w:spacing w:line="240" w:lineRule="auto" w:before="0"/>
        <w:rPr>
          <w:rFonts w:ascii="宋体" w:hAnsi="宋体" w:cs="宋体" w:eastAsia="宋体" w:hint="default"/>
          <w:sz w:val="28"/>
          <w:szCs w:val="28"/>
        </w:rPr>
      </w:pPr>
    </w:p>
    <w:p>
      <w:pPr>
        <w:spacing w:line="240" w:lineRule="auto" w:before="6"/>
        <w:rPr>
          <w:rFonts w:ascii="宋体" w:hAnsi="宋体" w:cs="宋体" w:eastAsia="宋体" w:hint="default"/>
          <w:sz w:val="24"/>
          <w:szCs w:val="24"/>
        </w:rPr>
      </w:pPr>
    </w:p>
    <w:p>
      <w:pPr>
        <w:pStyle w:val="Heading2"/>
        <w:tabs>
          <w:tab w:pos="3291" w:val="left" w:leader="none"/>
        </w:tabs>
        <w:spacing w:line="240" w:lineRule="auto"/>
        <w:ind w:left="388" w:right="0"/>
        <w:jc w:val="left"/>
        <w:rPr>
          <w:b w:val="0"/>
          <w:bCs w:val="0"/>
        </w:rPr>
      </w:pPr>
      <w:r>
        <w:rPr>
          <w:w w:val="95"/>
        </w:rPr>
        <w:t>立信会计师事务所</w:t>
        <w:tab/>
      </w:r>
      <w:r>
        <w:rPr/>
        <w:t>中国注册会计师：</w:t>
      </w:r>
      <w:r>
        <w:rPr>
          <w:b w:val="0"/>
          <w:bCs w:val="0"/>
        </w:rPr>
      </w:r>
    </w:p>
    <w:p>
      <w:pPr>
        <w:spacing w:after="0" w:line="240" w:lineRule="auto"/>
        <w:jc w:val="left"/>
        <w:sectPr>
          <w:pgSz w:w="11910" w:h="16840"/>
          <w:pgMar w:header="822" w:footer="1019" w:top="1140" w:bottom="1200" w:left="1020" w:right="0"/>
        </w:sectPr>
      </w:pPr>
    </w:p>
    <w:p>
      <w:pPr>
        <w:spacing w:line="240" w:lineRule="auto" w:before="2"/>
        <w:rPr>
          <w:rFonts w:ascii="宋体" w:hAnsi="宋体" w:cs="宋体" w:eastAsia="宋体" w:hint="default"/>
          <w:b/>
          <w:bCs/>
          <w:sz w:val="28"/>
          <w:szCs w:val="28"/>
        </w:rPr>
      </w:pPr>
    </w:p>
    <w:p>
      <w:pPr>
        <w:pStyle w:val="Heading2"/>
        <w:tabs>
          <w:tab w:pos="3234" w:val="left" w:leader="none"/>
        </w:tabs>
        <w:spacing w:line="240" w:lineRule="auto" w:before="13"/>
        <w:ind w:left="388" w:right="0"/>
        <w:jc w:val="left"/>
        <w:rPr>
          <w:b w:val="0"/>
          <w:bCs w:val="0"/>
        </w:rPr>
      </w:pPr>
      <w:r>
        <w:rPr>
          <w:w w:val="95"/>
        </w:rPr>
        <w:t>（特殊普通合伙）</w:t>
        <w:tab/>
      </w:r>
      <w:r>
        <w:rPr/>
        <w:t>（项目合伙人）</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1"/>
        <w:rPr>
          <w:rFonts w:ascii="宋体" w:hAnsi="宋体" w:cs="宋体" w:eastAsia="宋体" w:hint="default"/>
          <w:b/>
          <w:bCs/>
          <w:sz w:val="31"/>
          <w:szCs w:val="31"/>
        </w:rPr>
      </w:pPr>
    </w:p>
    <w:p>
      <w:pPr>
        <w:pStyle w:val="Heading2"/>
        <w:spacing w:line="240" w:lineRule="auto"/>
        <w:ind w:left="2872" w:right="0"/>
        <w:jc w:val="left"/>
        <w:rPr>
          <w:b w:val="0"/>
          <w:bCs w:val="0"/>
        </w:rPr>
      </w:pPr>
      <w:r>
        <w:rPr/>
        <w:t>中国注册会计师：</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1"/>
        <w:rPr>
          <w:rFonts w:ascii="宋体" w:hAnsi="宋体" w:cs="宋体" w:eastAsia="宋体" w:hint="default"/>
          <w:b/>
          <w:bCs/>
          <w:sz w:val="31"/>
          <w:szCs w:val="31"/>
        </w:rPr>
      </w:pPr>
    </w:p>
    <w:p>
      <w:pPr>
        <w:pStyle w:val="Heading2"/>
        <w:tabs>
          <w:tab w:pos="2871" w:val="left" w:leader="none"/>
        </w:tabs>
        <w:spacing w:line="240" w:lineRule="auto"/>
        <w:ind w:left="388" w:right="0"/>
        <w:jc w:val="left"/>
        <w:rPr>
          <w:b w:val="0"/>
          <w:bCs w:val="0"/>
        </w:rPr>
      </w:pPr>
      <w:r>
        <w:rPr>
          <w:w w:val="95"/>
        </w:rPr>
        <w:t>中国</w:t>
      </w:r>
      <w:r>
        <w:rPr>
          <w:rFonts w:ascii="Times New Roman" w:hAnsi="Times New Roman" w:cs="Times New Roman" w:eastAsia="Times New Roman" w:hint="default"/>
          <w:w w:val="95"/>
        </w:rPr>
        <w:t>•</w:t>
      </w:r>
      <w:r>
        <w:rPr>
          <w:w w:val="95"/>
        </w:rPr>
        <w:t>上海</w:t>
        <w:tab/>
      </w:r>
      <w:r>
        <w:rPr>
          <w:rFonts w:ascii="Times New Roman" w:hAnsi="Times New Roman" w:cs="Times New Roman" w:eastAsia="Times New Roman" w:hint="default"/>
        </w:rPr>
        <w:t>2019</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9</w:t>
      </w:r>
      <w:r>
        <w:rPr/>
        <w:t>日</w:t>
      </w:r>
      <w:r>
        <w:rPr>
          <w:b w:val="0"/>
          <w:bCs w:val="0"/>
        </w:rPr>
      </w:r>
    </w:p>
    <w:p>
      <w:pPr>
        <w:spacing w:line="240" w:lineRule="auto" w:before="0"/>
        <w:rPr>
          <w:rFonts w:ascii="宋体" w:hAnsi="宋体" w:cs="宋体" w:eastAsia="宋体" w:hint="default"/>
          <w:b/>
          <w:bCs/>
          <w:sz w:val="28"/>
          <w:szCs w:val="28"/>
        </w:rPr>
      </w:pPr>
    </w:p>
    <w:p>
      <w:pPr>
        <w:spacing w:line="240" w:lineRule="auto" w:before="0"/>
        <w:rPr>
          <w:rFonts w:ascii="宋体" w:hAnsi="宋体" w:cs="宋体" w:eastAsia="宋体" w:hint="default"/>
          <w:b/>
          <w:bCs/>
          <w:sz w:val="28"/>
          <w:szCs w:val="28"/>
        </w:rPr>
      </w:pPr>
    </w:p>
    <w:p>
      <w:pPr>
        <w:spacing w:line="240" w:lineRule="auto" w:before="5"/>
        <w:rPr>
          <w:rFonts w:ascii="宋体" w:hAnsi="宋体" w:cs="宋体" w:eastAsia="宋体" w:hint="default"/>
          <w:b/>
          <w:bCs/>
          <w:sz w:val="23"/>
          <w:szCs w:val="23"/>
        </w:rPr>
      </w:pPr>
    </w:p>
    <w:p>
      <w:pPr>
        <w:pStyle w:val="Heading4"/>
        <w:spacing w:line="240" w:lineRule="auto"/>
        <w:ind w:right="0"/>
        <w:jc w:val="left"/>
        <w:rPr>
          <w:b w:val="0"/>
          <w:bCs w:val="0"/>
        </w:rPr>
      </w:pPr>
      <w:bookmarkStart w:name="二、财务报表" w:id="158"/>
      <w:bookmarkEnd w:id="158"/>
      <w:r>
        <w:rPr>
          <w:b w:val="0"/>
          <w:bCs w:val="0"/>
        </w:rPr>
      </w:r>
      <w:r>
        <w:rPr/>
        <w:t>二、财务报表</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财务附注中报表的单位为：人民币元</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1、合并资产负债表" w:id="159"/>
      <w:bookmarkEnd w:id="159"/>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、合并资产负债表</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22" w:footer="1019" w:top="1140" w:bottom="1200" w:left="1020" w:right="0"/>
        </w:sectPr>
      </w:pPr>
    </w:p>
    <w:p>
      <w:pPr>
        <w:spacing w:before="44"/>
        <w:ind w:left="114" w:right="-20" w:firstLine="0"/>
        <w:jc w:val="left"/>
        <w:rPr>
          <w:rFonts w:ascii="宋体" w:hAnsi="宋体" w:cs="宋体" w:eastAsia="宋体" w:hint="default"/>
          <w:sz w:val="18"/>
          <w:szCs w:val="18"/>
        </w:rPr>
      </w:pPr>
      <w:r>
        <w:rPr>
          <w:rFonts w:ascii="宋体" w:hAnsi="宋体" w:cs="宋体" w:eastAsia="宋体" w:hint="default"/>
          <w:sz w:val="18"/>
          <w:szCs w:val="18"/>
        </w:rPr>
        <w:t>编制单位：上海中信信息发展股份有限公司</w:t>
      </w:r>
    </w:p>
    <w:p>
      <w:pPr>
        <w:spacing w:line="240" w:lineRule="auto" w:before="0"/>
        <w:rPr>
          <w:rFonts w:ascii="宋体" w:hAnsi="宋体" w:cs="宋体" w:eastAsia="宋体" w:hint="default"/>
          <w:sz w:val="18"/>
          <w:szCs w:val="18"/>
        </w:rPr>
      </w:pPr>
      <w:r>
        <w:rPr/>
        <w:br w:type="column"/>
      </w:r>
      <w:r>
        <w:rPr>
          <w:rFonts w:ascii="宋体"/>
          <w:sz w:val="18"/>
        </w:rPr>
      </w:r>
    </w:p>
    <w:p>
      <w:pPr>
        <w:spacing w:before="160"/>
        <w:ind w:left="113" w:right="-16"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13" w:right="0" w:firstLine="0"/>
        <w:jc w:val="left"/>
        <w:rPr>
          <w:rFonts w:ascii="宋体" w:hAnsi="宋体" w:cs="宋体" w:eastAsia="宋体" w:hint="default"/>
          <w:sz w:val="18"/>
          <w:szCs w:val="18"/>
        </w:rPr>
      </w:pPr>
      <w:r>
        <w:rPr>
          <w:rFonts w:ascii="宋体" w:hAnsi="宋体" w:cs="宋体" w:eastAsia="宋体" w:hint="default"/>
          <w:sz w:val="18"/>
          <w:szCs w:val="18"/>
        </w:rPr>
        <w:t>单位：元</w:t>
      </w:r>
    </w:p>
    <w:p>
      <w:pPr>
        <w:spacing w:after="0"/>
        <w:jc w:val="left"/>
        <w:rPr>
          <w:rFonts w:ascii="宋体" w:hAnsi="宋体" w:cs="宋体" w:eastAsia="宋体" w:hint="default"/>
          <w:sz w:val="18"/>
          <w:szCs w:val="18"/>
        </w:rPr>
        <w:sectPr>
          <w:type w:val="continuous"/>
          <w:pgSz w:w="11910" w:h="16840"/>
          <w:pgMar w:top="1140" w:bottom="1200" w:left="1020" w:right="0"/>
          <w:cols w:num="3" w:equalWidth="0">
            <w:col w:w="3535" w:space="543"/>
            <w:col w:w="1599" w:space="3243"/>
            <w:col w:w="1970"/>
          </w:cols>
        </w:sectPr>
      </w:pP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95"/>
        <w:gridCol w:w="3406"/>
        <w:gridCol w:w="2968"/>
      </w:tblGrid>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213,633,815.74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224,288,247.15</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结算备付金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拆出资金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0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354,806,506.77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318,647,442.63</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7"/>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354,806,506.77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318,647,442.63</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12,179,590.36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2,791,446.93</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应收保费</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应收分保账款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95"/>
        <w:gridCol w:w="3406"/>
        <w:gridCol w:w="2968"/>
      </w:tblGrid>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应收分保合同准备金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52,280,954.83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52,464,942.46</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7"/>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买入返售金融资产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348,998,005.46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290,543,202.46</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6,986,539.26</w:t>
            </w: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988,885,412.42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888,735,281.63</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发放贷款和垫款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23,000,000.00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17,500,000.00</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14,984,423.74</w:t>
            </w: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16,417,086.39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20,469,389.83</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274,414,892.58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230,643,116.75</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30,798,905.11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32,053,492.32</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10,737,367.68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10,737,367.68</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83,308.23</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15,804,938.19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17,054,878.55</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386,157,613.69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328,541,553.36</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1,375,043,026.11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1,217,276,834.99</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222,500,000.00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157,500,000.00</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向中央银行借款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吸收存款及同业存放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拆入资金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95"/>
        <w:gridCol w:w="3406"/>
        <w:gridCol w:w="2968"/>
      </w:tblGrid>
      <w:tr>
        <w:trPr>
          <w:trHeight w:val="714"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01"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 期损益的金融负债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228,288,347.43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254,892,701.47</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139,240,861.02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79,325,527.27</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卖出回购金融资产款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应付手续费及佣金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23,398,600.12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17,790,001.66</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58,170,839.43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60,213,828.92</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39,257,223.57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67,670,246.66</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516,104.23</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686,201.38</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97"/>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应付分保账款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保险合同准备金</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代理买卖证券款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代理承销证券款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713,855,871.57</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637,392,305.98</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162,000,000.00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130,000,000.00</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77"/>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17,312,000.00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14,740,000.00</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95,000.02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123,500.02</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406"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179,407,000.02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144,863,500.02</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4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893,262,871.59</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782,255,806.00</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40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194"/>
        <w:gridCol w:w="3407"/>
        <w:gridCol w:w="2968"/>
      </w:tblGrid>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121,993,920.00</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68,300,000.00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407"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407"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75"/>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407"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140,065,907.86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224,432,035.86</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37,410,991.66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60,268,032.00</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407"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407"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21,158,362.78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21,044,926.05</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3407" w:type="dxa"/>
            <w:tcBorders>
              <w:top w:val="single" w:sz="4" w:space="0" w:color="000000"/>
              <w:left w:val="single" w:sz="4" w:space="0" w:color="000000"/>
              <w:bottom w:val="single" w:sz="4" w:space="0" w:color="000000"/>
              <w:right w:val="single" w:sz="4" w:space="0" w:color="000000"/>
            </w:tcBorders>
          </w:tcPr>
          <w:p>
            <w:pPr/>
          </w:p>
        </w:tc>
        <w:tc>
          <w:tcPr>
            <w:tcW w:w="2968"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206,776,284.56</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168,863,947.16</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452,583,483.54</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422,372,877.07</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29,196,670.98</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12,648,151.92</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481,780,154.52</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435,021,028.99</w:t>
            </w:r>
          </w:p>
        </w:tc>
      </w:tr>
      <w:tr>
        <w:trPr>
          <w:trHeight w:val="402" w:hRule="exact"/>
        </w:trPr>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40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1,375,043,026.11</w:t>
            </w:r>
          </w:p>
        </w:tc>
        <w:tc>
          <w:tcPr>
            <w:tcW w:w="29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1,217,276,834.99</w:t>
            </w:r>
          </w:p>
        </w:tc>
      </w:tr>
    </w:tbl>
    <w:p>
      <w:pPr>
        <w:spacing w:line="240" w:lineRule="auto" w:before="3"/>
        <w:rPr>
          <w:rFonts w:ascii="Times New Roman" w:hAnsi="Times New Roman" w:cs="Times New Roman" w:eastAsia="Times New Roman" w:hint="default"/>
          <w:sz w:val="23"/>
          <w:szCs w:val="23"/>
        </w:rPr>
      </w:pPr>
    </w:p>
    <w:p>
      <w:pPr>
        <w:tabs>
          <w:tab w:pos="3510" w:val="left" w:leader="none"/>
          <w:tab w:pos="7561" w:val="left" w:leader="none"/>
        </w:tabs>
        <w:spacing w:before="44"/>
        <w:ind w:left="0" w:right="1229" w:firstLine="0"/>
        <w:jc w:val="right"/>
        <w:rPr>
          <w:rFonts w:ascii="宋体" w:hAnsi="宋体" w:cs="宋体" w:eastAsia="宋体" w:hint="default"/>
          <w:sz w:val="18"/>
          <w:szCs w:val="18"/>
        </w:rPr>
      </w:pPr>
      <w:r>
        <w:rPr>
          <w:rFonts w:ascii="宋体" w:hAnsi="宋体" w:cs="宋体" w:eastAsia="宋体" w:hint="default"/>
          <w:sz w:val="18"/>
          <w:szCs w:val="18"/>
        </w:rPr>
        <w:t>法定代表人：张曙华</w:t>
        <w:tab/>
        <w:t>主管会计工作负责人：张颖</w:t>
        <w:tab/>
        <w:t>会计机构负责人：范燕青</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母公司资产负债表" w:id="160"/>
      <w:bookmarkEnd w:id="160"/>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、母公司资产负债表</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02"/>
        <w:gridCol w:w="3302"/>
        <w:gridCol w:w="296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115,391,728.89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150,945,299.09</w:t>
            </w:r>
          </w:p>
        </w:tc>
      </w:tr>
      <w:tr>
        <w:trPr>
          <w:trHeight w:val="714"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26"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 损益的金融资产</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衍生金融资产</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应收票据及应收账款</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345,340,462.61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311,308,172.28</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其中：应收票据</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2"/>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345,340,462.61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311,308,172.28</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64,654,672.58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8,409,663.31</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95,687,524.76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96,863,281.37</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其中：应收利息</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2"/>
              <w:jc w:val="center"/>
              <w:rPr>
                <w:rFonts w:ascii="宋体" w:hAnsi="宋体" w:cs="宋体" w:eastAsia="宋体" w:hint="default"/>
                <w:sz w:val="18"/>
                <w:szCs w:val="18"/>
              </w:rPr>
            </w:pPr>
            <w:r>
              <w:rPr>
                <w:rFonts w:ascii="宋体" w:hAnsi="宋体" w:cs="宋体" w:eastAsia="宋体" w:hint="default"/>
                <w:sz w:val="18"/>
                <w:szCs w:val="18"/>
              </w:rPr>
              <w:t>应收股利</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226,031,599.28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267,536,737.11</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持有待售资产</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302"/>
        <w:gridCol w:w="3302"/>
        <w:gridCol w:w="296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6,986,539.26</w:t>
            </w: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854,092,527.38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835,063,153.16</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3,000,000.00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14,984,423.74</w:t>
            </w: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106,100,000.00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104,100,000.00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7,475,417.68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13,083,001.60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10,150,343.70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39,729.73</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1,897,025.37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406,037.03</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12,819,513.01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9,549,984.01</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156,426,723.50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130,178,752.37</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1,010,519,250.88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965,241,905.53</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212,500,000.00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157,500,000.00</w:t>
            </w:r>
          </w:p>
        </w:tc>
      </w:tr>
      <w:tr>
        <w:trPr>
          <w:trHeight w:val="714"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26" w:firstLine="360"/>
              <w:jc w:val="left"/>
              <w:rPr>
                <w:rFonts w:ascii="宋体" w:hAnsi="宋体" w:cs="宋体" w:eastAsia="宋体" w:hint="default"/>
                <w:sz w:val="18"/>
                <w:szCs w:val="18"/>
              </w:rPr>
            </w:pPr>
            <w:r>
              <w:rPr>
                <w:rFonts w:ascii="宋体" w:hAnsi="宋体" w:cs="宋体" w:eastAsia="宋体" w:hint="default"/>
                <w:sz w:val="18"/>
                <w:szCs w:val="18"/>
              </w:rPr>
              <w:t>以公允价值计量且其变动计入当期 损益的金融负债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衍生金融负债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应付票据及应付账款</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198,531,901.97</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217,734,054.43</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116,948,392.35</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70,007,557.16</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17,588,754.71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13,728,234.38</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53,285,260.10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53,586,831.43</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37,509,357.43</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66,603,403.40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其中：应付利息</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298,395.90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497,520.82</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02"/>
              <w:jc w:val="center"/>
              <w:rPr>
                <w:rFonts w:ascii="宋体" w:hAnsi="宋体" w:cs="宋体" w:eastAsia="宋体" w:hint="default"/>
                <w:sz w:val="18"/>
                <w:szCs w:val="18"/>
              </w:rPr>
            </w:pPr>
            <w:r>
              <w:rPr>
                <w:rFonts w:ascii="宋体" w:hAnsi="宋体" w:cs="宋体" w:eastAsia="宋体" w:hint="default"/>
                <w:sz w:val="18"/>
                <w:szCs w:val="18"/>
              </w:rPr>
              <w:t>应付股利</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持有待售负债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3302"/>
        <w:gridCol w:w="3302"/>
        <w:gridCol w:w="2966"/>
      </w:tblGrid>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636,363,666.56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579,160,080.80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82"/>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长期应付职工薪酬</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14,257,000.00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12,725,000.00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14,257,000.00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12,725,000.00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650,620,666.56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591,885,080.80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所有者权益：</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2966"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121,993,920.00</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68,300,000.00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其中：优先股</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382"/>
              <w:jc w:val="center"/>
              <w:rPr>
                <w:rFonts w:ascii="宋体" w:hAnsi="宋体" w:cs="宋体" w:eastAsia="宋体" w:hint="default"/>
                <w:sz w:val="18"/>
                <w:szCs w:val="18"/>
              </w:rPr>
            </w:pPr>
            <w:r>
              <w:rPr>
                <w:rFonts w:ascii="宋体" w:hAnsi="宋体" w:cs="宋体" w:eastAsia="宋体" w:hint="default"/>
                <w:sz w:val="18"/>
                <w:szCs w:val="18"/>
              </w:rPr>
              <w:t>永续债</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140,055,568.49</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224,421,696.49</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37,410,991.66</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60,268,032.00</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3302" w:type="dxa"/>
            <w:tcBorders>
              <w:top w:val="single" w:sz="4" w:space="0" w:color="000000"/>
              <w:left w:val="single" w:sz="4" w:space="0" w:color="000000"/>
              <w:bottom w:val="single" w:sz="4" w:space="0" w:color="000000"/>
              <w:right w:val="single" w:sz="4" w:space="0" w:color="000000"/>
            </w:tcBorders>
          </w:tcPr>
          <w:p>
            <w:pPr/>
          </w:p>
        </w:tc>
        <w:tc>
          <w:tcPr>
            <w:tcW w:w="296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21,158,362.78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21,044,926.05</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114,101,724.71</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119,858,234.19</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359,898,584.32</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373,356,824.73</w:t>
            </w:r>
          </w:p>
        </w:tc>
      </w:tr>
      <w:tr>
        <w:trPr>
          <w:trHeight w:val="402" w:hRule="exact"/>
        </w:trPr>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负债和所有者权益总计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1,010,519,250.88</w:t>
            </w:r>
          </w:p>
        </w:tc>
        <w:tc>
          <w:tcPr>
            <w:tcW w:w="29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pacing w:val="-1"/>
                <w:sz w:val="18"/>
              </w:rPr>
              <w:t>965,241,905.53</w:t>
            </w:r>
          </w:p>
        </w:tc>
      </w:tr>
    </w:tbl>
    <w:p>
      <w:pPr>
        <w:spacing w:line="240" w:lineRule="auto" w:before="10"/>
        <w:rPr>
          <w:rFonts w:ascii="Times New Roman" w:hAnsi="Times New Roman" w:cs="Times New Roman" w:eastAsia="Times New Roman" w:hint="default"/>
          <w:sz w:val="21"/>
          <w:szCs w:val="21"/>
        </w:rPr>
      </w:pPr>
    </w:p>
    <w:p>
      <w:pPr>
        <w:spacing w:before="35"/>
        <w:ind w:left="114" w:right="0" w:firstLine="0"/>
        <w:jc w:val="left"/>
        <w:rPr>
          <w:rFonts w:ascii="宋体" w:hAnsi="宋体" w:cs="宋体" w:eastAsia="宋体" w:hint="default"/>
          <w:sz w:val="21"/>
          <w:szCs w:val="21"/>
        </w:rPr>
      </w:pPr>
      <w:bookmarkStart w:name="3、合并利润表" w:id="161"/>
      <w:bookmarkEnd w:id="161"/>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、合并利润表</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8"/>
        <w:gridCol w:w="3300"/>
        <w:gridCol w:w="3300"/>
      </w:tblGrid>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61" w:right="0"/>
              <w:jc w:val="left"/>
              <w:rPr>
                <w:rFonts w:ascii="Times New Roman" w:hAnsi="Times New Roman" w:cs="Times New Roman" w:eastAsia="Times New Roman" w:hint="default"/>
                <w:sz w:val="18"/>
                <w:szCs w:val="18"/>
              </w:rPr>
            </w:pPr>
            <w:r>
              <w:rPr>
                <w:rFonts w:ascii="Times New Roman"/>
                <w:sz w:val="18"/>
              </w:rPr>
              <w:t>706,940,063.53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63" w:right="0"/>
              <w:jc w:val="left"/>
              <w:rPr>
                <w:rFonts w:ascii="Times New Roman" w:hAnsi="Times New Roman" w:cs="Times New Roman" w:eastAsia="Times New Roman" w:hint="default"/>
                <w:sz w:val="18"/>
                <w:szCs w:val="18"/>
              </w:rPr>
            </w:pPr>
            <w:r>
              <w:rPr>
                <w:rFonts w:ascii="Times New Roman"/>
                <w:sz w:val="18"/>
              </w:rPr>
              <w:t>564,293,578.68</w:t>
            </w:r>
          </w:p>
        </w:tc>
      </w:tr>
    </w:tbl>
    <w:p>
      <w:pPr>
        <w:spacing w:after="0" w:line="240" w:lineRule="auto"/>
        <w:jc w:val="left"/>
        <w:rPr>
          <w:rFonts w:ascii="Times New Roman" w:hAnsi="Times New Roman" w:cs="Times New Roman" w:eastAsia="Times New Roman"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706,940,063.53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564,293,578.68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8"/>
              <w:jc w:val="center"/>
              <w:rPr>
                <w:rFonts w:ascii="宋体" w:hAnsi="宋体" w:cs="宋体" w:eastAsia="宋体" w:hint="default"/>
                <w:sz w:val="18"/>
                <w:szCs w:val="18"/>
              </w:rPr>
            </w:pPr>
            <w:r>
              <w:rPr>
                <w:rFonts w:ascii="宋体" w:hAnsi="宋体" w:cs="宋体" w:eastAsia="宋体" w:hint="default"/>
                <w:sz w:val="18"/>
                <w:szCs w:val="18"/>
              </w:rPr>
              <w:t>利息收入</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8"/>
              <w:jc w:val="center"/>
              <w:rPr>
                <w:rFonts w:ascii="宋体" w:hAnsi="宋体" w:cs="宋体" w:eastAsia="宋体" w:hint="default"/>
                <w:sz w:val="18"/>
                <w:szCs w:val="18"/>
              </w:rPr>
            </w:pPr>
            <w:r>
              <w:rPr>
                <w:rFonts w:ascii="宋体" w:hAnsi="宋体" w:cs="宋体" w:eastAsia="宋体" w:hint="default"/>
                <w:sz w:val="18"/>
                <w:szCs w:val="18"/>
              </w:rPr>
              <w:t>已赚保费</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2"/>
              <w:jc w:val="righ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682,227,061.32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541,751,848.17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450,429,814.58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337,162,570.96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8"/>
              <w:jc w:val="center"/>
              <w:rPr>
                <w:rFonts w:ascii="宋体" w:hAnsi="宋体" w:cs="宋体" w:eastAsia="宋体" w:hint="default"/>
                <w:sz w:val="18"/>
                <w:szCs w:val="18"/>
              </w:rPr>
            </w:pPr>
            <w:r>
              <w:rPr>
                <w:rFonts w:ascii="宋体" w:hAnsi="宋体" w:cs="宋体" w:eastAsia="宋体" w:hint="default"/>
                <w:sz w:val="18"/>
                <w:szCs w:val="18"/>
              </w:rPr>
              <w:t>利息支出</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2"/>
              <w:jc w:val="righ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08"/>
              <w:jc w:val="center"/>
              <w:rPr>
                <w:rFonts w:ascii="宋体" w:hAnsi="宋体" w:cs="宋体" w:eastAsia="宋体" w:hint="default"/>
                <w:sz w:val="18"/>
                <w:szCs w:val="18"/>
              </w:rPr>
            </w:pPr>
            <w:r>
              <w:rPr>
                <w:rFonts w:ascii="宋体" w:hAnsi="宋体" w:cs="宋体" w:eastAsia="宋体" w:hint="default"/>
                <w:sz w:val="18"/>
                <w:szCs w:val="18"/>
              </w:rPr>
              <w:t>退保金</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宋体" w:hAnsi="宋体" w:cs="宋体" w:eastAsia="宋体" w:hint="default"/>
                <w:sz w:val="18"/>
                <w:szCs w:val="18"/>
              </w:rPr>
              <w:t>赔付支出净额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宋体" w:hAnsi="宋体" w:cs="宋体" w:eastAsia="宋体" w:hint="default"/>
                <w:sz w:val="18"/>
                <w:szCs w:val="18"/>
              </w:rPr>
              <w:t>提取保险合同准备金净</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宋体" w:hAnsi="宋体" w:cs="宋体" w:eastAsia="宋体" w:hint="default"/>
                <w:sz w:val="18"/>
                <w:szCs w:val="18"/>
              </w:rPr>
              <w:t>保单红利支出</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8"/>
              <w:jc w:val="center"/>
              <w:rPr>
                <w:rFonts w:ascii="宋体" w:hAnsi="宋体" w:cs="宋体" w:eastAsia="宋体" w:hint="default"/>
                <w:sz w:val="18"/>
                <w:szCs w:val="18"/>
              </w:rPr>
            </w:pPr>
            <w:r>
              <w:rPr>
                <w:rFonts w:ascii="宋体" w:hAnsi="宋体" w:cs="宋体" w:eastAsia="宋体" w:hint="default"/>
                <w:sz w:val="18"/>
                <w:szCs w:val="18"/>
              </w:rPr>
              <w:t>分保费用</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8"/>
              <w:jc w:val="center"/>
              <w:rPr>
                <w:rFonts w:ascii="宋体" w:hAnsi="宋体" w:cs="宋体" w:eastAsia="宋体" w:hint="default"/>
                <w:sz w:val="18"/>
                <w:szCs w:val="18"/>
              </w:rPr>
            </w:pPr>
            <w:r>
              <w:rPr>
                <w:rFonts w:ascii="宋体" w:hAnsi="宋体" w:cs="宋体" w:eastAsia="宋体" w:hint="default"/>
                <w:sz w:val="18"/>
                <w:szCs w:val="18"/>
              </w:rPr>
              <w:t>税金及附加</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1,109,582.63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2,182,778.98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8"/>
              <w:jc w:val="center"/>
              <w:rPr>
                <w:rFonts w:ascii="宋体" w:hAnsi="宋体" w:cs="宋体" w:eastAsia="宋体" w:hint="default"/>
                <w:sz w:val="18"/>
                <w:szCs w:val="18"/>
              </w:rPr>
            </w:pPr>
            <w:r>
              <w:rPr>
                <w:rFonts w:ascii="宋体" w:hAnsi="宋体" w:cs="宋体" w:eastAsia="宋体" w:hint="default"/>
                <w:sz w:val="18"/>
                <w:szCs w:val="18"/>
              </w:rPr>
              <w:t>销售费用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55,571,530.43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50,473,733.18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8"/>
              <w:jc w:val="center"/>
              <w:rPr>
                <w:rFonts w:ascii="宋体" w:hAnsi="宋体" w:cs="宋体" w:eastAsia="宋体" w:hint="default"/>
                <w:sz w:val="18"/>
                <w:szCs w:val="18"/>
              </w:rPr>
            </w:pPr>
            <w:r>
              <w:rPr>
                <w:rFonts w:ascii="宋体" w:hAnsi="宋体" w:cs="宋体" w:eastAsia="宋体" w:hint="default"/>
                <w:sz w:val="18"/>
                <w:szCs w:val="18"/>
              </w:rPr>
              <w:t>管理费用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77,494,036.13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71,071,012.86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8"/>
              <w:jc w:val="center"/>
              <w:rPr>
                <w:rFonts w:ascii="宋体" w:hAnsi="宋体" w:cs="宋体" w:eastAsia="宋体" w:hint="default"/>
                <w:sz w:val="18"/>
                <w:szCs w:val="18"/>
              </w:rPr>
            </w:pPr>
            <w:r>
              <w:rPr>
                <w:rFonts w:ascii="宋体" w:hAnsi="宋体" w:cs="宋体" w:eastAsia="宋体" w:hint="default"/>
                <w:sz w:val="18"/>
                <w:szCs w:val="18"/>
              </w:rPr>
              <w:t>研发费用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65,700,762.42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60,496,925.34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228"/>
              <w:jc w:val="center"/>
              <w:rPr>
                <w:rFonts w:ascii="宋体" w:hAnsi="宋体" w:cs="宋体" w:eastAsia="宋体" w:hint="default"/>
                <w:sz w:val="18"/>
                <w:szCs w:val="18"/>
              </w:rPr>
            </w:pPr>
            <w:r>
              <w:rPr>
                <w:rFonts w:ascii="宋体" w:hAnsi="宋体" w:cs="宋体" w:eastAsia="宋体" w:hint="default"/>
                <w:sz w:val="18"/>
                <w:szCs w:val="18"/>
              </w:rPr>
              <w:t>财务费用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10,339,731.46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9,964,491.38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2"/>
              <w:jc w:val="right"/>
              <w:rPr>
                <w:rFonts w:ascii="宋体" w:hAnsi="宋体" w:cs="宋体" w:eastAsia="宋体" w:hint="default"/>
                <w:sz w:val="18"/>
                <w:szCs w:val="18"/>
              </w:rPr>
            </w:pPr>
            <w:r>
              <w:rPr>
                <w:rFonts w:ascii="宋体" w:hAnsi="宋体" w:cs="宋体" w:eastAsia="宋体" w:hint="default"/>
                <w:sz w:val="18"/>
                <w:szCs w:val="18"/>
              </w:rPr>
              <w:t>其中：利息费用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10,583,304.36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10,256,935.98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512"/>
              <w:jc w:val="right"/>
              <w:rPr>
                <w:rFonts w:ascii="宋体" w:hAnsi="宋体" w:cs="宋体" w:eastAsia="宋体" w:hint="default"/>
                <w:sz w:val="18"/>
                <w:szCs w:val="18"/>
              </w:rPr>
            </w:pPr>
            <w:r>
              <w:rPr>
                <w:rFonts w:ascii="宋体" w:hAnsi="宋体" w:cs="宋体" w:eastAsia="宋体" w:hint="default"/>
                <w:sz w:val="18"/>
                <w:szCs w:val="18"/>
              </w:rPr>
              <w:t>利息收入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574,450.73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514,207.77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21,581,603.67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10,400,335.47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25,711,525.00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12,528,675.00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投资收益（损失以“－”</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 企业的投资收益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firstLine="720"/>
              <w:jc w:val="left"/>
              <w:rPr>
                <w:rFonts w:ascii="宋体" w:hAnsi="宋体" w:cs="宋体" w:eastAsia="宋体" w:hint="default"/>
                <w:sz w:val="18"/>
                <w:szCs w:val="18"/>
              </w:rPr>
            </w:pPr>
            <w:r>
              <w:rPr>
                <w:rFonts w:ascii="宋体" w:hAnsi="宋体" w:cs="宋体" w:eastAsia="宋体" w:hint="default"/>
                <w:sz w:val="18"/>
                <w:szCs w:val="18"/>
              </w:rPr>
              <w:t>公允价值变动收益（损失 以“－”号填列）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”号</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pacing w:val="-8"/>
                <w:sz w:val="18"/>
                <w:szCs w:val="18"/>
              </w:rPr>
              <w:t>资产处置收益（损失以“</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42,373.26</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jc w:val="left"/>
              <w:rPr>
                <w:rFonts w:ascii="宋体" w:hAnsi="宋体" w:cs="宋体" w:eastAsia="宋体" w:hint="default"/>
                <w:sz w:val="18"/>
                <w:szCs w:val="18"/>
              </w:rPr>
            </w:pPr>
            <w:r>
              <w:rPr>
                <w:rFonts w:ascii="宋体" w:hAnsi="宋体" w:cs="宋体" w:eastAsia="宋体" w:hint="default"/>
                <w:sz w:val="18"/>
                <w:szCs w:val="18"/>
              </w:rPr>
              <w:t>三、营业利润（亏损以“－”号填 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50,466,900.47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35,070,405.51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120,793.90</w:t>
            </w:r>
          </w:p>
        </w:tc>
      </w:tr>
    </w:tbl>
    <w:p>
      <w:pPr>
        <w:spacing w:after="0" w:line="240" w:lineRule="auto"/>
        <w:jc w:val="right"/>
        <w:rPr>
          <w:rFonts w:ascii="Times New Roman" w:hAnsi="Times New Roman" w:cs="Times New Roman" w:eastAsia="Times New Roman"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967"/>
        <w:gridCol w:w="3301"/>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91,275.32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62,442.69</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jc w:val="left"/>
              <w:rPr>
                <w:rFonts w:ascii="宋体" w:hAnsi="宋体" w:cs="宋体" w:eastAsia="宋体" w:hint="default"/>
                <w:sz w:val="18"/>
                <w:szCs w:val="18"/>
              </w:rPr>
            </w:pPr>
            <w:r>
              <w:rPr>
                <w:rFonts w:ascii="宋体" w:hAnsi="宋体" w:cs="宋体" w:eastAsia="宋体" w:hint="default"/>
                <w:sz w:val="18"/>
                <w:szCs w:val="18"/>
              </w:rPr>
              <w:t>四、利润总额（亏损总额以“－” 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50,375,625.19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35,128,756.72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w w:val="95"/>
                <w:sz w:val="18"/>
              </w:rPr>
              <w:t>-976,108.00</w:t>
            </w:r>
            <w:r>
              <w:rPr>
                <w:rFonts w:ascii="Times New Roman"/>
                <w:sz w:val="18"/>
              </w:rPr>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2,316,846.96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jc w:val="left"/>
              <w:rPr>
                <w:rFonts w:ascii="宋体" w:hAnsi="宋体" w:cs="宋体" w:eastAsia="宋体" w:hint="default"/>
                <w:sz w:val="18"/>
                <w:szCs w:val="18"/>
              </w:rPr>
            </w:pPr>
            <w:r>
              <w:rPr>
                <w:rFonts w:ascii="宋体" w:hAnsi="宋体" w:cs="宋体" w:eastAsia="宋体" w:hint="default"/>
                <w:sz w:val="18"/>
                <w:szCs w:val="18"/>
              </w:rPr>
              <w:t>五、净利润（净亏损以“－”号填 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51,351,733.19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32,811,909.76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 损以“－”号填列）</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51,351,733.19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32,811,909.76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 损以“－”号填列）</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52"/>
              <w:jc w:val="righ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44,803,214.13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33,207,874.96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6,548,519.06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w w:val="95"/>
                <w:sz w:val="18"/>
              </w:rPr>
              <w:t>-395,965.20</w:t>
            </w:r>
            <w:r>
              <w:rPr>
                <w:rFonts w:ascii="Times New Roman"/>
                <w:sz w:val="18"/>
              </w:rPr>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六、其他综合收益的税后净额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firstLine="180"/>
              <w:jc w:val="left"/>
              <w:rPr>
                <w:rFonts w:ascii="宋体" w:hAnsi="宋体" w:cs="宋体" w:eastAsia="宋体" w:hint="default"/>
                <w:sz w:val="18"/>
                <w:szCs w:val="18"/>
              </w:rPr>
            </w:pPr>
            <w:r>
              <w:rPr>
                <w:rFonts w:ascii="宋体" w:hAnsi="宋体" w:cs="宋体" w:eastAsia="宋体" w:hint="default"/>
                <w:sz w:val="18"/>
                <w:szCs w:val="18"/>
              </w:rPr>
              <w:t>归属母公司所有者的其他综合收 益的税后净额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firstLine="360"/>
              <w:jc w:val="left"/>
              <w:rPr>
                <w:rFonts w:ascii="宋体" w:hAnsi="宋体" w:cs="宋体" w:eastAsia="宋体" w:hint="default"/>
                <w:sz w:val="18"/>
                <w:szCs w:val="18"/>
              </w:rPr>
            </w:pPr>
            <w:r>
              <w:rPr>
                <w:rFonts w:ascii="宋体" w:hAnsi="宋体" w:cs="宋体" w:eastAsia="宋体" w:hint="default"/>
                <w:sz w:val="18"/>
                <w:szCs w:val="18"/>
              </w:rPr>
              <w:t>（一）不能重分类进损益的其 他综合收益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划变动额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 的其他综合收益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 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 其他综合收益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 允价值变动损益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 类为可供出售金融资产损益</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有效部分</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55"/>
              <w:jc w:val="center"/>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2" w:firstLine="180"/>
              <w:jc w:val="left"/>
              <w:rPr>
                <w:rFonts w:ascii="宋体" w:hAnsi="宋体" w:cs="宋体" w:eastAsia="宋体" w:hint="default"/>
                <w:sz w:val="18"/>
                <w:szCs w:val="18"/>
              </w:rPr>
            </w:pPr>
            <w:r>
              <w:rPr>
                <w:rFonts w:ascii="宋体" w:hAnsi="宋体" w:cs="宋体" w:eastAsia="宋体" w:hint="default"/>
                <w:sz w:val="18"/>
                <w:szCs w:val="18"/>
              </w:rPr>
              <w:t>归属于少数股东的其他综合收益 的税后净额</w:t>
            </w:r>
          </w:p>
        </w:tc>
        <w:tc>
          <w:tcPr>
            <w:tcW w:w="3301"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七、综合收益总额</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51,351,733.19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32,811,909.76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right="152"/>
              <w:jc w:val="right"/>
              <w:rPr>
                <w:rFonts w:ascii="宋体" w:hAnsi="宋体" w:cs="宋体" w:eastAsia="宋体" w:hint="default"/>
                <w:sz w:val="18"/>
                <w:szCs w:val="18"/>
              </w:rPr>
            </w:pPr>
            <w:r>
              <w:rPr>
                <w:rFonts w:ascii="宋体" w:hAnsi="宋体" w:cs="宋体" w:eastAsia="宋体" w:hint="default"/>
                <w:sz w:val="18"/>
                <w:szCs w:val="18"/>
              </w:rPr>
              <w:t>归属于母公司所有者的综合收</w:t>
            </w:r>
          </w:p>
        </w:tc>
        <w:tc>
          <w:tcPr>
            <w:tcW w:w="330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44,803,214.13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33,207,874.96</w:t>
            </w:r>
          </w:p>
        </w:tc>
      </w:tr>
    </w:tbl>
    <w:p>
      <w:pPr>
        <w:spacing w:after="0" w:line="240" w:lineRule="auto"/>
        <w:jc w:val="right"/>
        <w:rPr>
          <w:rFonts w:ascii="Times New Roman" w:hAnsi="Times New Roman" w:cs="Times New Roman" w:eastAsia="Times New Roman"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968"/>
        <w:gridCol w:w="3300"/>
        <w:gridCol w:w="3300"/>
      </w:tblGrid>
      <w:tr>
        <w:trPr>
          <w:trHeight w:val="36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益总额</w:t>
            </w:r>
          </w:p>
        </w:tc>
        <w:tc>
          <w:tcPr>
            <w:tcW w:w="3300"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6,548,519.06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-395,965.20</w:t>
            </w:r>
            <w:r>
              <w:rPr>
                <w:rFonts w:ascii="Times New Roman"/>
                <w:sz w:val="18"/>
              </w:rPr>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八、每股收益：</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873"/>
              <w:jc w:val="right"/>
              <w:rPr>
                <w:rFonts w:ascii="宋体" w:hAnsi="宋体" w:cs="宋体" w:eastAsia="宋体" w:hint="default"/>
                <w:sz w:val="18"/>
                <w:szCs w:val="18"/>
              </w:rPr>
            </w:pPr>
            <w:r>
              <w:rPr>
                <w:rFonts w:ascii="宋体" w:hAnsi="宋体" w:cs="宋体" w:eastAsia="宋体" w:hint="default"/>
                <w:sz w:val="18"/>
                <w:szCs w:val="18"/>
              </w:rPr>
              <w:t>（一）基本每股收益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0.370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0.275</w:t>
            </w:r>
          </w:p>
        </w:tc>
      </w:tr>
      <w:tr>
        <w:trPr>
          <w:trHeight w:val="402" w:hRule="exact"/>
        </w:trPr>
        <w:tc>
          <w:tcPr>
            <w:tcW w:w="29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873"/>
              <w:jc w:val="right"/>
              <w:rPr>
                <w:rFonts w:ascii="宋体" w:hAnsi="宋体" w:cs="宋体" w:eastAsia="宋体" w:hint="default"/>
                <w:sz w:val="18"/>
                <w:szCs w:val="18"/>
              </w:rPr>
            </w:pPr>
            <w:r>
              <w:rPr>
                <w:rFonts w:ascii="宋体" w:hAnsi="宋体" w:cs="宋体" w:eastAsia="宋体" w:hint="default"/>
                <w:sz w:val="18"/>
                <w:szCs w:val="18"/>
              </w:rPr>
              <w:t>（二）稀释每股收益</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0.370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0.275</w:t>
            </w:r>
          </w:p>
        </w:tc>
      </w:tr>
    </w:tbl>
    <w:p>
      <w:pPr>
        <w:tabs>
          <w:tab w:pos="3624" w:val="left" w:leader="none"/>
          <w:tab w:pos="7675" w:val="left" w:leader="none"/>
        </w:tabs>
        <w:spacing w:line="592" w:lineRule="auto" w:before="51"/>
        <w:ind w:left="114" w:right="1229" w:firstLine="0"/>
        <w:jc w:val="both"/>
        <w:rPr>
          <w:rFonts w:ascii="宋体" w:hAnsi="宋体" w:cs="宋体" w:eastAsia="宋体" w:hint="default"/>
          <w:sz w:val="21"/>
          <w:szCs w:val="21"/>
        </w:rPr>
      </w:pPr>
      <w:r>
        <w:rPr>
          <w:rFonts w:ascii="宋体" w:hAnsi="宋体" w:cs="宋体" w:eastAsia="宋体" w:hint="default"/>
          <w:sz w:val="18"/>
          <w:szCs w:val="18"/>
        </w:rPr>
        <w:t>本期发生同一控制下企业合并的，被合并方在合并前实现的净利润为：</w:t>
      </w:r>
      <w:r>
        <w:rPr>
          <w:rFonts w:ascii="Times New Roman" w:hAnsi="Times New Roman" w:cs="Times New Roman" w:eastAsia="Times New Roman" w:hint="default"/>
          <w:sz w:val="18"/>
          <w:szCs w:val="18"/>
        </w:rPr>
        <w:t>0.00 </w:t>
      </w:r>
      <w:r>
        <w:rPr>
          <w:rFonts w:ascii="宋体" w:hAnsi="宋体" w:cs="宋体" w:eastAsia="宋体" w:hint="default"/>
          <w:sz w:val="18"/>
          <w:szCs w:val="18"/>
        </w:rPr>
        <w:t>元，上期被合并方实现的净利润为：</w:t>
      </w:r>
      <w:r>
        <w:rPr>
          <w:rFonts w:ascii="Times New Roman" w:hAnsi="Times New Roman" w:cs="Times New Roman" w:eastAsia="Times New Roman" w:hint="default"/>
          <w:sz w:val="18"/>
          <w:szCs w:val="18"/>
        </w:rPr>
        <w:t>0.00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 法定代表人：张曙华</w:t>
        <w:tab/>
        <w:t>主管会计工作负责人：张颖</w:t>
        <w:tab/>
        <w:t>会计机构负责人：范燕青 </w:t>
      </w:r>
      <w:bookmarkStart w:name="4、母公司利润表" w:id="162"/>
      <w:bookmarkEnd w:id="162"/>
      <w:r>
        <w:rPr>
          <w:rFonts w:ascii="宋体" w:hAnsi="宋体" w:cs="宋体" w:eastAsia="宋体" w:hint="default"/>
          <w:sz w:val="18"/>
          <w:szCs w:val="18"/>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、母公司利润表</w:t>
      </w:r>
      <w:r>
        <w:rPr>
          <w:rFonts w:ascii="宋体" w:hAnsi="宋体" w:cs="宋体" w:eastAsia="宋体" w:hint="default"/>
          <w:sz w:val="21"/>
          <w:szCs w:val="21"/>
        </w:rPr>
      </w:r>
    </w:p>
    <w:p>
      <w:pPr>
        <w:spacing w:before="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666,588,254.82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535,993,844.97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502,750,621.43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352,151,541.18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税金及附加</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66,624.74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1,188,167.66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50,019,791.50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47,626,207.34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63,220,439.02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56,547,205.53</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研发费用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46,918,758.36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37,633,518.27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10,044,110.05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8,526,858.50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691"/>
              <w:jc w:val="right"/>
              <w:rPr>
                <w:rFonts w:ascii="宋体" w:hAnsi="宋体" w:cs="宋体" w:eastAsia="宋体" w:hint="default"/>
                <w:sz w:val="18"/>
                <w:szCs w:val="18"/>
              </w:rPr>
            </w:pPr>
            <w:r>
              <w:rPr>
                <w:rFonts w:ascii="宋体" w:hAnsi="宋体" w:cs="宋体" w:eastAsia="宋体" w:hint="default"/>
                <w:sz w:val="18"/>
                <w:szCs w:val="18"/>
              </w:rPr>
              <w:t>其中：利息费用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9,989,971.25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8,705,767.31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691"/>
              <w:jc w:val="right"/>
              <w:rPr>
                <w:rFonts w:ascii="宋体" w:hAnsi="宋体" w:cs="宋体" w:eastAsia="宋体" w:hint="default"/>
                <w:sz w:val="18"/>
                <w:szCs w:val="18"/>
              </w:rPr>
            </w:pPr>
            <w:r>
              <w:rPr>
                <w:rFonts w:ascii="宋体" w:hAnsi="宋体" w:cs="宋体" w:eastAsia="宋体" w:hint="default"/>
                <w:sz w:val="18"/>
                <w:szCs w:val="18"/>
              </w:rPr>
              <w:t>利息收入</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240,036.14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306,230.76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21,302,128.55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10,147,550.01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加：其他收益</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23,629,353.46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11,015,675.00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投资收益（损失以“－”</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1" w:firstLine="720"/>
              <w:jc w:val="left"/>
              <w:rPr>
                <w:rFonts w:ascii="宋体" w:hAnsi="宋体" w:cs="宋体" w:eastAsia="宋体" w:hint="default"/>
                <w:sz w:val="18"/>
                <w:szCs w:val="18"/>
              </w:rPr>
            </w:pPr>
            <w:r>
              <w:rPr>
                <w:rFonts w:ascii="宋体" w:hAnsi="宋体" w:cs="宋体" w:eastAsia="宋体" w:hint="default"/>
                <w:sz w:val="18"/>
                <w:szCs w:val="18"/>
              </w:rPr>
              <w:t>其中：对联营企业和合营 企业的投资收益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1" w:firstLine="720"/>
              <w:jc w:val="left"/>
              <w:rPr>
                <w:rFonts w:ascii="宋体" w:hAnsi="宋体" w:cs="宋体" w:eastAsia="宋体" w:hint="default"/>
                <w:sz w:val="18"/>
                <w:szCs w:val="18"/>
              </w:rPr>
            </w:pPr>
            <w:r>
              <w:rPr>
                <w:rFonts w:ascii="宋体" w:hAnsi="宋体" w:cs="宋体" w:eastAsia="宋体" w:hint="default"/>
                <w:sz w:val="18"/>
                <w:szCs w:val="18"/>
              </w:rPr>
              <w:t>公允价值变动收益（损失 以“－”号填列）</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pacing w:val="-8"/>
                <w:sz w:val="18"/>
                <w:szCs w:val="18"/>
              </w:rPr>
              <w:t>资产处置收益（损失以“</w:t>
            </w:r>
            <w:r>
              <w:rPr>
                <w:rFonts w:ascii="Times New Roman" w:hAnsi="Times New Roman" w:cs="Times New Roman" w:eastAsia="Times New Roman" w:hint="default"/>
                <w:spacing w:val="-8"/>
                <w:sz w:val="18"/>
                <w:szCs w:val="18"/>
              </w:rPr>
              <w:t>-</w:t>
            </w:r>
            <w:r>
              <w:rPr>
                <w:rFonts w:ascii="宋体" w:hAnsi="宋体" w:cs="宋体" w:eastAsia="宋体" w:hint="default"/>
                <w:spacing w:val="-8"/>
                <w:sz w:val="18"/>
                <w:szCs w:val="18"/>
              </w:rPr>
              <w:t>”</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42,373.26</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1"/>
              <w:jc w:val="left"/>
              <w:rPr>
                <w:rFonts w:ascii="宋体" w:hAnsi="宋体" w:cs="宋体" w:eastAsia="宋体" w:hint="default"/>
                <w:sz w:val="18"/>
                <w:szCs w:val="18"/>
              </w:rPr>
            </w:pPr>
            <w:r>
              <w:rPr>
                <w:rFonts w:ascii="宋体" w:hAnsi="宋体" w:cs="宋体" w:eastAsia="宋体" w:hint="default"/>
                <w:sz w:val="18"/>
                <w:szCs w:val="18"/>
              </w:rPr>
              <w:t>二、营业利润（亏损以“－”号填 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-4,062,492.11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33,188,471.48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26,248.87</w:t>
            </w:r>
          </w:p>
        </w:tc>
      </w:tr>
    </w:tbl>
    <w:p>
      <w:pPr>
        <w:spacing w:after="0" w:line="240" w:lineRule="auto"/>
        <w:jc w:val="right"/>
        <w:rPr>
          <w:rFonts w:ascii="Times New Roman" w:hAnsi="Times New Roman" w:cs="Times New Roman" w:eastAsia="Times New Roman" w:hint="default"/>
          <w:sz w:val="18"/>
          <w:szCs w:val="18"/>
        </w:rPr>
        <w:sectPr>
          <w:pgSz w:w="11910" w:h="16840"/>
          <w:pgMar w:header="822"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2967"/>
        <w:gridCol w:w="3302"/>
        <w:gridCol w:w="3300"/>
      </w:tblGrid>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1"/>
              <w:jc w:val="left"/>
              <w:rPr>
                <w:rFonts w:ascii="宋体" w:hAnsi="宋体" w:cs="宋体" w:eastAsia="宋体" w:hint="default"/>
                <w:sz w:val="18"/>
                <w:szCs w:val="18"/>
              </w:rPr>
            </w:pPr>
            <w:r>
              <w:rPr>
                <w:rFonts w:ascii="宋体" w:hAnsi="宋体" w:cs="宋体" w:eastAsia="宋体" w:hint="default"/>
                <w:sz w:val="18"/>
                <w:szCs w:val="18"/>
              </w:rPr>
              <w:t>三、利润总额（亏损总额以“－” 号填列）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-4,092,492.11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33,242,222.61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-5,226,859.36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2,501,403.15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1"/>
              <w:jc w:val="left"/>
              <w:rPr>
                <w:rFonts w:ascii="宋体" w:hAnsi="宋体" w:cs="宋体" w:eastAsia="宋体" w:hint="default"/>
                <w:sz w:val="18"/>
                <w:szCs w:val="18"/>
              </w:rPr>
            </w:pPr>
            <w:r>
              <w:rPr>
                <w:rFonts w:ascii="宋体" w:hAnsi="宋体" w:cs="宋体" w:eastAsia="宋体" w:hint="default"/>
                <w:sz w:val="18"/>
                <w:szCs w:val="18"/>
              </w:rPr>
              <w:t>四、净利润（净亏损以“－”号填 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1,134,367.25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30,740,819.46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（一）持续经营净利润（净亏 损以“－”号填列）</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1,134,367.25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30,740,819.46</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（二）终止经营净利润（净亏 损以“－”号填列）</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五、其他综合收益的税后净额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（一）不能重分类进损益的其 他综合收益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重新计量设定受益计</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划变动额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权益法下不能转损益 的其他综合收益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（二）将重分类进损益的其他 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权益法下可转损益的 其他综合收益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可供出售金融资产公 允价值变动损益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97" w:firstLine="90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持有至到期投资重分 类为可供出售金融资产损益</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现金流量套期损益的</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有效部分</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外币财务报表折算差</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454"/>
              <w:jc w:val="center"/>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其他</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1,134,367.25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30,740,819.46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七、每股收益：</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0.255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0.255</w:t>
            </w:r>
          </w:p>
        </w:tc>
      </w:tr>
    </w:tbl>
    <w:p>
      <w:pPr>
        <w:spacing w:line="240" w:lineRule="auto" w:before="3"/>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5、合并现金流量表" w:id="163"/>
      <w:bookmarkEnd w:id="163"/>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、合并现金流量表</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734,209,421.06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591,908,177.93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客户存款和同业存放款项净增 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向中央银行借款净增加额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向其他金融机构拆入资金净增 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收到原保险合同保费取得的现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收到再保险业务现金净额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保户储金及投资款净增加额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处置以公允价值计量且其变动 计入当期损益的金融资产净增加额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收取利息、手续费及佣金的现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拆入资金净增加额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回购业务资金净增加额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89,808,474.06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30,235,651.21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824,017,895.12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622,143,829.14</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355,674,943.48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252,058,398.59</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客户贷款及垫款净增加额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存放中央银行和同业款项净增 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支付原保险合同赔付款项的现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支付利息、手续费及佣金的现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支付保单红利的现金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支付给职工以及为职工支付的 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319,220,885.06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269,617,910.44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23,293,213.83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26,486,818.28</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121,816,434.89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65,770,501.75</w:t>
            </w:r>
          </w:p>
        </w:tc>
      </w:tr>
    </w:tbl>
    <w:p>
      <w:pPr>
        <w:spacing w:after="0" w:line="240" w:lineRule="auto"/>
        <w:jc w:val="right"/>
        <w:rPr>
          <w:rFonts w:ascii="Times New Roman" w:hAnsi="Times New Roman" w:cs="Times New Roman" w:eastAsia="Times New Roman" w:hint="default"/>
          <w:sz w:val="18"/>
          <w:szCs w:val="18"/>
        </w:rPr>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820,005,477.26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613,933,629.06</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4,012,417.86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8,210,200.08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 他长期资产收回的现金净额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67,500.00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处置子公司及其他营业单位收 到的现金净额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67,500.00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 他长期资产支付的现金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58,797,378.86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109,998,833.90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5,500,000.00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4,000,000.00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质押贷款净增加额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 付的现金净额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64,297,378.86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113,998,833.90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-64,229,878.86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-112,998,833.90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5,000,000.00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其中：子公司吸收少数股东投 资收到的现金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5,000,000.00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410,000,000.00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947,130.00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340,947,130.00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415,000,000.00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251,500,000.00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 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26,929,566.03</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20,079,027.20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其中：子公司支付给少数股东 的股利、利润</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967"/>
        <w:gridCol w:w="3302"/>
        <w:gridCol w:w="3300"/>
      </w:tblGrid>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38,729,433.39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947,130.00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295,658,999.42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272,526,157.20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45,288,130.58</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142,473,842.80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53"/>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 的影响</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-14,929,330.42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37,685,208.98</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220,994,387.06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183,309,178.08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206,065,056.64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220,994,387.06</w:t>
            </w:r>
          </w:p>
        </w:tc>
      </w:tr>
    </w:tbl>
    <w:p>
      <w:pPr>
        <w:spacing w:line="240" w:lineRule="auto" w:before="10"/>
        <w:rPr>
          <w:rFonts w:ascii="Times New Roman" w:hAnsi="Times New Roman" w:cs="Times New Roman" w:eastAsia="Times New Roman" w:hint="default"/>
          <w:sz w:val="21"/>
          <w:szCs w:val="21"/>
        </w:rPr>
      </w:pPr>
    </w:p>
    <w:p>
      <w:pPr>
        <w:spacing w:before="35"/>
        <w:ind w:left="114" w:right="0" w:firstLine="0"/>
        <w:jc w:val="left"/>
        <w:rPr>
          <w:rFonts w:ascii="宋体" w:hAnsi="宋体" w:cs="宋体" w:eastAsia="宋体" w:hint="default"/>
          <w:sz w:val="21"/>
          <w:szCs w:val="21"/>
        </w:rPr>
      </w:pPr>
      <w:bookmarkStart w:name="6、母公司现金流量表" w:id="164"/>
      <w:bookmarkEnd w:id="164"/>
      <w:r>
        <w:rPr/>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、母公司现金流量表</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967"/>
        <w:gridCol w:w="3302"/>
        <w:gridCol w:w="3300"/>
      </w:tblGrid>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688,174,347.87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535,414,734.11</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144,031,815.65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25,883,763.77</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832,206,163.52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561,298,497.88</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474,455,239.05</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343,040,046.34</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支付给职工以及为职工支付的 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199,330,812.31</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153,629,053.12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12,362,079.84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16,227,777.68</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169,717,221.84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102,656,817.58</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855,865,353.04</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615,553,694.72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-23,659,189.52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-54,255,196.84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取得投资收益收到的现金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处置固定资产、无形资产和其 他长期资产收回的现金净额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67,500.00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463"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2967"/>
        <w:gridCol w:w="3302"/>
        <w:gridCol w:w="3300"/>
      </w:tblGrid>
      <w:tr>
        <w:trPr>
          <w:trHeight w:val="36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到的现金净额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67,500.00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购建固定资产、无形资产和其 他长期资产支付的现金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11,410,107.32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2,529,869.24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2,000,000.00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取得子公司及其他营业单位支 付的现金净额</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13,410,107.32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2,529,869.24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-13,342,607.32</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-2,529,869.24</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330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300"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285,000,000.00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280,000,000.00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947,130.00</w:t>
            </w: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285,947,130.00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280,000,000.00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230,000,000.00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231,500,000.00</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firstLine="360"/>
              <w:jc w:val="left"/>
              <w:rPr>
                <w:rFonts w:ascii="宋体" w:hAnsi="宋体" w:cs="宋体" w:eastAsia="宋体" w:hint="default"/>
                <w:sz w:val="18"/>
                <w:szCs w:val="18"/>
              </w:rPr>
            </w:pPr>
            <w:r>
              <w:rPr>
                <w:rFonts w:ascii="宋体" w:hAnsi="宋体" w:cs="宋体" w:eastAsia="宋体" w:hint="default"/>
                <w:sz w:val="18"/>
                <w:szCs w:val="18"/>
              </w:rPr>
              <w:t>分配股利、利润或偿付利息支 付的现金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18,856,536.17</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15,712,094.65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金</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38,729,433.39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947,130.00</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287,585,969.56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248,159,224.65</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-1,638,839.56</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31,840,775.35</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53"/>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 的影响</w:t>
            </w:r>
          </w:p>
        </w:tc>
        <w:tc>
          <w:tcPr>
            <w:tcW w:w="3302" w:type="dxa"/>
            <w:tcBorders>
              <w:top w:val="single" w:sz="4" w:space="0" w:color="000000"/>
              <w:left w:val="single" w:sz="4" w:space="0" w:color="000000"/>
              <w:bottom w:val="single" w:sz="4" w:space="0" w:color="000000"/>
              <w:right w:val="single" w:sz="4" w:space="0" w:color="000000"/>
            </w:tcBorders>
          </w:tcPr>
          <w:p>
            <w:pPr/>
          </w:p>
        </w:tc>
        <w:tc>
          <w:tcPr>
            <w:tcW w:w="330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-38,640,636.40</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-24,944,290.73</w:t>
            </w:r>
          </w:p>
        </w:tc>
      </w:tr>
      <w:tr>
        <w:trPr>
          <w:trHeight w:val="714"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148,439,894.19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173,384,184.92</w:t>
            </w:r>
          </w:p>
        </w:tc>
      </w:tr>
      <w:tr>
        <w:trPr>
          <w:trHeight w:val="402" w:hRule="exact"/>
        </w:trPr>
        <w:tc>
          <w:tcPr>
            <w:tcW w:w="29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330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109,799,257.79</w:t>
            </w:r>
          </w:p>
        </w:tc>
        <w:tc>
          <w:tcPr>
            <w:tcW w:w="33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148,439,894.19</w:t>
            </w:r>
          </w:p>
        </w:tc>
      </w:tr>
    </w:tbl>
    <w:p>
      <w:pPr>
        <w:spacing w:line="240" w:lineRule="auto" w:before="3"/>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7、合并所有者权益变动表" w:id="165"/>
      <w:bookmarkEnd w:id="165"/>
      <w:r>
        <w:rPr/>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、合并所有者权益变动表</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after="0"/>
        <w:jc w:val="left"/>
        <w:rPr>
          <w:rFonts w:ascii="宋体" w:hAnsi="宋体" w:cs="宋体" w:eastAsia="宋体" w:hint="default"/>
          <w:sz w:val="18"/>
          <w:szCs w:val="18"/>
        </w:rPr>
        <w:sectPr>
          <w:pgSz w:w="11910" w:h="16840"/>
          <w:pgMar w:header="822" w:footer="1019" w:top="1140" w:bottom="1200" w:left="1020" w:right="0"/>
        </w:sectPr>
      </w:pPr>
    </w:p>
    <w:p>
      <w:pPr>
        <w:spacing w:line="240" w:lineRule="auto" w:before="3"/>
        <w:rPr>
          <w:rFonts w:ascii="宋体" w:hAnsi="宋体" w:cs="宋体" w:eastAsia="宋体" w:hint="default"/>
          <w:sz w:val="20"/>
          <w:szCs w:val="20"/>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38"/>
        <w:gridCol w:w="563"/>
        <w:gridCol w:w="530"/>
        <w:gridCol w:w="532"/>
        <w:gridCol w:w="530"/>
        <w:gridCol w:w="665"/>
        <w:gridCol w:w="665"/>
        <w:gridCol w:w="665"/>
        <w:gridCol w:w="665"/>
        <w:gridCol w:w="664"/>
        <w:gridCol w:w="666"/>
        <w:gridCol w:w="665"/>
        <w:gridCol w:w="665"/>
        <w:gridCol w:w="659"/>
      </w:tblGrid>
      <w:tr>
        <w:trPr>
          <w:trHeight w:val="402" w:hRule="exact"/>
        </w:trPr>
        <w:tc>
          <w:tcPr>
            <w:tcW w:w="143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33"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402" w:hRule="exact"/>
        </w:trPr>
        <w:tc>
          <w:tcPr>
            <w:tcW w:w="1438" w:type="dxa"/>
            <w:vMerge/>
            <w:tcBorders>
              <w:left w:val="single" w:sz="4" w:space="0" w:color="000000"/>
              <w:right w:val="single" w:sz="4" w:space="0" w:color="000000"/>
            </w:tcBorders>
            <w:shd w:val="clear" w:color="auto" w:fill="D2D2D2"/>
          </w:tcPr>
          <w:p>
            <w:pPr/>
          </w:p>
        </w:tc>
        <w:tc>
          <w:tcPr>
            <w:tcW w:w="6810"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65" w:type="dxa"/>
            <w:tcBorders>
              <w:top w:val="single" w:sz="4" w:space="0" w:color="000000"/>
              <w:left w:val="single" w:sz="4" w:space="0" w:color="000000"/>
              <w:bottom w:val="nil" w:sz="6" w:space="0" w:color="auto"/>
              <w:right w:val="single" w:sz="4" w:space="0" w:color="000000"/>
            </w:tcBorders>
            <w:shd w:val="clear" w:color="auto" w:fill="D2D2D2"/>
          </w:tcPr>
          <w:p>
            <w:pPr/>
          </w:p>
        </w:tc>
        <w:tc>
          <w:tcPr>
            <w:tcW w:w="65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22"/>
                <w:szCs w:val="22"/>
              </w:rPr>
            </w:pPr>
          </w:p>
          <w:p>
            <w:pPr>
              <w:pStyle w:val="TableParagraph"/>
              <w:spacing w:line="319" w:lineRule="auto"/>
              <w:ind w:left="143" w:right="143"/>
              <w:jc w:val="both"/>
              <w:rPr>
                <w:rFonts w:ascii="宋体" w:hAnsi="宋体" w:cs="宋体" w:eastAsia="宋体" w:hint="default"/>
                <w:sz w:val="18"/>
                <w:szCs w:val="18"/>
              </w:rPr>
            </w:pPr>
            <w:r>
              <w:rPr>
                <w:rFonts w:ascii="宋体" w:hAnsi="宋体" w:cs="宋体" w:eastAsia="宋体" w:hint="default"/>
                <w:sz w:val="18"/>
                <w:szCs w:val="18"/>
              </w:rPr>
              <w:t>所有 者权 益合 计</w:t>
            </w:r>
          </w:p>
        </w:tc>
      </w:tr>
      <w:tr>
        <w:trPr>
          <w:trHeight w:val="402" w:hRule="exact"/>
        </w:trPr>
        <w:tc>
          <w:tcPr>
            <w:tcW w:w="1438" w:type="dxa"/>
            <w:vMerge/>
            <w:tcBorders>
              <w:left w:val="single" w:sz="4" w:space="0" w:color="000000"/>
              <w:right w:val="single" w:sz="4" w:space="0" w:color="000000"/>
            </w:tcBorders>
            <w:shd w:val="clear" w:color="auto" w:fill="D2D2D2"/>
          </w:tcPr>
          <w:p>
            <w:pPr/>
          </w:p>
        </w:tc>
        <w:tc>
          <w:tcPr>
            <w:tcW w:w="5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85" w:right="185"/>
              <w:jc w:val="center"/>
              <w:rPr>
                <w:rFonts w:ascii="宋体" w:hAnsi="宋体" w:cs="宋体" w:eastAsia="宋体" w:hint="default"/>
                <w:sz w:val="18"/>
                <w:szCs w:val="18"/>
              </w:rPr>
            </w:pPr>
            <w:r>
              <w:rPr>
                <w:rFonts w:ascii="宋体" w:hAnsi="宋体" w:cs="宋体" w:eastAsia="宋体" w:hint="default"/>
                <w:sz w:val="18"/>
                <w:szCs w:val="18"/>
              </w:rPr>
              <w:t>股 本</w:t>
            </w:r>
          </w:p>
        </w:tc>
        <w:tc>
          <w:tcPr>
            <w:tcW w:w="159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46" w:right="146"/>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46" w:right="146"/>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47" w:right="145"/>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47" w:right="145"/>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66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46" w:right="145"/>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6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48" w:right="146"/>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46" w:right="146"/>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665"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7"/>
              <w:ind w:left="147" w:right="145"/>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659" w:type="dxa"/>
            <w:vMerge/>
            <w:tcBorders>
              <w:left w:val="single" w:sz="4" w:space="0" w:color="000000"/>
              <w:right w:val="single" w:sz="4" w:space="0" w:color="000000"/>
            </w:tcBorders>
            <w:shd w:val="clear" w:color="auto" w:fill="D2D2D2"/>
          </w:tcPr>
          <w:p>
            <w:pPr/>
          </w:p>
        </w:tc>
      </w:tr>
      <w:tr>
        <w:trPr>
          <w:trHeight w:val="1025" w:hRule="exact"/>
        </w:trPr>
        <w:tc>
          <w:tcPr>
            <w:tcW w:w="1438" w:type="dxa"/>
            <w:vMerge/>
            <w:tcBorders>
              <w:left w:val="single" w:sz="4" w:space="0" w:color="000000"/>
              <w:bottom w:val="single" w:sz="4" w:space="0" w:color="000000"/>
              <w:right w:val="single" w:sz="4" w:space="0" w:color="000000"/>
            </w:tcBorders>
            <w:shd w:val="clear" w:color="auto" w:fill="D2D2D2"/>
          </w:tcPr>
          <w:p>
            <w:pPr/>
          </w:p>
        </w:tc>
        <w:tc>
          <w:tcPr>
            <w:tcW w:w="563"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70" w:right="168"/>
              <w:jc w:val="both"/>
              <w:rPr>
                <w:rFonts w:ascii="宋体" w:hAnsi="宋体" w:cs="宋体" w:eastAsia="宋体" w:hint="default"/>
                <w:sz w:val="18"/>
                <w:szCs w:val="18"/>
              </w:rPr>
            </w:pPr>
            <w:r>
              <w:rPr>
                <w:rFonts w:ascii="宋体" w:hAnsi="宋体" w:cs="宋体" w:eastAsia="宋体" w:hint="default"/>
                <w:sz w:val="18"/>
                <w:szCs w:val="18"/>
              </w:rPr>
              <w:t>优 先 股</w:t>
            </w:r>
          </w:p>
        </w:tc>
        <w:tc>
          <w:tcPr>
            <w:tcW w:w="5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70" w:right="169"/>
              <w:jc w:val="both"/>
              <w:rPr>
                <w:rFonts w:ascii="宋体" w:hAnsi="宋体" w:cs="宋体" w:eastAsia="宋体" w:hint="default"/>
                <w:sz w:val="18"/>
                <w:szCs w:val="18"/>
              </w:rPr>
            </w:pPr>
            <w:r>
              <w:rPr>
                <w:rFonts w:ascii="宋体" w:hAnsi="宋体" w:cs="宋体" w:eastAsia="宋体" w:hint="default"/>
                <w:sz w:val="18"/>
                <w:szCs w:val="18"/>
              </w:rPr>
              <w:t>永 续 债</w:t>
            </w:r>
          </w:p>
        </w:tc>
        <w:tc>
          <w:tcPr>
            <w:tcW w:w="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70" w:right="168"/>
              <w:jc w:val="left"/>
              <w:rPr>
                <w:rFonts w:ascii="宋体" w:hAnsi="宋体" w:cs="宋体" w:eastAsia="宋体" w:hint="default"/>
                <w:sz w:val="18"/>
                <w:szCs w:val="18"/>
              </w:rPr>
            </w:pPr>
            <w:r>
              <w:rPr>
                <w:rFonts w:ascii="宋体" w:hAnsi="宋体" w:cs="宋体" w:eastAsia="宋体" w:hint="default"/>
                <w:sz w:val="18"/>
                <w:szCs w:val="18"/>
              </w:rPr>
              <w:t>其 他</w:t>
            </w: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4" w:type="dxa"/>
            <w:vMerge/>
            <w:tcBorders>
              <w:left w:val="single" w:sz="4" w:space="0" w:color="000000"/>
              <w:bottom w:val="single" w:sz="4" w:space="0" w:color="000000"/>
              <w:right w:val="single" w:sz="4" w:space="0" w:color="000000"/>
            </w:tcBorders>
            <w:shd w:val="clear" w:color="auto" w:fill="D2D2D2"/>
          </w:tcPr>
          <w:p>
            <w:pPr/>
          </w:p>
        </w:tc>
        <w:tc>
          <w:tcPr>
            <w:tcW w:w="666"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59" w:type="dxa"/>
            <w:vMerge/>
            <w:tcBorders>
              <w:left w:val="single" w:sz="4" w:space="0" w:color="000000"/>
              <w:bottom w:val="single" w:sz="4" w:space="0" w:color="000000"/>
              <w:right w:val="single" w:sz="4" w:space="0" w:color="000000"/>
            </w:tcBorders>
            <w:shd w:val="clear" w:color="auto" w:fill="D2D2D2"/>
          </w:tcPr>
          <w:p>
            <w:pPr/>
          </w:p>
        </w:tc>
      </w:tr>
      <w:tr>
        <w:trPr>
          <w:trHeight w:val="1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03" w:right="101"/>
              <w:jc w:val="left"/>
              <w:rPr>
                <w:rFonts w:ascii="宋体" w:hAnsi="宋体" w:cs="宋体" w:eastAsia="宋体" w:hint="default"/>
                <w:sz w:val="18"/>
                <w:szCs w:val="18"/>
              </w:rPr>
            </w:pPr>
            <w:r>
              <w:rPr>
                <w:rFonts w:ascii="宋体" w:hAnsi="宋体" w:cs="宋体" w:eastAsia="宋体" w:hint="default"/>
                <w:spacing w:val="-6"/>
                <w:sz w:val="18"/>
                <w:szCs w:val="18"/>
              </w:rPr>
              <w:t>一、上年期末余</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额</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4" w:right="0"/>
              <w:jc w:val="left"/>
              <w:rPr>
                <w:rFonts w:ascii="Times New Roman" w:hAnsi="Times New Roman" w:cs="Times New Roman" w:eastAsia="Times New Roman" w:hint="default"/>
                <w:sz w:val="18"/>
                <w:szCs w:val="18"/>
              </w:rPr>
            </w:pPr>
            <w:r>
              <w:rPr>
                <w:rFonts w:ascii="Times New Roman"/>
                <w:sz w:val="18"/>
              </w:rPr>
              <w:t>68,3</w:t>
            </w:r>
          </w:p>
          <w:p>
            <w:pPr>
              <w:pStyle w:val="TableParagraph"/>
              <w:spacing w:line="240" w:lineRule="auto" w:before="104"/>
              <w:ind w:left="134"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6"/>
              <w:ind w:left="358" w:right="0"/>
              <w:jc w:val="lef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224,4</w:t>
            </w:r>
          </w:p>
          <w:p>
            <w:pPr>
              <w:pStyle w:val="TableParagraph"/>
              <w:spacing w:line="240" w:lineRule="auto" w:before="104"/>
              <w:ind w:left="146" w:right="0"/>
              <w:jc w:val="left"/>
              <w:rPr>
                <w:rFonts w:ascii="Times New Roman" w:hAnsi="Times New Roman" w:cs="Times New Roman" w:eastAsia="Times New Roman" w:hint="default"/>
                <w:sz w:val="18"/>
                <w:szCs w:val="18"/>
              </w:rPr>
            </w:pPr>
            <w:r>
              <w:rPr>
                <w:rFonts w:ascii="Times New Roman"/>
                <w:sz w:val="18"/>
              </w:rPr>
              <w:t>32,03</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5.86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60,26</w:t>
            </w:r>
          </w:p>
          <w:p>
            <w:pPr>
              <w:pStyle w:val="TableParagraph"/>
              <w:spacing w:line="240" w:lineRule="auto" w:before="104"/>
              <w:ind w:left="42" w:right="0"/>
              <w:jc w:val="center"/>
              <w:rPr>
                <w:rFonts w:ascii="Times New Roman" w:hAnsi="Times New Roman" w:cs="Times New Roman" w:eastAsia="Times New Roman" w:hint="default"/>
                <w:sz w:val="18"/>
                <w:szCs w:val="18"/>
              </w:rPr>
            </w:pPr>
            <w:r>
              <w:rPr>
                <w:rFonts w:ascii="Times New Roman"/>
                <w:sz w:val="18"/>
              </w:rPr>
              <w:t>8,032</w:t>
            </w:r>
          </w:p>
          <w:p>
            <w:pPr>
              <w:pStyle w:val="TableParagraph"/>
              <w:spacing w:line="240" w:lineRule="auto" w:before="106"/>
              <w:ind w:left="222" w:right="0"/>
              <w:jc w:val="center"/>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21,04</w:t>
            </w:r>
          </w:p>
          <w:p>
            <w:pPr>
              <w:pStyle w:val="TableParagraph"/>
              <w:spacing w:line="240" w:lineRule="auto" w:before="104"/>
              <w:ind w:left="44" w:right="0"/>
              <w:jc w:val="center"/>
              <w:rPr>
                <w:rFonts w:ascii="Times New Roman" w:hAnsi="Times New Roman" w:cs="Times New Roman" w:eastAsia="Times New Roman" w:hint="default"/>
                <w:sz w:val="18"/>
                <w:szCs w:val="18"/>
              </w:rPr>
            </w:pPr>
            <w:r>
              <w:rPr>
                <w:rFonts w:ascii="Times New Roman"/>
                <w:sz w:val="18"/>
              </w:rPr>
              <w:t>4,926</w:t>
            </w:r>
          </w:p>
          <w:p>
            <w:pPr>
              <w:pStyle w:val="TableParagraph"/>
              <w:spacing w:line="240" w:lineRule="auto" w:before="106"/>
              <w:ind w:left="224" w:right="0"/>
              <w:jc w:val="center"/>
              <w:rPr>
                <w:rFonts w:ascii="Times New Roman" w:hAnsi="Times New Roman" w:cs="Times New Roman" w:eastAsia="Times New Roman" w:hint="default"/>
                <w:sz w:val="18"/>
                <w:szCs w:val="18"/>
              </w:rPr>
            </w:pPr>
            <w:r>
              <w:rPr>
                <w:rFonts w:ascii="Times New Roman"/>
                <w:sz w:val="18"/>
              </w:rPr>
              <w:t>.05</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168,8</w:t>
            </w:r>
          </w:p>
          <w:p>
            <w:pPr>
              <w:pStyle w:val="TableParagraph"/>
              <w:spacing w:line="240" w:lineRule="auto" w:before="104"/>
              <w:ind w:left="146" w:right="0"/>
              <w:jc w:val="left"/>
              <w:rPr>
                <w:rFonts w:ascii="Times New Roman" w:hAnsi="Times New Roman" w:cs="Times New Roman" w:eastAsia="Times New Roman" w:hint="default"/>
                <w:sz w:val="18"/>
                <w:szCs w:val="18"/>
              </w:rPr>
            </w:pPr>
            <w:r>
              <w:rPr>
                <w:rFonts w:ascii="Times New Roman"/>
                <w:sz w:val="18"/>
              </w:rPr>
              <w:t>63,94</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7.16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5" w:right="0"/>
              <w:jc w:val="center"/>
              <w:rPr>
                <w:rFonts w:ascii="Times New Roman" w:hAnsi="Times New Roman" w:cs="Times New Roman" w:eastAsia="Times New Roman" w:hint="default"/>
                <w:sz w:val="18"/>
                <w:szCs w:val="18"/>
              </w:rPr>
            </w:pPr>
            <w:r>
              <w:rPr>
                <w:rFonts w:ascii="Times New Roman"/>
                <w:sz w:val="18"/>
              </w:rPr>
              <w:t>12,64</w:t>
            </w:r>
          </w:p>
          <w:p>
            <w:pPr>
              <w:pStyle w:val="TableParagraph"/>
              <w:spacing w:line="240" w:lineRule="auto" w:before="104"/>
              <w:ind w:left="45" w:right="0"/>
              <w:jc w:val="center"/>
              <w:rPr>
                <w:rFonts w:ascii="Times New Roman" w:hAnsi="Times New Roman" w:cs="Times New Roman" w:eastAsia="Times New Roman" w:hint="default"/>
                <w:sz w:val="18"/>
                <w:szCs w:val="18"/>
              </w:rPr>
            </w:pPr>
            <w:r>
              <w:rPr>
                <w:rFonts w:ascii="Times New Roman"/>
                <w:sz w:val="18"/>
              </w:rPr>
              <w:t>8,151</w:t>
            </w:r>
          </w:p>
          <w:p>
            <w:pPr>
              <w:pStyle w:val="TableParagraph"/>
              <w:spacing w:line="240" w:lineRule="auto" w:before="106"/>
              <w:ind w:left="225" w:right="0"/>
              <w:jc w:val="center"/>
              <w:rPr>
                <w:rFonts w:ascii="Times New Roman" w:hAnsi="Times New Roman" w:cs="Times New Roman" w:eastAsia="Times New Roman" w:hint="default"/>
                <w:sz w:val="18"/>
                <w:szCs w:val="18"/>
              </w:rPr>
            </w:pPr>
            <w:r>
              <w:rPr>
                <w:rFonts w:ascii="Times New Roman"/>
                <w:sz w:val="18"/>
              </w:rPr>
              <w:t>.92</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1" w:right="0"/>
              <w:jc w:val="left"/>
              <w:rPr>
                <w:rFonts w:ascii="Times New Roman" w:hAnsi="Times New Roman" w:cs="Times New Roman" w:eastAsia="Times New Roman" w:hint="default"/>
                <w:sz w:val="18"/>
                <w:szCs w:val="18"/>
              </w:rPr>
            </w:pPr>
            <w:r>
              <w:rPr>
                <w:rFonts w:ascii="Times New Roman"/>
                <w:sz w:val="18"/>
              </w:rPr>
              <w:t>435,0</w:t>
            </w:r>
          </w:p>
          <w:p>
            <w:pPr>
              <w:pStyle w:val="TableParagraph"/>
              <w:spacing w:line="240" w:lineRule="auto" w:before="104"/>
              <w:ind w:left="141" w:right="0"/>
              <w:jc w:val="left"/>
              <w:rPr>
                <w:rFonts w:ascii="Times New Roman" w:hAnsi="Times New Roman" w:cs="Times New Roman" w:eastAsia="Times New Roman" w:hint="default"/>
                <w:sz w:val="18"/>
                <w:szCs w:val="18"/>
              </w:rPr>
            </w:pPr>
            <w:r>
              <w:rPr>
                <w:rFonts w:ascii="Times New Roman"/>
                <w:sz w:val="18"/>
              </w:rPr>
              <w:t>21,02</w:t>
            </w:r>
          </w:p>
          <w:p>
            <w:pPr>
              <w:pStyle w:val="TableParagraph"/>
              <w:spacing w:line="240" w:lineRule="auto" w:before="106"/>
              <w:ind w:left="231" w:right="0"/>
              <w:jc w:val="left"/>
              <w:rPr>
                <w:rFonts w:ascii="Times New Roman" w:hAnsi="Times New Roman" w:cs="Times New Roman" w:eastAsia="Times New Roman" w:hint="default"/>
                <w:sz w:val="18"/>
                <w:szCs w:val="18"/>
              </w:rPr>
            </w:pPr>
            <w:r>
              <w:rPr>
                <w:rFonts w:ascii="Times New Roman"/>
                <w:sz w:val="18"/>
              </w:rPr>
              <w:t>8.99</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01" w:firstLine="360"/>
              <w:jc w:val="left"/>
              <w:rPr>
                <w:rFonts w:ascii="宋体" w:hAnsi="宋体" w:cs="宋体" w:eastAsia="宋体" w:hint="default"/>
                <w:sz w:val="18"/>
                <w:szCs w:val="18"/>
              </w:rPr>
            </w:pPr>
            <w:r>
              <w:rPr>
                <w:rFonts w:ascii="宋体" w:hAnsi="宋体" w:cs="宋体" w:eastAsia="宋体" w:hint="default"/>
                <w:spacing w:val="-8"/>
                <w:sz w:val="18"/>
                <w:szCs w:val="18"/>
              </w:rPr>
              <w:t>加：会计政</w:t>
            </w:r>
            <w:r>
              <w:rPr>
                <w:rFonts w:ascii="宋体" w:hAnsi="宋体" w:cs="宋体" w:eastAsia="宋体" w:hint="default"/>
                <w:sz w:val="18"/>
                <w:szCs w:val="18"/>
              </w:rPr>
              <w:t> 策变更</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23" w:right="0"/>
              <w:jc w:val="left"/>
              <w:rPr>
                <w:rFonts w:ascii="宋体" w:hAnsi="宋体" w:cs="宋体" w:eastAsia="宋体" w:hint="default"/>
                <w:sz w:val="18"/>
                <w:szCs w:val="18"/>
              </w:rPr>
            </w:pPr>
            <w:r>
              <w:rPr>
                <w:rFonts w:ascii="宋体" w:hAnsi="宋体" w:cs="宋体" w:eastAsia="宋体" w:hint="default"/>
                <w:sz w:val="18"/>
                <w:szCs w:val="18"/>
              </w:rPr>
              <w:t>前期</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差错更正</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242" w:firstLine="720"/>
              <w:jc w:val="both"/>
              <w:rPr>
                <w:rFonts w:ascii="宋体" w:hAnsi="宋体" w:cs="宋体" w:eastAsia="宋体" w:hint="default"/>
                <w:sz w:val="18"/>
                <w:szCs w:val="18"/>
              </w:rPr>
            </w:pPr>
            <w:r>
              <w:rPr>
                <w:rFonts w:ascii="宋体" w:hAnsi="宋体" w:cs="宋体" w:eastAsia="宋体" w:hint="default"/>
                <w:sz w:val="18"/>
                <w:szCs w:val="18"/>
              </w:rPr>
              <w:t>同一 控制下企业合 并</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03" w:right="101"/>
              <w:jc w:val="left"/>
              <w:rPr>
                <w:rFonts w:ascii="宋体" w:hAnsi="宋体" w:cs="宋体" w:eastAsia="宋体" w:hint="default"/>
                <w:sz w:val="18"/>
                <w:szCs w:val="18"/>
              </w:rPr>
            </w:pPr>
            <w:r>
              <w:rPr>
                <w:rFonts w:ascii="宋体" w:hAnsi="宋体" w:cs="宋体" w:eastAsia="宋体" w:hint="default"/>
                <w:spacing w:val="-6"/>
                <w:sz w:val="18"/>
                <w:szCs w:val="18"/>
              </w:rPr>
              <w:t>二、本年期初余</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额</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4" w:right="0"/>
              <w:jc w:val="left"/>
              <w:rPr>
                <w:rFonts w:ascii="Times New Roman" w:hAnsi="Times New Roman" w:cs="Times New Roman" w:eastAsia="Times New Roman" w:hint="default"/>
                <w:sz w:val="18"/>
                <w:szCs w:val="18"/>
              </w:rPr>
            </w:pPr>
            <w:r>
              <w:rPr>
                <w:rFonts w:ascii="Times New Roman"/>
                <w:sz w:val="18"/>
              </w:rPr>
              <w:t>68,3</w:t>
            </w:r>
          </w:p>
          <w:p>
            <w:pPr>
              <w:pStyle w:val="TableParagraph"/>
              <w:spacing w:line="240" w:lineRule="auto" w:before="104"/>
              <w:ind w:left="134"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6"/>
              <w:ind w:left="358" w:right="0"/>
              <w:jc w:val="lef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224,4</w:t>
            </w:r>
          </w:p>
          <w:p>
            <w:pPr>
              <w:pStyle w:val="TableParagraph"/>
              <w:spacing w:line="240" w:lineRule="auto" w:before="104"/>
              <w:ind w:left="146" w:right="0"/>
              <w:jc w:val="left"/>
              <w:rPr>
                <w:rFonts w:ascii="Times New Roman" w:hAnsi="Times New Roman" w:cs="Times New Roman" w:eastAsia="Times New Roman" w:hint="default"/>
                <w:sz w:val="18"/>
                <w:szCs w:val="18"/>
              </w:rPr>
            </w:pPr>
            <w:r>
              <w:rPr>
                <w:rFonts w:ascii="Times New Roman"/>
                <w:sz w:val="18"/>
              </w:rPr>
              <w:t>32,03</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5.86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60,26</w:t>
            </w:r>
          </w:p>
          <w:p>
            <w:pPr>
              <w:pStyle w:val="TableParagraph"/>
              <w:spacing w:line="240" w:lineRule="auto" w:before="104"/>
              <w:ind w:left="42" w:right="0"/>
              <w:jc w:val="center"/>
              <w:rPr>
                <w:rFonts w:ascii="Times New Roman" w:hAnsi="Times New Roman" w:cs="Times New Roman" w:eastAsia="Times New Roman" w:hint="default"/>
                <w:sz w:val="18"/>
                <w:szCs w:val="18"/>
              </w:rPr>
            </w:pPr>
            <w:r>
              <w:rPr>
                <w:rFonts w:ascii="Times New Roman"/>
                <w:sz w:val="18"/>
              </w:rPr>
              <w:t>8,032</w:t>
            </w:r>
          </w:p>
          <w:p>
            <w:pPr>
              <w:pStyle w:val="TableParagraph"/>
              <w:spacing w:line="240" w:lineRule="auto" w:before="106"/>
              <w:ind w:left="222" w:right="0"/>
              <w:jc w:val="center"/>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21,04</w:t>
            </w:r>
          </w:p>
          <w:p>
            <w:pPr>
              <w:pStyle w:val="TableParagraph"/>
              <w:spacing w:line="240" w:lineRule="auto" w:before="104"/>
              <w:ind w:left="44" w:right="0"/>
              <w:jc w:val="center"/>
              <w:rPr>
                <w:rFonts w:ascii="Times New Roman" w:hAnsi="Times New Roman" w:cs="Times New Roman" w:eastAsia="Times New Roman" w:hint="default"/>
                <w:sz w:val="18"/>
                <w:szCs w:val="18"/>
              </w:rPr>
            </w:pPr>
            <w:r>
              <w:rPr>
                <w:rFonts w:ascii="Times New Roman"/>
                <w:sz w:val="18"/>
              </w:rPr>
              <w:t>4,926</w:t>
            </w:r>
          </w:p>
          <w:p>
            <w:pPr>
              <w:pStyle w:val="TableParagraph"/>
              <w:spacing w:line="240" w:lineRule="auto" w:before="106"/>
              <w:ind w:left="224" w:right="0"/>
              <w:jc w:val="center"/>
              <w:rPr>
                <w:rFonts w:ascii="Times New Roman" w:hAnsi="Times New Roman" w:cs="Times New Roman" w:eastAsia="Times New Roman" w:hint="default"/>
                <w:sz w:val="18"/>
                <w:szCs w:val="18"/>
              </w:rPr>
            </w:pPr>
            <w:r>
              <w:rPr>
                <w:rFonts w:ascii="Times New Roman"/>
                <w:sz w:val="18"/>
              </w:rPr>
              <w:t>.05</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168,8</w:t>
            </w:r>
          </w:p>
          <w:p>
            <w:pPr>
              <w:pStyle w:val="TableParagraph"/>
              <w:spacing w:line="240" w:lineRule="auto" w:before="104"/>
              <w:ind w:left="146" w:right="0"/>
              <w:jc w:val="left"/>
              <w:rPr>
                <w:rFonts w:ascii="Times New Roman" w:hAnsi="Times New Roman" w:cs="Times New Roman" w:eastAsia="Times New Roman" w:hint="default"/>
                <w:sz w:val="18"/>
                <w:szCs w:val="18"/>
              </w:rPr>
            </w:pPr>
            <w:r>
              <w:rPr>
                <w:rFonts w:ascii="Times New Roman"/>
                <w:sz w:val="18"/>
              </w:rPr>
              <w:t>63,94</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7.16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45" w:right="0"/>
              <w:jc w:val="center"/>
              <w:rPr>
                <w:rFonts w:ascii="Times New Roman" w:hAnsi="Times New Roman" w:cs="Times New Roman" w:eastAsia="Times New Roman" w:hint="default"/>
                <w:sz w:val="18"/>
                <w:szCs w:val="18"/>
              </w:rPr>
            </w:pPr>
            <w:r>
              <w:rPr>
                <w:rFonts w:ascii="Times New Roman"/>
                <w:sz w:val="18"/>
              </w:rPr>
              <w:t>12,64</w:t>
            </w:r>
          </w:p>
          <w:p>
            <w:pPr>
              <w:pStyle w:val="TableParagraph"/>
              <w:spacing w:line="240" w:lineRule="auto" w:before="104"/>
              <w:ind w:left="45" w:right="0"/>
              <w:jc w:val="center"/>
              <w:rPr>
                <w:rFonts w:ascii="Times New Roman" w:hAnsi="Times New Roman" w:cs="Times New Roman" w:eastAsia="Times New Roman" w:hint="default"/>
                <w:sz w:val="18"/>
                <w:szCs w:val="18"/>
              </w:rPr>
            </w:pPr>
            <w:r>
              <w:rPr>
                <w:rFonts w:ascii="Times New Roman"/>
                <w:sz w:val="18"/>
              </w:rPr>
              <w:t>8,151</w:t>
            </w:r>
          </w:p>
          <w:p>
            <w:pPr>
              <w:pStyle w:val="TableParagraph"/>
              <w:spacing w:line="240" w:lineRule="auto" w:before="106"/>
              <w:ind w:left="225" w:right="0"/>
              <w:jc w:val="center"/>
              <w:rPr>
                <w:rFonts w:ascii="Times New Roman" w:hAnsi="Times New Roman" w:cs="Times New Roman" w:eastAsia="Times New Roman" w:hint="default"/>
                <w:sz w:val="18"/>
                <w:szCs w:val="18"/>
              </w:rPr>
            </w:pPr>
            <w:r>
              <w:rPr>
                <w:rFonts w:ascii="Times New Roman"/>
                <w:sz w:val="18"/>
              </w:rPr>
              <w:t>.92</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left="141" w:right="0"/>
              <w:jc w:val="left"/>
              <w:rPr>
                <w:rFonts w:ascii="Times New Roman" w:hAnsi="Times New Roman" w:cs="Times New Roman" w:eastAsia="Times New Roman" w:hint="default"/>
                <w:sz w:val="18"/>
                <w:szCs w:val="18"/>
              </w:rPr>
            </w:pPr>
            <w:r>
              <w:rPr>
                <w:rFonts w:ascii="Times New Roman"/>
                <w:sz w:val="18"/>
              </w:rPr>
              <w:t>435,0</w:t>
            </w:r>
          </w:p>
          <w:p>
            <w:pPr>
              <w:pStyle w:val="TableParagraph"/>
              <w:spacing w:line="240" w:lineRule="auto" w:before="104"/>
              <w:ind w:left="141" w:right="0"/>
              <w:jc w:val="left"/>
              <w:rPr>
                <w:rFonts w:ascii="Times New Roman" w:hAnsi="Times New Roman" w:cs="Times New Roman" w:eastAsia="Times New Roman" w:hint="default"/>
                <w:sz w:val="18"/>
                <w:szCs w:val="18"/>
              </w:rPr>
            </w:pPr>
            <w:r>
              <w:rPr>
                <w:rFonts w:ascii="Times New Roman"/>
                <w:sz w:val="18"/>
              </w:rPr>
              <w:t>21,02</w:t>
            </w:r>
          </w:p>
          <w:p>
            <w:pPr>
              <w:pStyle w:val="TableParagraph"/>
              <w:spacing w:line="240" w:lineRule="auto" w:before="106"/>
              <w:ind w:left="231" w:right="0"/>
              <w:jc w:val="left"/>
              <w:rPr>
                <w:rFonts w:ascii="Times New Roman" w:hAnsi="Times New Roman" w:cs="Times New Roman" w:eastAsia="Times New Roman" w:hint="default"/>
                <w:sz w:val="18"/>
                <w:szCs w:val="18"/>
              </w:rPr>
            </w:pPr>
            <w:r>
              <w:rPr>
                <w:rFonts w:ascii="Times New Roman"/>
                <w:sz w:val="18"/>
              </w:rPr>
              <w:t>8.99</w:t>
            </w:r>
          </w:p>
        </w:tc>
      </w:tr>
      <w:tr>
        <w:trPr>
          <w:trHeight w:val="1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3" w:right="62"/>
              <w:jc w:val="both"/>
              <w:rPr>
                <w:rFonts w:ascii="宋体" w:hAnsi="宋体" w:cs="宋体" w:eastAsia="宋体" w:hint="default"/>
                <w:sz w:val="18"/>
                <w:szCs w:val="18"/>
              </w:rPr>
            </w:pPr>
            <w:r>
              <w:rPr>
                <w:rFonts w:ascii="宋体" w:hAnsi="宋体" w:cs="宋体" w:eastAsia="宋体" w:hint="default"/>
                <w:spacing w:val="-6"/>
                <w:sz w:val="18"/>
                <w:szCs w:val="18"/>
              </w:rPr>
              <w:t>三、本期增减变</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6"/>
                <w:sz w:val="18"/>
                <w:szCs w:val="18"/>
              </w:rPr>
              <w:t>动金额（减少以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“－”号填列）</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4" w:right="0"/>
              <w:jc w:val="left"/>
              <w:rPr>
                <w:rFonts w:ascii="Times New Roman" w:hAnsi="Times New Roman" w:cs="Times New Roman" w:eastAsia="Times New Roman" w:hint="default"/>
                <w:sz w:val="18"/>
                <w:szCs w:val="18"/>
              </w:rPr>
            </w:pPr>
            <w:r>
              <w:rPr>
                <w:rFonts w:ascii="Times New Roman"/>
                <w:sz w:val="18"/>
              </w:rPr>
              <w:t>53,6</w:t>
            </w:r>
          </w:p>
          <w:p>
            <w:pPr>
              <w:pStyle w:val="TableParagraph"/>
              <w:spacing w:line="240" w:lineRule="auto" w:before="104"/>
              <w:ind w:left="134" w:right="0"/>
              <w:jc w:val="left"/>
              <w:rPr>
                <w:rFonts w:ascii="Times New Roman" w:hAnsi="Times New Roman" w:cs="Times New Roman" w:eastAsia="Times New Roman" w:hint="default"/>
                <w:sz w:val="18"/>
                <w:szCs w:val="18"/>
              </w:rPr>
            </w:pPr>
            <w:r>
              <w:rPr>
                <w:rFonts w:ascii="Times New Roman"/>
                <w:sz w:val="18"/>
              </w:rPr>
              <w:t>93,9</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20.0</w:t>
            </w:r>
          </w:p>
          <w:p>
            <w:pPr>
              <w:pStyle w:val="TableParagraph"/>
              <w:spacing w:line="240" w:lineRule="auto" w:before="106"/>
              <w:ind w:left="358" w:right="0"/>
              <w:jc w:val="lef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-84,3</w:t>
            </w:r>
          </w:p>
          <w:p>
            <w:pPr>
              <w:pStyle w:val="TableParagraph"/>
              <w:spacing w:line="240" w:lineRule="auto" w:before="104"/>
              <w:ind w:left="146" w:right="0"/>
              <w:jc w:val="left"/>
              <w:rPr>
                <w:rFonts w:ascii="Times New Roman" w:hAnsi="Times New Roman" w:cs="Times New Roman" w:eastAsia="Times New Roman" w:hint="default"/>
                <w:sz w:val="18"/>
                <w:szCs w:val="18"/>
              </w:rPr>
            </w:pPr>
            <w:r>
              <w:rPr>
                <w:rFonts w:ascii="Times New Roman"/>
                <w:sz w:val="18"/>
              </w:rPr>
              <w:t>66,12</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8.00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-22,8</w:t>
            </w:r>
          </w:p>
          <w:p>
            <w:pPr>
              <w:pStyle w:val="TableParagraph"/>
              <w:spacing w:line="240" w:lineRule="auto" w:before="104"/>
              <w:ind w:left="146" w:right="0"/>
              <w:jc w:val="left"/>
              <w:rPr>
                <w:rFonts w:ascii="Times New Roman" w:hAnsi="Times New Roman" w:cs="Times New Roman" w:eastAsia="Times New Roman" w:hint="default"/>
                <w:sz w:val="18"/>
                <w:szCs w:val="18"/>
              </w:rPr>
            </w:pPr>
            <w:r>
              <w:rPr>
                <w:rFonts w:ascii="Times New Roman"/>
                <w:sz w:val="18"/>
              </w:rPr>
              <w:t>57,04</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0.34</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113,4</w:t>
            </w:r>
          </w:p>
          <w:p>
            <w:pPr>
              <w:pStyle w:val="TableParagraph"/>
              <w:spacing w:line="240" w:lineRule="auto" w:before="105"/>
              <w:ind w:left="146" w:right="0"/>
              <w:jc w:val="left"/>
              <w:rPr>
                <w:rFonts w:ascii="Times New Roman" w:hAnsi="Times New Roman" w:cs="Times New Roman" w:eastAsia="Times New Roman" w:hint="default"/>
                <w:sz w:val="18"/>
                <w:szCs w:val="18"/>
              </w:rPr>
            </w:pPr>
            <w:r>
              <w:rPr>
                <w:rFonts w:ascii="Times New Roman"/>
                <w:sz w:val="18"/>
              </w:rPr>
              <w:t>36.73</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37,91</w:t>
            </w:r>
          </w:p>
          <w:p>
            <w:pPr>
              <w:pStyle w:val="TableParagraph"/>
              <w:spacing w:line="240" w:lineRule="auto" w:before="104"/>
              <w:ind w:left="42" w:right="0"/>
              <w:jc w:val="center"/>
              <w:rPr>
                <w:rFonts w:ascii="Times New Roman" w:hAnsi="Times New Roman" w:cs="Times New Roman" w:eastAsia="Times New Roman" w:hint="default"/>
                <w:sz w:val="18"/>
                <w:szCs w:val="18"/>
              </w:rPr>
            </w:pPr>
            <w:r>
              <w:rPr>
                <w:rFonts w:ascii="Times New Roman"/>
                <w:sz w:val="18"/>
              </w:rPr>
              <w:t>2,337</w:t>
            </w:r>
          </w:p>
          <w:p>
            <w:pPr>
              <w:pStyle w:val="TableParagraph"/>
              <w:spacing w:line="240" w:lineRule="auto" w:before="106"/>
              <w:ind w:left="222" w:right="0"/>
              <w:jc w:val="center"/>
              <w:rPr>
                <w:rFonts w:ascii="Times New Roman" w:hAnsi="Times New Roman" w:cs="Times New Roman" w:eastAsia="Times New Roman" w:hint="default"/>
                <w:sz w:val="18"/>
                <w:szCs w:val="18"/>
              </w:rPr>
            </w:pPr>
            <w:r>
              <w:rPr>
                <w:rFonts w:ascii="Times New Roman"/>
                <w:sz w:val="18"/>
              </w:rPr>
              <w:t>.40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5" w:right="0"/>
              <w:jc w:val="center"/>
              <w:rPr>
                <w:rFonts w:ascii="Times New Roman" w:hAnsi="Times New Roman" w:cs="Times New Roman" w:eastAsia="Times New Roman" w:hint="default"/>
                <w:sz w:val="18"/>
                <w:szCs w:val="18"/>
              </w:rPr>
            </w:pPr>
            <w:r>
              <w:rPr>
                <w:rFonts w:ascii="Times New Roman"/>
                <w:sz w:val="18"/>
              </w:rPr>
              <w:t>16,54</w:t>
            </w:r>
          </w:p>
          <w:p>
            <w:pPr>
              <w:pStyle w:val="TableParagraph"/>
              <w:spacing w:line="240" w:lineRule="auto" w:before="104"/>
              <w:ind w:left="45" w:right="0"/>
              <w:jc w:val="center"/>
              <w:rPr>
                <w:rFonts w:ascii="Times New Roman" w:hAnsi="Times New Roman" w:cs="Times New Roman" w:eastAsia="Times New Roman" w:hint="default"/>
                <w:sz w:val="18"/>
                <w:szCs w:val="18"/>
              </w:rPr>
            </w:pPr>
            <w:r>
              <w:rPr>
                <w:rFonts w:ascii="Times New Roman"/>
                <w:sz w:val="18"/>
              </w:rPr>
              <w:t>8,519</w:t>
            </w:r>
          </w:p>
          <w:p>
            <w:pPr>
              <w:pStyle w:val="TableParagraph"/>
              <w:spacing w:line="240" w:lineRule="auto" w:before="106"/>
              <w:ind w:left="225" w:right="0"/>
              <w:jc w:val="center"/>
              <w:rPr>
                <w:rFonts w:ascii="Times New Roman" w:hAnsi="Times New Roman" w:cs="Times New Roman" w:eastAsia="Times New Roman" w:hint="default"/>
                <w:sz w:val="18"/>
                <w:szCs w:val="18"/>
              </w:rPr>
            </w:pPr>
            <w:r>
              <w:rPr>
                <w:rFonts w:ascii="Times New Roman"/>
                <w:sz w:val="18"/>
              </w:rPr>
              <w:t>.06</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46,75</w:t>
            </w:r>
          </w:p>
          <w:p>
            <w:pPr>
              <w:pStyle w:val="TableParagraph"/>
              <w:spacing w:line="240" w:lineRule="auto" w:before="104"/>
              <w:ind w:left="39" w:right="0"/>
              <w:jc w:val="center"/>
              <w:rPr>
                <w:rFonts w:ascii="Times New Roman" w:hAnsi="Times New Roman" w:cs="Times New Roman" w:eastAsia="Times New Roman" w:hint="default"/>
                <w:sz w:val="18"/>
                <w:szCs w:val="18"/>
              </w:rPr>
            </w:pPr>
            <w:r>
              <w:rPr>
                <w:rFonts w:ascii="Times New Roman"/>
                <w:sz w:val="18"/>
              </w:rPr>
              <w:t>9,125</w:t>
            </w:r>
          </w:p>
          <w:p>
            <w:pPr>
              <w:pStyle w:val="TableParagraph"/>
              <w:spacing w:line="240" w:lineRule="auto" w:before="106"/>
              <w:ind w:left="219" w:right="0"/>
              <w:jc w:val="center"/>
              <w:rPr>
                <w:rFonts w:ascii="Times New Roman" w:hAnsi="Times New Roman" w:cs="Times New Roman" w:eastAsia="Times New Roman" w:hint="default"/>
                <w:sz w:val="18"/>
                <w:szCs w:val="18"/>
              </w:rPr>
            </w:pPr>
            <w:r>
              <w:rPr>
                <w:rFonts w:ascii="Times New Roman"/>
                <w:sz w:val="18"/>
              </w:rPr>
              <w:t>.53</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pacing w:val="-6"/>
                <w:sz w:val="18"/>
                <w:szCs w:val="18"/>
              </w:rPr>
              <w:t>（一）综合收益</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总额</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2" w:right="0"/>
              <w:jc w:val="center"/>
              <w:rPr>
                <w:rFonts w:ascii="Times New Roman" w:hAnsi="Times New Roman" w:cs="Times New Roman" w:eastAsia="Times New Roman" w:hint="default"/>
                <w:sz w:val="18"/>
                <w:szCs w:val="18"/>
              </w:rPr>
            </w:pPr>
            <w:r>
              <w:rPr>
                <w:rFonts w:ascii="Times New Roman"/>
                <w:sz w:val="18"/>
              </w:rPr>
              <w:t>44,80</w:t>
            </w:r>
          </w:p>
          <w:p>
            <w:pPr>
              <w:pStyle w:val="TableParagraph"/>
              <w:spacing w:line="240" w:lineRule="auto" w:before="104"/>
              <w:ind w:left="42" w:right="0"/>
              <w:jc w:val="center"/>
              <w:rPr>
                <w:rFonts w:ascii="Times New Roman" w:hAnsi="Times New Roman" w:cs="Times New Roman" w:eastAsia="Times New Roman" w:hint="default"/>
                <w:sz w:val="18"/>
                <w:szCs w:val="18"/>
              </w:rPr>
            </w:pPr>
            <w:r>
              <w:rPr>
                <w:rFonts w:ascii="Times New Roman"/>
                <w:sz w:val="18"/>
              </w:rPr>
              <w:t>3,214</w:t>
            </w:r>
          </w:p>
          <w:p>
            <w:pPr>
              <w:pStyle w:val="TableParagraph"/>
              <w:spacing w:line="240" w:lineRule="auto" w:before="106"/>
              <w:ind w:left="222" w:right="0"/>
              <w:jc w:val="center"/>
              <w:rPr>
                <w:rFonts w:ascii="Times New Roman" w:hAnsi="Times New Roman" w:cs="Times New Roman" w:eastAsia="Times New Roman" w:hint="default"/>
                <w:sz w:val="18"/>
                <w:szCs w:val="18"/>
              </w:rPr>
            </w:pPr>
            <w:r>
              <w:rPr>
                <w:rFonts w:ascii="Times New Roman"/>
                <w:sz w:val="18"/>
              </w:rPr>
              <w:t>.13</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7" w:right="0"/>
              <w:jc w:val="left"/>
              <w:rPr>
                <w:rFonts w:ascii="Times New Roman" w:hAnsi="Times New Roman" w:cs="Times New Roman" w:eastAsia="Times New Roman" w:hint="default"/>
                <w:sz w:val="18"/>
                <w:szCs w:val="18"/>
              </w:rPr>
            </w:pPr>
            <w:r>
              <w:rPr>
                <w:rFonts w:ascii="Times New Roman"/>
                <w:sz w:val="18"/>
              </w:rPr>
              <w:t>6,548</w:t>
            </w:r>
          </w:p>
          <w:p>
            <w:pPr>
              <w:pStyle w:val="TableParagraph"/>
              <w:spacing w:line="240" w:lineRule="auto" w:before="104"/>
              <w:ind w:left="89" w:right="0"/>
              <w:jc w:val="center"/>
              <w:rPr>
                <w:rFonts w:ascii="Times New Roman" w:hAnsi="Times New Roman" w:cs="Times New Roman" w:eastAsia="Times New Roman" w:hint="default"/>
                <w:sz w:val="18"/>
                <w:szCs w:val="18"/>
              </w:rPr>
            </w:pPr>
            <w:r>
              <w:rPr>
                <w:rFonts w:ascii="Times New Roman"/>
                <w:sz w:val="18"/>
              </w:rPr>
              <w:t>,519.</w:t>
            </w:r>
          </w:p>
          <w:p>
            <w:pPr>
              <w:pStyle w:val="TableParagraph"/>
              <w:spacing w:line="240" w:lineRule="auto" w:before="106"/>
              <w:ind w:left="268" w:right="0"/>
              <w:jc w:val="center"/>
              <w:rPr>
                <w:rFonts w:ascii="Times New Roman" w:hAnsi="Times New Roman" w:cs="Times New Roman" w:eastAsia="Times New Roman" w:hint="default"/>
                <w:sz w:val="18"/>
                <w:szCs w:val="18"/>
              </w:rPr>
            </w:pPr>
            <w:r>
              <w:rPr>
                <w:rFonts w:ascii="Times New Roman"/>
                <w:sz w:val="18"/>
              </w:rPr>
              <w:t>06</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39" w:right="0"/>
              <w:jc w:val="center"/>
              <w:rPr>
                <w:rFonts w:ascii="Times New Roman" w:hAnsi="Times New Roman" w:cs="Times New Roman" w:eastAsia="Times New Roman" w:hint="default"/>
                <w:sz w:val="18"/>
                <w:szCs w:val="18"/>
              </w:rPr>
            </w:pPr>
            <w:r>
              <w:rPr>
                <w:rFonts w:ascii="Times New Roman"/>
                <w:sz w:val="18"/>
              </w:rPr>
              <w:t>51,35</w:t>
            </w:r>
          </w:p>
          <w:p>
            <w:pPr>
              <w:pStyle w:val="TableParagraph"/>
              <w:spacing w:line="240" w:lineRule="auto" w:before="104"/>
              <w:ind w:left="39" w:right="0"/>
              <w:jc w:val="center"/>
              <w:rPr>
                <w:rFonts w:ascii="Times New Roman" w:hAnsi="Times New Roman" w:cs="Times New Roman" w:eastAsia="Times New Roman" w:hint="default"/>
                <w:sz w:val="18"/>
                <w:szCs w:val="18"/>
              </w:rPr>
            </w:pPr>
            <w:r>
              <w:rPr>
                <w:rFonts w:ascii="Times New Roman"/>
                <w:sz w:val="18"/>
              </w:rPr>
              <w:t>1,733</w:t>
            </w:r>
          </w:p>
          <w:p>
            <w:pPr>
              <w:pStyle w:val="TableParagraph"/>
              <w:spacing w:line="240" w:lineRule="auto" w:before="106"/>
              <w:ind w:left="219" w:right="0"/>
              <w:jc w:val="center"/>
              <w:rPr>
                <w:rFonts w:ascii="Times New Roman" w:hAnsi="Times New Roman" w:cs="Times New Roman" w:eastAsia="Times New Roman" w:hint="default"/>
                <w:sz w:val="18"/>
                <w:szCs w:val="18"/>
              </w:rPr>
            </w:pPr>
            <w:r>
              <w:rPr>
                <w:rFonts w:ascii="Times New Roman"/>
                <w:sz w:val="18"/>
              </w:rPr>
              <w:t>.19</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pacing w:val="-6"/>
                <w:sz w:val="18"/>
                <w:szCs w:val="18"/>
              </w:rPr>
              <w:t>（二）所有者投</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入和减少资本</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 w:right="0"/>
              <w:jc w:val="center"/>
              <w:rPr>
                <w:rFonts w:ascii="Times New Roman" w:hAnsi="Times New Roman" w:cs="Times New Roman" w:eastAsia="Times New Roman" w:hint="default"/>
                <w:sz w:val="18"/>
                <w:szCs w:val="18"/>
              </w:rPr>
            </w:pPr>
            <w:r>
              <w:rPr>
                <w:rFonts w:ascii="Times New Roman"/>
                <w:sz w:val="18"/>
              </w:rPr>
              <w:t>-525</w:t>
            </w:r>
          </w:p>
          <w:p>
            <w:pPr>
              <w:pStyle w:val="TableParagraph"/>
              <w:spacing w:line="240" w:lineRule="auto" w:before="104"/>
              <w:ind w:left="134" w:right="0"/>
              <w:jc w:val="left"/>
              <w:rPr>
                <w:rFonts w:ascii="Times New Roman" w:hAnsi="Times New Roman" w:cs="Times New Roman" w:eastAsia="Times New Roman" w:hint="default"/>
                <w:sz w:val="18"/>
                <w:szCs w:val="18"/>
              </w:rPr>
            </w:pPr>
            <w:r>
              <w:rPr>
                <w:rFonts w:ascii="Times New Roman"/>
                <w:sz w:val="18"/>
              </w:rPr>
              <w:t>,600</w:t>
            </w:r>
          </w:p>
          <w:p>
            <w:pPr>
              <w:pStyle w:val="TableParagraph"/>
              <w:spacing w:line="240" w:lineRule="auto" w:before="106"/>
              <w:ind w:left="120" w:right="0"/>
              <w:jc w:val="center"/>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6" w:right="0"/>
              <w:jc w:val="left"/>
              <w:rPr>
                <w:rFonts w:ascii="Times New Roman" w:hAnsi="Times New Roman" w:cs="Times New Roman" w:eastAsia="Times New Roman" w:hint="default"/>
                <w:sz w:val="18"/>
                <w:szCs w:val="18"/>
              </w:rPr>
            </w:pPr>
            <w:r>
              <w:rPr>
                <w:rFonts w:ascii="Times New Roman"/>
                <w:sz w:val="18"/>
              </w:rPr>
              <w:t>-30,1</w:t>
            </w:r>
          </w:p>
          <w:p>
            <w:pPr>
              <w:pStyle w:val="TableParagraph"/>
              <w:spacing w:line="240" w:lineRule="auto" w:before="104"/>
              <w:ind w:left="146" w:right="0"/>
              <w:jc w:val="left"/>
              <w:rPr>
                <w:rFonts w:ascii="Times New Roman" w:hAnsi="Times New Roman" w:cs="Times New Roman" w:eastAsia="Times New Roman" w:hint="default"/>
                <w:sz w:val="18"/>
                <w:szCs w:val="18"/>
              </w:rPr>
            </w:pPr>
            <w:r>
              <w:rPr>
                <w:rFonts w:ascii="Times New Roman"/>
                <w:sz w:val="18"/>
              </w:rPr>
              <w:t>46,60</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8.00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6" w:right="0"/>
              <w:jc w:val="left"/>
              <w:rPr>
                <w:rFonts w:ascii="Times New Roman" w:hAnsi="Times New Roman" w:cs="Times New Roman" w:eastAsia="Times New Roman" w:hint="default"/>
                <w:sz w:val="18"/>
                <w:szCs w:val="18"/>
              </w:rPr>
            </w:pPr>
            <w:r>
              <w:rPr>
                <w:rFonts w:ascii="Times New Roman"/>
                <w:sz w:val="18"/>
              </w:rPr>
              <w:t>-22,8</w:t>
            </w:r>
          </w:p>
          <w:p>
            <w:pPr>
              <w:pStyle w:val="TableParagraph"/>
              <w:spacing w:line="240" w:lineRule="auto" w:before="104"/>
              <w:ind w:left="146" w:right="0"/>
              <w:jc w:val="left"/>
              <w:rPr>
                <w:rFonts w:ascii="Times New Roman" w:hAnsi="Times New Roman" w:cs="Times New Roman" w:eastAsia="Times New Roman" w:hint="default"/>
                <w:sz w:val="18"/>
                <w:szCs w:val="18"/>
              </w:rPr>
            </w:pPr>
            <w:r>
              <w:rPr>
                <w:rFonts w:ascii="Times New Roman"/>
                <w:sz w:val="18"/>
              </w:rPr>
              <w:t>57,04</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0.34</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5" w:right="0"/>
              <w:jc w:val="center"/>
              <w:rPr>
                <w:rFonts w:ascii="Times New Roman" w:hAnsi="Times New Roman" w:cs="Times New Roman" w:eastAsia="Times New Roman" w:hint="default"/>
                <w:sz w:val="18"/>
                <w:szCs w:val="18"/>
              </w:rPr>
            </w:pPr>
            <w:r>
              <w:rPr>
                <w:rFonts w:ascii="Times New Roman"/>
                <w:sz w:val="18"/>
              </w:rPr>
              <w:t>10,00</w:t>
            </w:r>
          </w:p>
          <w:p>
            <w:pPr>
              <w:pStyle w:val="TableParagraph"/>
              <w:spacing w:line="240" w:lineRule="auto" w:before="104"/>
              <w:ind w:left="45" w:right="0"/>
              <w:jc w:val="center"/>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225" w:right="0"/>
              <w:jc w:val="center"/>
              <w:rPr>
                <w:rFonts w:ascii="Times New Roman" w:hAnsi="Times New Roman" w:cs="Times New Roman" w:eastAsia="Times New Roman" w:hint="default"/>
                <w:sz w:val="18"/>
                <w:szCs w:val="18"/>
              </w:rPr>
            </w:pPr>
            <w:r>
              <w:rPr>
                <w:rFonts w:ascii="Times New Roman"/>
                <w:sz w:val="18"/>
              </w:rPr>
              <w:t>.00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1" w:right="0"/>
              <w:jc w:val="left"/>
              <w:rPr>
                <w:rFonts w:ascii="Times New Roman" w:hAnsi="Times New Roman" w:cs="Times New Roman" w:eastAsia="Times New Roman" w:hint="default"/>
                <w:sz w:val="18"/>
                <w:szCs w:val="18"/>
              </w:rPr>
            </w:pPr>
            <w:r>
              <w:rPr>
                <w:rFonts w:ascii="Times New Roman"/>
                <w:sz w:val="18"/>
              </w:rPr>
              <w:t>2,184</w:t>
            </w:r>
          </w:p>
          <w:p>
            <w:pPr>
              <w:pStyle w:val="TableParagraph"/>
              <w:spacing w:line="240" w:lineRule="auto" w:before="104"/>
              <w:ind w:left="83" w:right="0"/>
              <w:jc w:val="center"/>
              <w:rPr>
                <w:rFonts w:ascii="Times New Roman" w:hAnsi="Times New Roman" w:cs="Times New Roman" w:eastAsia="Times New Roman" w:hint="default"/>
                <w:sz w:val="18"/>
                <w:szCs w:val="18"/>
              </w:rPr>
            </w:pPr>
            <w:r>
              <w:rPr>
                <w:rFonts w:ascii="Times New Roman"/>
                <w:sz w:val="18"/>
              </w:rPr>
              <w:t>,832.</w:t>
            </w:r>
          </w:p>
          <w:p>
            <w:pPr>
              <w:pStyle w:val="TableParagraph"/>
              <w:spacing w:line="240" w:lineRule="auto" w:before="106"/>
              <w:ind w:left="262" w:right="0"/>
              <w:jc w:val="center"/>
              <w:rPr>
                <w:rFonts w:ascii="Times New Roman" w:hAnsi="Times New Roman" w:cs="Times New Roman" w:eastAsia="Times New Roman" w:hint="default"/>
                <w:sz w:val="18"/>
                <w:szCs w:val="18"/>
              </w:rPr>
            </w:pPr>
            <w:r>
              <w:rPr>
                <w:rFonts w:ascii="Times New Roman"/>
                <w:sz w:val="18"/>
              </w:rPr>
              <w:t>34</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00" w:lineRule="auto"/>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 w:right="0"/>
              <w:jc w:val="center"/>
              <w:rPr>
                <w:rFonts w:ascii="Times New Roman" w:hAnsi="Times New Roman" w:cs="Times New Roman" w:eastAsia="Times New Roman" w:hint="default"/>
                <w:sz w:val="18"/>
                <w:szCs w:val="18"/>
              </w:rPr>
            </w:pPr>
            <w:r>
              <w:rPr>
                <w:rFonts w:ascii="Times New Roman"/>
                <w:sz w:val="18"/>
              </w:rPr>
              <w:t>-525</w:t>
            </w:r>
          </w:p>
          <w:p>
            <w:pPr>
              <w:pStyle w:val="TableParagraph"/>
              <w:spacing w:line="240" w:lineRule="auto" w:before="104"/>
              <w:ind w:left="134" w:right="0"/>
              <w:jc w:val="left"/>
              <w:rPr>
                <w:rFonts w:ascii="Times New Roman" w:hAnsi="Times New Roman" w:cs="Times New Roman" w:eastAsia="Times New Roman" w:hint="default"/>
                <w:sz w:val="18"/>
                <w:szCs w:val="18"/>
              </w:rPr>
            </w:pPr>
            <w:r>
              <w:rPr>
                <w:rFonts w:ascii="Times New Roman"/>
                <w:sz w:val="18"/>
              </w:rPr>
              <w:t>,600</w:t>
            </w:r>
          </w:p>
          <w:p>
            <w:pPr>
              <w:pStyle w:val="TableParagraph"/>
              <w:spacing w:line="240" w:lineRule="auto" w:before="106"/>
              <w:ind w:left="120" w:right="0"/>
              <w:jc w:val="center"/>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6" w:right="0"/>
              <w:jc w:val="left"/>
              <w:rPr>
                <w:rFonts w:ascii="Times New Roman" w:hAnsi="Times New Roman" w:cs="Times New Roman" w:eastAsia="Times New Roman" w:hint="default"/>
                <w:sz w:val="18"/>
                <w:szCs w:val="18"/>
              </w:rPr>
            </w:pPr>
            <w:r>
              <w:rPr>
                <w:rFonts w:ascii="Times New Roman"/>
                <w:sz w:val="18"/>
              </w:rPr>
              <w:t>-28,7</w:t>
            </w:r>
          </w:p>
          <w:p>
            <w:pPr>
              <w:pStyle w:val="TableParagraph"/>
              <w:spacing w:line="240" w:lineRule="auto" w:before="104"/>
              <w:ind w:left="146" w:right="0"/>
              <w:jc w:val="left"/>
              <w:rPr>
                <w:rFonts w:ascii="Times New Roman" w:hAnsi="Times New Roman" w:cs="Times New Roman" w:eastAsia="Times New Roman" w:hint="default"/>
                <w:sz w:val="18"/>
                <w:szCs w:val="18"/>
              </w:rPr>
            </w:pPr>
            <w:r>
              <w:rPr>
                <w:rFonts w:ascii="Times New Roman"/>
                <w:sz w:val="18"/>
              </w:rPr>
              <w:t>39,80</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8.00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5" w:right="0"/>
              <w:jc w:val="center"/>
              <w:rPr>
                <w:rFonts w:ascii="Times New Roman" w:hAnsi="Times New Roman" w:cs="Times New Roman" w:eastAsia="Times New Roman" w:hint="default"/>
                <w:sz w:val="18"/>
                <w:szCs w:val="18"/>
              </w:rPr>
            </w:pPr>
            <w:r>
              <w:rPr>
                <w:rFonts w:ascii="Times New Roman"/>
                <w:sz w:val="18"/>
              </w:rPr>
              <w:t>10,00</w:t>
            </w:r>
          </w:p>
          <w:p>
            <w:pPr>
              <w:pStyle w:val="TableParagraph"/>
              <w:spacing w:line="240" w:lineRule="auto" w:before="104"/>
              <w:ind w:left="45" w:right="0"/>
              <w:jc w:val="center"/>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225" w:right="0"/>
              <w:jc w:val="center"/>
              <w:rPr>
                <w:rFonts w:ascii="Times New Roman" w:hAnsi="Times New Roman" w:cs="Times New Roman" w:eastAsia="Times New Roman" w:hint="default"/>
                <w:sz w:val="18"/>
                <w:szCs w:val="18"/>
              </w:rPr>
            </w:pPr>
            <w:r>
              <w:rPr>
                <w:rFonts w:ascii="Times New Roman"/>
                <w:sz w:val="18"/>
              </w:rPr>
              <w:t>.00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1" w:right="0"/>
              <w:jc w:val="left"/>
              <w:rPr>
                <w:rFonts w:ascii="Times New Roman" w:hAnsi="Times New Roman" w:cs="Times New Roman" w:eastAsia="Times New Roman" w:hint="default"/>
                <w:sz w:val="18"/>
                <w:szCs w:val="18"/>
              </w:rPr>
            </w:pPr>
            <w:r>
              <w:rPr>
                <w:rFonts w:ascii="Times New Roman"/>
                <w:sz w:val="18"/>
              </w:rPr>
              <w:t>-19,2</w:t>
            </w:r>
          </w:p>
          <w:p>
            <w:pPr>
              <w:pStyle w:val="TableParagraph"/>
              <w:spacing w:line="240" w:lineRule="auto" w:before="104"/>
              <w:ind w:left="141" w:right="0"/>
              <w:jc w:val="left"/>
              <w:rPr>
                <w:rFonts w:ascii="Times New Roman" w:hAnsi="Times New Roman" w:cs="Times New Roman" w:eastAsia="Times New Roman" w:hint="default"/>
                <w:sz w:val="18"/>
                <w:szCs w:val="18"/>
              </w:rPr>
            </w:pPr>
            <w:r>
              <w:rPr>
                <w:rFonts w:ascii="Times New Roman"/>
                <w:sz w:val="18"/>
              </w:rPr>
              <w:t>65,40</w:t>
            </w:r>
          </w:p>
          <w:p>
            <w:pPr>
              <w:pStyle w:val="TableParagraph"/>
              <w:spacing w:line="240" w:lineRule="auto" w:before="106"/>
              <w:ind w:left="231" w:right="0"/>
              <w:jc w:val="left"/>
              <w:rPr>
                <w:rFonts w:ascii="Times New Roman" w:hAnsi="Times New Roman" w:cs="Times New Roman" w:eastAsia="Times New Roman" w:hint="default"/>
                <w:sz w:val="18"/>
                <w:szCs w:val="18"/>
              </w:rPr>
            </w:pPr>
            <w:r>
              <w:rPr>
                <w:rFonts w:ascii="Times New Roman"/>
                <w:sz w:val="18"/>
              </w:rPr>
              <w:t>8.00</w:t>
            </w:r>
          </w:p>
        </w:tc>
      </w:tr>
      <w:tr>
        <w:trPr>
          <w:trHeight w:val="102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3"/>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22"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438"/>
        <w:gridCol w:w="563"/>
        <w:gridCol w:w="530"/>
        <w:gridCol w:w="532"/>
        <w:gridCol w:w="530"/>
        <w:gridCol w:w="665"/>
        <w:gridCol w:w="665"/>
        <w:gridCol w:w="665"/>
        <w:gridCol w:w="665"/>
        <w:gridCol w:w="664"/>
        <w:gridCol w:w="666"/>
        <w:gridCol w:w="665"/>
        <w:gridCol w:w="665"/>
        <w:gridCol w:w="659"/>
      </w:tblGrid>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3" w:right="0"/>
              <w:jc w:val="center"/>
              <w:rPr>
                <w:rFonts w:ascii="Times New Roman" w:hAnsi="Times New Roman" w:cs="Times New Roman" w:eastAsia="Times New Roman" w:hint="default"/>
                <w:sz w:val="18"/>
                <w:szCs w:val="18"/>
              </w:rPr>
            </w:pPr>
            <w:r>
              <w:rPr>
                <w:rFonts w:ascii="Times New Roman"/>
                <w:sz w:val="18"/>
              </w:rPr>
              <w:t>-1,40</w:t>
            </w:r>
          </w:p>
          <w:p>
            <w:pPr>
              <w:pStyle w:val="TableParagraph"/>
              <w:spacing w:line="240" w:lineRule="auto" w:before="105"/>
              <w:ind w:left="43" w:right="0"/>
              <w:jc w:val="center"/>
              <w:rPr>
                <w:rFonts w:ascii="Times New Roman" w:hAnsi="Times New Roman" w:cs="Times New Roman" w:eastAsia="Times New Roman" w:hint="default"/>
                <w:sz w:val="18"/>
                <w:szCs w:val="18"/>
              </w:rPr>
            </w:pPr>
            <w:r>
              <w:rPr>
                <w:rFonts w:ascii="Times New Roman"/>
                <w:sz w:val="18"/>
              </w:rPr>
              <w:t>6,800</w:t>
            </w:r>
          </w:p>
          <w:p>
            <w:pPr>
              <w:pStyle w:val="TableParagraph"/>
              <w:spacing w:line="240" w:lineRule="auto" w:before="106"/>
              <w:ind w:left="223" w:right="0"/>
              <w:jc w:val="center"/>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-1,40</w:t>
            </w:r>
          </w:p>
          <w:p>
            <w:pPr>
              <w:pStyle w:val="TableParagraph"/>
              <w:spacing w:line="240" w:lineRule="auto" w:before="105"/>
              <w:ind w:left="39" w:right="0"/>
              <w:jc w:val="center"/>
              <w:rPr>
                <w:rFonts w:ascii="Times New Roman" w:hAnsi="Times New Roman" w:cs="Times New Roman" w:eastAsia="Times New Roman" w:hint="default"/>
                <w:sz w:val="18"/>
                <w:szCs w:val="18"/>
              </w:rPr>
            </w:pPr>
            <w:r>
              <w:rPr>
                <w:rFonts w:ascii="Times New Roman"/>
                <w:sz w:val="18"/>
              </w:rPr>
              <w:t>6,800</w:t>
            </w:r>
          </w:p>
          <w:p>
            <w:pPr>
              <w:pStyle w:val="TableParagraph"/>
              <w:spacing w:line="240" w:lineRule="auto" w:before="106"/>
              <w:ind w:left="219" w:right="0"/>
              <w:jc w:val="center"/>
              <w:rPr>
                <w:rFonts w:ascii="Times New Roman" w:hAnsi="Times New Roman" w:cs="Times New Roman" w:eastAsia="Times New Roman" w:hint="default"/>
                <w:sz w:val="18"/>
                <w:szCs w:val="18"/>
              </w:rPr>
            </w:pPr>
            <w:r>
              <w:rPr>
                <w:rFonts w:ascii="Times New Roman"/>
                <w:sz w:val="18"/>
              </w:rPr>
              <w:t>.00</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6" w:right="0"/>
              <w:jc w:val="left"/>
              <w:rPr>
                <w:rFonts w:ascii="Times New Roman" w:hAnsi="Times New Roman" w:cs="Times New Roman" w:eastAsia="Times New Roman" w:hint="default"/>
                <w:sz w:val="18"/>
                <w:szCs w:val="18"/>
              </w:rPr>
            </w:pPr>
            <w:r>
              <w:rPr>
                <w:rFonts w:ascii="Times New Roman"/>
                <w:sz w:val="18"/>
              </w:rPr>
              <w:t>-22,8</w:t>
            </w:r>
          </w:p>
          <w:p>
            <w:pPr>
              <w:pStyle w:val="TableParagraph"/>
              <w:spacing w:line="240" w:lineRule="auto" w:before="105"/>
              <w:ind w:left="146" w:right="0"/>
              <w:jc w:val="left"/>
              <w:rPr>
                <w:rFonts w:ascii="Times New Roman" w:hAnsi="Times New Roman" w:cs="Times New Roman" w:eastAsia="Times New Roman" w:hint="default"/>
                <w:sz w:val="18"/>
                <w:szCs w:val="18"/>
              </w:rPr>
            </w:pPr>
            <w:r>
              <w:rPr>
                <w:rFonts w:ascii="Times New Roman"/>
                <w:sz w:val="18"/>
              </w:rPr>
              <w:t>57,04</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0.34</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9" w:right="0"/>
              <w:jc w:val="center"/>
              <w:rPr>
                <w:rFonts w:ascii="Times New Roman" w:hAnsi="Times New Roman" w:cs="Times New Roman" w:eastAsia="Times New Roman" w:hint="default"/>
                <w:sz w:val="18"/>
                <w:szCs w:val="18"/>
              </w:rPr>
            </w:pPr>
            <w:r>
              <w:rPr>
                <w:rFonts w:ascii="Times New Roman"/>
                <w:sz w:val="18"/>
              </w:rPr>
              <w:t>22,85</w:t>
            </w:r>
          </w:p>
          <w:p>
            <w:pPr>
              <w:pStyle w:val="TableParagraph"/>
              <w:spacing w:line="240" w:lineRule="auto" w:before="105"/>
              <w:ind w:left="39" w:right="0"/>
              <w:jc w:val="center"/>
              <w:rPr>
                <w:rFonts w:ascii="Times New Roman" w:hAnsi="Times New Roman" w:cs="Times New Roman" w:eastAsia="Times New Roman" w:hint="default"/>
                <w:sz w:val="18"/>
                <w:szCs w:val="18"/>
              </w:rPr>
            </w:pPr>
            <w:r>
              <w:rPr>
                <w:rFonts w:ascii="Times New Roman"/>
                <w:sz w:val="18"/>
              </w:rPr>
              <w:t>7,040</w:t>
            </w:r>
          </w:p>
          <w:p>
            <w:pPr>
              <w:pStyle w:val="TableParagraph"/>
              <w:spacing w:line="240" w:lineRule="auto" w:before="106"/>
              <w:ind w:left="219" w:right="0"/>
              <w:jc w:val="center"/>
              <w:rPr>
                <w:rFonts w:ascii="Times New Roman" w:hAnsi="Times New Roman" w:cs="Times New Roman" w:eastAsia="Times New Roman" w:hint="default"/>
                <w:sz w:val="18"/>
                <w:szCs w:val="18"/>
              </w:rPr>
            </w:pPr>
            <w:r>
              <w:rPr>
                <w:rFonts w:ascii="Times New Roman"/>
                <w:sz w:val="18"/>
              </w:rPr>
              <w:t>.34</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pacing w:val="-6"/>
                <w:sz w:val="18"/>
                <w:szCs w:val="18"/>
              </w:rPr>
              <w:t>（三）利润分配</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113,4</w:t>
            </w:r>
          </w:p>
          <w:p>
            <w:pPr>
              <w:pStyle w:val="TableParagraph"/>
              <w:spacing w:line="240" w:lineRule="auto" w:before="106"/>
              <w:ind w:left="146" w:right="0"/>
              <w:jc w:val="left"/>
              <w:rPr>
                <w:rFonts w:ascii="Times New Roman" w:hAnsi="Times New Roman" w:cs="Times New Roman" w:eastAsia="Times New Roman" w:hint="default"/>
                <w:sz w:val="18"/>
                <w:szCs w:val="18"/>
              </w:rPr>
            </w:pPr>
            <w:r>
              <w:rPr>
                <w:rFonts w:ascii="Times New Roman"/>
                <w:sz w:val="18"/>
              </w:rPr>
              <w:t>36.73</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2" w:right="0"/>
              <w:jc w:val="center"/>
              <w:rPr>
                <w:rFonts w:ascii="Times New Roman" w:hAnsi="Times New Roman" w:cs="Times New Roman" w:eastAsia="Times New Roman" w:hint="default"/>
                <w:sz w:val="18"/>
                <w:szCs w:val="18"/>
              </w:rPr>
            </w:pPr>
            <w:r>
              <w:rPr>
                <w:rFonts w:ascii="Times New Roman"/>
                <w:sz w:val="18"/>
              </w:rPr>
              <w:t>-6,89</w:t>
            </w:r>
          </w:p>
          <w:p>
            <w:pPr>
              <w:pStyle w:val="TableParagraph"/>
              <w:spacing w:line="240" w:lineRule="auto" w:before="105"/>
              <w:ind w:left="42" w:right="0"/>
              <w:jc w:val="center"/>
              <w:rPr>
                <w:rFonts w:ascii="Times New Roman" w:hAnsi="Times New Roman" w:cs="Times New Roman" w:eastAsia="Times New Roman" w:hint="default"/>
                <w:sz w:val="18"/>
                <w:szCs w:val="18"/>
              </w:rPr>
            </w:pPr>
            <w:r>
              <w:rPr>
                <w:rFonts w:ascii="Times New Roman"/>
                <w:sz w:val="18"/>
              </w:rPr>
              <w:t>0,876</w:t>
            </w:r>
          </w:p>
          <w:p>
            <w:pPr>
              <w:pStyle w:val="TableParagraph"/>
              <w:spacing w:line="240" w:lineRule="auto" w:before="106"/>
              <w:ind w:left="222" w:right="0"/>
              <w:jc w:val="center"/>
              <w:rPr>
                <w:rFonts w:ascii="Times New Roman" w:hAnsi="Times New Roman" w:cs="Times New Roman" w:eastAsia="Times New Roman" w:hint="default"/>
                <w:sz w:val="18"/>
                <w:szCs w:val="18"/>
              </w:rPr>
            </w:pPr>
            <w:r>
              <w:rPr>
                <w:rFonts w:ascii="Times New Roman"/>
                <w:sz w:val="18"/>
              </w:rPr>
              <w:t>.73</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-6,77</w:t>
            </w:r>
          </w:p>
          <w:p>
            <w:pPr>
              <w:pStyle w:val="TableParagraph"/>
              <w:spacing w:line="240" w:lineRule="auto" w:before="105"/>
              <w:ind w:left="39" w:right="0"/>
              <w:jc w:val="center"/>
              <w:rPr>
                <w:rFonts w:ascii="Times New Roman" w:hAnsi="Times New Roman" w:cs="Times New Roman" w:eastAsia="Times New Roman" w:hint="default"/>
                <w:sz w:val="18"/>
                <w:szCs w:val="18"/>
              </w:rPr>
            </w:pPr>
            <w:r>
              <w:rPr>
                <w:rFonts w:ascii="Times New Roman"/>
                <w:sz w:val="18"/>
              </w:rPr>
              <w:t>7,440</w:t>
            </w:r>
          </w:p>
          <w:p>
            <w:pPr>
              <w:pStyle w:val="TableParagraph"/>
              <w:spacing w:line="240" w:lineRule="auto" w:before="106"/>
              <w:ind w:left="219" w:right="0"/>
              <w:jc w:val="center"/>
              <w:rPr>
                <w:rFonts w:ascii="Times New Roman" w:hAnsi="Times New Roman" w:cs="Times New Roman" w:eastAsia="Times New Roman" w:hint="default"/>
                <w:sz w:val="18"/>
                <w:szCs w:val="18"/>
              </w:rPr>
            </w:pPr>
            <w:r>
              <w:rPr>
                <w:rFonts w:ascii="Times New Roman"/>
                <w:sz w:val="18"/>
              </w:rPr>
              <w:t>.00</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2" w:lineRule="auto"/>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2" w:right="0"/>
              <w:jc w:val="left"/>
              <w:rPr>
                <w:rFonts w:ascii="Times New Roman" w:hAnsi="Times New Roman" w:cs="Times New Roman" w:eastAsia="Times New Roman" w:hint="default"/>
                <w:sz w:val="18"/>
                <w:szCs w:val="18"/>
              </w:rPr>
            </w:pPr>
            <w:r>
              <w:rPr>
                <w:rFonts w:ascii="Times New Roman"/>
                <w:sz w:val="18"/>
              </w:rPr>
              <w:t>113,4</w:t>
            </w:r>
          </w:p>
          <w:p>
            <w:pPr>
              <w:pStyle w:val="TableParagraph"/>
              <w:spacing w:line="240" w:lineRule="auto" w:before="106"/>
              <w:ind w:left="146" w:right="0"/>
              <w:jc w:val="left"/>
              <w:rPr>
                <w:rFonts w:ascii="Times New Roman" w:hAnsi="Times New Roman" w:cs="Times New Roman" w:eastAsia="Times New Roman" w:hint="default"/>
                <w:sz w:val="18"/>
                <w:szCs w:val="18"/>
              </w:rPr>
            </w:pPr>
            <w:r>
              <w:rPr>
                <w:rFonts w:ascii="Times New Roman"/>
                <w:sz w:val="18"/>
              </w:rPr>
              <w:t>36.73</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4"/>
              <w:jc w:val="right"/>
              <w:rPr>
                <w:rFonts w:ascii="Times New Roman" w:hAnsi="Times New Roman" w:cs="Times New Roman" w:eastAsia="Times New Roman" w:hint="default"/>
                <w:sz w:val="18"/>
                <w:szCs w:val="18"/>
              </w:rPr>
            </w:pPr>
            <w:r>
              <w:rPr>
                <w:rFonts w:ascii="Times New Roman"/>
                <w:spacing w:val="-2"/>
                <w:sz w:val="18"/>
              </w:rPr>
              <w:t>-113,</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436.7</w:t>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3</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 险准备</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2" w:lineRule="auto"/>
              <w:ind w:left="103" w:right="100"/>
              <w:jc w:val="left"/>
              <w:rPr>
                <w:rFonts w:ascii="宋体" w:hAnsi="宋体" w:cs="宋体" w:eastAsia="宋体" w:hint="default"/>
                <w:sz w:val="18"/>
                <w:szCs w:val="18"/>
              </w:rPr>
            </w:pPr>
            <w:r>
              <w:rPr>
                <w:rFonts w:ascii="Times New Roman" w:hAnsi="Times New Roman" w:cs="Times New Roman" w:eastAsia="Times New Roman" w:hint="default"/>
                <w:spacing w:val="-16"/>
                <w:sz w:val="18"/>
                <w:szCs w:val="18"/>
              </w:rPr>
              <w:t>3</w:t>
            </w:r>
            <w:r>
              <w:rPr>
                <w:rFonts w:ascii="宋体" w:hAnsi="宋体" w:cs="宋体" w:eastAsia="宋体" w:hint="default"/>
                <w:spacing w:val="-16"/>
                <w:sz w:val="18"/>
                <w:szCs w:val="18"/>
              </w:rPr>
              <w:t>．对所有者（或</w:t>
            </w:r>
            <w:r>
              <w:rPr>
                <w:rFonts w:ascii="宋体" w:hAnsi="宋体" w:cs="宋体" w:eastAsia="宋体" w:hint="default"/>
                <w:sz w:val="18"/>
                <w:szCs w:val="18"/>
              </w:rPr>
              <w:t> 股东）的分配</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72" w:right="0"/>
              <w:jc w:val="center"/>
              <w:rPr>
                <w:rFonts w:ascii="Times New Roman" w:hAnsi="Times New Roman" w:cs="Times New Roman" w:eastAsia="Times New Roman" w:hint="default"/>
                <w:sz w:val="18"/>
                <w:szCs w:val="18"/>
              </w:rPr>
            </w:pPr>
            <w:r>
              <w:rPr>
                <w:rFonts w:ascii="Times New Roman"/>
                <w:sz w:val="18"/>
              </w:rPr>
              <w:t>-6,77</w:t>
            </w:r>
          </w:p>
          <w:p>
            <w:pPr>
              <w:pStyle w:val="TableParagraph"/>
              <w:spacing w:line="240" w:lineRule="auto" w:before="105"/>
              <w:ind w:left="42" w:right="0"/>
              <w:jc w:val="center"/>
              <w:rPr>
                <w:rFonts w:ascii="Times New Roman" w:hAnsi="Times New Roman" w:cs="Times New Roman" w:eastAsia="Times New Roman" w:hint="default"/>
                <w:sz w:val="18"/>
                <w:szCs w:val="18"/>
              </w:rPr>
            </w:pPr>
            <w:r>
              <w:rPr>
                <w:rFonts w:ascii="Times New Roman"/>
                <w:sz w:val="18"/>
              </w:rPr>
              <w:t>7,440</w:t>
            </w:r>
          </w:p>
          <w:p>
            <w:pPr>
              <w:pStyle w:val="TableParagraph"/>
              <w:spacing w:line="240" w:lineRule="auto" w:before="106"/>
              <w:ind w:left="222" w:right="0"/>
              <w:jc w:val="center"/>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-6,77</w:t>
            </w:r>
          </w:p>
          <w:p>
            <w:pPr>
              <w:pStyle w:val="TableParagraph"/>
              <w:spacing w:line="240" w:lineRule="auto" w:before="105"/>
              <w:ind w:left="39" w:right="0"/>
              <w:jc w:val="center"/>
              <w:rPr>
                <w:rFonts w:ascii="Times New Roman" w:hAnsi="Times New Roman" w:cs="Times New Roman" w:eastAsia="Times New Roman" w:hint="default"/>
                <w:sz w:val="18"/>
                <w:szCs w:val="18"/>
              </w:rPr>
            </w:pPr>
            <w:r>
              <w:rPr>
                <w:rFonts w:ascii="Times New Roman"/>
                <w:sz w:val="18"/>
              </w:rPr>
              <w:t>7,440</w:t>
            </w:r>
          </w:p>
          <w:p>
            <w:pPr>
              <w:pStyle w:val="TableParagraph"/>
              <w:spacing w:line="240" w:lineRule="auto" w:before="106"/>
              <w:ind w:left="219" w:right="0"/>
              <w:jc w:val="center"/>
              <w:rPr>
                <w:rFonts w:ascii="Times New Roman" w:hAnsi="Times New Roman" w:cs="Times New Roman" w:eastAsia="Times New Roman" w:hint="default"/>
                <w:sz w:val="18"/>
                <w:szCs w:val="18"/>
              </w:rPr>
            </w:pPr>
            <w:r>
              <w:rPr>
                <w:rFonts w:ascii="Times New Roman"/>
                <w:sz w:val="18"/>
              </w:rPr>
              <w:t>.00</w:t>
            </w: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103" w:right="101"/>
              <w:jc w:val="left"/>
              <w:rPr>
                <w:rFonts w:ascii="宋体" w:hAnsi="宋体" w:cs="宋体" w:eastAsia="宋体" w:hint="default"/>
                <w:sz w:val="18"/>
                <w:szCs w:val="18"/>
              </w:rPr>
            </w:pPr>
            <w:r>
              <w:rPr>
                <w:rFonts w:ascii="宋体" w:hAnsi="宋体" w:cs="宋体" w:eastAsia="宋体" w:hint="default"/>
                <w:spacing w:val="-6"/>
                <w:sz w:val="18"/>
                <w:szCs w:val="18"/>
              </w:rPr>
              <w:t>（四）所有者权</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益内部结转</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4" w:right="0"/>
              <w:jc w:val="left"/>
              <w:rPr>
                <w:rFonts w:ascii="Times New Roman" w:hAnsi="Times New Roman" w:cs="Times New Roman" w:eastAsia="Times New Roman" w:hint="default"/>
                <w:sz w:val="18"/>
                <w:szCs w:val="18"/>
              </w:rPr>
            </w:pPr>
            <w:r>
              <w:rPr>
                <w:rFonts w:ascii="Times New Roman"/>
                <w:sz w:val="18"/>
              </w:rPr>
              <w:t>54,2</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19,5</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20.0</w:t>
            </w:r>
          </w:p>
          <w:p>
            <w:pPr>
              <w:pStyle w:val="TableParagraph"/>
              <w:spacing w:line="240" w:lineRule="auto" w:before="106"/>
              <w:ind w:left="358" w:right="0"/>
              <w:jc w:val="lef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-54,2</w:t>
            </w:r>
          </w:p>
          <w:p>
            <w:pPr>
              <w:pStyle w:val="TableParagraph"/>
              <w:spacing w:line="240" w:lineRule="auto" w:before="105"/>
              <w:ind w:left="146" w:right="0"/>
              <w:jc w:val="left"/>
              <w:rPr>
                <w:rFonts w:ascii="Times New Roman" w:hAnsi="Times New Roman" w:cs="Times New Roman" w:eastAsia="Times New Roman" w:hint="default"/>
                <w:sz w:val="18"/>
                <w:szCs w:val="18"/>
              </w:rPr>
            </w:pPr>
            <w:r>
              <w:rPr>
                <w:rFonts w:ascii="Times New Roman"/>
                <w:sz w:val="18"/>
              </w:rPr>
              <w:t>19,52</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9" w:lineRule="auto"/>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4" w:right="0"/>
              <w:jc w:val="left"/>
              <w:rPr>
                <w:rFonts w:ascii="Times New Roman" w:hAnsi="Times New Roman" w:cs="Times New Roman" w:eastAsia="Times New Roman" w:hint="default"/>
                <w:sz w:val="18"/>
                <w:szCs w:val="18"/>
              </w:rPr>
            </w:pPr>
            <w:r>
              <w:rPr>
                <w:rFonts w:ascii="Times New Roman"/>
                <w:sz w:val="18"/>
              </w:rPr>
              <w:t>54,2</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19,5</w:t>
            </w:r>
          </w:p>
          <w:p>
            <w:pPr>
              <w:pStyle w:val="TableParagraph"/>
              <w:spacing w:line="240" w:lineRule="auto" w:before="105"/>
              <w:ind w:left="134" w:right="0"/>
              <w:jc w:val="left"/>
              <w:rPr>
                <w:rFonts w:ascii="Times New Roman" w:hAnsi="Times New Roman" w:cs="Times New Roman" w:eastAsia="Times New Roman" w:hint="default"/>
                <w:sz w:val="18"/>
                <w:szCs w:val="18"/>
              </w:rPr>
            </w:pPr>
            <w:r>
              <w:rPr>
                <w:rFonts w:ascii="Times New Roman"/>
                <w:sz w:val="18"/>
              </w:rPr>
              <w:t>20.0</w:t>
            </w:r>
          </w:p>
          <w:p>
            <w:pPr>
              <w:pStyle w:val="TableParagraph"/>
              <w:spacing w:line="240" w:lineRule="auto" w:before="106"/>
              <w:ind w:left="358" w:right="0"/>
              <w:jc w:val="lef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76" w:right="0"/>
              <w:jc w:val="left"/>
              <w:rPr>
                <w:rFonts w:ascii="Times New Roman" w:hAnsi="Times New Roman" w:cs="Times New Roman" w:eastAsia="Times New Roman" w:hint="default"/>
                <w:sz w:val="18"/>
                <w:szCs w:val="18"/>
              </w:rPr>
            </w:pPr>
            <w:r>
              <w:rPr>
                <w:rFonts w:ascii="Times New Roman"/>
                <w:sz w:val="18"/>
              </w:rPr>
              <w:t>-54,2</w:t>
            </w:r>
          </w:p>
          <w:p>
            <w:pPr>
              <w:pStyle w:val="TableParagraph"/>
              <w:spacing w:line="240" w:lineRule="auto" w:before="105"/>
              <w:ind w:left="146" w:right="0"/>
              <w:jc w:val="left"/>
              <w:rPr>
                <w:rFonts w:ascii="Times New Roman" w:hAnsi="Times New Roman" w:cs="Times New Roman" w:eastAsia="Times New Roman" w:hint="default"/>
                <w:sz w:val="18"/>
                <w:szCs w:val="18"/>
              </w:rPr>
            </w:pPr>
            <w:r>
              <w:rPr>
                <w:rFonts w:ascii="Times New Roman"/>
                <w:sz w:val="18"/>
              </w:rPr>
              <w:t>19,52</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pacing w:val="-6"/>
                <w:sz w:val="18"/>
                <w:szCs w:val="18"/>
              </w:rPr>
              <w:t>（五）专项储备</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3"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bl>
    <w:p>
      <w:pPr>
        <w:spacing w:after="0"/>
        <w:sectPr>
          <w:headerReference w:type="default" r:id="rId18"/>
          <w:pgSz w:w="11910" w:h="16840"/>
          <w:pgMar w:header="889"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438"/>
        <w:gridCol w:w="563"/>
        <w:gridCol w:w="530"/>
        <w:gridCol w:w="532"/>
        <w:gridCol w:w="530"/>
        <w:gridCol w:w="665"/>
        <w:gridCol w:w="665"/>
        <w:gridCol w:w="665"/>
        <w:gridCol w:w="665"/>
        <w:gridCol w:w="664"/>
        <w:gridCol w:w="666"/>
        <w:gridCol w:w="665"/>
        <w:gridCol w:w="665"/>
        <w:gridCol w:w="659"/>
      </w:tblGrid>
      <w:tr>
        <w:trPr>
          <w:trHeight w:val="1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103" w:right="101"/>
              <w:jc w:val="left"/>
              <w:rPr>
                <w:rFonts w:ascii="宋体" w:hAnsi="宋体" w:cs="宋体" w:eastAsia="宋体" w:hint="default"/>
                <w:sz w:val="18"/>
                <w:szCs w:val="18"/>
              </w:rPr>
            </w:pPr>
            <w:r>
              <w:rPr>
                <w:rFonts w:ascii="宋体" w:hAnsi="宋体" w:cs="宋体" w:eastAsia="宋体" w:hint="default"/>
                <w:spacing w:val="-6"/>
                <w:sz w:val="18"/>
                <w:szCs w:val="18"/>
              </w:rPr>
              <w:t>四、本期期末余</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额</w:t>
            </w:r>
          </w:p>
        </w:tc>
        <w:tc>
          <w:tcPr>
            <w:tcW w:w="5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0" w:right="0"/>
              <w:jc w:val="center"/>
              <w:rPr>
                <w:rFonts w:ascii="Times New Roman" w:hAnsi="Times New Roman" w:cs="Times New Roman" w:eastAsia="Times New Roman" w:hint="default"/>
                <w:sz w:val="18"/>
                <w:szCs w:val="18"/>
              </w:rPr>
            </w:pPr>
            <w:r>
              <w:rPr>
                <w:rFonts w:ascii="Times New Roman"/>
                <w:sz w:val="18"/>
              </w:rPr>
              <w:t>121,</w:t>
            </w:r>
          </w:p>
          <w:p>
            <w:pPr>
              <w:pStyle w:val="TableParagraph"/>
              <w:spacing w:line="240" w:lineRule="auto" w:before="105"/>
              <w:ind w:left="30" w:right="0"/>
              <w:jc w:val="center"/>
              <w:rPr>
                <w:rFonts w:ascii="Times New Roman" w:hAnsi="Times New Roman" w:cs="Times New Roman" w:eastAsia="Times New Roman" w:hint="default"/>
                <w:sz w:val="18"/>
                <w:szCs w:val="18"/>
              </w:rPr>
            </w:pPr>
            <w:r>
              <w:rPr>
                <w:rFonts w:ascii="Times New Roman"/>
                <w:sz w:val="18"/>
              </w:rPr>
              <w:t>993,</w:t>
            </w:r>
          </w:p>
          <w:p>
            <w:pPr>
              <w:pStyle w:val="TableParagraph"/>
              <w:spacing w:line="240" w:lineRule="auto" w:before="105"/>
              <w:ind w:left="30" w:right="0"/>
              <w:jc w:val="center"/>
              <w:rPr>
                <w:rFonts w:ascii="Times New Roman" w:hAnsi="Times New Roman" w:cs="Times New Roman" w:eastAsia="Times New Roman" w:hint="default"/>
                <w:sz w:val="18"/>
                <w:szCs w:val="18"/>
              </w:rPr>
            </w:pPr>
            <w:r>
              <w:rPr>
                <w:rFonts w:ascii="Times New Roman"/>
                <w:sz w:val="18"/>
              </w:rPr>
              <w:t>920.</w:t>
            </w:r>
          </w:p>
          <w:p>
            <w:pPr>
              <w:pStyle w:val="TableParagraph"/>
              <w:spacing w:line="240" w:lineRule="auto" w:before="106"/>
              <w:ind w:left="164" w:right="0"/>
              <w:jc w:val="center"/>
              <w:rPr>
                <w:rFonts w:ascii="Times New Roman" w:hAnsi="Times New Roman" w:cs="Times New Roman" w:eastAsia="Times New Roman" w:hint="default"/>
                <w:sz w:val="18"/>
                <w:szCs w:val="18"/>
              </w:rPr>
            </w:pPr>
            <w:r>
              <w:rPr>
                <w:rFonts w:ascii="Times New Roman"/>
                <w:sz w:val="18"/>
              </w:rPr>
              <w:t>00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140,0</w:t>
            </w:r>
          </w:p>
          <w:p>
            <w:pPr>
              <w:pStyle w:val="TableParagraph"/>
              <w:spacing w:line="240" w:lineRule="auto" w:before="105"/>
              <w:ind w:left="146" w:right="0"/>
              <w:jc w:val="left"/>
              <w:rPr>
                <w:rFonts w:ascii="Times New Roman" w:hAnsi="Times New Roman" w:cs="Times New Roman" w:eastAsia="Times New Roman" w:hint="default"/>
                <w:sz w:val="18"/>
                <w:szCs w:val="18"/>
              </w:rPr>
            </w:pPr>
            <w:r>
              <w:rPr>
                <w:rFonts w:ascii="Times New Roman"/>
                <w:sz w:val="18"/>
              </w:rPr>
              <w:t>65,90</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7.86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37,41</w:t>
            </w:r>
          </w:p>
          <w:p>
            <w:pPr>
              <w:pStyle w:val="TableParagraph"/>
              <w:spacing w:line="240" w:lineRule="auto" w:before="105"/>
              <w:ind w:left="42" w:right="0"/>
              <w:jc w:val="center"/>
              <w:rPr>
                <w:rFonts w:ascii="Times New Roman" w:hAnsi="Times New Roman" w:cs="Times New Roman" w:eastAsia="Times New Roman" w:hint="default"/>
                <w:sz w:val="18"/>
                <w:szCs w:val="18"/>
              </w:rPr>
            </w:pPr>
            <w:r>
              <w:rPr>
                <w:rFonts w:ascii="Times New Roman"/>
                <w:sz w:val="18"/>
              </w:rPr>
              <w:t>0,991</w:t>
            </w:r>
          </w:p>
          <w:p>
            <w:pPr>
              <w:pStyle w:val="TableParagraph"/>
              <w:spacing w:line="240" w:lineRule="auto" w:before="106"/>
              <w:ind w:left="222" w:right="0"/>
              <w:jc w:val="center"/>
              <w:rPr>
                <w:rFonts w:ascii="Times New Roman" w:hAnsi="Times New Roman" w:cs="Times New Roman" w:eastAsia="Times New Roman" w:hint="default"/>
                <w:sz w:val="18"/>
                <w:szCs w:val="18"/>
              </w:rPr>
            </w:pPr>
            <w:r>
              <w:rPr>
                <w:rFonts w:ascii="Times New Roman"/>
                <w:sz w:val="18"/>
              </w:rPr>
              <w:t>.66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4" w:right="0"/>
              <w:jc w:val="center"/>
              <w:rPr>
                <w:rFonts w:ascii="Times New Roman" w:hAnsi="Times New Roman" w:cs="Times New Roman" w:eastAsia="Times New Roman" w:hint="default"/>
                <w:sz w:val="18"/>
                <w:szCs w:val="18"/>
              </w:rPr>
            </w:pPr>
            <w:r>
              <w:rPr>
                <w:rFonts w:ascii="Times New Roman"/>
                <w:sz w:val="18"/>
              </w:rPr>
              <w:t>21,15</w:t>
            </w:r>
          </w:p>
          <w:p>
            <w:pPr>
              <w:pStyle w:val="TableParagraph"/>
              <w:spacing w:line="240" w:lineRule="auto" w:before="105"/>
              <w:ind w:left="44" w:right="0"/>
              <w:jc w:val="center"/>
              <w:rPr>
                <w:rFonts w:ascii="Times New Roman" w:hAnsi="Times New Roman" w:cs="Times New Roman" w:eastAsia="Times New Roman" w:hint="default"/>
                <w:sz w:val="18"/>
                <w:szCs w:val="18"/>
              </w:rPr>
            </w:pPr>
            <w:r>
              <w:rPr>
                <w:rFonts w:ascii="Times New Roman"/>
                <w:sz w:val="18"/>
              </w:rPr>
              <w:t>8,362</w:t>
            </w:r>
          </w:p>
          <w:p>
            <w:pPr>
              <w:pStyle w:val="TableParagraph"/>
              <w:spacing w:line="240" w:lineRule="auto" w:before="106"/>
              <w:ind w:left="224" w:right="0"/>
              <w:jc w:val="center"/>
              <w:rPr>
                <w:rFonts w:ascii="Times New Roman" w:hAnsi="Times New Roman" w:cs="Times New Roman" w:eastAsia="Times New Roman" w:hint="default"/>
                <w:sz w:val="18"/>
                <w:szCs w:val="18"/>
              </w:rPr>
            </w:pPr>
            <w:r>
              <w:rPr>
                <w:rFonts w:ascii="Times New Roman"/>
                <w:sz w:val="18"/>
              </w:rPr>
              <w:t>.78</w:t>
            </w:r>
          </w:p>
        </w:tc>
        <w:tc>
          <w:tcPr>
            <w:tcW w:w="666"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206,7</w:t>
            </w:r>
          </w:p>
          <w:p>
            <w:pPr>
              <w:pStyle w:val="TableParagraph"/>
              <w:spacing w:line="240" w:lineRule="auto" w:before="105"/>
              <w:ind w:left="146" w:right="0"/>
              <w:jc w:val="left"/>
              <w:rPr>
                <w:rFonts w:ascii="Times New Roman" w:hAnsi="Times New Roman" w:cs="Times New Roman" w:eastAsia="Times New Roman" w:hint="default"/>
                <w:sz w:val="18"/>
                <w:szCs w:val="18"/>
              </w:rPr>
            </w:pPr>
            <w:r>
              <w:rPr>
                <w:rFonts w:ascii="Times New Roman"/>
                <w:sz w:val="18"/>
              </w:rPr>
              <w:t>76,28</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4.56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5" w:right="0"/>
              <w:jc w:val="center"/>
              <w:rPr>
                <w:rFonts w:ascii="Times New Roman" w:hAnsi="Times New Roman" w:cs="Times New Roman" w:eastAsia="Times New Roman" w:hint="default"/>
                <w:sz w:val="18"/>
                <w:szCs w:val="18"/>
              </w:rPr>
            </w:pPr>
            <w:r>
              <w:rPr>
                <w:rFonts w:ascii="Times New Roman"/>
                <w:sz w:val="18"/>
              </w:rPr>
              <w:t>29,19</w:t>
            </w:r>
          </w:p>
          <w:p>
            <w:pPr>
              <w:pStyle w:val="TableParagraph"/>
              <w:spacing w:line="240" w:lineRule="auto" w:before="105"/>
              <w:ind w:left="45" w:right="0"/>
              <w:jc w:val="center"/>
              <w:rPr>
                <w:rFonts w:ascii="Times New Roman" w:hAnsi="Times New Roman" w:cs="Times New Roman" w:eastAsia="Times New Roman" w:hint="default"/>
                <w:sz w:val="18"/>
                <w:szCs w:val="18"/>
              </w:rPr>
            </w:pPr>
            <w:r>
              <w:rPr>
                <w:rFonts w:ascii="Times New Roman"/>
                <w:sz w:val="18"/>
              </w:rPr>
              <w:t>6,670</w:t>
            </w:r>
          </w:p>
          <w:p>
            <w:pPr>
              <w:pStyle w:val="TableParagraph"/>
              <w:spacing w:line="240" w:lineRule="auto" w:before="106"/>
              <w:ind w:left="225" w:right="0"/>
              <w:jc w:val="center"/>
              <w:rPr>
                <w:rFonts w:ascii="Times New Roman" w:hAnsi="Times New Roman" w:cs="Times New Roman" w:eastAsia="Times New Roman" w:hint="default"/>
                <w:sz w:val="18"/>
                <w:szCs w:val="18"/>
              </w:rPr>
            </w:pPr>
            <w:r>
              <w:rPr>
                <w:rFonts w:ascii="Times New Roman"/>
                <w:sz w:val="18"/>
              </w:rPr>
              <w:t>.98</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1" w:right="0"/>
              <w:jc w:val="left"/>
              <w:rPr>
                <w:rFonts w:ascii="Times New Roman" w:hAnsi="Times New Roman" w:cs="Times New Roman" w:eastAsia="Times New Roman" w:hint="default"/>
                <w:sz w:val="18"/>
                <w:szCs w:val="18"/>
              </w:rPr>
            </w:pPr>
            <w:r>
              <w:rPr>
                <w:rFonts w:ascii="Times New Roman"/>
                <w:sz w:val="18"/>
              </w:rPr>
              <w:t>481,7</w:t>
            </w:r>
          </w:p>
          <w:p>
            <w:pPr>
              <w:pStyle w:val="TableParagraph"/>
              <w:spacing w:line="240" w:lineRule="auto" w:before="105"/>
              <w:ind w:left="141" w:right="0"/>
              <w:jc w:val="left"/>
              <w:rPr>
                <w:rFonts w:ascii="Times New Roman" w:hAnsi="Times New Roman" w:cs="Times New Roman" w:eastAsia="Times New Roman" w:hint="default"/>
                <w:sz w:val="18"/>
                <w:szCs w:val="18"/>
              </w:rPr>
            </w:pPr>
            <w:r>
              <w:rPr>
                <w:rFonts w:ascii="Times New Roman"/>
                <w:sz w:val="18"/>
              </w:rPr>
              <w:t>80,15</w:t>
            </w:r>
          </w:p>
          <w:p>
            <w:pPr>
              <w:pStyle w:val="TableParagraph"/>
              <w:spacing w:line="240" w:lineRule="auto" w:before="106"/>
              <w:ind w:left="231" w:right="0"/>
              <w:jc w:val="left"/>
              <w:rPr>
                <w:rFonts w:ascii="Times New Roman" w:hAnsi="Times New Roman" w:cs="Times New Roman" w:eastAsia="Times New Roman" w:hint="default"/>
                <w:sz w:val="18"/>
                <w:szCs w:val="18"/>
              </w:rPr>
            </w:pPr>
            <w:r>
              <w:rPr>
                <w:rFonts w:ascii="Times New Roman"/>
                <w:sz w:val="18"/>
              </w:rPr>
              <w:t>4.52</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38"/>
        <w:gridCol w:w="562"/>
        <w:gridCol w:w="530"/>
        <w:gridCol w:w="532"/>
        <w:gridCol w:w="530"/>
        <w:gridCol w:w="665"/>
        <w:gridCol w:w="665"/>
        <w:gridCol w:w="665"/>
        <w:gridCol w:w="665"/>
        <w:gridCol w:w="665"/>
        <w:gridCol w:w="665"/>
        <w:gridCol w:w="678"/>
        <w:gridCol w:w="652"/>
        <w:gridCol w:w="659"/>
      </w:tblGrid>
      <w:tr>
        <w:trPr>
          <w:trHeight w:val="402" w:hRule="exact"/>
        </w:trPr>
        <w:tc>
          <w:tcPr>
            <w:tcW w:w="143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32" w:type="dxa"/>
            <w:gridSpan w:val="1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1438" w:type="dxa"/>
            <w:vMerge/>
            <w:tcBorders>
              <w:left w:val="single" w:sz="4" w:space="0" w:color="000000"/>
              <w:right w:val="single" w:sz="4" w:space="0" w:color="000000"/>
            </w:tcBorders>
            <w:shd w:val="clear" w:color="auto" w:fill="D2D2D2"/>
          </w:tcPr>
          <w:p>
            <w:pPr/>
          </w:p>
        </w:tc>
        <w:tc>
          <w:tcPr>
            <w:tcW w:w="6822"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652" w:type="dxa"/>
            <w:tcBorders>
              <w:top w:val="single" w:sz="4" w:space="0" w:color="000000"/>
              <w:left w:val="single" w:sz="4" w:space="0" w:color="000000"/>
              <w:bottom w:val="nil" w:sz="6" w:space="0" w:color="auto"/>
              <w:right w:val="single" w:sz="4" w:space="0" w:color="000000"/>
            </w:tcBorders>
            <w:shd w:val="clear" w:color="auto" w:fill="D2D2D2"/>
          </w:tcPr>
          <w:p>
            <w:pPr/>
          </w:p>
        </w:tc>
        <w:tc>
          <w:tcPr>
            <w:tcW w:w="659"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22"/>
                <w:szCs w:val="22"/>
              </w:rPr>
            </w:pPr>
          </w:p>
          <w:p>
            <w:pPr>
              <w:pStyle w:val="TableParagraph"/>
              <w:spacing w:line="316" w:lineRule="auto"/>
              <w:ind w:left="143" w:right="143"/>
              <w:jc w:val="both"/>
              <w:rPr>
                <w:rFonts w:ascii="宋体" w:hAnsi="宋体" w:cs="宋体" w:eastAsia="宋体" w:hint="default"/>
                <w:sz w:val="18"/>
                <w:szCs w:val="18"/>
              </w:rPr>
            </w:pPr>
            <w:r>
              <w:rPr>
                <w:rFonts w:ascii="宋体" w:hAnsi="宋体" w:cs="宋体" w:eastAsia="宋体" w:hint="default"/>
                <w:sz w:val="18"/>
                <w:szCs w:val="18"/>
              </w:rPr>
              <w:t>所有 者权 益合 计</w:t>
            </w:r>
          </w:p>
        </w:tc>
      </w:tr>
      <w:tr>
        <w:trPr>
          <w:trHeight w:val="402" w:hRule="exact"/>
        </w:trPr>
        <w:tc>
          <w:tcPr>
            <w:tcW w:w="1438" w:type="dxa"/>
            <w:vMerge/>
            <w:tcBorders>
              <w:left w:val="single" w:sz="4" w:space="0" w:color="000000"/>
              <w:right w:val="single" w:sz="4" w:space="0" w:color="000000"/>
            </w:tcBorders>
            <w:shd w:val="clear" w:color="auto" w:fill="D2D2D2"/>
          </w:tcPr>
          <w:p>
            <w:pPr/>
          </w:p>
        </w:tc>
        <w:tc>
          <w:tcPr>
            <w:tcW w:w="5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84" w:right="185"/>
              <w:jc w:val="center"/>
              <w:rPr>
                <w:rFonts w:ascii="宋体" w:hAnsi="宋体" w:cs="宋体" w:eastAsia="宋体" w:hint="default"/>
                <w:sz w:val="18"/>
                <w:szCs w:val="18"/>
              </w:rPr>
            </w:pPr>
            <w:r>
              <w:rPr>
                <w:rFonts w:ascii="宋体" w:hAnsi="宋体" w:cs="宋体" w:eastAsia="宋体" w:hint="default"/>
                <w:sz w:val="18"/>
                <w:szCs w:val="18"/>
              </w:rPr>
              <w:t>股 本</w:t>
            </w:r>
          </w:p>
        </w:tc>
        <w:tc>
          <w:tcPr>
            <w:tcW w:w="159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51"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46" w:right="146"/>
              <w:jc w:val="left"/>
              <w:rPr>
                <w:rFonts w:ascii="宋体" w:hAnsi="宋体" w:cs="宋体" w:eastAsia="宋体" w:hint="default"/>
                <w:sz w:val="18"/>
                <w:szCs w:val="18"/>
              </w:rPr>
            </w:pPr>
            <w:r>
              <w:rPr>
                <w:rFonts w:ascii="宋体" w:hAnsi="宋体" w:cs="宋体" w:eastAsia="宋体" w:hint="default"/>
                <w:sz w:val="18"/>
                <w:szCs w:val="18"/>
              </w:rPr>
              <w:t>资本 公积</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47" w:right="145"/>
              <w:jc w:val="both"/>
              <w:rPr>
                <w:rFonts w:ascii="宋体" w:hAnsi="宋体" w:cs="宋体" w:eastAsia="宋体" w:hint="default"/>
                <w:sz w:val="18"/>
                <w:szCs w:val="18"/>
              </w:rPr>
            </w:pPr>
            <w:r>
              <w:rPr>
                <w:rFonts w:ascii="宋体" w:hAnsi="宋体" w:cs="宋体" w:eastAsia="宋体" w:hint="default"/>
                <w:sz w:val="18"/>
                <w:szCs w:val="18"/>
              </w:rPr>
              <w:t>减： 库存 股</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47" w:right="145"/>
              <w:jc w:val="both"/>
              <w:rPr>
                <w:rFonts w:ascii="宋体" w:hAnsi="宋体" w:cs="宋体" w:eastAsia="宋体" w:hint="default"/>
                <w:sz w:val="18"/>
                <w:szCs w:val="18"/>
              </w:rPr>
            </w:pPr>
            <w:r>
              <w:rPr>
                <w:rFonts w:ascii="宋体" w:hAnsi="宋体" w:cs="宋体" w:eastAsia="宋体" w:hint="default"/>
                <w:sz w:val="18"/>
                <w:szCs w:val="18"/>
              </w:rPr>
              <w:t>其他 综合 收益</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47" w:right="145"/>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6" w:lineRule="auto"/>
              <w:ind w:left="146" w:right="146"/>
              <w:jc w:val="left"/>
              <w:rPr>
                <w:rFonts w:ascii="宋体" w:hAnsi="宋体" w:cs="宋体" w:eastAsia="宋体" w:hint="default"/>
                <w:sz w:val="18"/>
                <w:szCs w:val="18"/>
              </w:rPr>
            </w:pPr>
            <w:r>
              <w:rPr>
                <w:rFonts w:ascii="宋体" w:hAnsi="宋体" w:cs="宋体" w:eastAsia="宋体" w:hint="default"/>
                <w:sz w:val="18"/>
                <w:szCs w:val="18"/>
              </w:rPr>
              <w:t>盈余 公积</w:t>
            </w:r>
          </w:p>
        </w:tc>
        <w:tc>
          <w:tcPr>
            <w:tcW w:w="6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46" w:right="146"/>
              <w:jc w:val="both"/>
              <w:rPr>
                <w:rFonts w:ascii="宋体" w:hAnsi="宋体" w:cs="宋体" w:eastAsia="宋体" w:hint="default"/>
                <w:sz w:val="18"/>
                <w:szCs w:val="18"/>
              </w:rPr>
            </w:pPr>
            <w:r>
              <w:rPr>
                <w:rFonts w:ascii="宋体" w:hAnsi="宋体" w:cs="宋体" w:eastAsia="宋体" w:hint="default"/>
                <w:sz w:val="18"/>
                <w:szCs w:val="18"/>
              </w:rPr>
              <w:t>一般 风险 准备</w:t>
            </w:r>
          </w:p>
        </w:tc>
        <w:tc>
          <w:tcPr>
            <w:tcW w:w="67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53" w:right="152"/>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652" w:type="dxa"/>
            <w:vMerge w:val="restart"/>
            <w:tcBorders>
              <w:top w:val="nil" w:sz="6" w:space="0" w:color="auto"/>
              <w:left w:val="single" w:sz="4" w:space="0" w:color="000000"/>
              <w:right w:val="single" w:sz="4" w:space="0" w:color="000000"/>
            </w:tcBorders>
            <w:shd w:val="clear" w:color="auto" w:fill="D2D2D2"/>
          </w:tcPr>
          <w:p>
            <w:pPr>
              <w:pStyle w:val="TableParagraph"/>
              <w:spacing w:line="316" w:lineRule="auto" w:before="56"/>
              <w:ind w:left="140" w:right="139"/>
              <w:jc w:val="both"/>
              <w:rPr>
                <w:rFonts w:ascii="宋体" w:hAnsi="宋体" w:cs="宋体" w:eastAsia="宋体" w:hint="default"/>
                <w:sz w:val="18"/>
                <w:szCs w:val="18"/>
              </w:rPr>
            </w:pPr>
            <w:r>
              <w:rPr>
                <w:rFonts w:ascii="宋体" w:hAnsi="宋体" w:cs="宋体" w:eastAsia="宋体" w:hint="default"/>
                <w:sz w:val="18"/>
                <w:szCs w:val="18"/>
              </w:rPr>
              <w:t>少数 股东 权益</w:t>
            </w:r>
          </w:p>
        </w:tc>
        <w:tc>
          <w:tcPr>
            <w:tcW w:w="659" w:type="dxa"/>
            <w:vMerge/>
            <w:tcBorders>
              <w:left w:val="single" w:sz="4" w:space="0" w:color="000000"/>
              <w:right w:val="single" w:sz="4" w:space="0" w:color="000000"/>
            </w:tcBorders>
            <w:shd w:val="clear" w:color="auto" w:fill="D2D2D2"/>
          </w:tcPr>
          <w:p>
            <w:pPr/>
          </w:p>
        </w:tc>
      </w:tr>
      <w:tr>
        <w:trPr>
          <w:trHeight w:val="1025" w:hRule="exact"/>
        </w:trPr>
        <w:tc>
          <w:tcPr>
            <w:tcW w:w="1438" w:type="dxa"/>
            <w:vMerge/>
            <w:tcBorders>
              <w:left w:val="single" w:sz="4" w:space="0" w:color="000000"/>
              <w:bottom w:val="single" w:sz="4" w:space="0" w:color="000000"/>
              <w:right w:val="single" w:sz="4" w:space="0" w:color="000000"/>
            </w:tcBorders>
            <w:shd w:val="clear" w:color="auto" w:fill="D2D2D2"/>
          </w:tcPr>
          <w:p>
            <w:pPr/>
          </w:p>
        </w:tc>
        <w:tc>
          <w:tcPr>
            <w:tcW w:w="562" w:type="dxa"/>
            <w:vMerge/>
            <w:tcBorders>
              <w:left w:val="single" w:sz="4" w:space="0" w:color="000000"/>
              <w:bottom w:val="single" w:sz="4" w:space="0" w:color="000000"/>
              <w:right w:val="single" w:sz="4" w:space="0" w:color="000000"/>
            </w:tcBorders>
            <w:shd w:val="clear" w:color="auto" w:fill="D2D2D2"/>
          </w:tcPr>
          <w:p>
            <w:pPr/>
          </w:p>
        </w:tc>
        <w:tc>
          <w:tcPr>
            <w:tcW w:w="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70" w:right="168"/>
              <w:jc w:val="both"/>
              <w:rPr>
                <w:rFonts w:ascii="宋体" w:hAnsi="宋体" w:cs="宋体" w:eastAsia="宋体" w:hint="default"/>
                <w:sz w:val="18"/>
                <w:szCs w:val="18"/>
              </w:rPr>
            </w:pPr>
            <w:r>
              <w:rPr>
                <w:rFonts w:ascii="宋体" w:hAnsi="宋体" w:cs="宋体" w:eastAsia="宋体" w:hint="default"/>
                <w:sz w:val="18"/>
                <w:szCs w:val="18"/>
              </w:rPr>
              <w:t>优 先 股</w:t>
            </w:r>
          </w:p>
        </w:tc>
        <w:tc>
          <w:tcPr>
            <w:tcW w:w="5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70" w:right="169"/>
              <w:jc w:val="both"/>
              <w:rPr>
                <w:rFonts w:ascii="宋体" w:hAnsi="宋体" w:cs="宋体" w:eastAsia="宋体" w:hint="default"/>
                <w:sz w:val="18"/>
                <w:szCs w:val="18"/>
              </w:rPr>
            </w:pPr>
            <w:r>
              <w:rPr>
                <w:rFonts w:ascii="宋体" w:hAnsi="宋体" w:cs="宋体" w:eastAsia="宋体" w:hint="default"/>
                <w:sz w:val="18"/>
                <w:szCs w:val="18"/>
              </w:rPr>
              <w:t>永 续 债</w:t>
            </w:r>
          </w:p>
        </w:tc>
        <w:tc>
          <w:tcPr>
            <w:tcW w:w="5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70" w:right="168"/>
              <w:jc w:val="left"/>
              <w:rPr>
                <w:rFonts w:ascii="宋体" w:hAnsi="宋体" w:cs="宋体" w:eastAsia="宋体" w:hint="default"/>
                <w:sz w:val="18"/>
                <w:szCs w:val="18"/>
              </w:rPr>
            </w:pPr>
            <w:r>
              <w:rPr>
                <w:rFonts w:ascii="宋体" w:hAnsi="宋体" w:cs="宋体" w:eastAsia="宋体" w:hint="default"/>
                <w:sz w:val="18"/>
                <w:szCs w:val="18"/>
              </w:rPr>
              <w:t>其 他</w:t>
            </w: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65" w:type="dxa"/>
            <w:vMerge/>
            <w:tcBorders>
              <w:left w:val="single" w:sz="4" w:space="0" w:color="000000"/>
              <w:bottom w:val="single" w:sz="4" w:space="0" w:color="000000"/>
              <w:right w:val="single" w:sz="4" w:space="0" w:color="000000"/>
            </w:tcBorders>
            <w:shd w:val="clear" w:color="auto" w:fill="D2D2D2"/>
          </w:tcPr>
          <w:p>
            <w:pPr/>
          </w:p>
        </w:tc>
        <w:tc>
          <w:tcPr>
            <w:tcW w:w="678" w:type="dxa"/>
            <w:vMerge/>
            <w:tcBorders>
              <w:left w:val="single" w:sz="4" w:space="0" w:color="000000"/>
              <w:bottom w:val="single" w:sz="4" w:space="0" w:color="000000"/>
              <w:right w:val="single" w:sz="4" w:space="0" w:color="000000"/>
            </w:tcBorders>
            <w:shd w:val="clear" w:color="auto" w:fill="D2D2D2"/>
          </w:tcPr>
          <w:p>
            <w:pPr/>
          </w:p>
        </w:tc>
        <w:tc>
          <w:tcPr>
            <w:tcW w:w="652" w:type="dxa"/>
            <w:vMerge/>
            <w:tcBorders>
              <w:left w:val="single" w:sz="4" w:space="0" w:color="000000"/>
              <w:bottom w:val="single" w:sz="4" w:space="0" w:color="000000"/>
              <w:right w:val="single" w:sz="4" w:space="0" w:color="000000"/>
            </w:tcBorders>
            <w:shd w:val="clear" w:color="auto" w:fill="D2D2D2"/>
          </w:tcPr>
          <w:p>
            <w:pPr/>
          </w:p>
        </w:tc>
        <w:tc>
          <w:tcPr>
            <w:tcW w:w="659" w:type="dxa"/>
            <w:vMerge/>
            <w:tcBorders>
              <w:left w:val="single" w:sz="4" w:space="0" w:color="000000"/>
              <w:bottom w:val="single" w:sz="4" w:space="0" w:color="000000"/>
              <w:right w:val="single" w:sz="4" w:space="0" w:color="000000"/>
            </w:tcBorders>
            <w:shd w:val="clear" w:color="auto" w:fill="D2D2D2"/>
          </w:tcPr>
          <w:p>
            <w:pPr/>
          </w:p>
        </w:tc>
      </w:tr>
      <w:tr>
        <w:trPr>
          <w:trHeight w:val="1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03" w:right="101"/>
              <w:jc w:val="left"/>
              <w:rPr>
                <w:rFonts w:ascii="宋体" w:hAnsi="宋体" w:cs="宋体" w:eastAsia="宋体" w:hint="default"/>
                <w:sz w:val="18"/>
                <w:szCs w:val="18"/>
              </w:rPr>
            </w:pPr>
            <w:r>
              <w:rPr>
                <w:rFonts w:ascii="宋体" w:hAnsi="宋体" w:cs="宋体" w:eastAsia="宋体" w:hint="default"/>
                <w:spacing w:val="-6"/>
                <w:sz w:val="18"/>
                <w:szCs w:val="18"/>
              </w:rPr>
              <w:t>一、上年期末余</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3" w:right="0"/>
              <w:jc w:val="left"/>
              <w:rPr>
                <w:rFonts w:ascii="Times New Roman" w:hAnsi="Times New Roman" w:cs="Times New Roman" w:eastAsia="Times New Roman" w:hint="default"/>
                <w:sz w:val="18"/>
                <w:szCs w:val="18"/>
              </w:rPr>
            </w:pPr>
            <w:r>
              <w:rPr>
                <w:rFonts w:ascii="Times New Roman"/>
                <w:sz w:val="18"/>
              </w:rPr>
              <w:t>68,3</w:t>
            </w:r>
          </w:p>
          <w:p>
            <w:pPr>
              <w:pStyle w:val="TableParagraph"/>
              <w:spacing w:line="240" w:lineRule="auto" w:before="104"/>
              <w:ind w:left="133"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5"/>
              <w:ind w:left="133"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6"/>
              <w:ind w:left="357" w:right="0"/>
              <w:jc w:val="lef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219,2</w:t>
            </w:r>
          </w:p>
          <w:p>
            <w:pPr>
              <w:pStyle w:val="TableParagraph"/>
              <w:spacing w:line="240" w:lineRule="auto" w:before="104"/>
              <w:ind w:left="146" w:right="0"/>
              <w:jc w:val="left"/>
              <w:rPr>
                <w:rFonts w:ascii="Times New Roman" w:hAnsi="Times New Roman" w:cs="Times New Roman" w:eastAsia="Times New Roman" w:hint="default"/>
                <w:sz w:val="18"/>
                <w:szCs w:val="18"/>
              </w:rPr>
            </w:pPr>
            <w:r>
              <w:rPr>
                <w:rFonts w:ascii="Times New Roman"/>
                <w:sz w:val="18"/>
              </w:rPr>
              <w:t>81,43</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5.86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17,97</w:t>
            </w:r>
          </w:p>
          <w:p>
            <w:pPr>
              <w:pStyle w:val="TableParagraph"/>
              <w:spacing w:line="240" w:lineRule="auto" w:before="104"/>
              <w:ind w:left="42" w:right="0"/>
              <w:jc w:val="center"/>
              <w:rPr>
                <w:rFonts w:ascii="Times New Roman" w:hAnsi="Times New Roman" w:cs="Times New Roman" w:eastAsia="Times New Roman" w:hint="default"/>
                <w:sz w:val="18"/>
                <w:szCs w:val="18"/>
              </w:rPr>
            </w:pPr>
            <w:r>
              <w:rPr>
                <w:rFonts w:ascii="Times New Roman"/>
                <w:sz w:val="18"/>
              </w:rPr>
              <w:t>0,844</w:t>
            </w:r>
          </w:p>
          <w:p>
            <w:pPr>
              <w:pStyle w:val="TableParagraph"/>
              <w:spacing w:line="240" w:lineRule="auto" w:before="106"/>
              <w:ind w:left="222" w:right="0"/>
              <w:jc w:val="center"/>
              <w:rPr>
                <w:rFonts w:ascii="Times New Roman" w:hAnsi="Times New Roman" w:cs="Times New Roman" w:eastAsia="Times New Roman" w:hint="default"/>
                <w:sz w:val="18"/>
                <w:szCs w:val="18"/>
              </w:rPr>
            </w:pPr>
            <w:r>
              <w:rPr>
                <w:rFonts w:ascii="Times New Roman"/>
                <w:sz w:val="18"/>
              </w:rPr>
              <w:t>.10</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60" w:right="0"/>
              <w:jc w:val="left"/>
              <w:rPr>
                <w:rFonts w:ascii="Times New Roman" w:hAnsi="Times New Roman" w:cs="Times New Roman" w:eastAsia="Times New Roman" w:hint="default"/>
                <w:sz w:val="18"/>
                <w:szCs w:val="18"/>
              </w:rPr>
            </w:pPr>
            <w:r>
              <w:rPr>
                <w:rFonts w:ascii="Times New Roman"/>
                <w:sz w:val="18"/>
              </w:rPr>
              <w:t>146,2</w:t>
            </w:r>
          </w:p>
          <w:p>
            <w:pPr>
              <w:pStyle w:val="TableParagraph"/>
              <w:spacing w:line="240" w:lineRule="auto" w:before="104"/>
              <w:ind w:left="160" w:right="0"/>
              <w:jc w:val="left"/>
              <w:rPr>
                <w:rFonts w:ascii="Times New Roman" w:hAnsi="Times New Roman" w:cs="Times New Roman" w:eastAsia="Times New Roman" w:hint="default"/>
                <w:sz w:val="18"/>
                <w:szCs w:val="18"/>
              </w:rPr>
            </w:pPr>
            <w:r>
              <w:rPr>
                <w:rFonts w:ascii="Times New Roman"/>
                <w:sz w:val="18"/>
              </w:rPr>
              <w:t>43,15</w:t>
            </w:r>
          </w:p>
          <w:p>
            <w:pPr>
              <w:pStyle w:val="TableParagraph"/>
              <w:spacing w:line="240" w:lineRule="auto" w:before="106"/>
              <w:ind w:left="250" w:right="0"/>
              <w:jc w:val="left"/>
              <w:rPr>
                <w:rFonts w:ascii="Times New Roman" w:hAnsi="Times New Roman" w:cs="Times New Roman" w:eastAsia="Times New Roman" w:hint="default"/>
                <w:sz w:val="18"/>
                <w:szCs w:val="18"/>
              </w:rPr>
            </w:pPr>
            <w:r>
              <w:rPr>
                <w:rFonts w:ascii="Times New Roman"/>
                <w:sz w:val="18"/>
              </w:rPr>
              <w:t>4.15</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34" w:right="0"/>
              <w:jc w:val="left"/>
              <w:rPr>
                <w:rFonts w:ascii="Times New Roman" w:hAnsi="Times New Roman" w:cs="Times New Roman" w:eastAsia="Times New Roman" w:hint="default"/>
                <w:sz w:val="18"/>
                <w:szCs w:val="18"/>
              </w:rPr>
            </w:pPr>
            <w:r>
              <w:rPr>
                <w:rFonts w:ascii="Times New Roman"/>
                <w:sz w:val="18"/>
              </w:rPr>
              <w:t>8,044</w:t>
            </w:r>
          </w:p>
          <w:p>
            <w:pPr>
              <w:pStyle w:val="TableParagraph"/>
              <w:spacing w:line="240" w:lineRule="auto" w:before="104"/>
              <w:ind w:left="83" w:right="0"/>
              <w:jc w:val="center"/>
              <w:rPr>
                <w:rFonts w:ascii="Times New Roman" w:hAnsi="Times New Roman" w:cs="Times New Roman" w:eastAsia="Times New Roman" w:hint="default"/>
                <w:sz w:val="18"/>
                <w:szCs w:val="18"/>
              </w:rPr>
            </w:pPr>
            <w:r>
              <w:rPr>
                <w:rFonts w:ascii="Times New Roman"/>
                <w:sz w:val="18"/>
              </w:rPr>
              <w:t>,117.</w:t>
            </w:r>
          </w:p>
          <w:p>
            <w:pPr>
              <w:pStyle w:val="TableParagraph"/>
              <w:spacing w:line="240" w:lineRule="auto" w:before="106"/>
              <w:ind w:left="255" w:right="0"/>
              <w:jc w:val="center"/>
              <w:rPr>
                <w:rFonts w:ascii="Times New Roman" w:hAnsi="Times New Roman" w:cs="Times New Roman" w:eastAsia="Times New Roman" w:hint="default"/>
                <w:sz w:val="18"/>
                <w:szCs w:val="18"/>
              </w:rPr>
            </w:pPr>
            <w:r>
              <w:rPr>
                <w:rFonts w:ascii="Times New Roman"/>
                <w:sz w:val="18"/>
              </w:rPr>
              <w:t>12</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1" w:right="0"/>
              <w:jc w:val="left"/>
              <w:rPr>
                <w:rFonts w:ascii="Times New Roman" w:hAnsi="Times New Roman" w:cs="Times New Roman" w:eastAsia="Times New Roman" w:hint="default"/>
                <w:sz w:val="18"/>
                <w:szCs w:val="18"/>
              </w:rPr>
            </w:pPr>
            <w:r>
              <w:rPr>
                <w:rFonts w:ascii="Times New Roman"/>
                <w:sz w:val="18"/>
              </w:rPr>
              <w:t>459,8</w:t>
            </w:r>
          </w:p>
          <w:p>
            <w:pPr>
              <w:pStyle w:val="TableParagraph"/>
              <w:spacing w:line="240" w:lineRule="auto" w:before="104"/>
              <w:ind w:left="141" w:right="0"/>
              <w:jc w:val="left"/>
              <w:rPr>
                <w:rFonts w:ascii="Times New Roman" w:hAnsi="Times New Roman" w:cs="Times New Roman" w:eastAsia="Times New Roman" w:hint="default"/>
                <w:sz w:val="18"/>
                <w:szCs w:val="18"/>
              </w:rPr>
            </w:pPr>
            <w:r>
              <w:rPr>
                <w:rFonts w:ascii="Times New Roman"/>
                <w:sz w:val="18"/>
              </w:rPr>
              <w:t>39,55</w:t>
            </w:r>
          </w:p>
          <w:p>
            <w:pPr>
              <w:pStyle w:val="TableParagraph"/>
              <w:spacing w:line="240" w:lineRule="auto" w:before="106"/>
              <w:ind w:left="231" w:right="0"/>
              <w:jc w:val="left"/>
              <w:rPr>
                <w:rFonts w:ascii="Times New Roman" w:hAnsi="Times New Roman" w:cs="Times New Roman" w:eastAsia="Times New Roman" w:hint="default"/>
                <w:sz w:val="18"/>
                <w:szCs w:val="18"/>
              </w:rPr>
            </w:pPr>
            <w:r>
              <w:rPr>
                <w:rFonts w:ascii="Times New Roman"/>
                <w:sz w:val="18"/>
              </w:rPr>
              <w:t>1.23</w:t>
            </w: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01" w:firstLine="360"/>
              <w:jc w:val="left"/>
              <w:rPr>
                <w:rFonts w:ascii="宋体" w:hAnsi="宋体" w:cs="宋体" w:eastAsia="宋体" w:hint="default"/>
                <w:sz w:val="18"/>
                <w:szCs w:val="18"/>
              </w:rPr>
            </w:pPr>
            <w:r>
              <w:rPr>
                <w:rFonts w:ascii="宋体" w:hAnsi="宋体" w:cs="宋体" w:eastAsia="宋体" w:hint="default"/>
                <w:spacing w:val="-8"/>
                <w:sz w:val="18"/>
                <w:szCs w:val="18"/>
              </w:rPr>
              <w:t>加：会计政</w:t>
            </w:r>
            <w:r>
              <w:rPr>
                <w:rFonts w:ascii="宋体" w:hAnsi="宋体" w:cs="宋体" w:eastAsia="宋体" w:hint="default"/>
                <w:sz w:val="18"/>
                <w:szCs w:val="18"/>
              </w:rPr>
              <w:t> 策变更</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23" w:right="0"/>
              <w:jc w:val="left"/>
              <w:rPr>
                <w:rFonts w:ascii="宋体" w:hAnsi="宋体" w:cs="宋体" w:eastAsia="宋体" w:hint="default"/>
                <w:sz w:val="18"/>
                <w:szCs w:val="18"/>
              </w:rPr>
            </w:pPr>
            <w:r>
              <w:rPr>
                <w:rFonts w:ascii="宋体" w:hAnsi="宋体" w:cs="宋体" w:eastAsia="宋体" w:hint="default"/>
                <w:sz w:val="18"/>
                <w:szCs w:val="18"/>
              </w:rPr>
              <w:t>前期</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差错更正</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242" w:firstLine="720"/>
              <w:jc w:val="both"/>
              <w:rPr>
                <w:rFonts w:ascii="宋体" w:hAnsi="宋体" w:cs="宋体" w:eastAsia="宋体" w:hint="default"/>
                <w:sz w:val="18"/>
                <w:szCs w:val="18"/>
              </w:rPr>
            </w:pPr>
            <w:r>
              <w:rPr>
                <w:rFonts w:ascii="宋体" w:hAnsi="宋体" w:cs="宋体" w:eastAsia="宋体" w:hint="default"/>
                <w:sz w:val="18"/>
                <w:szCs w:val="18"/>
              </w:rPr>
              <w:t>同一 控制下企业合 并</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03" w:right="101"/>
              <w:jc w:val="left"/>
              <w:rPr>
                <w:rFonts w:ascii="宋体" w:hAnsi="宋体" w:cs="宋体" w:eastAsia="宋体" w:hint="default"/>
                <w:sz w:val="18"/>
                <w:szCs w:val="18"/>
              </w:rPr>
            </w:pPr>
            <w:r>
              <w:rPr>
                <w:rFonts w:ascii="宋体" w:hAnsi="宋体" w:cs="宋体" w:eastAsia="宋体" w:hint="default"/>
                <w:spacing w:val="-6"/>
                <w:sz w:val="18"/>
                <w:szCs w:val="18"/>
              </w:rPr>
              <w:t>二、本年期初余</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3" w:right="0"/>
              <w:jc w:val="left"/>
              <w:rPr>
                <w:rFonts w:ascii="Times New Roman" w:hAnsi="Times New Roman" w:cs="Times New Roman" w:eastAsia="Times New Roman" w:hint="default"/>
                <w:sz w:val="18"/>
                <w:szCs w:val="18"/>
              </w:rPr>
            </w:pPr>
            <w:r>
              <w:rPr>
                <w:rFonts w:ascii="Times New Roman"/>
                <w:sz w:val="18"/>
              </w:rPr>
              <w:t>68,3</w:t>
            </w:r>
          </w:p>
          <w:p>
            <w:pPr>
              <w:pStyle w:val="TableParagraph"/>
              <w:spacing w:line="240" w:lineRule="auto" w:before="104"/>
              <w:ind w:left="133"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5"/>
              <w:ind w:left="133"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6"/>
              <w:ind w:left="357" w:right="0"/>
              <w:jc w:val="lef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6" w:right="0"/>
              <w:jc w:val="left"/>
              <w:rPr>
                <w:rFonts w:ascii="Times New Roman" w:hAnsi="Times New Roman" w:cs="Times New Roman" w:eastAsia="Times New Roman" w:hint="default"/>
                <w:sz w:val="18"/>
                <w:szCs w:val="18"/>
              </w:rPr>
            </w:pPr>
            <w:r>
              <w:rPr>
                <w:rFonts w:ascii="Times New Roman"/>
                <w:sz w:val="18"/>
              </w:rPr>
              <w:t>219,2</w:t>
            </w:r>
          </w:p>
          <w:p>
            <w:pPr>
              <w:pStyle w:val="TableParagraph"/>
              <w:spacing w:line="240" w:lineRule="auto" w:before="104"/>
              <w:ind w:left="146" w:right="0"/>
              <w:jc w:val="left"/>
              <w:rPr>
                <w:rFonts w:ascii="Times New Roman" w:hAnsi="Times New Roman" w:cs="Times New Roman" w:eastAsia="Times New Roman" w:hint="default"/>
                <w:sz w:val="18"/>
                <w:szCs w:val="18"/>
              </w:rPr>
            </w:pPr>
            <w:r>
              <w:rPr>
                <w:rFonts w:ascii="Times New Roman"/>
                <w:sz w:val="18"/>
              </w:rPr>
              <w:t>81,43</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5.86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42" w:right="0"/>
              <w:jc w:val="center"/>
              <w:rPr>
                <w:rFonts w:ascii="Times New Roman" w:hAnsi="Times New Roman" w:cs="Times New Roman" w:eastAsia="Times New Roman" w:hint="default"/>
                <w:sz w:val="18"/>
                <w:szCs w:val="18"/>
              </w:rPr>
            </w:pPr>
            <w:r>
              <w:rPr>
                <w:rFonts w:ascii="Times New Roman"/>
                <w:sz w:val="18"/>
              </w:rPr>
              <w:t>17,97</w:t>
            </w:r>
          </w:p>
          <w:p>
            <w:pPr>
              <w:pStyle w:val="TableParagraph"/>
              <w:spacing w:line="240" w:lineRule="auto" w:before="104"/>
              <w:ind w:left="42" w:right="0"/>
              <w:jc w:val="center"/>
              <w:rPr>
                <w:rFonts w:ascii="Times New Roman" w:hAnsi="Times New Roman" w:cs="Times New Roman" w:eastAsia="Times New Roman" w:hint="default"/>
                <w:sz w:val="18"/>
                <w:szCs w:val="18"/>
              </w:rPr>
            </w:pPr>
            <w:r>
              <w:rPr>
                <w:rFonts w:ascii="Times New Roman"/>
                <w:sz w:val="18"/>
              </w:rPr>
              <w:t>0,844</w:t>
            </w:r>
          </w:p>
          <w:p>
            <w:pPr>
              <w:pStyle w:val="TableParagraph"/>
              <w:spacing w:line="240" w:lineRule="auto" w:before="106"/>
              <w:ind w:left="222" w:right="0"/>
              <w:jc w:val="center"/>
              <w:rPr>
                <w:rFonts w:ascii="Times New Roman" w:hAnsi="Times New Roman" w:cs="Times New Roman" w:eastAsia="Times New Roman" w:hint="default"/>
                <w:sz w:val="18"/>
                <w:szCs w:val="18"/>
              </w:rPr>
            </w:pPr>
            <w:r>
              <w:rPr>
                <w:rFonts w:ascii="Times New Roman"/>
                <w:sz w:val="18"/>
              </w:rPr>
              <w:t>.10</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60" w:right="0"/>
              <w:jc w:val="left"/>
              <w:rPr>
                <w:rFonts w:ascii="Times New Roman" w:hAnsi="Times New Roman" w:cs="Times New Roman" w:eastAsia="Times New Roman" w:hint="default"/>
                <w:sz w:val="18"/>
                <w:szCs w:val="18"/>
              </w:rPr>
            </w:pPr>
            <w:r>
              <w:rPr>
                <w:rFonts w:ascii="Times New Roman"/>
                <w:sz w:val="18"/>
              </w:rPr>
              <w:t>146,2</w:t>
            </w:r>
          </w:p>
          <w:p>
            <w:pPr>
              <w:pStyle w:val="TableParagraph"/>
              <w:spacing w:line="240" w:lineRule="auto" w:before="104"/>
              <w:ind w:left="160" w:right="0"/>
              <w:jc w:val="left"/>
              <w:rPr>
                <w:rFonts w:ascii="Times New Roman" w:hAnsi="Times New Roman" w:cs="Times New Roman" w:eastAsia="Times New Roman" w:hint="default"/>
                <w:sz w:val="18"/>
                <w:szCs w:val="18"/>
              </w:rPr>
            </w:pPr>
            <w:r>
              <w:rPr>
                <w:rFonts w:ascii="Times New Roman"/>
                <w:sz w:val="18"/>
              </w:rPr>
              <w:t>43,15</w:t>
            </w:r>
          </w:p>
          <w:p>
            <w:pPr>
              <w:pStyle w:val="TableParagraph"/>
              <w:spacing w:line="240" w:lineRule="auto" w:before="106"/>
              <w:ind w:left="250" w:right="0"/>
              <w:jc w:val="left"/>
              <w:rPr>
                <w:rFonts w:ascii="Times New Roman" w:hAnsi="Times New Roman" w:cs="Times New Roman" w:eastAsia="Times New Roman" w:hint="default"/>
                <w:sz w:val="18"/>
                <w:szCs w:val="18"/>
              </w:rPr>
            </w:pPr>
            <w:r>
              <w:rPr>
                <w:rFonts w:ascii="Times New Roman"/>
                <w:sz w:val="18"/>
              </w:rPr>
              <w:t>4.15</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34" w:right="0"/>
              <w:jc w:val="left"/>
              <w:rPr>
                <w:rFonts w:ascii="Times New Roman" w:hAnsi="Times New Roman" w:cs="Times New Roman" w:eastAsia="Times New Roman" w:hint="default"/>
                <w:sz w:val="18"/>
                <w:szCs w:val="18"/>
              </w:rPr>
            </w:pPr>
            <w:r>
              <w:rPr>
                <w:rFonts w:ascii="Times New Roman"/>
                <w:sz w:val="18"/>
              </w:rPr>
              <w:t>8,044</w:t>
            </w:r>
          </w:p>
          <w:p>
            <w:pPr>
              <w:pStyle w:val="TableParagraph"/>
              <w:spacing w:line="240" w:lineRule="auto" w:before="104"/>
              <w:ind w:left="83" w:right="0"/>
              <w:jc w:val="center"/>
              <w:rPr>
                <w:rFonts w:ascii="Times New Roman" w:hAnsi="Times New Roman" w:cs="Times New Roman" w:eastAsia="Times New Roman" w:hint="default"/>
                <w:sz w:val="18"/>
                <w:szCs w:val="18"/>
              </w:rPr>
            </w:pPr>
            <w:r>
              <w:rPr>
                <w:rFonts w:ascii="Times New Roman"/>
                <w:sz w:val="18"/>
              </w:rPr>
              <w:t>,117.</w:t>
            </w:r>
          </w:p>
          <w:p>
            <w:pPr>
              <w:pStyle w:val="TableParagraph"/>
              <w:spacing w:line="240" w:lineRule="auto" w:before="106"/>
              <w:ind w:left="255" w:right="0"/>
              <w:jc w:val="center"/>
              <w:rPr>
                <w:rFonts w:ascii="Times New Roman" w:hAnsi="Times New Roman" w:cs="Times New Roman" w:eastAsia="Times New Roman" w:hint="default"/>
                <w:sz w:val="18"/>
                <w:szCs w:val="18"/>
              </w:rPr>
            </w:pPr>
            <w:r>
              <w:rPr>
                <w:rFonts w:ascii="Times New Roman"/>
                <w:sz w:val="18"/>
              </w:rPr>
              <w:t>12</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41" w:right="0"/>
              <w:jc w:val="left"/>
              <w:rPr>
                <w:rFonts w:ascii="Times New Roman" w:hAnsi="Times New Roman" w:cs="Times New Roman" w:eastAsia="Times New Roman" w:hint="default"/>
                <w:sz w:val="18"/>
                <w:szCs w:val="18"/>
              </w:rPr>
            </w:pPr>
            <w:r>
              <w:rPr>
                <w:rFonts w:ascii="Times New Roman"/>
                <w:sz w:val="18"/>
              </w:rPr>
              <w:t>459,8</w:t>
            </w:r>
          </w:p>
          <w:p>
            <w:pPr>
              <w:pStyle w:val="TableParagraph"/>
              <w:spacing w:line="240" w:lineRule="auto" w:before="104"/>
              <w:ind w:left="141" w:right="0"/>
              <w:jc w:val="left"/>
              <w:rPr>
                <w:rFonts w:ascii="Times New Roman" w:hAnsi="Times New Roman" w:cs="Times New Roman" w:eastAsia="Times New Roman" w:hint="default"/>
                <w:sz w:val="18"/>
                <w:szCs w:val="18"/>
              </w:rPr>
            </w:pPr>
            <w:r>
              <w:rPr>
                <w:rFonts w:ascii="Times New Roman"/>
                <w:sz w:val="18"/>
              </w:rPr>
              <w:t>39,55</w:t>
            </w:r>
          </w:p>
          <w:p>
            <w:pPr>
              <w:pStyle w:val="TableParagraph"/>
              <w:spacing w:line="240" w:lineRule="auto" w:before="106"/>
              <w:ind w:left="231" w:right="0"/>
              <w:jc w:val="left"/>
              <w:rPr>
                <w:rFonts w:ascii="Times New Roman" w:hAnsi="Times New Roman" w:cs="Times New Roman" w:eastAsia="Times New Roman" w:hint="default"/>
                <w:sz w:val="18"/>
                <w:szCs w:val="18"/>
              </w:rPr>
            </w:pPr>
            <w:r>
              <w:rPr>
                <w:rFonts w:ascii="Times New Roman"/>
                <w:sz w:val="18"/>
              </w:rPr>
              <w:t>1.23</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62"/>
              <w:jc w:val="both"/>
              <w:rPr>
                <w:rFonts w:ascii="宋体" w:hAnsi="宋体" w:cs="宋体" w:eastAsia="宋体" w:hint="default"/>
                <w:sz w:val="18"/>
                <w:szCs w:val="18"/>
              </w:rPr>
            </w:pPr>
            <w:r>
              <w:rPr>
                <w:rFonts w:ascii="宋体" w:hAnsi="宋体" w:cs="宋体" w:eastAsia="宋体" w:hint="default"/>
                <w:spacing w:val="-6"/>
                <w:sz w:val="18"/>
                <w:szCs w:val="18"/>
              </w:rPr>
              <w:t>三、本期增减变</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6"/>
                <w:sz w:val="18"/>
                <w:szCs w:val="18"/>
              </w:rPr>
              <w:t>动金额（减少以</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“－”号填列）</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6" w:right="0"/>
              <w:jc w:val="left"/>
              <w:rPr>
                <w:rFonts w:ascii="Times New Roman" w:hAnsi="Times New Roman" w:cs="Times New Roman" w:eastAsia="Times New Roman" w:hint="default"/>
                <w:sz w:val="18"/>
                <w:szCs w:val="18"/>
              </w:rPr>
            </w:pPr>
            <w:r>
              <w:rPr>
                <w:rFonts w:ascii="Times New Roman"/>
                <w:sz w:val="18"/>
              </w:rPr>
              <w:t>5,150</w:t>
            </w:r>
          </w:p>
          <w:p>
            <w:pPr>
              <w:pStyle w:val="TableParagraph"/>
              <w:spacing w:line="240" w:lineRule="auto" w:before="104"/>
              <w:ind w:left="87" w:right="0"/>
              <w:jc w:val="center"/>
              <w:rPr>
                <w:rFonts w:ascii="Times New Roman" w:hAnsi="Times New Roman" w:cs="Times New Roman" w:eastAsia="Times New Roman" w:hint="default"/>
                <w:sz w:val="18"/>
                <w:szCs w:val="18"/>
              </w:rPr>
            </w:pPr>
            <w:r>
              <w:rPr>
                <w:rFonts w:ascii="Times New Roman"/>
                <w:sz w:val="18"/>
              </w:rPr>
              <w:t>,600.</w:t>
            </w:r>
          </w:p>
          <w:p>
            <w:pPr>
              <w:pStyle w:val="TableParagraph"/>
              <w:spacing w:line="240" w:lineRule="auto" w:before="106"/>
              <w:ind w:left="266" w:right="0"/>
              <w:jc w:val="center"/>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5" w:right="0"/>
              <w:jc w:val="center"/>
              <w:rPr>
                <w:rFonts w:ascii="Times New Roman" w:hAnsi="Times New Roman" w:cs="Times New Roman" w:eastAsia="Times New Roman" w:hint="default"/>
                <w:sz w:val="18"/>
                <w:szCs w:val="18"/>
              </w:rPr>
            </w:pPr>
            <w:r>
              <w:rPr>
                <w:rFonts w:ascii="Times New Roman"/>
                <w:sz w:val="18"/>
              </w:rPr>
              <w:t>60,26</w:t>
            </w:r>
          </w:p>
          <w:p>
            <w:pPr>
              <w:pStyle w:val="TableParagraph"/>
              <w:spacing w:line="240" w:lineRule="auto" w:before="104"/>
              <w:ind w:left="45" w:right="0"/>
              <w:jc w:val="center"/>
              <w:rPr>
                <w:rFonts w:ascii="Times New Roman" w:hAnsi="Times New Roman" w:cs="Times New Roman" w:eastAsia="Times New Roman" w:hint="default"/>
                <w:sz w:val="18"/>
                <w:szCs w:val="18"/>
              </w:rPr>
            </w:pPr>
            <w:r>
              <w:rPr>
                <w:rFonts w:ascii="Times New Roman"/>
                <w:sz w:val="18"/>
              </w:rPr>
              <w:t>8,032</w:t>
            </w:r>
          </w:p>
          <w:p>
            <w:pPr>
              <w:pStyle w:val="TableParagraph"/>
              <w:spacing w:line="240" w:lineRule="auto" w:before="106"/>
              <w:ind w:left="225" w:right="0"/>
              <w:jc w:val="center"/>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6" w:right="0"/>
              <w:jc w:val="left"/>
              <w:rPr>
                <w:rFonts w:ascii="Times New Roman" w:hAnsi="Times New Roman" w:cs="Times New Roman" w:eastAsia="Times New Roman" w:hint="default"/>
                <w:sz w:val="18"/>
                <w:szCs w:val="18"/>
              </w:rPr>
            </w:pPr>
            <w:r>
              <w:rPr>
                <w:rFonts w:ascii="Times New Roman"/>
                <w:sz w:val="18"/>
              </w:rPr>
              <w:t>3,074</w:t>
            </w:r>
          </w:p>
          <w:p>
            <w:pPr>
              <w:pStyle w:val="TableParagraph"/>
              <w:spacing w:line="240" w:lineRule="auto" w:before="104"/>
              <w:ind w:left="86" w:right="0"/>
              <w:jc w:val="center"/>
              <w:rPr>
                <w:rFonts w:ascii="Times New Roman" w:hAnsi="Times New Roman" w:cs="Times New Roman" w:eastAsia="Times New Roman" w:hint="default"/>
                <w:sz w:val="18"/>
                <w:szCs w:val="18"/>
              </w:rPr>
            </w:pPr>
            <w:r>
              <w:rPr>
                <w:rFonts w:ascii="Times New Roman"/>
                <w:sz w:val="18"/>
              </w:rPr>
              <w:t>,081.</w:t>
            </w:r>
          </w:p>
          <w:p>
            <w:pPr>
              <w:pStyle w:val="TableParagraph"/>
              <w:spacing w:line="240" w:lineRule="auto" w:before="106"/>
              <w:ind w:left="266" w:right="0"/>
              <w:jc w:val="center"/>
              <w:rPr>
                <w:rFonts w:ascii="Times New Roman" w:hAnsi="Times New Roman" w:cs="Times New Roman" w:eastAsia="Times New Roman" w:hint="default"/>
                <w:sz w:val="18"/>
                <w:szCs w:val="18"/>
              </w:rPr>
            </w:pPr>
            <w:r>
              <w:rPr>
                <w:rFonts w:ascii="Times New Roman"/>
                <w:sz w:val="18"/>
              </w:rPr>
              <w:t>95</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0" w:right="0"/>
              <w:jc w:val="left"/>
              <w:rPr>
                <w:rFonts w:ascii="Times New Roman" w:hAnsi="Times New Roman" w:cs="Times New Roman" w:eastAsia="Times New Roman" w:hint="default"/>
                <w:sz w:val="18"/>
                <w:szCs w:val="18"/>
              </w:rPr>
            </w:pPr>
            <w:r>
              <w:rPr>
                <w:rFonts w:ascii="Times New Roman"/>
                <w:sz w:val="18"/>
              </w:rPr>
              <w:t>22,62</w:t>
            </w:r>
          </w:p>
          <w:p>
            <w:pPr>
              <w:pStyle w:val="TableParagraph"/>
              <w:spacing w:line="240" w:lineRule="auto" w:before="104"/>
              <w:ind w:left="115" w:right="0"/>
              <w:jc w:val="left"/>
              <w:rPr>
                <w:rFonts w:ascii="Times New Roman" w:hAnsi="Times New Roman" w:cs="Times New Roman" w:eastAsia="Times New Roman" w:hint="default"/>
                <w:sz w:val="18"/>
                <w:szCs w:val="18"/>
              </w:rPr>
            </w:pPr>
            <w:r>
              <w:rPr>
                <w:rFonts w:ascii="Times New Roman"/>
                <w:sz w:val="18"/>
              </w:rPr>
              <w:t>0,793.</w:t>
            </w:r>
          </w:p>
          <w:p>
            <w:pPr>
              <w:pStyle w:val="TableParagraph"/>
              <w:spacing w:line="240" w:lineRule="auto" w:before="106"/>
              <w:ind w:left="385" w:right="0"/>
              <w:jc w:val="left"/>
              <w:rPr>
                <w:rFonts w:ascii="Times New Roman" w:hAnsi="Times New Roman" w:cs="Times New Roman" w:eastAsia="Times New Roman" w:hint="default"/>
                <w:sz w:val="18"/>
                <w:szCs w:val="18"/>
              </w:rPr>
            </w:pPr>
            <w:r>
              <w:rPr>
                <w:rFonts w:ascii="Times New Roman"/>
                <w:sz w:val="18"/>
              </w:rPr>
              <w:t>01</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4" w:right="0"/>
              <w:jc w:val="left"/>
              <w:rPr>
                <w:rFonts w:ascii="Times New Roman" w:hAnsi="Times New Roman" w:cs="Times New Roman" w:eastAsia="Times New Roman" w:hint="default"/>
                <w:sz w:val="18"/>
                <w:szCs w:val="18"/>
              </w:rPr>
            </w:pPr>
            <w:r>
              <w:rPr>
                <w:rFonts w:ascii="Times New Roman"/>
                <w:sz w:val="18"/>
              </w:rPr>
              <w:t>4,604</w:t>
            </w:r>
          </w:p>
          <w:p>
            <w:pPr>
              <w:pStyle w:val="TableParagraph"/>
              <w:spacing w:line="240" w:lineRule="auto" w:before="104"/>
              <w:ind w:left="75" w:right="0"/>
              <w:jc w:val="center"/>
              <w:rPr>
                <w:rFonts w:ascii="Times New Roman" w:hAnsi="Times New Roman" w:cs="Times New Roman" w:eastAsia="Times New Roman" w:hint="default"/>
                <w:sz w:val="18"/>
                <w:szCs w:val="18"/>
              </w:rPr>
            </w:pPr>
            <w:r>
              <w:rPr>
                <w:rFonts w:ascii="Times New Roman"/>
                <w:sz w:val="18"/>
              </w:rPr>
              <w:t>,034.</w:t>
            </w:r>
          </w:p>
          <w:p>
            <w:pPr>
              <w:pStyle w:val="TableParagraph"/>
              <w:spacing w:line="240" w:lineRule="auto" w:before="106"/>
              <w:ind w:left="255" w:right="0"/>
              <w:jc w:val="center"/>
              <w:rPr>
                <w:rFonts w:ascii="Times New Roman" w:hAnsi="Times New Roman" w:cs="Times New Roman" w:eastAsia="Times New Roman" w:hint="default"/>
                <w:sz w:val="18"/>
                <w:szCs w:val="18"/>
              </w:rPr>
            </w:pPr>
            <w:r>
              <w:rPr>
                <w:rFonts w:ascii="Times New Roman"/>
                <w:sz w:val="18"/>
              </w:rPr>
              <w:t>80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1" w:right="0"/>
              <w:jc w:val="left"/>
              <w:rPr>
                <w:rFonts w:ascii="Times New Roman" w:hAnsi="Times New Roman" w:cs="Times New Roman" w:eastAsia="Times New Roman" w:hint="default"/>
                <w:sz w:val="18"/>
                <w:szCs w:val="18"/>
              </w:rPr>
            </w:pPr>
            <w:r>
              <w:rPr>
                <w:rFonts w:ascii="Times New Roman"/>
                <w:sz w:val="18"/>
              </w:rPr>
              <w:t>-24,8</w:t>
            </w:r>
          </w:p>
          <w:p>
            <w:pPr>
              <w:pStyle w:val="TableParagraph"/>
              <w:spacing w:line="240" w:lineRule="auto" w:before="104"/>
              <w:ind w:left="141" w:right="0"/>
              <w:jc w:val="left"/>
              <w:rPr>
                <w:rFonts w:ascii="Times New Roman" w:hAnsi="Times New Roman" w:cs="Times New Roman" w:eastAsia="Times New Roman" w:hint="default"/>
                <w:sz w:val="18"/>
                <w:szCs w:val="18"/>
              </w:rPr>
            </w:pPr>
            <w:r>
              <w:rPr>
                <w:rFonts w:ascii="Times New Roman"/>
                <w:sz w:val="18"/>
              </w:rPr>
              <w:t>18,52</w:t>
            </w:r>
          </w:p>
          <w:p>
            <w:pPr>
              <w:pStyle w:val="TableParagraph"/>
              <w:spacing w:line="240" w:lineRule="auto" w:before="106"/>
              <w:ind w:left="231" w:right="0"/>
              <w:jc w:val="left"/>
              <w:rPr>
                <w:rFonts w:ascii="Times New Roman" w:hAnsi="Times New Roman" w:cs="Times New Roman" w:eastAsia="Times New Roman" w:hint="default"/>
                <w:sz w:val="18"/>
                <w:szCs w:val="18"/>
              </w:rPr>
            </w:pPr>
            <w:r>
              <w:rPr>
                <w:rFonts w:ascii="Times New Roman"/>
                <w:sz w:val="18"/>
              </w:rPr>
              <w:t>2.24</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pacing w:val="-6"/>
                <w:sz w:val="18"/>
                <w:szCs w:val="18"/>
              </w:rPr>
              <w:t>（一）综合收益</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总额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60" w:right="0"/>
              <w:jc w:val="left"/>
              <w:rPr>
                <w:rFonts w:ascii="Times New Roman" w:hAnsi="Times New Roman" w:cs="Times New Roman" w:eastAsia="Times New Roman" w:hint="default"/>
                <w:sz w:val="18"/>
                <w:szCs w:val="18"/>
              </w:rPr>
            </w:pPr>
            <w:r>
              <w:rPr>
                <w:rFonts w:ascii="Times New Roman"/>
                <w:sz w:val="18"/>
              </w:rPr>
              <w:t>33,20</w:t>
            </w:r>
          </w:p>
          <w:p>
            <w:pPr>
              <w:pStyle w:val="TableParagraph"/>
              <w:spacing w:line="240" w:lineRule="auto" w:before="104"/>
              <w:ind w:left="115" w:right="0"/>
              <w:jc w:val="left"/>
              <w:rPr>
                <w:rFonts w:ascii="Times New Roman" w:hAnsi="Times New Roman" w:cs="Times New Roman" w:eastAsia="Times New Roman" w:hint="default"/>
                <w:sz w:val="18"/>
                <w:szCs w:val="18"/>
              </w:rPr>
            </w:pPr>
            <w:r>
              <w:rPr>
                <w:rFonts w:ascii="Times New Roman"/>
                <w:sz w:val="18"/>
              </w:rPr>
              <w:t>7,874.</w:t>
            </w:r>
          </w:p>
          <w:p>
            <w:pPr>
              <w:pStyle w:val="TableParagraph"/>
              <w:spacing w:line="240" w:lineRule="auto" w:before="106"/>
              <w:ind w:left="385" w:right="0"/>
              <w:jc w:val="left"/>
              <w:rPr>
                <w:rFonts w:ascii="Times New Roman" w:hAnsi="Times New Roman" w:cs="Times New Roman" w:eastAsia="Times New Roman" w:hint="default"/>
                <w:sz w:val="18"/>
                <w:szCs w:val="18"/>
              </w:rPr>
            </w:pPr>
            <w:r>
              <w:rPr>
                <w:rFonts w:ascii="Times New Roman"/>
                <w:sz w:val="18"/>
              </w:rPr>
              <w:t>96</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-395,</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965.2</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51" w:right="0"/>
              <w:jc w:val="center"/>
              <w:rPr>
                <w:rFonts w:ascii="Times New Roman" w:hAnsi="Times New Roman" w:cs="Times New Roman" w:eastAsia="Times New Roman" w:hint="default"/>
                <w:sz w:val="18"/>
                <w:szCs w:val="18"/>
              </w:rPr>
            </w:pPr>
            <w:r>
              <w:rPr>
                <w:rFonts w:ascii="Times New Roman"/>
                <w:sz w:val="18"/>
              </w:rPr>
              <w:t>32,81</w:t>
            </w:r>
          </w:p>
          <w:p>
            <w:pPr>
              <w:pStyle w:val="TableParagraph"/>
              <w:spacing w:line="240" w:lineRule="auto" w:before="104"/>
              <w:ind w:left="39" w:right="0"/>
              <w:jc w:val="center"/>
              <w:rPr>
                <w:rFonts w:ascii="Times New Roman" w:hAnsi="Times New Roman" w:cs="Times New Roman" w:eastAsia="Times New Roman" w:hint="default"/>
                <w:sz w:val="18"/>
                <w:szCs w:val="18"/>
              </w:rPr>
            </w:pPr>
            <w:r>
              <w:rPr>
                <w:rFonts w:ascii="Times New Roman"/>
                <w:sz w:val="18"/>
              </w:rPr>
              <w:t>1,909</w:t>
            </w:r>
          </w:p>
          <w:p>
            <w:pPr>
              <w:pStyle w:val="TableParagraph"/>
              <w:spacing w:line="240" w:lineRule="auto" w:before="106"/>
              <w:ind w:left="219" w:right="0"/>
              <w:jc w:val="center"/>
              <w:rPr>
                <w:rFonts w:ascii="Times New Roman" w:hAnsi="Times New Roman" w:cs="Times New Roman" w:eastAsia="Times New Roman" w:hint="default"/>
                <w:sz w:val="18"/>
                <w:szCs w:val="18"/>
              </w:rPr>
            </w:pPr>
            <w:r>
              <w:rPr>
                <w:rFonts w:ascii="Times New Roman"/>
                <w:sz w:val="18"/>
              </w:rPr>
              <w:t>.76</w:t>
            </w:r>
          </w:p>
        </w:tc>
      </w:tr>
      <w:tr>
        <w:trPr>
          <w:trHeight w:val="1026"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103" w:right="101"/>
              <w:jc w:val="left"/>
              <w:rPr>
                <w:rFonts w:ascii="宋体" w:hAnsi="宋体" w:cs="宋体" w:eastAsia="宋体" w:hint="default"/>
                <w:sz w:val="18"/>
                <w:szCs w:val="18"/>
              </w:rPr>
            </w:pPr>
            <w:r>
              <w:rPr>
                <w:rFonts w:ascii="宋体" w:hAnsi="宋体" w:cs="宋体" w:eastAsia="宋体" w:hint="default"/>
                <w:spacing w:val="-6"/>
                <w:sz w:val="18"/>
                <w:szCs w:val="18"/>
              </w:rPr>
              <w:t>（二）所有者投</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入和减少资本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46" w:right="0"/>
              <w:jc w:val="left"/>
              <w:rPr>
                <w:rFonts w:ascii="Times New Roman" w:hAnsi="Times New Roman" w:cs="Times New Roman" w:eastAsia="Times New Roman" w:hint="default"/>
                <w:sz w:val="18"/>
                <w:szCs w:val="18"/>
              </w:rPr>
            </w:pPr>
            <w:r>
              <w:rPr>
                <w:rFonts w:ascii="Times New Roman"/>
                <w:sz w:val="18"/>
              </w:rPr>
              <w:t>5,150</w:t>
            </w:r>
          </w:p>
          <w:p>
            <w:pPr>
              <w:pStyle w:val="TableParagraph"/>
              <w:spacing w:line="240" w:lineRule="auto" w:before="104"/>
              <w:ind w:left="87" w:right="0"/>
              <w:jc w:val="center"/>
              <w:rPr>
                <w:rFonts w:ascii="Times New Roman" w:hAnsi="Times New Roman" w:cs="Times New Roman" w:eastAsia="Times New Roman" w:hint="default"/>
                <w:sz w:val="18"/>
                <w:szCs w:val="18"/>
              </w:rPr>
            </w:pPr>
            <w:r>
              <w:rPr>
                <w:rFonts w:ascii="Times New Roman"/>
                <w:sz w:val="18"/>
              </w:rPr>
              <w:t>,600.</w:t>
            </w:r>
          </w:p>
          <w:p>
            <w:pPr>
              <w:pStyle w:val="TableParagraph"/>
              <w:spacing w:line="240" w:lineRule="auto" w:before="106"/>
              <w:ind w:left="266" w:right="0"/>
              <w:jc w:val="center"/>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45" w:right="0"/>
              <w:jc w:val="center"/>
              <w:rPr>
                <w:rFonts w:ascii="Times New Roman" w:hAnsi="Times New Roman" w:cs="Times New Roman" w:eastAsia="Times New Roman" w:hint="default"/>
                <w:sz w:val="18"/>
                <w:szCs w:val="18"/>
              </w:rPr>
            </w:pPr>
            <w:r>
              <w:rPr>
                <w:rFonts w:ascii="Times New Roman"/>
                <w:sz w:val="18"/>
              </w:rPr>
              <w:t>60,26</w:t>
            </w:r>
          </w:p>
          <w:p>
            <w:pPr>
              <w:pStyle w:val="TableParagraph"/>
              <w:spacing w:line="240" w:lineRule="auto" w:before="104"/>
              <w:ind w:left="45" w:right="0"/>
              <w:jc w:val="center"/>
              <w:rPr>
                <w:rFonts w:ascii="Times New Roman" w:hAnsi="Times New Roman" w:cs="Times New Roman" w:eastAsia="Times New Roman" w:hint="default"/>
                <w:sz w:val="18"/>
                <w:szCs w:val="18"/>
              </w:rPr>
            </w:pPr>
            <w:r>
              <w:rPr>
                <w:rFonts w:ascii="Times New Roman"/>
                <w:sz w:val="18"/>
              </w:rPr>
              <w:t>8,032</w:t>
            </w:r>
          </w:p>
          <w:p>
            <w:pPr>
              <w:pStyle w:val="TableParagraph"/>
              <w:spacing w:line="240" w:lineRule="auto" w:before="106"/>
              <w:ind w:left="225" w:right="0"/>
              <w:jc w:val="center"/>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34" w:right="0"/>
              <w:jc w:val="left"/>
              <w:rPr>
                <w:rFonts w:ascii="Times New Roman" w:hAnsi="Times New Roman" w:cs="Times New Roman" w:eastAsia="Times New Roman" w:hint="default"/>
                <w:sz w:val="18"/>
                <w:szCs w:val="18"/>
              </w:rPr>
            </w:pPr>
            <w:r>
              <w:rPr>
                <w:rFonts w:ascii="Times New Roman"/>
                <w:sz w:val="18"/>
              </w:rPr>
              <w:t>5,000</w:t>
            </w:r>
          </w:p>
          <w:p>
            <w:pPr>
              <w:pStyle w:val="TableParagraph"/>
              <w:spacing w:line="240" w:lineRule="auto" w:before="104"/>
              <w:ind w:left="75" w:right="0"/>
              <w:jc w:val="center"/>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6"/>
              <w:ind w:left="255" w:right="0"/>
              <w:jc w:val="center"/>
              <w:rPr>
                <w:rFonts w:ascii="Times New Roman" w:hAnsi="Times New Roman" w:cs="Times New Roman" w:eastAsia="Times New Roman" w:hint="default"/>
                <w:sz w:val="18"/>
                <w:szCs w:val="18"/>
              </w:rPr>
            </w:pPr>
            <w:r>
              <w:rPr>
                <w:rFonts w:ascii="Times New Roman"/>
                <w:sz w:val="18"/>
              </w:rPr>
              <w:t>00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77" w:right="0"/>
              <w:jc w:val="left"/>
              <w:rPr>
                <w:rFonts w:ascii="Times New Roman" w:hAnsi="Times New Roman" w:cs="Times New Roman" w:eastAsia="Times New Roman" w:hint="default"/>
                <w:sz w:val="18"/>
                <w:szCs w:val="18"/>
              </w:rPr>
            </w:pPr>
            <w:r>
              <w:rPr>
                <w:rFonts w:ascii="Times New Roman"/>
                <w:sz w:val="18"/>
              </w:rPr>
              <w:t>-50,1</w:t>
            </w:r>
          </w:p>
          <w:p>
            <w:pPr>
              <w:pStyle w:val="TableParagraph"/>
              <w:spacing w:line="240" w:lineRule="auto" w:before="104"/>
              <w:ind w:left="141" w:right="0"/>
              <w:jc w:val="left"/>
              <w:rPr>
                <w:rFonts w:ascii="Times New Roman" w:hAnsi="Times New Roman" w:cs="Times New Roman" w:eastAsia="Times New Roman" w:hint="default"/>
                <w:sz w:val="18"/>
                <w:szCs w:val="18"/>
              </w:rPr>
            </w:pPr>
            <w:r>
              <w:rPr>
                <w:rFonts w:ascii="Times New Roman"/>
                <w:sz w:val="18"/>
              </w:rPr>
              <w:t>17,43</w:t>
            </w:r>
          </w:p>
          <w:p>
            <w:pPr>
              <w:pStyle w:val="TableParagraph"/>
              <w:spacing w:line="240" w:lineRule="auto" w:before="106"/>
              <w:ind w:left="231" w:right="0"/>
              <w:jc w:val="left"/>
              <w:rPr>
                <w:rFonts w:ascii="Times New Roman" w:hAnsi="Times New Roman" w:cs="Times New Roman" w:eastAsia="Times New Roman" w:hint="default"/>
                <w:sz w:val="18"/>
                <w:szCs w:val="18"/>
              </w:rPr>
            </w:pPr>
            <w:r>
              <w:rPr>
                <w:rFonts w:ascii="Times New Roman"/>
                <w:sz w:val="18"/>
              </w:rPr>
              <w:t>2.00</w:t>
            </w:r>
          </w:p>
        </w:tc>
      </w:tr>
      <w:tr>
        <w:trPr>
          <w:trHeight w:val="715" w:hRule="exact"/>
        </w:trPr>
        <w:tc>
          <w:tcPr>
            <w:tcW w:w="14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3" w:right="153"/>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34" w:right="0"/>
              <w:jc w:val="left"/>
              <w:rPr>
                <w:rFonts w:ascii="Times New Roman" w:hAnsi="Times New Roman" w:cs="Times New Roman" w:eastAsia="Times New Roman" w:hint="default"/>
                <w:sz w:val="18"/>
                <w:szCs w:val="18"/>
              </w:rPr>
            </w:pPr>
            <w:r>
              <w:rPr>
                <w:rFonts w:ascii="Times New Roman"/>
                <w:sz w:val="18"/>
              </w:rPr>
              <w:t>5,000</w:t>
            </w:r>
          </w:p>
          <w:p>
            <w:pPr>
              <w:pStyle w:val="TableParagraph"/>
              <w:spacing w:line="240" w:lineRule="auto" w:before="105"/>
              <w:ind w:left="178" w:right="0"/>
              <w:jc w:val="left"/>
              <w:rPr>
                <w:rFonts w:ascii="Times New Roman" w:hAnsi="Times New Roman" w:cs="Times New Roman" w:eastAsia="Times New Roman" w:hint="default"/>
                <w:sz w:val="18"/>
                <w:szCs w:val="18"/>
              </w:rPr>
            </w:pPr>
            <w:r>
              <w:rPr>
                <w:rFonts w:ascii="Times New Roman"/>
                <w:sz w:val="18"/>
              </w:rPr>
              <w:t>,000.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41" w:right="0"/>
              <w:jc w:val="left"/>
              <w:rPr>
                <w:rFonts w:ascii="Times New Roman" w:hAnsi="Times New Roman" w:cs="Times New Roman" w:eastAsia="Times New Roman" w:hint="default"/>
                <w:sz w:val="18"/>
                <w:szCs w:val="18"/>
              </w:rPr>
            </w:pPr>
            <w:r>
              <w:rPr>
                <w:rFonts w:ascii="Times New Roman"/>
                <w:sz w:val="18"/>
              </w:rPr>
              <w:t>5,000</w:t>
            </w:r>
          </w:p>
          <w:p>
            <w:pPr>
              <w:pStyle w:val="TableParagraph"/>
              <w:spacing w:line="240" w:lineRule="auto" w:before="105"/>
              <w:ind w:left="185" w:right="0"/>
              <w:jc w:val="left"/>
              <w:rPr>
                <w:rFonts w:ascii="Times New Roman" w:hAnsi="Times New Roman" w:cs="Times New Roman" w:eastAsia="Times New Roman" w:hint="default"/>
                <w:sz w:val="18"/>
                <w:szCs w:val="18"/>
              </w:rPr>
            </w:pPr>
            <w:r>
              <w:rPr>
                <w:rFonts w:ascii="Times New Roman"/>
                <w:sz w:val="18"/>
              </w:rPr>
              <w:t>,000.</w:t>
            </w:r>
          </w:p>
        </w:tc>
      </w:tr>
    </w:tbl>
    <w:p>
      <w:pPr>
        <w:spacing w:after="0" w:line="240" w:lineRule="auto"/>
        <w:jc w:val="left"/>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437"/>
        <w:gridCol w:w="562"/>
        <w:gridCol w:w="530"/>
        <w:gridCol w:w="532"/>
        <w:gridCol w:w="530"/>
        <w:gridCol w:w="665"/>
        <w:gridCol w:w="665"/>
        <w:gridCol w:w="665"/>
        <w:gridCol w:w="665"/>
        <w:gridCol w:w="665"/>
        <w:gridCol w:w="665"/>
        <w:gridCol w:w="678"/>
        <w:gridCol w:w="652"/>
        <w:gridCol w:w="659"/>
      </w:tblGrid>
      <w:tr>
        <w:trPr>
          <w:trHeight w:val="36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00</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00</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6" w:right="0"/>
              <w:jc w:val="left"/>
              <w:rPr>
                <w:rFonts w:ascii="Times New Roman" w:hAnsi="Times New Roman" w:cs="Times New Roman" w:eastAsia="Times New Roman" w:hint="default"/>
                <w:sz w:val="18"/>
                <w:szCs w:val="18"/>
              </w:rPr>
            </w:pPr>
            <w:r>
              <w:rPr>
                <w:rFonts w:ascii="Times New Roman"/>
                <w:sz w:val="18"/>
              </w:rPr>
              <w:t>5,150</w:t>
            </w:r>
          </w:p>
          <w:p>
            <w:pPr>
              <w:pStyle w:val="TableParagraph"/>
              <w:spacing w:line="240" w:lineRule="auto" w:before="104"/>
              <w:ind w:left="87" w:right="0"/>
              <w:jc w:val="center"/>
              <w:rPr>
                <w:rFonts w:ascii="Times New Roman" w:hAnsi="Times New Roman" w:cs="Times New Roman" w:eastAsia="Times New Roman" w:hint="default"/>
                <w:sz w:val="18"/>
                <w:szCs w:val="18"/>
              </w:rPr>
            </w:pPr>
            <w:r>
              <w:rPr>
                <w:rFonts w:ascii="Times New Roman"/>
                <w:sz w:val="18"/>
              </w:rPr>
              <w:t>,600.</w:t>
            </w:r>
          </w:p>
          <w:p>
            <w:pPr>
              <w:pStyle w:val="TableParagraph"/>
              <w:spacing w:line="240" w:lineRule="auto" w:before="106"/>
              <w:ind w:left="266" w:right="0"/>
              <w:jc w:val="center"/>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5" w:right="0"/>
              <w:jc w:val="center"/>
              <w:rPr>
                <w:rFonts w:ascii="Times New Roman" w:hAnsi="Times New Roman" w:cs="Times New Roman" w:eastAsia="Times New Roman" w:hint="default"/>
                <w:sz w:val="18"/>
                <w:szCs w:val="18"/>
              </w:rPr>
            </w:pPr>
            <w:r>
              <w:rPr>
                <w:rFonts w:ascii="Times New Roman"/>
                <w:sz w:val="18"/>
              </w:rPr>
              <w:t>60,26</w:t>
            </w:r>
          </w:p>
          <w:p>
            <w:pPr>
              <w:pStyle w:val="TableParagraph"/>
              <w:spacing w:line="240" w:lineRule="auto" w:before="104"/>
              <w:ind w:left="45" w:right="0"/>
              <w:jc w:val="center"/>
              <w:rPr>
                <w:rFonts w:ascii="Times New Roman" w:hAnsi="Times New Roman" w:cs="Times New Roman" w:eastAsia="Times New Roman" w:hint="default"/>
                <w:sz w:val="18"/>
                <w:szCs w:val="18"/>
              </w:rPr>
            </w:pPr>
            <w:r>
              <w:rPr>
                <w:rFonts w:ascii="Times New Roman"/>
                <w:sz w:val="18"/>
              </w:rPr>
              <w:t>8,032</w:t>
            </w:r>
          </w:p>
          <w:p>
            <w:pPr>
              <w:pStyle w:val="TableParagraph"/>
              <w:spacing w:line="240" w:lineRule="auto" w:before="106"/>
              <w:ind w:left="225" w:right="0"/>
              <w:jc w:val="center"/>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7" w:right="0"/>
              <w:jc w:val="left"/>
              <w:rPr>
                <w:rFonts w:ascii="Times New Roman" w:hAnsi="Times New Roman" w:cs="Times New Roman" w:eastAsia="Times New Roman" w:hint="default"/>
                <w:sz w:val="18"/>
                <w:szCs w:val="18"/>
              </w:rPr>
            </w:pPr>
            <w:r>
              <w:rPr>
                <w:rFonts w:ascii="Times New Roman"/>
                <w:sz w:val="18"/>
              </w:rPr>
              <w:t>-55,1</w:t>
            </w:r>
          </w:p>
          <w:p>
            <w:pPr>
              <w:pStyle w:val="TableParagraph"/>
              <w:spacing w:line="240" w:lineRule="auto" w:before="104"/>
              <w:ind w:left="141" w:right="0"/>
              <w:jc w:val="left"/>
              <w:rPr>
                <w:rFonts w:ascii="Times New Roman" w:hAnsi="Times New Roman" w:cs="Times New Roman" w:eastAsia="Times New Roman" w:hint="default"/>
                <w:sz w:val="18"/>
                <w:szCs w:val="18"/>
              </w:rPr>
            </w:pPr>
            <w:r>
              <w:rPr>
                <w:rFonts w:ascii="Times New Roman"/>
                <w:sz w:val="18"/>
              </w:rPr>
              <w:t>17,43</w:t>
            </w:r>
          </w:p>
          <w:p>
            <w:pPr>
              <w:pStyle w:val="TableParagraph"/>
              <w:spacing w:line="240" w:lineRule="auto" w:before="106"/>
              <w:ind w:left="231" w:right="0"/>
              <w:jc w:val="left"/>
              <w:rPr>
                <w:rFonts w:ascii="Times New Roman" w:hAnsi="Times New Roman" w:cs="Times New Roman" w:eastAsia="Times New Roman" w:hint="default"/>
                <w:sz w:val="18"/>
                <w:szCs w:val="18"/>
              </w:rPr>
            </w:pPr>
            <w:r>
              <w:rPr>
                <w:rFonts w:ascii="Times New Roman"/>
                <w:sz w:val="18"/>
              </w:rPr>
              <w:t>2.00</w:t>
            </w: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pacing w:val="-6"/>
                <w:sz w:val="18"/>
                <w:szCs w:val="18"/>
              </w:rPr>
              <w:t>（三）利润分配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6" w:right="0"/>
              <w:jc w:val="left"/>
              <w:rPr>
                <w:rFonts w:ascii="Times New Roman" w:hAnsi="Times New Roman" w:cs="Times New Roman" w:eastAsia="Times New Roman" w:hint="default"/>
                <w:sz w:val="18"/>
                <w:szCs w:val="18"/>
              </w:rPr>
            </w:pPr>
            <w:r>
              <w:rPr>
                <w:rFonts w:ascii="Times New Roman"/>
                <w:sz w:val="18"/>
              </w:rPr>
              <w:t>3,074</w:t>
            </w:r>
          </w:p>
          <w:p>
            <w:pPr>
              <w:pStyle w:val="TableParagraph"/>
              <w:spacing w:line="240" w:lineRule="auto" w:before="104"/>
              <w:ind w:left="86" w:right="0"/>
              <w:jc w:val="center"/>
              <w:rPr>
                <w:rFonts w:ascii="Times New Roman" w:hAnsi="Times New Roman" w:cs="Times New Roman" w:eastAsia="Times New Roman" w:hint="default"/>
                <w:sz w:val="18"/>
                <w:szCs w:val="18"/>
              </w:rPr>
            </w:pPr>
            <w:r>
              <w:rPr>
                <w:rFonts w:ascii="Times New Roman"/>
                <w:sz w:val="18"/>
              </w:rPr>
              <w:t>,081.</w:t>
            </w:r>
          </w:p>
          <w:p>
            <w:pPr>
              <w:pStyle w:val="TableParagraph"/>
              <w:spacing w:line="240" w:lineRule="auto" w:before="106"/>
              <w:ind w:left="266" w:right="0"/>
              <w:jc w:val="center"/>
              <w:rPr>
                <w:rFonts w:ascii="Times New Roman" w:hAnsi="Times New Roman" w:cs="Times New Roman" w:eastAsia="Times New Roman" w:hint="default"/>
                <w:sz w:val="18"/>
                <w:szCs w:val="18"/>
              </w:rPr>
            </w:pPr>
            <w:r>
              <w:rPr>
                <w:rFonts w:ascii="Times New Roman"/>
                <w:sz w:val="18"/>
              </w:rPr>
              <w:t>95</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0" w:right="0"/>
              <w:jc w:val="left"/>
              <w:rPr>
                <w:rFonts w:ascii="Times New Roman" w:hAnsi="Times New Roman" w:cs="Times New Roman" w:eastAsia="Times New Roman" w:hint="default"/>
                <w:sz w:val="18"/>
                <w:szCs w:val="18"/>
              </w:rPr>
            </w:pPr>
            <w:r>
              <w:rPr>
                <w:rFonts w:ascii="Times New Roman"/>
                <w:sz w:val="18"/>
              </w:rPr>
              <w:t>-10,5</w:t>
            </w:r>
          </w:p>
          <w:p>
            <w:pPr>
              <w:pStyle w:val="TableParagraph"/>
              <w:spacing w:line="240" w:lineRule="auto" w:before="104"/>
              <w:ind w:left="160" w:right="0"/>
              <w:jc w:val="left"/>
              <w:rPr>
                <w:rFonts w:ascii="Times New Roman" w:hAnsi="Times New Roman" w:cs="Times New Roman" w:eastAsia="Times New Roman" w:hint="default"/>
                <w:sz w:val="18"/>
                <w:szCs w:val="18"/>
              </w:rPr>
            </w:pPr>
            <w:r>
              <w:rPr>
                <w:rFonts w:ascii="Times New Roman"/>
                <w:sz w:val="18"/>
              </w:rPr>
              <w:t>87,08</w:t>
            </w:r>
          </w:p>
          <w:p>
            <w:pPr>
              <w:pStyle w:val="TableParagraph"/>
              <w:spacing w:line="240" w:lineRule="auto" w:before="106"/>
              <w:ind w:left="250" w:right="0"/>
              <w:jc w:val="left"/>
              <w:rPr>
                <w:rFonts w:ascii="Times New Roman" w:hAnsi="Times New Roman" w:cs="Times New Roman" w:eastAsia="Times New Roman" w:hint="default"/>
                <w:sz w:val="18"/>
                <w:szCs w:val="18"/>
              </w:rPr>
            </w:pPr>
            <w:r>
              <w:rPr>
                <w:rFonts w:ascii="Times New Roman"/>
                <w:sz w:val="18"/>
              </w:rPr>
              <w:t>1.95</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-7,51</w:t>
            </w:r>
          </w:p>
          <w:p>
            <w:pPr>
              <w:pStyle w:val="TableParagraph"/>
              <w:spacing w:line="240" w:lineRule="auto" w:before="104"/>
              <w:ind w:left="39" w:right="0"/>
              <w:jc w:val="center"/>
              <w:rPr>
                <w:rFonts w:ascii="Times New Roman" w:hAnsi="Times New Roman" w:cs="Times New Roman" w:eastAsia="Times New Roman" w:hint="default"/>
                <w:sz w:val="18"/>
                <w:szCs w:val="18"/>
              </w:rPr>
            </w:pPr>
            <w:r>
              <w:rPr>
                <w:rFonts w:ascii="Times New Roman"/>
                <w:sz w:val="18"/>
              </w:rPr>
              <w:t>3,000</w:t>
            </w:r>
          </w:p>
          <w:p>
            <w:pPr>
              <w:pStyle w:val="TableParagraph"/>
              <w:spacing w:line="240" w:lineRule="auto" w:before="106"/>
              <w:ind w:left="219" w:right="0"/>
              <w:jc w:val="center"/>
              <w:rPr>
                <w:rFonts w:ascii="Times New Roman" w:hAnsi="Times New Roman" w:cs="Times New Roman" w:eastAsia="Times New Roman" w:hint="default"/>
                <w:sz w:val="18"/>
                <w:szCs w:val="18"/>
              </w:rPr>
            </w:pPr>
            <w:r>
              <w:rPr>
                <w:rFonts w:ascii="Times New Roman"/>
                <w:sz w:val="18"/>
              </w:rPr>
              <w:t>.00</w:t>
            </w: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0" w:lineRule="auto"/>
              <w:ind w:left="103"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6" w:right="0"/>
              <w:jc w:val="left"/>
              <w:rPr>
                <w:rFonts w:ascii="Times New Roman" w:hAnsi="Times New Roman" w:cs="Times New Roman" w:eastAsia="Times New Roman" w:hint="default"/>
                <w:sz w:val="18"/>
                <w:szCs w:val="18"/>
              </w:rPr>
            </w:pPr>
            <w:r>
              <w:rPr>
                <w:rFonts w:ascii="Times New Roman"/>
                <w:sz w:val="18"/>
              </w:rPr>
              <w:t>3,074</w:t>
            </w:r>
          </w:p>
          <w:p>
            <w:pPr>
              <w:pStyle w:val="TableParagraph"/>
              <w:spacing w:line="240" w:lineRule="auto" w:before="104"/>
              <w:ind w:left="86" w:right="0"/>
              <w:jc w:val="center"/>
              <w:rPr>
                <w:rFonts w:ascii="Times New Roman" w:hAnsi="Times New Roman" w:cs="Times New Roman" w:eastAsia="Times New Roman" w:hint="default"/>
                <w:sz w:val="18"/>
                <w:szCs w:val="18"/>
              </w:rPr>
            </w:pPr>
            <w:r>
              <w:rPr>
                <w:rFonts w:ascii="Times New Roman"/>
                <w:sz w:val="18"/>
              </w:rPr>
              <w:t>,081.</w:t>
            </w:r>
          </w:p>
          <w:p>
            <w:pPr>
              <w:pStyle w:val="TableParagraph"/>
              <w:spacing w:line="240" w:lineRule="auto" w:before="106"/>
              <w:ind w:left="266" w:right="0"/>
              <w:jc w:val="center"/>
              <w:rPr>
                <w:rFonts w:ascii="Times New Roman" w:hAnsi="Times New Roman" w:cs="Times New Roman" w:eastAsia="Times New Roman" w:hint="default"/>
                <w:sz w:val="18"/>
                <w:szCs w:val="18"/>
              </w:rPr>
            </w:pPr>
            <w:r>
              <w:rPr>
                <w:rFonts w:ascii="Times New Roman"/>
                <w:sz w:val="18"/>
              </w:rPr>
              <w:t>95</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center"/>
              <w:rPr>
                <w:rFonts w:ascii="Times New Roman" w:hAnsi="Times New Roman" w:cs="Times New Roman" w:eastAsia="Times New Roman" w:hint="default"/>
                <w:sz w:val="18"/>
                <w:szCs w:val="18"/>
              </w:rPr>
            </w:pPr>
            <w:r>
              <w:rPr>
                <w:rFonts w:ascii="Times New Roman"/>
                <w:sz w:val="18"/>
              </w:rPr>
              <w:t>-3,07</w:t>
            </w:r>
          </w:p>
          <w:p>
            <w:pPr>
              <w:pStyle w:val="TableParagraph"/>
              <w:spacing w:line="240" w:lineRule="auto" w:before="104"/>
              <w:ind w:left="115" w:right="0"/>
              <w:jc w:val="left"/>
              <w:rPr>
                <w:rFonts w:ascii="Times New Roman" w:hAnsi="Times New Roman" w:cs="Times New Roman" w:eastAsia="Times New Roman" w:hint="default"/>
                <w:sz w:val="18"/>
                <w:szCs w:val="18"/>
              </w:rPr>
            </w:pPr>
            <w:r>
              <w:rPr>
                <w:rFonts w:ascii="Times New Roman"/>
                <w:sz w:val="18"/>
              </w:rPr>
              <w:t>4,081.</w:t>
            </w:r>
          </w:p>
          <w:p>
            <w:pPr>
              <w:pStyle w:val="TableParagraph"/>
              <w:spacing w:line="240" w:lineRule="auto" w:before="106"/>
              <w:ind w:left="281" w:right="0"/>
              <w:jc w:val="center"/>
              <w:rPr>
                <w:rFonts w:ascii="Times New Roman" w:hAnsi="Times New Roman" w:cs="Times New Roman" w:eastAsia="Times New Roman" w:hint="default"/>
                <w:sz w:val="18"/>
                <w:szCs w:val="18"/>
              </w:rPr>
            </w:pPr>
            <w:r>
              <w:rPr>
                <w:rFonts w:ascii="Times New Roman"/>
                <w:sz w:val="18"/>
              </w:rPr>
              <w:t>95</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 险准备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0" w:lineRule="auto"/>
              <w:ind w:left="103" w:right="102"/>
              <w:jc w:val="left"/>
              <w:rPr>
                <w:rFonts w:ascii="宋体" w:hAnsi="宋体" w:cs="宋体" w:eastAsia="宋体" w:hint="default"/>
                <w:sz w:val="18"/>
                <w:szCs w:val="18"/>
              </w:rPr>
            </w:pPr>
            <w:r>
              <w:rPr>
                <w:rFonts w:ascii="Times New Roman" w:hAnsi="Times New Roman" w:cs="Times New Roman" w:eastAsia="Times New Roman" w:hint="default"/>
                <w:spacing w:val="-17"/>
                <w:sz w:val="18"/>
                <w:szCs w:val="18"/>
              </w:rPr>
              <w:t>3</w:t>
            </w:r>
            <w:r>
              <w:rPr>
                <w:rFonts w:ascii="宋体" w:hAnsi="宋体" w:cs="宋体" w:eastAsia="宋体" w:hint="default"/>
                <w:spacing w:val="-17"/>
                <w:sz w:val="18"/>
                <w:szCs w:val="18"/>
              </w:rPr>
              <w:t>．对所有者（或</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股东）的分配</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center"/>
              <w:rPr>
                <w:rFonts w:ascii="Times New Roman" w:hAnsi="Times New Roman" w:cs="Times New Roman" w:eastAsia="Times New Roman" w:hint="default"/>
                <w:sz w:val="18"/>
                <w:szCs w:val="18"/>
              </w:rPr>
            </w:pPr>
            <w:r>
              <w:rPr>
                <w:rFonts w:ascii="Times New Roman"/>
                <w:sz w:val="18"/>
              </w:rPr>
              <w:t>-7,51</w:t>
            </w:r>
          </w:p>
          <w:p>
            <w:pPr>
              <w:pStyle w:val="TableParagraph"/>
              <w:spacing w:line="240" w:lineRule="auto" w:before="104"/>
              <w:ind w:left="115" w:right="0"/>
              <w:jc w:val="left"/>
              <w:rPr>
                <w:rFonts w:ascii="Times New Roman" w:hAnsi="Times New Roman" w:cs="Times New Roman" w:eastAsia="Times New Roman" w:hint="default"/>
                <w:sz w:val="18"/>
                <w:szCs w:val="18"/>
              </w:rPr>
            </w:pPr>
            <w:r>
              <w:rPr>
                <w:rFonts w:ascii="Times New Roman"/>
                <w:sz w:val="18"/>
              </w:rPr>
              <w:t>3,000.</w:t>
            </w:r>
          </w:p>
          <w:p>
            <w:pPr>
              <w:pStyle w:val="TableParagraph"/>
              <w:spacing w:line="240" w:lineRule="auto" w:before="106"/>
              <w:ind w:left="281" w:right="0"/>
              <w:jc w:val="center"/>
              <w:rPr>
                <w:rFonts w:ascii="Times New Roman" w:hAnsi="Times New Roman" w:cs="Times New Roman" w:eastAsia="Times New Roman" w:hint="default"/>
                <w:sz w:val="18"/>
                <w:szCs w:val="18"/>
              </w:rPr>
            </w:pPr>
            <w:r>
              <w:rPr>
                <w:rFonts w:ascii="Times New Roman"/>
                <w:sz w:val="18"/>
              </w:rPr>
              <w:t>00</w:t>
            </w: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9" w:right="0"/>
              <w:jc w:val="center"/>
              <w:rPr>
                <w:rFonts w:ascii="Times New Roman" w:hAnsi="Times New Roman" w:cs="Times New Roman" w:eastAsia="Times New Roman" w:hint="default"/>
                <w:sz w:val="18"/>
                <w:szCs w:val="18"/>
              </w:rPr>
            </w:pPr>
            <w:r>
              <w:rPr>
                <w:rFonts w:ascii="Times New Roman"/>
                <w:sz w:val="18"/>
              </w:rPr>
              <w:t>-7,51</w:t>
            </w:r>
          </w:p>
          <w:p>
            <w:pPr>
              <w:pStyle w:val="TableParagraph"/>
              <w:spacing w:line="240" w:lineRule="auto" w:before="104"/>
              <w:ind w:left="39" w:right="0"/>
              <w:jc w:val="center"/>
              <w:rPr>
                <w:rFonts w:ascii="Times New Roman" w:hAnsi="Times New Roman" w:cs="Times New Roman" w:eastAsia="Times New Roman" w:hint="default"/>
                <w:sz w:val="18"/>
                <w:szCs w:val="18"/>
              </w:rPr>
            </w:pPr>
            <w:r>
              <w:rPr>
                <w:rFonts w:ascii="Times New Roman"/>
                <w:sz w:val="18"/>
              </w:rPr>
              <w:t>3,000</w:t>
            </w:r>
          </w:p>
          <w:p>
            <w:pPr>
              <w:pStyle w:val="TableParagraph"/>
              <w:spacing w:line="240" w:lineRule="auto" w:before="106"/>
              <w:ind w:left="219" w:right="0"/>
              <w:jc w:val="center"/>
              <w:rPr>
                <w:rFonts w:ascii="Times New Roman" w:hAnsi="Times New Roman" w:cs="Times New Roman" w:eastAsia="Times New Roman" w:hint="default"/>
                <w:sz w:val="18"/>
                <w:szCs w:val="18"/>
              </w:rPr>
            </w:pPr>
            <w:r>
              <w:rPr>
                <w:rFonts w:ascii="Times New Roman"/>
                <w:sz w:val="18"/>
              </w:rPr>
              <w:t>.00</w:t>
            </w: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00"/>
              <w:jc w:val="left"/>
              <w:rPr>
                <w:rFonts w:ascii="宋体" w:hAnsi="宋体" w:cs="宋体" w:eastAsia="宋体" w:hint="default"/>
                <w:sz w:val="18"/>
                <w:szCs w:val="18"/>
              </w:rPr>
            </w:pPr>
            <w:r>
              <w:rPr>
                <w:rFonts w:ascii="宋体" w:hAnsi="宋体" w:cs="宋体" w:eastAsia="宋体" w:hint="default"/>
                <w:spacing w:val="-6"/>
                <w:sz w:val="18"/>
                <w:szCs w:val="18"/>
              </w:rPr>
              <w:t>（四）所有者权</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益内部结转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2"/>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pacing w:val="-6"/>
                <w:sz w:val="18"/>
                <w:szCs w:val="18"/>
              </w:rPr>
              <w:t>（五）专项储备</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56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
        </w:tc>
        <w:tc>
          <w:tcPr>
            <w:tcW w:w="652" w:type="dxa"/>
            <w:tcBorders>
              <w:top w:val="single" w:sz="4" w:space="0" w:color="000000"/>
              <w:left w:val="single" w:sz="4" w:space="0" w:color="000000"/>
              <w:bottom w:val="single" w:sz="4" w:space="0" w:color="000000"/>
              <w:right w:val="single" w:sz="4" w:space="0" w:color="000000"/>
            </w:tcBorders>
          </w:tcPr>
          <w:p>
            <w:pPr/>
          </w:p>
        </w:tc>
        <w:tc>
          <w:tcPr>
            <w:tcW w:w="65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pacing w:val="-6"/>
                <w:sz w:val="18"/>
                <w:szCs w:val="18"/>
              </w:rPr>
              <w:t>四、本期期末余</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33" w:right="0"/>
              <w:jc w:val="left"/>
              <w:rPr>
                <w:rFonts w:ascii="Times New Roman" w:hAnsi="Times New Roman" w:cs="Times New Roman" w:eastAsia="Times New Roman" w:hint="default"/>
                <w:sz w:val="18"/>
                <w:szCs w:val="18"/>
              </w:rPr>
            </w:pPr>
            <w:r>
              <w:rPr>
                <w:rFonts w:ascii="Times New Roman"/>
                <w:sz w:val="18"/>
              </w:rPr>
              <w:t>68,3</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46" w:right="0"/>
              <w:jc w:val="left"/>
              <w:rPr>
                <w:rFonts w:ascii="Times New Roman" w:hAnsi="Times New Roman" w:cs="Times New Roman" w:eastAsia="Times New Roman" w:hint="default"/>
                <w:sz w:val="18"/>
                <w:szCs w:val="18"/>
              </w:rPr>
            </w:pPr>
            <w:r>
              <w:rPr>
                <w:rFonts w:ascii="Times New Roman"/>
                <w:sz w:val="18"/>
              </w:rPr>
              <w:t>224,4</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47" w:right="0"/>
              <w:jc w:val="left"/>
              <w:rPr>
                <w:rFonts w:ascii="Times New Roman" w:hAnsi="Times New Roman" w:cs="Times New Roman" w:eastAsia="Times New Roman" w:hint="default"/>
                <w:sz w:val="18"/>
                <w:szCs w:val="18"/>
              </w:rPr>
            </w:pPr>
            <w:r>
              <w:rPr>
                <w:rFonts w:ascii="Times New Roman"/>
                <w:sz w:val="18"/>
              </w:rPr>
              <w:t>60,26</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46" w:right="0"/>
              <w:jc w:val="left"/>
              <w:rPr>
                <w:rFonts w:ascii="Times New Roman" w:hAnsi="Times New Roman" w:cs="Times New Roman" w:eastAsia="Times New Roman" w:hint="default"/>
                <w:sz w:val="18"/>
                <w:szCs w:val="18"/>
              </w:rPr>
            </w:pPr>
            <w:r>
              <w:rPr>
                <w:rFonts w:ascii="Times New Roman"/>
                <w:sz w:val="18"/>
              </w:rPr>
              <w:t>21,04</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60" w:right="0"/>
              <w:jc w:val="left"/>
              <w:rPr>
                <w:rFonts w:ascii="Times New Roman" w:hAnsi="Times New Roman" w:cs="Times New Roman" w:eastAsia="Times New Roman" w:hint="default"/>
                <w:sz w:val="18"/>
                <w:szCs w:val="18"/>
              </w:rPr>
            </w:pPr>
            <w:r>
              <w:rPr>
                <w:rFonts w:ascii="Times New Roman"/>
                <w:sz w:val="18"/>
              </w:rPr>
              <w:t>168,8</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00"/>
              <w:jc w:val="right"/>
              <w:rPr>
                <w:rFonts w:ascii="Times New Roman" w:hAnsi="Times New Roman" w:cs="Times New Roman" w:eastAsia="Times New Roman" w:hint="default"/>
                <w:sz w:val="18"/>
                <w:szCs w:val="18"/>
              </w:rPr>
            </w:pPr>
            <w:r>
              <w:rPr>
                <w:rFonts w:ascii="Times New Roman"/>
                <w:sz w:val="18"/>
              </w:rPr>
              <w:t>12,64</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right="100"/>
              <w:jc w:val="right"/>
              <w:rPr>
                <w:rFonts w:ascii="Times New Roman" w:hAnsi="Times New Roman" w:cs="Times New Roman" w:eastAsia="Times New Roman" w:hint="default"/>
                <w:sz w:val="18"/>
                <w:szCs w:val="18"/>
              </w:rPr>
            </w:pPr>
            <w:r>
              <w:rPr>
                <w:rFonts w:ascii="Times New Roman"/>
                <w:sz w:val="18"/>
              </w:rPr>
              <w:t>435,0</w:t>
            </w:r>
          </w:p>
        </w:tc>
      </w:tr>
    </w:tbl>
    <w:p>
      <w:pPr>
        <w:spacing w:after="0" w:line="240" w:lineRule="auto"/>
        <w:jc w:val="right"/>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437"/>
        <w:gridCol w:w="562"/>
        <w:gridCol w:w="530"/>
        <w:gridCol w:w="532"/>
        <w:gridCol w:w="530"/>
        <w:gridCol w:w="665"/>
        <w:gridCol w:w="665"/>
        <w:gridCol w:w="665"/>
        <w:gridCol w:w="665"/>
        <w:gridCol w:w="665"/>
        <w:gridCol w:w="665"/>
        <w:gridCol w:w="678"/>
        <w:gridCol w:w="652"/>
        <w:gridCol w:w="659"/>
      </w:tblGrid>
      <w:tr>
        <w:trPr>
          <w:trHeight w:val="986" w:hRule="exact"/>
        </w:trPr>
        <w:tc>
          <w:tcPr>
            <w:tcW w:w="14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额</w:t>
            </w:r>
          </w:p>
        </w:tc>
        <w:tc>
          <w:tcPr>
            <w:tcW w:w="5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33"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5"/>
              <w:ind w:left="133" w:right="0"/>
              <w:jc w:val="left"/>
              <w:rPr>
                <w:rFonts w:ascii="Times New Roman" w:hAnsi="Times New Roman" w:cs="Times New Roman" w:eastAsia="Times New Roman" w:hint="default"/>
                <w:sz w:val="18"/>
                <w:szCs w:val="18"/>
              </w:rPr>
            </w:pPr>
            <w:r>
              <w:rPr>
                <w:rFonts w:ascii="Times New Roman"/>
                <w:sz w:val="18"/>
              </w:rPr>
              <w:t>00.0</w:t>
            </w:r>
          </w:p>
          <w:p>
            <w:pPr>
              <w:pStyle w:val="TableParagraph"/>
              <w:spacing w:line="240" w:lineRule="auto" w:before="106"/>
              <w:ind w:left="358" w:right="0"/>
              <w:jc w:val="left"/>
              <w:rPr>
                <w:rFonts w:ascii="Times New Roman" w:hAnsi="Times New Roman" w:cs="Times New Roman" w:eastAsia="Times New Roman" w:hint="default"/>
                <w:sz w:val="18"/>
                <w:szCs w:val="18"/>
              </w:rPr>
            </w:pPr>
            <w:r>
              <w:rPr>
                <w:rFonts w:ascii="Times New Roman"/>
                <w:sz w:val="18"/>
              </w:rPr>
              <w:t>0</w:t>
            </w:r>
          </w:p>
        </w:tc>
        <w:tc>
          <w:tcPr>
            <w:tcW w:w="530" w:type="dxa"/>
            <w:tcBorders>
              <w:top w:val="single" w:sz="4" w:space="0" w:color="000000"/>
              <w:left w:val="single" w:sz="4" w:space="0" w:color="000000"/>
              <w:bottom w:val="single" w:sz="4" w:space="0" w:color="000000"/>
              <w:right w:val="single" w:sz="4" w:space="0" w:color="000000"/>
            </w:tcBorders>
          </w:tcPr>
          <w:p>
            <w:pPr/>
          </w:p>
        </w:tc>
        <w:tc>
          <w:tcPr>
            <w:tcW w:w="532" w:type="dxa"/>
            <w:tcBorders>
              <w:top w:val="single" w:sz="4" w:space="0" w:color="000000"/>
              <w:left w:val="single" w:sz="4" w:space="0" w:color="000000"/>
              <w:bottom w:val="single" w:sz="4" w:space="0" w:color="000000"/>
              <w:right w:val="single" w:sz="4" w:space="0" w:color="000000"/>
            </w:tcBorders>
          </w:tcPr>
          <w:p>
            <w:pPr/>
          </w:p>
        </w:tc>
        <w:tc>
          <w:tcPr>
            <w:tcW w:w="530"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46" w:right="0"/>
              <w:jc w:val="left"/>
              <w:rPr>
                <w:rFonts w:ascii="Times New Roman" w:hAnsi="Times New Roman" w:cs="Times New Roman" w:eastAsia="Times New Roman" w:hint="default"/>
                <w:sz w:val="18"/>
                <w:szCs w:val="18"/>
              </w:rPr>
            </w:pPr>
            <w:r>
              <w:rPr>
                <w:rFonts w:ascii="Times New Roman"/>
                <w:sz w:val="18"/>
              </w:rPr>
              <w:t>32,03</w:t>
            </w:r>
          </w:p>
          <w:p>
            <w:pPr>
              <w:pStyle w:val="TableParagraph"/>
              <w:spacing w:line="240" w:lineRule="auto" w:before="106"/>
              <w:ind w:left="236" w:right="0"/>
              <w:jc w:val="left"/>
              <w:rPr>
                <w:rFonts w:ascii="Times New Roman" w:hAnsi="Times New Roman" w:cs="Times New Roman" w:eastAsia="Times New Roman" w:hint="default"/>
                <w:sz w:val="18"/>
                <w:szCs w:val="18"/>
              </w:rPr>
            </w:pPr>
            <w:r>
              <w:rPr>
                <w:rFonts w:ascii="Times New Roman"/>
                <w:sz w:val="18"/>
              </w:rPr>
              <w:t>5.86</w:t>
            </w: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5" w:right="0"/>
              <w:jc w:val="center"/>
              <w:rPr>
                <w:rFonts w:ascii="Times New Roman" w:hAnsi="Times New Roman" w:cs="Times New Roman" w:eastAsia="Times New Roman" w:hint="default"/>
                <w:sz w:val="18"/>
                <w:szCs w:val="18"/>
              </w:rPr>
            </w:pPr>
            <w:r>
              <w:rPr>
                <w:rFonts w:ascii="Times New Roman"/>
                <w:sz w:val="18"/>
              </w:rPr>
              <w:t>8,032</w:t>
            </w:r>
          </w:p>
          <w:p>
            <w:pPr>
              <w:pStyle w:val="TableParagraph"/>
              <w:spacing w:line="240" w:lineRule="auto" w:before="106"/>
              <w:ind w:left="225" w:right="0"/>
              <w:jc w:val="center"/>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42" w:right="0"/>
              <w:jc w:val="center"/>
              <w:rPr>
                <w:rFonts w:ascii="Times New Roman" w:hAnsi="Times New Roman" w:cs="Times New Roman" w:eastAsia="Times New Roman" w:hint="default"/>
                <w:sz w:val="18"/>
                <w:szCs w:val="18"/>
              </w:rPr>
            </w:pPr>
            <w:r>
              <w:rPr>
                <w:rFonts w:ascii="Times New Roman"/>
                <w:sz w:val="18"/>
              </w:rPr>
              <w:t>4,926</w:t>
            </w:r>
          </w:p>
          <w:p>
            <w:pPr>
              <w:pStyle w:val="TableParagraph"/>
              <w:spacing w:line="240" w:lineRule="auto" w:before="106"/>
              <w:ind w:left="222" w:right="0"/>
              <w:jc w:val="center"/>
              <w:rPr>
                <w:rFonts w:ascii="Times New Roman" w:hAnsi="Times New Roman" w:cs="Times New Roman" w:eastAsia="Times New Roman" w:hint="default"/>
                <w:sz w:val="18"/>
                <w:szCs w:val="18"/>
              </w:rPr>
            </w:pPr>
            <w:r>
              <w:rPr>
                <w:rFonts w:ascii="Times New Roman"/>
                <w:sz w:val="18"/>
              </w:rPr>
              <w:t>.05</w:t>
            </w:r>
          </w:p>
        </w:tc>
        <w:tc>
          <w:tcPr>
            <w:tcW w:w="665" w:type="dxa"/>
            <w:tcBorders>
              <w:top w:val="single" w:sz="4" w:space="0" w:color="000000"/>
              <w:left w:val="single" w:sz="4" w:space="0" w:color="000000"/>
              <w:bottom w:val="single" w:sz="4" w:space="0" w:color="000000"/>
              <w:right w:val="single" w:sz="4" w:space="0" w:color="000000"/>
            </w:tcBorders>
          </w:tcPr>
          <w:p>
            <w:pPr/>
          </w:p>
        </w:tc>
        <w:tc>
          <w:tcPr>
            <w:tcW w:w="67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60" w:right="0"/>
              <w:jc w:val="left"/>
              <w:rPr>
                <w:rFonts w:ascii="Times New Roman" w:hAnsi="Times New Roman" w:cs="Times New Roman" w:eastAsia="Times New Roman" w:hint="default"/>
                <w:sz w:val="18"/>
                <w:szCs w:val="18"/>
              </w:rPr>
            </w:pPr>
            <w:r>
              <w:rPr>
                <w:rFonts w:ascii="Times New Roman"/>
                <w:sz w:val="18"/>
              </w:rPr>
              <w:t>63,94</w:t>
            </w:r>
          </w:p>
          <w:p>
            <w:pPr>
              <w:pStyle w:val="TableParagraph"/>
              <w:spacing w:line="240" w:lineRule="auto" w:before="106"/>
              <w:ind w:left="250" w:right="0"/>
              <w:jc w:val="left"/>
              <w:rPr>
                <w:rFonts w:ascii="Times New Roman" w:hAnsi="Times New Roman" w:cs="Times New Roman" w:eastAsia="Times New Roman" w:hint="default"/>
                <w:sz w:val="18"/>
                <w:szCs w:val="18"/>
              </w:rPr>
            </w:pPr>
            <w:r>
              <w:rPr>
                <w:rFonts w:ascii="Times New Roman"/>
                <w:sz w:val="18"/>
              </w:rPr>
              <w:t>7.16</w:t>
            </w:r>
          </w:p>
        </w:tc>
        <w:tc>
          <w:tcPr>
            <w:tcW w:w="6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32" w:right="0"/>
              <w:jc w:val="center"/>
              <w:rPr>
                <w:rFonts w:ascii="Times New Roman" w:hAnsi="Times New Roman" w:cs="Times New Roman" w:eastAsia="Times New Roman" w:hint="default"/>
                <w:sz w:val="18"/>
                <w:szCs w:val="18"/>
              </w:rPr>
            </w:pPr>
            <w:r>
              <w:rPr>
                <w:rFonts w:ascii="Times New Roman"/>
                <w:sz w:val="18"/>
              </w:rPr>
              <w:t>8,151</w:t>
            </w:r>
          </w:p>
          <w:p>
            <w:pPr>
              <w:pStyle w:val="TableParagraph"/>
              <w:spacing w:line="240" w:lineRule="auto" w:before="106"/>
              <w:ind w:left="212" w:right="0"/>
              <w:jc w:val="center"/>
              <w:rPr>
                <w:rFonts w:ascii="Times New Roman" w:hAnsi="Times New Roman" w:cs="Times New Roman" w:eastAsia="Times New Roman" w:hint="default"/>
                <w:sz w:val="18"/>
                <w:szCs w:val="18"/>
              </w:rPr>
            </w:pPr>
            <w:r>
              <w:rPr>
                <w:rFonts w:ascii="Times New Roman"/>
                <w:sz w:val="18"/>
              </w:rPr>
              <w:t>.92</w:t>
            </w:r>
          </w:p>
        </w:tc>
        <w:tc>
          <w:tcPr>
            <w:tcW w:w="6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0"/>
              <w:ind w:left="141" w:right="0"/>
              <w:jc w:val="left"/>
              <w:rPr>
                <w:rFonts w:ascii="Times New Roman" w:hAnsi="Times New Roman" w:cs="Times New Roman" w:eastAsia="Times New Roman" w:hint="default"/>
                <w:sz w:val="18"/>
                <w:szCs w:val="18"/>
              </w:rPr>
            </w:pPr>
            <w:r>
              <w:rPr>
                <w:rFonts w:ascii="Times New Roman"/>
                <w:sz w:val="18"/>
              </w:rPr>
              <w:t>21,02</w:t>
            </w:r>
          </w:p>
          <w:p>
            <w:pPr>
              <w:pStyle w:val="TableParagraph"/>
              <w:spacing w:line="240" w:lineRule="auto" w:before="106"/>
              <w:ind w:left="231" w:right="0"/>
              <w:jc w:val="left"/>
              <w:rPr>
                <w:rFonts w:ascii="Times New Roman" w:hAnsi="Times New Roman" w:cs="Times New Roman" w:eastAsia="Times New Roman" w:hint="default"/>
                <w:sz w:val="18"/>
                <w:szCs w:val="18"/>
              </w:rPr>
            </w:pPr>
            <w:r>
              <w:rPr>
                <w:rFonts w:ascii="Times New Roman"/>
                <w:sz w:val="18"/>
              </w:rPr>
              <w:t>8.99</w:t>
            </w:r>
          </w:p>
        </w:tc>
      </w:tr>
    </w:tbl>
    <w:p>
      <w:pPr>
        <w:spacing w:line="240" w:lineRule="auto" w:before="10"/>
        <w:rPr>
          <w:rFonts w:ascii="Times New Roman" w:hAnsi="Times New Roman" w:cs="Times New Roman" w:eastAsia="Times New Roman" w:hint="default"/>
          <w:sz w:val="21"/>
          <w:szCs w:val="21"/>
        </w:rPr>
      </w:pPr>
    </w:p>
    <w:p>
      <w:pPr>
        <w:spacing w:before="35"/>
        <w:ind w:left="114" w:right="0" w:firstLine="0"/>
        <w:jc w:val="left"/>
        <w:rPr>
          <w:rFonts w:ascii="宋体" w:hAnsi="宋体" w:cs="宋体" w:eastAsia="宋体" w:hint="default"/>
          <w:sz w:val="21"/>
          <w:szCs w:val="21"/>
        </w:rPr>
      </w:pPr>
      <w:bookmarkStart w:name="8、母公司所有者权益变动表" w:id="166"/>
      <w:bookmarkEnd w:id="166"/>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、母公司所有者权益变动表</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本期金额</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402" w:hRule="exact"/>
        </w:trPr>
        <w:tc>
          <w:tcPr>
            <w:tcW w:w="14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3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w:t>
            </w:r>
          </w:p>
        </w:tc>
      </w:tr>
      <w:tr>
        <w:trPr>
          <w:trHeight w:val="402" w:hRule="exact"/>
        </w:trPr>
        <w:tc>
          <w:tcPr>
            <w:tcW w:w="1442" w:type="dxa"/>
            <w:vMerge/>
            <w:tcBorders>
              <w:left w:val="single" w:sz="4" w:space="0" w:color="000000"/>
              <w:right w:val="single" w:sz="4" w:space="0" w:color="000000"/>
            </w:tcBorders>
            <w:shd w:val="clear" w:color="auto" w:fill="D2D2D2"/>
          </w:tcPr>
          <w:p>
            <w:pPr/>
          </w:p>
        </w:tc>
        <w:tc>
          <w:tcPr>
            <w:tcW w:w="6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160"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303" w:right="121"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213" w:right="122"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123" w:right="122"/>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302" w:right="124"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6" w:lineRule="auto"/>
              <w:ind w:left="302" w:right="122"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52" w:right="151"/>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15" w:right="114"/>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714" w:hRule="exact"/>
        </w:trPr>
        <w:tc>
          <w:tcPr>
            <w:tcW w:w="1442" w:type="dxa"/>
            <w:vMerge/>
            <w:tcBorders>
              <w:left w:val="single" w:sz="4" w:space="0" w:color="000000"/>
              <w:bottom w:val="single" w:sz="4" w:space="0" w:color="000000"/>
              <w:right w:val="single" w:sz="4" w:space="0" w:color="000000"/>
            </w:tcBorders>
            <w:shd w:val="clear" w:color="auto" w:fill="D2D2D2"/>
          </w:tcPr>
          <w:p>
            <w:pPr/>
          </w:p>
        </w:tc>
        <w:tc>
          <w:tcPr>
            <w:tcW w:w="691" w:type="dxa"/>
            <w:vMerge/>
            <w:tcBorders>
              <w:left w:val="single" w:sz="4" w:space="0" w:color="000000"/>
              <w:bottom w:val="single" w:sz="4" w:space="0" w:color="000000"/>
              <w:right w:val="single" w:sz="4" w:space="0" w:color="000000"/>
            </w:tcBorders>
            <w:shd w:val="clear" w:color="auto" w:fill="D2D2D2"/>
          </w:tcPr>
          <w:p>
            <w:pP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37" w:right="145"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37" w:right="145"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pacing w:val="-5"/>
                <w:sz w:val="18"/>
                <w:szCs w:val="18"/>
              </w:rPr>
              <w:t>一、上年期末余</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3" w:right="0"/>
              <w:jc w:val="left"/>
              <w:rPr>
                <w:rFonts w:ascii="Times New Roman" w:hAnsi="Times New Roman" w:cs="Times New Roman" w:eastAsia="Times New Roman" w:hint="default"/>
                <w:sz w:val="18"/>
                <w:szCs w:val="18"/>
              </w:rPr>
            </w:pPr>
            <w:r>
              <w:rPr>
                <w:rFonts w:ascii="Times New Roman"/>
                <w:sz w:val="18"/>
              </w:rPr>
              <w:t>68,30</w:t>
            </w:r>
          </w:p>
          <w:p>
            <w:pPr>
              <w:pStyle w:val="TableParagraph"/>
              <w:spacing w:line="240" w:lineRule="auto" w:before="104"/>
              <w:ind w:left="128"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398" w:right="0"/>
              <w:jc w:val="lef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224,42</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1,696.4</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60,268,</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032.00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2" w:right="0"/>
              <w:jc w:val="left"/>
              <w:rPr>
                <w:rFonts w:ascii="Times New Roman" w:hAnsi="Times New Roman" w:cs="Times New Roman" w:eastAsia="Times New Roman" w:hint="default"/>
                <w:sz w:val="18"/>
                <w:szCs w:val="18"/>
              </w:rPr>
            </w:pPr>
            <w:r>
              <w:rPr>
                <w:rFonts w:ascii="Times New Roman"/>
                <w:sz w:val="18"/>
              </w:rPr>
              <w:t>21,044,</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926.05</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4" w:right="0"/>
              <w:jc w:val="left"/>
              <w:rPr>
                <w:rFonts w:ascii="Times New Roman" w:hAnsi="Times New Roman" w:cs="Times New Roman" w:eastAsia="Times New Roman" w:hint="default"/>
                <w:sz w:val="18"/>
                <w:szCs w:val="18"/>
              </w:rPr>
            </w:pPr>
            <w:r>
              <w:rPr>
                <w:rFonts w:ascii="Times New Roman"/>
                <w:sz w:val="18"/>
              </w:rPr>
              <w:t>119,8</w:t>
            </w:r>
          </w:p>
          <w:p>
            <w:pPr>
              <w:pStyle w:val="TableParagraph"/>
              <w:spacing w:line="240" w:lineRule="auto" w:before="104"/>
              <w:ind w:left="158" w:right="0"/>
              <w:jc w:val="left"/>
              <w:rPr>
                <w:rFonts w:ascii="Times New Roman" w:hAnsi="Times New Roman" w:cs="Times New Roman" w:eastAsia="Times New Roman" w:hint="default"/>
                <w:sz w:val="18"/>
                <w:szCs w:val="18"/>
              </w:rPr>
            </w:pPr>
            <w:r>
              <w:rPr>
                <w:rFonts w:ascii="Times New Roman"/>
                <w:sz w:val="18"/>
              </w:rPr>
              <w:t>58,23</w:t>
            </w:r>
          </w:p>
          <w:p>
            <w:pPr>
              <w:pStyle w:val="TableParagraph"/>
              <w:spacing w:line="240" w:lineRule="auto" w:before="106"/>
              <w:ind w:left="248" w:right="0"/>
              <w:jc w:val="left"/>
              <w:rPr>
                <w:rFonts w:ascii="Times New Roman" w:hAnsi="Times New Roman" w:cs="Times New Roman" w:eastAsia="Times New Roman" w:hint="default"/>
                <w:sz w:val="18"/>
                <w:szCs w:val="18"/>
              </w:rPr>
            </w:pPr>
            <w:r>
              <w:rPr>
                <w:rFonts w:ascii="Times New Roman"/>
                <w:sz w:val="18"/>
              </w:rPr>
              <w:t>4.19</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373,35</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6,824.7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3</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01" w:firstLine="360"/>
              <w:jc w:val="left"/>
              <w:rPr>
                <w:rFonts w:ascii="宋体" w:hAnsi="宋体" w:cs="宋体" w:eastAsia="宋体" w:hint="default"/>
                <w:sz w:val="18"/>
                <w:szCs w:val="18"/>
              </w:rPr>
            </w:pPr>
            <w:r>
              <w:rPr>
                <w:rFonts w:ascii="宋体" w:hAnsi="宋体" w:cs="宋体" w:eastAsia="宋体" w:hint="default"/>
                <w:spacing w:val="-7"/>
                <w:sz w:val="18"/>
                <w:szCs w:val="18"/>
              </w:rPr>
              <w:t>加：会计政</w:t>
            </w:r>
            <w:r>
              <w:rPr>
                <w:rFonts w:ascii="宋体" w:hAnsi="宋体" w:cs="宋体" w:eastAsia="宋体" w:hint="default"/>
                <w:sz w:val="18"/>
                <w:szCs w:val="18"/>
              </w:rPr>
              <w:t> 策变更</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前期</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差错更正</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pacing w:val="-5"/>
                <w:sz w:val="18"/>
                <w:szCs w:val="18"/>
              </w:rPr>
              <w:t>二、本年期初余</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3" w:right="0"/>
              <w:jc w:val="left"/>
              <w:rPr>
                <w:rFonts w:ascii="Times New Roman" w:hAnsi="Times New Roman" w:cs="Times New Roman" w:eastAsia="Times New Roman" w:hint="default"/>
                <w:sz w:val="18"/>
                <w:szCs w:val="18"/>
              </w:rPr>
            </w:pPr>
            <w:r>
              <w:rPr>
                <w:rFonts w:ascii="Times New Roman"/>
                <w:sz w:val="18"/>
              </w:rPr>
              <w:t>68,30</w:t>
            </w:r>
          </w:p>
          <w:p>
            <w:pPr>
              <w:pStyle w:val="TableParagraph"/>
              <w:spacing w:line="240" w:lineRule="auto" w:before="104"/>
              <w:ind w:left="128"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398" w:right="0"/>
              <w:jc w:val="lef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224,42</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1,696.4</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60,268,</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032.00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2" w:right="0"/>
              <w:jc w:val="left"/>
              <w:rPr>
                <w:rFonts w:ascii="Times New Roman" w:hAnsi="Times New Roman" w:cs="Times New Roman" w:eastAsia="Times New Roman" w:hint="default"/>
                <w:sz w:val="18"/>
                <w:szCs w:val="18"/>
              </w:rPr>
            </w:pPr>
            <w:r>
              <w:rPr>
                <w:rFonts w:ascii="Times New Roman"/>
                <w:sz w:val="18"/>
              </w:rPr>
              <w:t>21,044,</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926.05</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4" w:right="0"/>
              <w:jc w:val="left"/>
              <w:rPr>
                <w:rFonts w:ascii="Times New Roman" w:hAnsi="Times New Roman" w:cs="Times New Roman" w:eastAsia="Times New Roman" w:hint="default"/>
                <w:sz w:val="18"/>
                <w:szCs w:val="18"/>
              </w:rPr>
            </w:pPr>
            <w:r>
              <w:rPr>
                <w:rFonts w:ascii="Times New Roman"/>
                <w:sz w:val="18"/>
              </w:rPr>
              <w:t>119,8</w:t>
            </w:r>
          </w:p>
          <w:p>
            <w:pPr>
              <w:pStyle w:val="TableParagraph"/>
              <w:spacing w:line="240" w:lineRule="auto" w:before="104"/>
              <w:ind w:left="158" w:right="0"/>
              <w:jc w:val="left"/>
              <w:rPr>
                <w:rFonts w:ascii="Times New Roman" w:hAnsi="Times New Roman" w:cs="Times New Roman" w:eastAsia="Times New Roman" w:hint="default"/>
                <w:sz w:val="18"/>
                <w:szCs w:val="18"/>
              </w:rPr>
            </w:pPr>
            <w:r>
              <w:rPr>
                <w:rFonts w:ascii="Times New Roman"/>
                <w:sz w:val="18"/>
              </w:rPr>
              <w:t>58,23</w:t>
            </w:r>
          </w:p>
          <w:p>
            <w:pPr>
              <w:pStyle w:val="TableParagraph"/>
              <w:spacing w:line="240" w:lineRule="auto" w:before="106"/>
              <w:ind w:left="248" w:right="0"/>
              <w:jc w:val="left"/>
              <w:rPr>
                <w:rFonts w:ascii="Times New Roman" w:hAnsi="Times New Roman" w:cs="Times New Roman" w:eastAsia="Times New Roman" w:hint="default"/>
                <w:sz w:val="18"/>
                <w:szCs w:val="18"/>
              </w:rPr>
            </w:pPr>
            <w:r>
              <w:rPr>
                <w:rFonts w:ascii="Times New Roman"/>
                <w:sz w:val="18"/>
              </w:rPr>
              <w:t>4.19</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373,35</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6,824.7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3</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66"/>
              <w:jc w:val="both"/>
              <w:rPr>
                <w:rFonts w:ascii="宋体" w:hAnsi="宋体" w:cs="宋体" w:eastAsia="宋体" w:hint="default"/>
                <w:sz w:val="18"/>
                <w:szCs w:val="18"/>
              </w:rPr>
            </w:pPr>
            <w:r>
              <w:rPr>
                <w:rFonts w:ascii="宋体" w:hAnsi="宋体" w:cs="宋体" w:eastAsia="宋体" w:hint="default"/>
                <w:spacing w:val="-5"/>
                <w:sz w:val="18"/>
                <w:szCs w:val="18"/>
              </w:rPr>
              <w:t>三、本期增减变</w:t>
            </w:r>
            <w:r>
              <w:rPr>
                <w:rFonts w:ascii="宋体" w:hAnsi="宋体" w:cs="宋体" w:eastAsia="宋体" w:hint="default"/>
                <w:sz w:val="18"/>
                <w:szCs w:val="18"/>
              </w:rPr>
              <w:t> </w:t>
            </w:r>
            <w:r>
              <w:rPr>
                <w:rFonts w:ascii="宋体" w:hAnsi="宋体" w:cs="宋体" w:eastAsia="宋体" w:hint="default"/>
                <w:spacing w:val="-5"/>
                <w:sz w:val="18"/>
                <w:szCs w:val="18"/>
              </w:rPr>
              <w:t>动金额（减少以</w:t>
            </w:r>
            <w:r>
              <w:rPr>
                <w:rFonts w:ascii="宋体" w:hAnsi="宋体" w:cs="宋体" w:eastAsia="宋体" w:hint="default"/>
                <w:sz w:val="18"/>
                <w:szCs w:val="18"/>
              </w:rPr>
              <w:t> “－”号填列）</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3" w:right="0"/>
              <w:jc w:val="left"/>
              <w:rPr>
                <w:rFonts w:ascii="Times New Roman" w:hAnsi="Times New Roman" w:cs="Times New Roman" w:eastAsia="Times New Roman" w:hint="default"/>
                <w:sz w:val="18"/>
                <w:szCs w:val="18"/>
              </w:rPr>
            </w:pPr>
            <w:r>
              <w:rPr>
                <w:rFonts w:ascii="Times New Roman"/>
                <w:sz w:val="18"/>
              </w:rPr>
              <w:t>53,69</w:t>
            </w:r>
          </w:p>
          <w:p>
            <w:pPr>
              <w:pStyle w:val="TableParagraph"/>
              <w:spacing w:line="240" w:lineRule="auto" w:before="104"/>
              <w:ind w:left="128" w:right="0"/>
              <w:jc w:val="left"/>
              <w:rPr>
                <w:rFonts w:ascii="Times New Roman" w:hAnsi="Times New Roman" w:cs="Times New Roman" w:eastAsia="Times New Roman" w:hint="default"/>
                <w:sz w:val="18"/>
                <w:szCs w:val="18"/>
              </w:rPr>
            </w:pPr>
            <w:r>
              <w:rPr>
                <w:rFonts w:ascii="Times New Roman"/>
                <w:sz w:val="18"/>
              </w:rPr>
              <w:t>3,920.</w:t>
            </w:r>
          </w:p>
          <w:p>
            <w:pPr>
              <w:pStyle w:val="TableParagraph"/>
              <w:spacing w:line="240" w:lineRule="auto" w:before="106"/>
              <w:ind w:left="398" w:right="0"/>
              <w:jc w:val="lef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-84,366</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,128.00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0" w:right="0"/>
              <w:jc w:val="left"/>
              <w:rPr>
                <w:rFonts w:ascii="Times New Roman" w:hAnsi="Times New Roman" w:cs="Times New Roman" w:eastAsia="Times New Roman" w:hint="default"/>
                <w:sz w:val="18"/>
                <w:szCs w:val="18"/>
              </w:rPr>
            </w:pPr>
            <w:r>
              <w:rPr>
                <w:rFonts w:ascii="Times New Roman"/>
                <w:sz w:val="18"/>
              </w:rPr>
              <w:t>-22,857</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,040.34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113,436</w:t>
            </w:r>
          </w:p>
          <w:p>
            <w:pPr>
              <w:pStyle w:val="TableParagraph"/>
              <w:spacing w:line="240" w:lineRule="auto" w:before="105"/>
              <w:ind w:left="458" w:right="0"/>
              <w:jc w:val="left"/>
              <w:rPr>
                <w:rFonts w:ascii="Times New Roman" w:hAnsi="Times New Roman" w:cs="Times New Roman" w:eastAsia="Times New Roman" w:hint="default"/>
                <w:sz w:val="18"/>
                <w:szCs w:val="18"/>
              </w:rPr>
            </w:pPr>
            <w:r>
              <w:rPr>
                <w:rFonts w:ascii="Times New Roman"/>
                <w:sz w:val="18"/>
              </w:rPr>
              <w:t>.73</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center"/>
              <w:rPr>
                <w:rFonts w:ascii="Times New Roman" w:hAnsi="Times New Roman" w:cs="Times New Roman" w:eastAsia="Times New Roman" w:hint="default"/>
                <w:sz w:val="18"/>
                <w:szCs w:val="18"/>
              </w:rPr>
            </w:pPr>
            <w:r>
              <w:rPr>
                <w:rFonts w:ascii="Times New Roman"/>
                <w:sz w:val="18"/>
              </w:rPr>
              <w:t>-5,75</w:t>
            </w:r>
          </w:p>
          <w:p>
            <w:pPr>
              <w:pStyle w:val="TableParagraph"/>
              <w:spacing w:line="240" w:lineRule="auto" w:before="104"/>
              <w:ind w:left="112" w:right="0"/>
              <w:jc w:val="left"/>
              <w:rPr>
                <w:rFonts w:ascii="Times New Roman" w:hAnsi="Times New Roman" w:cs="Times New Roman" w:eastAsia="Times New Roman" w:hint="default"/>
                <w:sz w:val="18"/>
                <w:szCs w:val="18"/>
              </w:rPr>
            </w:pPr>
            <w:r>
              <w:rPr>
                <w:rFonts w:ascii="Times New Roman"/>
                <w:sz w:val="18"/>
              </w:rPr>
              <w:t>6,509.</w:t>
            </w:r>
          </w:p>
          <w:p>
            <w:pPr>
              <w:pStyle w:val="TableParagraph"/>
              <w:spacing w:line="240" w:lineRule="auto" w:before="106"/>
              <w:ind w:left="279" w:right="0"/>
              <w:jc w:val="center"/>
              <w:rPr>
                <w:rFonts w:ascii="Times New Roman" w:hAnsi="Times New Roman" w:cs="Times New Roman" w:eastAsia="Times New Roman" w:hint="default"/>
                <w:sz w:val="18"/>
                <w:szCs w:val="18"/>
              </w:rPr>
            </w:pPr>
            <w:r>
              <w:rPr>
                <w:rFonts w:ascii="Times New Roman"/>
                <w:sz w:val="18"/>
              </w:rPr>
              <w:t>48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3" w:right="0"/>
              <w:jc w:val="left"/>
              <w:rPr>
                <w:rFonts w:ascii="Times New Roman" w:hAnsi="Times New Roman" w:cs="Times New Roman" w:eastAsia="Times New Roman" w:hint="default"/>
                <w:sz w:val="18"/>
                <w:szCs w:val="18"/>
              </w:rPr>
            </w:pPr>
            <w:r>
              <w:rPr>
                <w:rFonts w:ascii="Times New Roman"/>
                <w:sz w:val="18"/>
              </w:rPr>
              <w:t>-13,458</w:t>
            </w:r>
          </w:p>
          <w:p>
            <w:pPr>
              <w:pStyle w:val="TableParagraph"/>
              <w:spacing w:line="240" w:lineRule="auto" w:before="105"/>
              <w:ind w:left="128" w:right="0"/>
              <w:jc w:val="left"/>
              <w:rPr>
                <w:rFonts w:ascii="Times New Roman" w:hAnsi="Times New Roman" w:cs="Times New Roman" w:eastAsia="Times New Roman" w:hint="default"/>
                <w:sz w:val="18"/>
                <w:szCs w:val="18"/>
              </w:rPr>
            </w:pPr>
            <w:r>
              <w:rPr>
                <w:rFonts w:ascii="Times New Roman"/>
                <w:sz w:val="18"/>
              </w:rPr>
              <w:t>,240.41</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pacing w:val="-5"/>
                <w:sz w:val="18"/>
                <w:szCs w:val="18"/>
              </w:rPr>
              <w:t>（一）综合收益</w:t>
            </w:r>
            <w:r>
              <w:rPr>
                <w:rFonts w:ascii="宋体" w:hAnsi="宋体" w:cs="宋体" w:eastAsia="宋体" w:hint="default"/>
                <w:sz w:val="18"/>
                <w:szCs w:val="18"/>
              </w:rPr>
              <w:t> 总额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1,134,</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367.2</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1,134,3</w:t>
            </w:r>
          </w:p>
          <w:p>
            <w:pPr>
              <w:pStyle w:val="TableParagraph"/>
              <w:spacing w:line="240" w:lineRule="auto" w:before="105"/>
              <w:ind w:left="161" w:right="0"/>
              <w:jc w:val="center"/>
              <w:rPr>
                <w:rFonts w:ascii="Times New Roman" w:hAnsi="Times New Roman" w:cs="Times New Roman" w:eastAsia="Times New Roman" w:hint="default"/>
                <w:sz w:val="18"/>
                <w:szCs w:val="18"/>
              </w:rPr>
            </w:pPr>
            <w:r>
              <w:rPr>
                <w:rFonts w:ascii="Times New Roman"/>
                <w:sz w:val="18"/>
              </w:rPr>
              <w:t>67.25</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pacing w:val="-5"/>
                <w:sz w:val="18"/>
                <w:szCs w:val="18"/>
              </w:rPr>
              <w:t>（二）所有者投</w:t>
            </w:r>
            <w:r>
              <w:rPr>
                <w:rFonts w:ascii="宋体" w:hAnsi="宋体" w:cs="宋体" w:eastAsia="宋体" w:hint="default"/>
                <w:sz w:val="18"/>
                <w:szCs w:val="18"/>
              </w:rPr>
              <w:t> 入和减少资本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3" w:right="0"/>
              <w:jc w:val="left"/>
              <w:rPr>
                <w:rFonts w:ascii="Times New Roman" w:hAnsi="Times New Roman" w:cs="Times New Roman" w:eastAsia="Times New Roman" w:hint="default"/>
                <w:sz w:val="18"/>
                <w:szCs w:val="18"/>
              </w:rPr>
            </w:pPr>
            <w:r>
              <w:rPr>
                <w:rFonts w:ascii="Times New Roman"/>
                <w:sz w:val="18"/>
              </w:rPr>
              <w:t>-525,6</w:t>
            </w:r>
          </w:p>
          <w:p>
            <w:pPr>
              <w:pStyle w:val="TableParagraph"/>
              <w:spacing w:line="240" w:lineRule="auto" w:before="105"/>
              <w:ind w:left="173" w:right="0"/>
              <w:jc w:val="left"/>
              <w:rPr>
                <w:rFonts w:ascii="Times New Roman" w:hAnsi="Times New Roman" w:cs="Times New Roman" w:eastAsia="Times New Roman" w:hint="default"/>
                <w:sz w:val="18"/>
                <w:szCs w:val="18"/>
              </w:rPr>
            </w:pPr>
            <w:r>
              <w:rPr>
                <w:rFonts w:ascii="Times New Roman"/>
                <w:sz w:val="18"/>
              </w:rPr>
              <w:t>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9" w:right="0"/>
              <w:jc w:val="left"/>
              <w:rPr>
                <w:rFonts w:ascii="Times New Roman" w:hAnsi="Times New Roman" w:cs="Times New Roman" w:eastAsia="Times New Roman" w:hint="default"/>
                <w:sz w:val="18"/>
                <w:szCs w:val="18"/>
              </w:rPr>
            </w:pPr>
            <w:r>
              <w:rPr>
                <w:rFonts w:ascii="Times New Roman"/>
                <w:sz w:val="18"/>
              </w:rPr>
              <w:t>-30,146</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,608.00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0" w:right="0"/>
              <w:jc w:val="left"/>
              <w:rPr>
                <w:rFonts w:ascii="Times New Roman" w:hAnsi="Times New Roman" w:cs="Times New Roman" w:eastAsia="Times New Roman" w:hint="default"/>
                <w:sz w:val="18"/>
                <w:szCs w:val="18"/>
              </w:rPr>
            </w:pPr>
            <w:r>
              <w:rPr>
                <w:rFonts w:ascii="Times New Roman"/>
                <w:sz w:val="18"/>
              </w:rPr>
              <w:t>-22,857</w:t>
            </w:r>
          </w:p>
          <w:p>
            <w:pPr>
              <w:pStyle w:val="TableParagraph"/>
              <w:spacing w:line="240" w:lineRule="auto" w:before="105"/>
              <w:ind w:left="145" w:right="0"/>
              <w:jc w:val="left"/>
              <w:rPr>
                <w:rFonts w:ascii="Times New Roman" w:hAnsi="Times New Roman" w:cs="Times New Roman" w:eastAsia="Times New Roman" w:hint="default"/>
                <w:sz w:val="18"/>
                <w:szCs w:val="18"/>
              </w:rPr>
            </w:pPr>
            <w:r>
              <w:rPr>
                <w:rFonts w:ascii="Times New Roman"/>
                <w:sz w:val="18"/>
              </w:rPr>
              <w:t>,040.34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8" w:right="0"/>
              <w:jc w:val="left"/>
              <w:rPr>
                <w:rFonts w:ascii="Times New Roman" w:hAnsi="Times New Roman" w:cs="Times New Roman" w:eastAsia="Times New Roman" w:hint="default"/>
                <w:sz w:val="18"/>
                <w:szCs w:val="18"/>
              </w:rPr>
            </w:pPr>
            <w:r>
              <w:rPr>
                <w:rFonts w:ascii="Times New Roman"/>
                <w:sz w:val="18"/>
              </w:rPr>
              <w:t>-7,815,</w:t>
            </w:r>
          </w:p>
          <w:p>
            <w:pPr>
              <w:pStyle w:val="TableParagraph"/>
              <w:spacing w:line="240" w:lineRule="auto" w:before="105"/>
              <w:ind w:left="173" w:right="0"/>
              <w:jc w:val="left"/>
              <w:rPr>
                <w:rFonts w:ascii="Times New Roman" w:hAnsi="Times New Roman" w:cs="Times New Roman" w:eastAsia="Times New Roman" w:hint="default"/>
                <w:sz w:val="18"/>
                <w:szCs w:val="18"/>
              </w:rPr>
            </w:pPr>
            <w:r>
              <w:rPr>
                <w:rFonts w:ascii="Times New Roman"/>
                <w:sz w:val="18"/>
              </w:rPr>
              <w:t>167.66</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3" w:right="0"/>
              <w:jc w:val="left"/>
              <w:rPr>
                <w:rFonts w:ascii="Times New Roman" w:hAnsi="Times New Roman" w:cs="Times New Roman" w:eastAsia="Times New Roman" w:hint="default"/>
                <w:sz w:val="18"/>
                <w:szCs w:val="18"/>
              </w:rPr>
            </w:pPr>
            <w:r>
              <w:rPr>
                <w:rFonts w:ascii="Times New Roman"/>
                <w:sz w:val="18"/>
              </w:rPr>
              <w:t>-525,6</w:t>
            </w:r>
          </w:p>
          <w:p>
            <w:pPr>
              <w:pStyle w:val="TableParagraph"/>
              <w:spacing w:line="240" w:lineRule="auto" w:before="105"/>
              <w:ind w:left="173" w:right="0"/>
              <w:jc w:val="left"/>
              <w:rPr>
                <w:rFonts w:ascii="Times New Roman" w:hAnsi="Times New Roman" w:cs="Times New Roman" w:eastAsia="Times New Roman" w:hint="default"/>
                <w:sz w:val="18"/>
                <w:szCs w:val="18"/>
              </w:rPr>
            </w:pPr>
            <w:r>
              <w:rPr>
                <w:rFonts w:ascii="Times New Roman"/>
                <w:sz w:val="18"/>
              </w:rPr>
              <w:t>00.00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29" w:right="0"/>
              <w:jc w:val="left"/>
              <w:rPr>
                <w:rFonts w:ascii="Times New Roman" w:hAnsi="Times New Roman" w:cs="Times New Roman" w:eastAsia="Times New Roman" w:hint="default"/>
                <w:sz w:val="18"/>
                <w:szCs w:val="18"/>
              </w:rPr>
            </w:pPr>
            <w:r>
              <w:rPr>
                <w:rFonts w:ascii="Times New Roman"/>
                <w:sz w:val="18"/>
              </w:rPr>
              <w:t>-28,739</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,808.00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3" w:right="0"/>
              <w:jc w:val="left"/>
              <w:rPr>
                <w:rFonts w:ascii="Times New Roman" w:hAnsi="Times New Roman" w:cs="Times New Roman" w:eastAsia="Times New Roman" w:hint="default"/>
                <w:sz w:val="18"/>
                <w:szCs w:val="18"/>
              </w:rPr>
            </w:pPr>
            <w:r>
              <w:rPr>
                <w:rFonts w:ascii="Times New Roman"/>
                <w:sz w:val="18"/>
              </w:rPr>
              <w:t>-29,265</w:t>
            </w:r>
          </w:p>
          <w:p>
            <w:pPr>
              <w:pStyle w:val="TableParagraph"/>
              <w:spacing w:line="240" w:lineRule="auto" w:before="105"/>
              <w:ind w:left="128" w:right="0"/>
              <w:jc w:val="left"/>
              <w:rPr>
                <w:rFonts w:ascii="Times New Roman" w:hAnsi="Times New Roman" w:cs="Times New Roman" w:eastAsia="Times New Roman" w:hint="default"/>
                <w:sz w:val="18"/>
                <w:szCs w:val="18"/>
              </w:rPr>
            </w:pPr>
            <w:r>
              <w:rPr>
                <w:rFonts w:ascii="Times New Roman"/>
                <w:sz w:val="18"/>
              </w:rPr>
              <w:t>,408.00</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73" w:right="0"/>
              <w:jc w:val="left"/>
              <w:rPr>
                <w:rFonts w:ascii="Times New Roman" w:hAnsi="Times New Roman" w:cs="Times New Roman" w:eastAsia="Times New Roman" w:hint="default"/>
                <w:sz w:val="18"/>
                <w:szCs w:val="18"/>
              </w:rPr>
            </w:pPr>
            <w:r>
              <w:rPr>
                <w:rFonts w:ascii="Times New Roman"/>
                <w:sz w:val="18"/>
              </w:rPr>
              <w:t>-1,406,</w:t>
            </w:r>
          </w:p>
          <w:p>
            <w:pPr>
              <w:pStyle w:val="TableParagraph"/>
              <w:spacing w:line="240" w:lineRule="auto" w:before="105"/>
              <w:ind w:left="189" w:right="0"/>
              <w:jc w:val="left"/>
              <w:rPr>
                <w:rFonts w:ascii="Times New Roman" w:hAnsi="Times New Roman" w:cs="Times New Roman" w:eastAsia="Times New Roman" w:hint="default"/>
                <w:sz w:val="18"/>
                <w:szCs w:val="18"/>
              </w:rPr>
            </w:pPr>
            <w:r>
              <w:rPr>
                <w:rFonts w:ascii="Times New Roman"/>
                <w:sz w:val="18"/>
              </w:rPr>
              <w:t>800.00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-1,406,</w:t>
            </w:r>
          </w:p>
          <w:p>
            <w:pPr>
              <w:pStyle w:val="TableParagraph"/>
              <w:spacing w:line="240" w:lineRule="auto" w:before="105"/>
              <w:ind w:left="173" w:right="0"/>
              <w:jc w:val="left"/>
              <w:rPr>
                <w:rFonts w:ascii="Times New Roman" w:hAnsi="Times New Roman" w:cs="Times New Roman" w:eastAsia="Times New Roman" w:hint="default"/>
                <w:sz w:val="18"/>
                <w:szCs w:val="18"/>
              </w:rPr>
            </w:pPr>
            <w:r>
              <w:rPr>
                <w:rFonts w:ascii="Times New Roman"/>
                <w:sz w:val="18"/>
              </w:rPr>
              <w:t>800.00</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30" w:right="0"/>
              <w:jc w:val="left"/>
              <w:rPr>
                <w:rFonts w:ascii="Times New Roman" w:hAnsi="Times New Roman" w:cs="Times New Roman" w:eastAsia="Times New Roman" w:hint="default"/>
                <w:sz w:val="18"/>
                <w:szCs w:val="18"/>
              </w:rPr>
            </w:pPr>
            <w:r>
              <w:rPr>
                <w:rFonts w:ascii="Times New Roman"/>
                <w:sz w:val="18"/>
              </w:rPr>
              <w:t>-22,857</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28" w:right="0"/>
              <w:jc w:val="left"/>
              <w:rPr>
                <w:rFonts w:ascii="Times New Roman" w:hAnsi="Times New Roman" w:cs="Times New Roman" w:eastAsia="Times New Roman" w:hint="default"/>
                <w:sz w:val="18"/>
                <w:szCs w:val="18"/>
              </w:rPr>
            </w:pPr>
            <w:r>
              <w:rPr>
                <w:rFonts w:ascii="Times New Roman"/>
                <w:sz w:val="18"/>
              </w:rPr>
              <w:t>22,857,</w:t>
            </w:r>
          </w:p>
        </w:tc>
      </w:tr>
    </w:tbl>
    <w:p>
      <w:pPr>
        <w:spacing w:after="0" w:line="240" w:lineRule="auto"/>
        <w:jc w:val="left"/>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36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45" w:right="0"/>
              <w:jc w:val="left"/>
              <w:rPr>
                <w:rFonts w:ascii="Times New Roman" w:hAnsi="Times New Roman" w:cs="Times New Roman" w:eastAsia="Times New Roman" w:hint="default"/>
                <w:sz w:val="18"/>
                <w:szCs w:val="18"/>
              </w:rPr>
            </w:pPr>
            <w:r>
              <w:rPr>
                <w:rFonts w:ascii="Times New Roman"/>
                <w:sz w:val="18"/>
              </w:rPr>
              <w:t>,040.34</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73" w:right="0"/>
              <w:jc w:val="left"/>
              <w:rPr>
                <w:rFonts w:ascii="Times New Roman" w:hAnsi="Times New Roman" w:cs="Times New Roman" w:eastAsia="Times New Roman" w:hint="default"/>
                <w:sz w:val="18"/>
                <w:szCs w:val="18"/>
              </w:rPr>
            </w:pPr>
            <w:r>
              <w:rPr>
                <w:rFonts w:ascii="Times New Roman"/>
                <w:sz w:val="18"/>
              </w:rPr>
              <w:t>040.34</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pacing w:val="-5"/>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4" w:right="0"/>
              <w:jc w:val="left"/>
              <w:rPr>
                <w:rFonts w:ascii="Times New Roman" w:hAnsi="Times New Roman" w:cs="Times New Roman" w:eastAsia="Times New Roman" w:hint="default"/>
                <w:sz w:val="18"/>
                <w:szCs w:val="18"/>
              </w:rPr>
            </w:pPr>
            <w:r>
              <w:rPr>
                <w:rFonts w:ascii="Times New Roman"/>
                <w:sz w:val="18"/>
              </w:rPr>
              <w:t>113,436</w:t>
            </w:r>
          </w:p>
          <w:p>
            <w:pPr>
              <w:pStyle w:val="TableParagraph"/>
              <w:spacing w:line="240" w:lineRule="auto" w:before="105"/>
              <w:ind w:left="458" w:right="0"/>
              <w:jc w:val="left"/>
              <w:rPr>
                <w:rFonts w:ascii="Times New Roman" w:hAnsi="Times New Roman" w:cs="Times New Roman" w:eastAsia="Times New Roman" w:hint="default"/>
                <w:sz w:val="18"/>
                <w:szCs w:val="18"/>
              </w:rPr>
            </w:pPr>
            <w:r>
              <w:rPr>
                <w:rFonts w:ascii="Times New Roman"/>
                <w:sz w:val="18"/>
              </w:rPr>
              <w:t>.73</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center"/>
              <w:rPr>
                <w:rFonts w:ascii="Times New Roman" w:hAnsi="Times New Roman" w:cs="Times New Roman" w:eastAsia="Times New Roman" w:hint="default"/>
                <w:sz w:val="18"/>
                <w:szCs w:val="18"/>
              </w:rPr>
            </w:pPr>
            <w:r>
              <w:rPr>
                <w:rFonts w:ascii="Times New Roman"/>
                <w:sz w:val="18"/>
              </w:rPr>
              <w:t>-6,89</w:t>
            </w:r>
          </w:p>
          <w:p>
            <w:pPr>
              <w:pStyle w:val="TableParagraph"/>
              <w:spacing w:line="240" w:lineRule="auto" w:before="104"/>
              <w:ind w:left="112" w:right="0"/>
              <w:jc w:val="left"/>
              <w:rPr>
                <w:rFonts w:ascii="Times New Roman" w:hAnsi="Times New Roman" w:cs="Times New Roman" w:eastAsia="Times New Roman" w:hint="default"/>
                <w:sz w:val="18"/>
                <w:szCs w:val="18"/>
              </w:rPr>
            </w:pPr>
            <w:r>
              <w:rPr>
                <w:rFonts w:ascii="Times New Roman"/>
                <w:sz w:val="18"/>
              </w:rPr>
              <w:t>0,876.</w:t>
            </w:r>
          </w:p>
          <w:p>
            <w:pPr>
              <w:pStyle w:val="TableParagraph"/>
              <w:spacing w:line="240" w:lineRule="auto" w:before="106"/>
              <w:ind w:left="279" w:right="0"/>
              <w:jc w:val="center"/>
              <w:rPr>
                <w:rFonts w:ascii="Times New Roman" w:hAnsi="Times New Roman" w:cs="Times New Roman" w:eastAsia="Times New Roman" w:hint="default"/>
                <w:sz w:val="18"/>
                <w:szCs w:val="18"/>
              </w:rPr>
            </w:pPr>
            <w:r>
              <w:rPr>
                <w:rFonts w:ascii="Times New Roman"/>
                <w:sz w:val="18"/>
              </w:rPr>
              <w:t>73</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-6,777,</w:t>
            </w:r>
          </w:p>
          <w:p>
            <w:pPr>
              <w:pStyle w:val="TableParagraph"/>
              <w:spacing w:line="240" w:lineRule="auto" w:before="105"/>
              <w:ind w:left="173" w:right="0"/>
              <w:jc w:val="left"/>
              <w:rPr>
                <w:rFonts w:ascii="Times New Roman" w:hAnsi="Times New Roman" w:cs="Times New Roman" w:eastAsia="Times New Roman" w:hint="default"/>
                <w:sz w:val="18"/>
                <w:szCs w:val="18"/>
              </w:rPr>
            </w:pPr>
            <w:r>
              <w:rPr>
                <w:rFonts w:ascii="Times New Roman"/>
                <w:sz w:val="18"/>
              </w:rPr>
              <w:t>440.00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4" w:right="0"/>
              <w:jc w:val="left"/>
              <w:rPr>
                <w:rFonts w:ascii="Times New Roman" w:hAnsi="Times New Roman" w:cs="Times New Roman" w:eastAsia="Times New Roman" w:hint="default"/>
                <w:sz w:val="18"/>
                <w:szCs w:val="18"/>
              </w:rPr>
            </w:pPr>
            <w:r>
              <w:rPr>
                <w:rFonts w:ascii="Times New Roman"/>
                <w:sz w:val="18"/>
              </w:rPr>
              <w:t>113,436</w:t>
            </w:r>
          </w:p>
          <w:p>
            <w:pPr>
              <w:pStyle w:val="TableParagraph"/>
              <w:spacing w:line="240" w:lineRule="auto" w:before="105"/>
              <w:ind w:left="458" w:right="0"/>
              <w:jc w:val="left"/>
              <w:rPr>
                <w:rFonts w:ascii="Times New Roman" w:hAnsi="Times New Roman" w:cs="Times New Roman" w:eastAsia="Times New Roman" w:hint="default"/>
                <w:sz w:val="18"/>
                <w:szCs w:val="18"/>
              </w:rPr>
            </w:pPr>
            <w:r>
              <w:rPr>
                <w:rFonts w:ascii="Times New Roman"/>
                <w:sz w:val="18"/>
              </w:rPr>
              <w:t>.73</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4" w:right="0"/>
              <w:jc w:val="left"/>
              <w:rPr>
                <w:rFonts w:ascii="Times New Roman" w:hAnsi="Times New Roman" w:cs="Times New Roman" w:eastAsia="Times New Roman" w:hint="default"/>
                <w:sz w:val="18"/>
                <w:szCs w:val="18"/>
              </w:rPr>
            </w:pPr>
            <w:r>
              <w:rPr>
                <w:rFonts w:ascii="Times New Roman"/>
                <w:sz w:val="18"/>
              </w:rPr>
              <w:t>-113,4</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36.73</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16"/>
                <w:sz w:val="18"/>
                <w:szCs w:val="18"/>
              </w:rPr>
              <w:t>2</w:t>
            </w:r>
            <w:r>
              <w:rPr>
                <w:rFonts w:ascii="宋体" w:hAnsi="宋体" w:cs="宋体" w:eastAsia="宋体" w:hint="default"/>
                <w:spacing w:val="-16"/>
                <w:sz w:val="18"/>
                <w:szCs w:val="18"/>
              </w:rPr>
              <w:t>．对所有者（或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center"/>
              <w:rPr>
                <w:rFonts w:ascii="Times New Roman" w:hAnsi="Times New Roman" w:cs="Times New Roman" w:eastAsia="Times New Roman" w:hint="default"/>
                <w:sz w:val="18"/>
                <w:szCs w:val="18"/>
              </w:rPr>
            </w:pPr>
            <w:r>
              <w:rPr>
                <w:rFonts w:ascii="Times New Roman"/>
                <w:sz w:val="18"/>
              </w:rPr>
              <w:t>-6,77</w:t>
            </w:r>
          </w:p>
          <w:p>
            <w:pPr>
              <w:pStyle w:val="TableParagraph"/>
              <w:spacing w:line="240" w:lineRule="auto" w:before="104"/>
              <w:ind w:left="112" w:right="0"/>
              <w:jc w:val="left"/>
              <w:rPr>
                <w:rFonts w:ascii="Times New Roman" w:hAnsi="Times New Roman" w:cs="Times New Roman" w:eastAsia="Times New Roman" w:hint="default"/>
                <w:sz w:val="18"/>
                <w:szCs w:val="18"/>
              </w:rPr>
            </w:pPr>
            <w:r>
              <w:rPr>
                <w:rFonts w:ascii="Times New Roman"/>
                <w:sz w:val="18"/>
              </w:rPr>
              <w:t>7,440.</w:t>
            </w:r>
          </w:p>
          <w:p>
            <w:pPr>
              <w:pStyle w:val="TableParagraph"/>
              <w:spacing w:line="240" w:lineRule="auto" w:before="106"/>
              <w:ind w:left="279" w:right="0"/>
              <w:jc w:val="center"/>
              <w:rPr>
                <w:rFonts w:ascii="Times New Roman" w:hAnsi="Times New Roman" w:cs="Times New Roman" w:eastAsia="Times New Roman" w:hint="default"/>
                <w:sz w:val="18"/>
                <w:szCs w:val="18"/>
              </w:rPr>
            </w:pPr>
            <w:r>
              <w:rPr>
                <w:rFonts w:ascii="Times New Roman"/>
                <w:sz w:val="18"/>
              </w:rPr>
              <w:t>00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-6,777,</w:t>
            </w:r>
          </w:p>
          <w:p>
            <w:pPr>
              <w:pStyle w:val="TableParagraph"/>
              <w:spacing w:line="240" w:lineRule="auto" w:before="105"/>
              <w:ind w:left="173" w:right="0"/>
              <w:jc w:val="left"/>
              <w:rPr>
                <w:rFonts w:ascii="Times New Roman" w:hAnsi="Times New Roman" w:cs="Times New Roman" w:eastAsia="Times New Roman" w:hint="default"/>
                <w:sz w:val="18"/>
                <w:szCs w:val="18"/>
              </w:rPr>
            </w:pPr>
            <w:r>
              <w:rPr>
                <w:rFonts w:ascii="Times New Roman"/>
                <w:sz w:val="18"/>
              </w:rPr>
              <w:t>440.00</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pacing w:val="-5"/>
                <w:sz w:val="18"/>
                <w:szCs w:val="18"/>
              </w:rPr>
              <w:t>（四）所有者权</w:t>
            </w:r>
            <w:r>
              <w:rPr>
                <w:rFonts w:ascii="宋体" w:hAnsi="宋体" w:cs="宋体" w:eastAsia="宋体" w:hint="default"/>
                <w:sz w:val="18"/>
                <w:szCs w:val="18"/>
              </w:rPr>
              <w:t> 益内部结转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3" w:right="0"/>
              <w:jc w:val="left"/>
              <w:rPr>
                <w:rFonts w:ascii="Times New Roman" w:hAnsi="Times New Roman" w:cs="Times New Roman" w:eastAsia="Times New Roman" w:hint="default"/>
                <w:sz w:val="18"/>
                <w:szCs w:val="18"/>
              </w:rPr>
            </w:pPr>
            <w:r>
              <w:rPr>
                <w:rFonts w:ascii="Times New Roman"/>
                <w:sz w:val="18"/>
              </w:rPr>
              <w:t>54,21</w:t>
            </w:r>
          </w:p>
          <w:p>
            <w:pPr>
              <w:pStyle w:val="TableParagraph"/>
              <w:spacing w:line="240" w:lineRule="auto" w:before="104"/>
              <w:ind w:left="128" w:right="0"/>
              <w:jc w:val="left"/>
              <w:rPr>
                <w:rFonts w:ascii="Times New Roman" w:hAnsi="Times New Roman" w:cs="Times New Roman" w:eastAsia="Times New Roman" w:hint="default"/>
                <w:sz w:val="18"/>
                <w:szCs w:val="18"/>
              </w:rPr>
            </w:pPr>
            <w:r>
              <w:rPr>
                <w:rFonts w:ascii="Times New Roman"/>
                <w:sz w:val="18"/>
              </w:rPr>
              <w:t>9,520.</w:t>
            </w:r>
          </w:p>
          <w:p>
            <w:pPr>
              <w:pStyle w:val="TableParagraph"/>
              <w:spacing w:line="240" w:lineRule="auto" w:before="106"/>
              <w:ind w:left="398" w:right="0"/>
              <w:jc w:val="lef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-54,219</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,520.00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3" w:right="0"/>
              <w:jc w:val="left"/>
              <w:rPr>
                <w:rFonts w:ascii="Times New Roman" w:hAnsi="Times New Roman" w:cs="Times New Roman" w:eastAsia="Times New Roman" w:hint="default"/>
                <w:sz w:val="18"/>
                <w:szCs w:val="18"/>
              </w:rPr>
            </w:pPr>
            <w:r>
              <w:rPr>
                <w:rFonts w:ascii="Times New Roman"/>
                <w:sz w:val="18"/>
              </w:rPr>
              <w:t>54,21</w:t>
            </w:r>
          </w:p>
          <w:p>
            <w:pPr>
              <w:pStyle w:val="TableParagraph"/>
              <w:spacing w:line="240" w:lineRule="auto" w:before="104"/>
              <w:ind w:left="128" w:right="0"/>
              <w:jc w:val="left"/>
              <w:rPr>
                <w:rFonts w:ascii="Times New Roman" w:hAnsi="Times New Roman" w:cs="Times New Roman" w:eastAsia="Times New Roman" w:hint="default"/>
                <w:sz w:val="18"/>
                <w:szCs w:val="18"/>
              </w:rPr>
            </w:pPr>
            <w:r>
              <w:rPr>
                <w:rFonts w:ascii="Times New Roman"/>
                <w:sz w:val="18"/>
              </w:rPr>
              <w:t>9,520.</w:t>
            </w:r>
          </w:p>
          <w:p>
            <w:pPr>
              <w:pStyle w:val="TableParagraph"/>
              <w:spacing w:line="240" w:lineRule="auto" w:before="106"/>
              <w:ind w:left="398" w:right="0"/>
              <w:jc w:val="lef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29" w:right="0"/>
              <w:jc w:val="left"/>
              <w:rPr>
                <w:rFonts w:ascii="Times New Roman" w:hAnsi="Times New Roman" w:cs="Times New Roman" w:eastAsia="Times New Roman" w:hint="default"/>
                <w:sz w:val="18"/>
                <w:szCs w:val="18"/>
              </w:rPr>
            </w:pPr>
            <w:r>
              <w:rPr>
                <w:rFonts w:ascii="Times New Roman"/>
                <w:sz w:val="18"/>
              </w:rPr>
              <w:t>-54,219</w:t>
            </w:r>
          </w:p>
          <w:p>
            <w:pPr>
              <w:pStyle w:val="TableParagraph"/>
              <w:spacing w:line="240" w:lineRule="auto" w:before="105"/>
              <w:ind w:left="143" w:right="0"/>
              <w:jc w:val="left"/>
              <w:rPr>
                <w:rFonts w:ascii="Times New Roman" w:hAnsi="Times New Roman" w:cs="Times New Roman" w:eastAsia="Times New Roman" w:hint="default"/>
                <w:sz w:val="18"/>
                <w:szCs w:val="18"/>
              </w:rPr>
            </w:pPr>
            <w:r>
              <w:rPr>
                <w:rFonts w:ascii="Times New Roman"/>
                <w:sz w:val="18"/>
              </w:rPr>
              <w:t>,520.00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pacing w:val="-5"/>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pacing w:val="-5"/>
                <w:sz w:val="18"/>
                <w:szCs w:val="18"/>
              </w:rPr>
              <w:t>四、本期期末余</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3" w:right="0"/>
              <w:jc w:val="left"/>
              <w:rPr>
                <w:rFonts w:ascii="Times New Roman" w:hAnsi="Times New Roman" w:cs="Times New Roman" w:eastAsia="Times New Roman" w:hint="default"/>
                <w:sz w:val="18"/>
                <w:szCs w:val="18"/>
              </w:rPr>
            </w:pPr>
            <w:r>
              <w:rPr>
                <w:rFonts w:ascii="Times New Roman"/>
                <w:sz w:val="18"/>
              </w:rPr>
              <w:t>121,9</w:t>
            </w:r>
          </w:p>
          <w:p>
            <w:pPr>
              <w:pStyle w:val="TableParagraph"/>
              <w:spacing w:line="240" w:lineRule="auto" w:before="104"/>
              <w:ind w:left="173" w:right="0"/>
              <w:jc w:val="left"/>
              <w:rPr>
                <w:rFonts w:ascii="Times New Roman" w:hAnsi="Times New Roman" w:cs="Times New Roman" w:eastAsia="Times New Roman" w:hint="default"/>
                <w:sz w:val="18"/>
                <w:szCs w:val="18"/>
              </w:rPr>
            </w:pPr>
            <w:r>
              <w:rPr>
                <w:rFonts w:ascii="Times New Roman"/>
                <w:sz w:val="18"/>
              </w:rPr>
              <w:t>93,92</w:t>
            </w:r>
          </w:p>
          <w:p>
            <w:pPr>
              <w:pStyle w:val="TableParagraph"/>
              <w:spacing w:line="240" w:lineRule="auto" w:before="106"/>
              <w:ind w:left="263" w:right="0"/>
              <w:jc w:val="left"/>
              <w:rPr>
                <w:rFonts w:ascii="Times New Roman" w:hAnsi="Times New Roman" w:cs="Times New Roman" w:eastAsia="Times New Roman" w:hint="default"/>
                <w:sz w:val="18"/>
                <w:szCs w:val="18"/>
              </w:rPr>
            </w:pPr>
            <w:r>
              <w:rPr>
                <w:rFonts w:ascii="Times New Roman"/>
                <w:sz w:val="18"/>
              </w:rPr>
              <w:t>0.00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140,05</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5,568.4</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37,410,</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991.66</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42" w:right="0"/>
              <w:jc w:val="left"/>
              <w:rPr>
                <w:rFonts w:ascii="Times New Roman" w:hAnsi="Times New Roman" w:cs="Times New Roman" w:eastAsia="Times New Roman" w:hint="default"/>
                <w:sz w:val="18"/>
                <w:szCs w:val="18"/>
              </w:rPr>
            </w:pPr>
            <w:r>
              <w:rPr>
                <w:rFonts w:ascii="Times New Roman"/>
                <w:sz w:val="18"/>
              </w:rPr>
              <w:t>21,158,</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362.78</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4" w:right="0"/>
              <w:jc w:val="left"/>
              <w:rPr>
                <w:rFonts w:ascii="Times New Roman" w:hAnsi="Times New Roman" w:cs="Times New Roman" w:eastAsia="Times New Roman" w:hint="default"/>
                <w:sz w:val="18"/>
                <w:szCs w:val="18"/>
              </w:rPr>
            </w:pPr>
            <w:r>
              <w:rPr>
                <w:rFonts w:ascii="Times New Roman"/>
                <w:sz w:val="18"/>
              </w:rPr>
              <w:t>114,1</w:t>
            </w:r>
          </w:p>
          <w:p>
            <w:pPr>
              <w:pStyle w:val="TableParagraph"/>
              <w:spacing w:line="240" w:lineRule="auto" w:before="104"/>
              <w:ind w:left="158" w:right="0"/>
              <w:jc w:val="left"/>
              <w:rPr>
                <w:rFonts w:ascii="Times New Roman" w:hAnsi="Times New Roman" w:cs="Times New Roman" w:eastAsia="Times New Roman" w:hint="default"/>
                <w:sz w:val="18"/>
                <w:szCs w:val="18"/>
              </w:rPr>
            </w:pPr>
            <w:r>
              <w:rPr>
                <w:rFonts w:ascii="Times New Roman"/>
                <w:sz w:val="18"/>
              </w:rPr>
              <w:t>01,72</w:t>
            </w:r>
          </w:p>
          <w:p>
            <w:pPr>
              <w:pStyle w:val="TableParagraph"/>
              <w:spacing w:line="240" w:lineRule="auto" w:before="106"/>
              <w:ind w:left="248" w:right="0"/>
              <w:jc w:val="left"/>
              <w:rPr>
                <w:rFonts w:ascii="Times New Roman" w:hAnsi="Times New Roman" w:cs="Times New Roman" w:eastAsia="Times New Roman" w:hint="default"/>
                <w:sz w:val="18"/>
                <w:szCs w:val="18"/>
              </w:rPr>
            </w:pPr>
            <w:r>
              <w:rPr>
                <w:rFonts w:ascii="Times New Roman"/>
                <w:sz w:val="18"/>
              </w:rPr>
              <w:t>4.71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359,89</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8,584.3</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上期金额</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402" w:hRule="exact"/>
        </w:trPr>
        <w:tc>
          <w:tcPr>
            <w:tcW w:w="144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131" w:type="dxa"/>
            <w:gridSpan w:val="11"/>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1442" w:type="dxa"/>
            <w:vMerge/>
            <w:tcBorders>
              <w:left w:val="single" w:sz="4" w:space="0" w:color="000000"/>
              <w:right w:val="single" w:sz="4" w:space="0" w:color="000000"/>
            </w:tcBorders>
            <w:shd w:val="clear" w:color="auto" w:fill="D2D2D2"/>
          </w:tcPr>
          <w:p>
            <w:pPr/>
          </w:p>
        </w:tc>
        <w:tc>
          <w:tcPr>
            <w:tcW w:w="69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240" w:lineRule="auto"/>
              <w:ind w:left="160" w:right="0"/>
              <w:jc w:val="left"/>
              <w:rPr>
                <w:rFonts w:ascii="宋体" w:hAnsi="宋体" w:cs="宋体" w:eastAsia="宋体" w:hint="default"/>
                <w:sz w:val="18"/>
                <w:szCs w:val="18"/>
              </w:rPr>
            </w:pPr>
            <w:r>
              <w:rPr>
                <w:rFonts w:ascii="宋体" w:hAnsi="宋体" w:cs="宋体" w:eastAsia="宋体" w:hint="default"/>
                <w:sz w:val="18"/>
                <w:szCs w:val="18"/>
              </w:rPr>
              <w:t>股本</w:t>
            </w:r>
          </w:p>
        </w:tc>
        <w:tc>
          <w:tcPr>
            <w:tcW w:w="199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52" w:right="0"/>
              <w:jc w:val="left"/>
              <w:rPr>
                <w:rFonts w:ascii="宋体" w:hAnsi="宋体" w:cs="宋体" w:eastAsia="宋体" w:hint="default"/>
                <w:sz w:val="18"/>
                <w:szCs w:val="18"/>
              </w:rPr>
            </w:pPr>
            <w:r>
              <w:rPr>
                <w:rFonts w:ascii="宋体" w:hAnsi="宋体" w:cs="宋体" w:eastAsia="宋体" w:hint="default"/>
                <w:sz w:val="18"/>
                <w:szCs w:val="18"/>
              </w:rPr>
              <w:t>其他权益工具</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303" w:right="121" w:hanging="180"/>
              <w:jc w:val="left"/>
              <w:rPr>
                <w:rFonts w:ascii="宋体" w:hAnsi="宋体" w:cs="宋体" w:eastAsia="宋体" w:hint="default"/>
                <w:sz w:val="18"/>
                <w:szCs w:val="18"/>
              </w:rPr>
            </w:pPr>
            <w:r>
              <w:rPr>
                <w:rFonts w:ascii="宋体" w:hAnsi="宋体" w:cs="宋体" w:eastAsia="宋体" w:hint="default"/>
                <w:sz w:val="18"/>
                <w:szCs w:val="18"/>
              </w:rPr>
              <w:t>资本公 积</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213" w:right="122" w:hanging="90"/>
              <w:jc w:val="left"/>
              <w:rPr>
                <w:rFonts w:ascii="宋体" w:hAnsi="宋体" w:cs="宋体" w:eastAsia="宋体" w:hint="default"/>
                <w:sz w:val="18"/>
                <w:szCs w:val="18"/>
              </w:rPr>
            </w:pPr>
            <w:r>
              <w:rPr>
                <w:rFonts w:ascii="宋体" w:hAnsi="宋体" w:cs="宋体" w:eastAsia="宋体" w:hint="default"/>
                <w:sz w:val="18"/>
                <w:szCs w:val="18"/>
              </w:rPr>
              <w:t>减：库 存股</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123" w:right="122"/>
              <w:jc w:val="left"/>
              <w:rPr>
                <w:rFonts w:ascii="宋体" w:hAnsi="宋体" w:cs="宋体" w:eastAsia="宋体" w:hint="default"/>
                <w:sz w:val="18"/>
                <w:szCs w:val="18"/>
              </w:rPr>
            </w:pPr>
            <w:r>
              <w:rPr>
                <w:rFonts w:ascii="宋体" w:hAnsi="宋体" w:cs="宋体" w:eastAsia="宋体" w:hint="default"/>
                <w:sz w:val="18"/>
                <w:szCs w:val="18"/>
              </w:rPr>
              <w:t>其他综 合收益</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302" w:right="124" w:hanging="180"/>
              <w:jc w:val="left"/>
              <w:rPr>
                <w:rFonts w:ascii="宋体" w:hAnsi="宋体" w:cs="宋体" w:eastAsia="宋体" w:hint="default"/>
                <w:sz w:val="18"/>
                <w:szCs w:val="18"/>
              </w:rPr>
            </w:pPr>
            <w:r>
              <w:rPr>
                <w:rFonts w:ascii="宋体" w:hAnsi="宋体" w:cs="宋体" w:eastAsia="宋体" w:hint="default"/>
                <w:sz w:val="18"/>
                <w:szCs w:val="18"/>
              </w:rPr>
              <w:t>专项储 备</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302" w:right="122" w:hanging="180"/>
              <w:jc w:val="left"/>
              <w:rPr>
                <w:rFonts w:ascii="宋体" w:hAnsi="宋体" w:cs="宋体" w:eastAsia="宋体" w:hint="default"/>
                <w:sz w:val="18"/>
                <w:szCs w:val="18"/>
              </w:rPr>
            </w:pPr>
            <w:r>
              <w:rPr>
                <w:rFonts w:ascii="宋体" w:hAnsi="宋体" w:cs="宋体" w:eastAsia="宋体" w:hint="default"/>
                <w:sz w:val="18"/>
                <w:szCs w:val="18"/>
              </w:rPr>
              <w:t>盈余公 积</w:t>
            </w:r>
          </w:p>
        </w:tc>
        <w:tc>
          <w:tcPr>
            <w:tcW w:w="67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52" w:right="151"/>
              <w:jc w:val="both"/>
              <w:rPr>
                <w:rFonts w:ascii="宋体" w:hAnsi="宋体" w:cs="宋体" w:eastAsia="宋体" w:hint="default"/>
                <w:sz w:val="18"/>
                <w:szCs w:val="18"/>
              </w:rPr>
            </w:pPr>
            <w:r>
              <w:rPr>
                <w:rFonts w:ascii="宋体" w:hAnsi="宋体" w:cs="宋体" w:eastAsia="宋体" w:hint="default"/>
                <w:sz w:val="18"/>
                <w:szCs w:val="18"/>
              </w:rPr>
              <w:t>未分 配利 润</w:t>
            </w:r>
          </w:p>
        </w:tc>
        <w:tc>
          <w:tcPr>
            <w:tcW w:w="781"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97"/>
              <w:ind w:left="115" w:right="114"/>
              <w:jc w:val="center"/>
              <w:rPr>
                <w:rFonts w:ascii="宋体" w:hAnsi="宋体" w:cs="宋体" w:eastAsia="宋体" w:hint="default"/>
                <w:sz w:val="18"/>
                <w:szCs w:val="18"/>
              </w:rPr>
            </w:pPr>
            <w:r>
              <w:rPr>
                <w:rFonts w:ascii="宋体" w:hAnsi="宋体" w:cs="宋体" w:eastAsia="宋体" w:hint="default"/>
                <w:sz w:val="18"/>
                <w:szCs w:val="18"/>
              </w:rPr>
              <w:t>所有者 权益合 计</w:t>
            </w:r>
          </w:p>
        </w:tc>
      </w:tr>
      <w:tr>
        <w:trPr>
          <w:trHeight w:val="714" w:hRule="exact"/>
        </w:trPr>
        <w:tc>
          <w:tcPr>
            <w:tcW w:w="1442" w:type="dxa"/>
            <w:vMerge/>
            <w:tcBorders>
              <w:left w:val="single" w:sz="4" w:space="0" w:color="000000"/>
              <w:bottom w:val="single" w:sz="4" w:space="0" w:color="000000"/>
              <w:right w:val="single" w:sz="4" w:space="0" w:color="000000"/>
            </w:tcBorders>
            <w:shd w:val="clear" w:color="auto" w:fill="D2D2D2"/>
          </w:tcPr>
          <w:p>
            <w:pPr/>
          </w:p>
        </w:tc>
        <w:tc>
          <w:tcPr>
            <w:tcW w:w="691" w:type="dxa"/>
            <w:vMerge/>
            <w:tcBorders>
              <w:left w:val="single" w:sz="4" w:space="0" w:color="000000"/>
              <w:bottom w:val="single" w:sz="4" w:space="0" w:color="000000"/>
              <w:right w:val="single" w:sz="4" w:space="0" w:color="000000"/>
            </w:tcBorders>
            <w:shd w:val="clear" w:color="auto" w:fill="D2D2D2"/>
          </w:tcPr>
          <w:p>
            <w:pP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37" w:right="145" w:hanging="90"/>
              <w:jc w:val="left"/>
              <w:rPr>
                <w:rFonts w:ascii="宋体" w:hAnsi="宋体" w:cs="宋体" w:eastAsia="宋体" w:hint="default"/>
                <w:sz w:val="18"/>
                <w:szCs w:val="18"/>
              </w:rPr>
            </w:pPr>
            <w:r>
              <w:rPr>
                <w:rFonts w:ascii="宋体" w:hAnsi="宋体" w:cs="宋体" w:eastAsia="宋体" w:hint="default"/>
                <w:sz w:val="18"/>
                <w:szCs w:val="18"/>
              </w:rPr>
              <w:t>优先 股</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37" w:right="145" w:hanging="90"/>
              <w:jc w:val="left"/>
              <w:rPr>
                <w:rFonts w:ascii="宋体" w:hAnsi="宋体" w:cs="宋体" w:eastAsia="宋体" w:hint="default"/>
                <w:sz w:val="18"/>
                <w:szCs w:val="18"/>
              </w:rPr>
            </w:pPr>
            <w:r>
              <w:rPr>
                <w:rFonts w:ascii="宋体" w:hAnsi="宋体" w:cs="宋体" w:eastAsia="宋体" w:hint="default"/>
                <w:sz w:val="18"/>
                <w:szCs w:val="18"/>
              </w:rPr>
              <w:t>永续 债</w:t>
            </w:r>
          </w:p>
        </w:tc>
        <w:tc>
          <w:tcPr>
            <w:tcW w:w="6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7"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7"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c>
          <w:tcPr>
            <w:tcW w:w="676" w:type="dxa"/>
            <w:vMerge/>
            <w:tcBorders>
              <w:left w:val="single" w:sz="4" w:space="0" w:color="000000"/>
              <w:bottom w:val="single" w:sz="4" w:space="0" w:color="000000"/>
              <w:right w:val="single" w:sz="4" w:space="0" w:color="000000"/>
            </w:tcBorders>
            <w:shd w:val="clear" w:color="auto" w:fill="D2D2D2"/>
          </w:tcPr>
          <w:p>
            <w:pPr/>
          </w:p>
        </w:tc>
        <w:tc>
          <w:tcPr>
            <w:tcW w:w="781"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889"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3" w:right="101"/>
              <w:jc w:val="left"/>
              <w:rPr>
                <w:rFonts w:ascii="宋体" w:hAnsi="宋体" w:cs="宋体" w:eastAsia="宋体" w:hint="default"/>
                <w:sz w:val="18"/>
                <w:szCs w:val="18"/>
              </w:rPr>
            </w:pPr>
            <w:r>
              <w:rPr>
                <w:rFonts w:ascii="宋体" w:hAnsi="宋体" w:cs="宋体" w:eastAsia="宋体" w:hint="default"/>
                <w:spacing w:val="-5"/>
                <w:sz w:val="18"/>
                <w:szCs w:val="18"/>
              </w:rPr>
              <w:t>一、上年期末余</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3" w:right="0"/>
              <w:jc w:val="left"/>
              <w:rPr>
                <w:rFonts w:ascii="Times New Roman" w:hAnsi="Times New Roman" w:cs="Times New Roman" w:eastAsia="Times New Roman" w:hint="default"/>
                <w:sz w:val="18"/>
                <w:szCs w:val="18"/>
              </w:rPr>
            </w:pPr>
            <w:r>
              <w:rPr>
                <w:rFonts w:ascii="Times New Roman"/>
                <w:sz w:val="18"/>
              </w:rPr>
              <w:t>68,30</w:t>
            </w:r>
          </w:p>
          <w:p>
            <w:pPr>
              <w:pStyle w:val="TableParagraph"/>
              <w:spacing w:line="240" w:lineRule="auto" w:before="105"/>
              <w:ind w:left="128"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398" w:right="0"/>
              <w:jc w:val="lef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219,27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1,096.4</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2" w:right="0"/>
              <w:jc w:val="left"/>
              <w:rPr>
                <w:rFonts w:ascii="Times New Roman" w:hAnsi="Times New Roman" w:cs="Times New Roman" w:eastAsia="Times New Roman" w:hint="default"/>
                <w:sz w:val="18"/>
                <w:szCs w:val="18"/>
              </w:rPr>
            </w:pPr>
            <w:r>
              <w:rPr>
                <w:rFonts w:ascii="Times New Roman"/>
                <w:sz w:val="18"/>
              </w:rPr>
              <w:t>17,970,</w:t>
            </w:r>
          </w:p>
          <w:p>
            <w:pPr>
              <w:pStyle w:val="TableParagraph"/>
              <w:spacing w:line="240" w:lineRule="auto" w:before="106"/>
              <w:ind w:left="188" w:right="0"/>
              <w:jc w:val="left"/>
              <w:rPr>
                <w:rFonts w:ascii="Times New Roman" w:hAnsi="Times New Roman" w:cs="Times New Roman" w:eastAsia="Times New Roman" w:hint="default"/>
                <w:sz w:val="18"/>
                <w:szCs w:val="18"/>
              </w:rPr>
            </w:pPr>
            <w:r>
              <w:rPr>
                <w:rFonts w:ascii="Times New Roman"/>
                <w:sz w:val="18"/>
              </w:rPr>
              <w:t>844.10</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8" w:right="0"/>
              <w:jc w:val="left"/>
              <w:rPr>
                <w:rFonts w:ascii="Times New Roman" w:hAnsi="Times New Roman" w:cs="Times New Roman" w:eastAsia="Times New Roman" w:hint="default"/>
                <w:sz w:val="18"/>
                <w:szCs w:val="18"/>
              </w:rPr>
            </w:pPr>
            <w:r>
              <w:rPr>
                <w:rFonts w:ascii="Times New Roman"/>
                <w:sz w:val="18"/>
              </w:rPr>
              <w:t>99,70</w:t>
            </w:r>
          </w:p>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4,496.</w:t>
            </w:r>
          </w:p>
          <w:p>
            <w:pPr>
              <w:pStyle w:val="TableParagraph"/>
              <w:spacing w:line="240" w:lineRule="auto" w:before="106"/>
              <w:ind w:left="382" w:right="0"/>
              <w:jc w:val="left"/>
              <w:rPr>
                <w:rFonts w:ascii="Times New Roman" w:hAnsi="Times New Roman" w:cs="Times New Roman" w:eastAsia="Times New Roman" w:hint="default"/>
                <w:sz w:val="18"/>
                <w:szCs w:val="18"/>
              </w:rPr>
            </w:pPr>
            <w:r>
              <w:rPr>
                <w:rFonts w:ascii="Times New Roman"/>
                <w:sz w:val="18"/>
              </w:rPr>
              <w:t>68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405,24</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6,437.2</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7</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01" w:firstLine="360"/>
              <w:jc w:val="left"/>
              <w:rPr>
                <w:rFonts w:ascii="宋体" w:hAnsi="宋体" w:cs="宋体" w:eastAsia="宋体" w:hint="default"/>
                <w:sz w:val="18"/>
                <w:szCs w:val="18"/>
              </w:rPr>
            </w:pPr>
            <w:r>
              <w:rPr>
                <w:rFonts w:ascii="宋体" w:hAnsi="宋体" w:cs="宋体" w:eastAsia="宋体" w:hint="default"/>
                <w:spacing w:val="-7"/>
                <w:sz w:val="18"/>
                <w:szCs w:val="18"/>
              </w:rPr>
              <w:t>加：会计政</w:t>
            </w:r>
            <w:r>
              <w:rPr>
                <w:rFonts w:ascii="宋体" w:hAnsi="宋体" w:cs="宋体" w:eastAsia="宋体" w:hint="default"/>
                <w:sz w:val="18"/>
                <w:szCs w:val="18"/>
              </w:rPr>
              <w:t> 策变更</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前期</w:t>
            </w:r>
          </w:p>
          <w:p>
            <w:pPr>
              <w:pStyle w:val="TableParagraph"/>
              <w:spacing w:line="240" w:lineRule="auto" w:before="77"/>
              <w:ind w:left="103" w:right="0"/>
              <w:jc w:val="left"/>
              <w:rPr>
                <w:rFonts w:ascii="宋体" w:hAnsi="宋体" w:cs="宋体" w:eastAsia="宋体" w:hint="default"/>
                <w:sz w:val="18"/>
                <w:szCs w:val="18"/>
              </w:rPr>
            </w:pPr>
            <w:r>
              <w:rPr>
                <w:rFonts w:ascii="宋体" w:hAnsi="宋体" w:cs="宋体" w:eastAsia="宋体" w:hint="default"/>
                <w:sz w:val="18"/>
                <w:szCs w:val="18"/>
              </w:rPr>
              <w:t>差错更正</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2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3" w:right="101"/>
              <w:jc w:val="left"/>
              <w:rPr>
                <w:rFonts w:ascii="宋体" w:hAnsi="宋体" w:cs="宋体" w:eastAsia="宋体" w:hint="default"/>
                <w:sz w:val="18"/>
                <w:szCs w:val="18"/>
              </w:rPr>
            </w:pPr>
            <w:r>
              <w:rPr>
                <w:rFonts w:ascii="宋体" w:hAnsi="宋体" w:cs="宋体" w:eastAsia="宋体" w:hint="default"/>
                <w:spacing w:val="-5"/>
                <w:sz w:val="18"/>
                <w:szCs w:val="18"/>
              </w:rPr>
              <w:t>二、本年期初余</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3" w:right="0"/>
              <w:jc w:val="left"/>
              <w:rPr>
                <w:rFonts w:ascii="Times New Roman" w:hAnsi="Times New Roman" w:cs="Times New Roman" w:eastAsia="Times New Roman" w:hint="default"/>
                <w:sz w:val="18"/>
                <w:szCs w:val="18"/>
              </w:rPr>
            </w:pPr>
            <w:r>
              <w:rPr>
                <w:rFonts w:ascii="Times New Roman"/>
                <w:sz w:val="18"/>
              </w:rPr>
              <w:t>68,30</w:t>
            </w:r>
          </w:p>
          <w:p>
            <w:pPr>
              <w:pStyle w:val="TableParagraph"/>
              <w:spacing w:line="240" w:lineRule="auto" w:before="105"/>
              <w:ind w:left="128"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398" w:right="0"/>
              <w:jc w:val="lef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219,27</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1,096.4</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9</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2" w:right="0"/>
              <w:jc w:val="left"/>
              <w:rPr>
                <w:rFonts w:ascii="Times New Roman" w:hAnsi="Times New Roman" w:cs="Times New Roman" w:eastAsia="Times New Roman" w:hint="default"/>
                <w:sz w:val="18"/>
                <w:szCs w:val="18"/>
              </w:rPr>
            </w:pPr>
            <w:r>
              <w:rPr>
                <w:rFonts w:ascii="Times New Roman"/>
                <w:sz w:val="18"/>
              </w:rPr>
              <w:t>17,970,</w:t>
            </w:r>
          </w:p>
          <w:p>
            <w:pPr>
              <w:pStyle w:val="TableParagraph"/>
              <w:spacing w:line="240" w:lineRule="auto" w:before="106"/>
              <w:ind w:left="188" w:right="0"/>
              <w:jc w:val="left"/>
              <w:rPr>
                <w:rFonts w:ascii="Times New Roman" w:hAnsi="Times New Roman" w:cs="Times New Roman" w:eastAsia="Times New Roman" w:hint="default"/>
                <w:sz w:val="18"/>
                <w:szCs w:val="18"/>
              </w:rPr>
            </w:pPr>
            <w:r>
              <w:rPr>
                <w:rFonts w:ascii="Times New Roman"/>
                <w:sz w:val="18"/>
              </w:rPr>
              <w:t>844.10</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8" w:right="0"/>
              <w:jc w:val="left"/>
              <w:rPr>
                <w:rFonts w:ascii="Times New Roman" w:hAnsi="Times New Roman" w:cs="Times New Roman" w:eastAsia="Times New Roman" w:hint="default"/>
                <w:sz w:val="18"/>
                <w:szCs w:val="18"/>
              </w:rPr>
            </w:pPr>
            <w:r>
              <w:rPr>
                <w:rFonts w:ascii="Times New Roman"/>
                <w:sz w:val="18"/>
              </w:rPr>
              <w:t>99,70</w:t>
            </w:r>
          </w:p>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4,496.</w:t>
            </w:r>
          </w:p>
          <w:p>
            <w:pPr>
              <w:pStyle w:val="TableParagraph"/>
              <w:spacing w:line="240" w:lineRule="auto" w:before="106"/>
              <w:ind w:left="382" w:right="0"/>
              <w:jc w:val="left"/>
              <w:rPr>
                <w:rFonts w:ascii="Times New Roman" w:hAnsi="Times New Roman" w:cs="Times New Roman" w:eastAsia="Times New Roman" w:hint="default"/>
                <w:sz w:val="18"/>
                <w:szCs w:val="18"/>
              </w:rPr>
            </w:pPr>
            <w:r>
              <w:rPr>
                <w:rFonts w:ascii="Times New Roman"/>
                <w:sz w:val="18"/>
              </w:rPr>
              <w:t>68</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405,24</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6,437.2</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7</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66"/>
              <w:jc w:val="both"/>
              <w:rPr>
                <w:rFonts w:ascii="宋体" w:hAnsi="宋体" w:cs="宋体" w:eastAsia="宋体" w:hint="default"/>
                <w:sz w:val="18"/>
                <w:szCs w:val="18"/>
              </w:rPr>
            </w:pPr>
            <w:r>
              <w:rPr>
                <w:rFonts w:ascii="宋体" w:hAnsi="宋体" w:cs="宋体" w:eastAsia="宋体" w:hint="default"/>
                <w:spacing w:val="-5"/>
                <w:sz w:val="18"/>
                <w:szCs w:val="18"/>
              </w:rPr>
              <w:t>三、本期增减变</w:t>
            </w:r>
            <w:r>
              <w:rPr>
                <w:rFonts w:ascii="宋体" w:hAnsi="宋体" w:cs="宋体" w:eastAsia="宋体" w:hint="default"/>
                <w:sz w:val="18"/>
                <w:szCs w:val="18"/>
              </w:rPr>
              <w:t> </w:t>
            </w:r>
            <w:r>
              <w:rPr>
                <w:rFonts w:ascii="宋体" w:hAnsi="宋体" w:cs="宋体" w:eastAsia="宋体" w:hint="default"/>
                <w:spacing w:val="-5"/>
                <w:sz w:val="18"/>
                <w:szCs w:val="18"/>
              </w:rPr>
              <w:t>动金额（减少以</w:t>
            </w:r>
            <w:r>
              <w:rPr>
                <w:rFonts w:ascii="宋体" w:hAnsi="宋体" w:cs="宋体" w:eastAsia="宋体" w:hint="default"/>
                <w:sz w:val="18"/>
                <w:szCs w:val="18"/>
              </w:rPr>
              <w:t> “－”号填列）</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5,150,6</w:t>
            </w:r>
          </w:p>
          <w:p>
            <w:pPr>
              <w:pStyle w:val="TableParagraph"/>
              <w:spacing w:line="240" w:lineRule="auto" w:before="106"/>
              <w:ind w:left="177" w:right="0"/>
              <w:jc w:val="center"/>
              <w:rPr>
                <w:rFonts w:ascii="Times New Roman" w:hAnsi="Times New Roman" w:cs="Times New Roman" w:eastAsia="Times New Roman" w:hint="default"/>
                <w:sz w:val="18"/>
                <w:szCs w:val="18"/>
              </w:rPr>
            </w:pPr>
            <w:r>
              <w:rPr>
                <w:rFonts w:ascii="Times New Roman"/>
                <w:sz w:val="18"/>
              </w:rPr>
              <w:t>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60,268,</w:t>
            </w:r>
          </w:p>
          <w:p>
            <w:pPr>
              <w:pStyle w:val="TableParagraph"/>
              <w:spacing w:line="240" w:lineRule="auto" w:before="106"/>
              <w:ind w:left="190" w:right="0"/>
              <w:jc w:val="left"/>
              <w:rPr>
                <w:rFonts w:ascii="Times New Roman" w:hAnsi="Times New Roman" w:cs="Times New Roman" w:eastAsia="Times New Roman" w:hint="default"/>
                <w:sz w:val="18"/>
                <w:szCs w:val="18"/>
              </w:rPr>
            </w:pPr>
            <w:r>
              <w:rPr>
                <w:rFonts w:ascii="Times New Roman"/>
                <w:sz w:val="18"/>
              </w:rPr>
              <w:t>032.00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3,074,0</w:t>
            </w:r>
          </w:p>
          <w:p>
            <w:pPr>
              <w:pStyle w:val="TableParagraph"/>
              <w:spacing w:line="240" w:lineRule="auto" w:before="106"/>
              <w:ind w:left="174" w:right="0"/>
              <w:jc w:val="center"/>
              <w:rPr>
                <w:rFonts w:ascii="Times New Roman" w:hAnsi="Times New Roman" w:cs="Times New Roman" w:eastAsia="Times New Roman" w:hint="default"/>
                <w:sz w:val="18"/>
                <w:szCs w:val="18"/>
              </w:rPr>
            </w:pPr>
            <w:r>
              <w:rPr>
                <w:rFonts w:ascii="Times New Roman"/>
                <w:sz w:val="18"/>
              </w:rPr>
              <w:t>81.95</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8" w:right="0"/>
              <w:jc w:val="left"/>
              <w:rPr>
                <w:rFonts w:ascii="Times New Roman" w:hAnsi="Times New Roman" w:cs="Times New Roman" w:eastAsia="Times New Roman" w:hint="default"/>
                <w:sz w:val="18"/>
                <w:szCs w:val="18"/>
              </w:rPr>
            </w:pPr>
            <w:r>
              <w:rPr>
                <w:rFonts w:ascii="Times New Roman"/>
                <w:sz w:val="18"/>
              </w:rPr>
              <w:t>20,15</w:t>
            </w:r>
          </w:p>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3,737.</w:t>
            </w:r>
          </w:p>
          <w:p>
            <w:pPr>
              <w:pStyle w:val="TableParagraph"/>
              <w:spacing w:line="240" w:lineRule="auto" w:before="106"/>
              <w:ind w:left="382" w:right="0"/>
              <w:jc w:val="left"/>
              <w:rPr>
                <w:rFonts w:ascii="Times New Roman" w:hAnsi="Times New Roman" w:cs="Times New Roman" w:eastAsia="Times New Roman" w:hint="default"/>
                <w:sz w:val="18"/>
                <w:szCs w:val="18"/>
              </w:rPr>
            </w:pPr>
            <w:r>
              <w:rPr>
                <w:rFonts w:ascii="Times New Roman"/>
                <w:sz w:val="18"/>
              </w:rPr>
              <w:t>51</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3" w:right="0"/>
              <w:jc w:val="left"/>
              <w:rPr>
                <w:rFonts w:ascii="Times New Roman" w:hAnsi="Times New Roman" w:cs="Times New Roman" w:eastAsia="Times New Roman" w:hint="default"/>
                <w:sz w:val="18"/>
                <w:szCs w:val="18"/>
              </w:rPr>
            </w:pPr>
            <w:r>
              <w:rPr>
                <w:rFonts w:ascii="Times New Roman"/>
                <w:sz w:val="18"/>
              </w:rPr>
              <w:t>-31,889</w:t>
            </w:r>
          </w:p>
          <w:p>
            <w:pPr>
              <w:pStyle w:val="TableParagraph"/>
              <w:spacing w:line="240" w:lineRule="auto" w:before="106"/>
              <w:ind w:left="128" w:right="0"/>
              <w:jc w:val="left"/>
              <w:rPr>
                <w:rFonts w:ascii="Times New Roman" w:hAnsi="Times New Roman" w:cs="Times New Roman" w:eastAsia="Times New Roman" w:hint="default"/>
                <w:sz w:val="18"/>
                <w:szCs w:val="18"/>
              </w:rPr>
            </w:pPr>
            <w:r>
              <w:rPr>
                <w:rFonts w:ascii="Times New Roman"/>
                <w:sz w:val="18"/>
              </w:rPr>
              <w:t>,612.54</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3" w:right="101"/>
              <w:jc w:val="left"/>
              <w:rPr>
                <w:rFonts w:ascii="宋体" w:hAnsi="宋体" w:cs="宋体" w:eastAsia="宋体" w:hint="default"/>
                <w:sz w:val="18"/>
                <w:szCs w:val="18"/>
              </w:rPr>
            </w:pPr>
            <w:r>
              <w:rPr>
                <w:rFonts w:ascii="宋体" w:hAnsi="宋体" w:cs="宋体" w:eastAsia="宋体" w:hint="default"/>
                <w:spacing w:val="-5"/>
                <w:sz w:val="18"/>
                <w:szCs w:val="18"/>
              </w:rPr>
              <w:t>（一）综合收益</w:t>
            </w:r>
            <w:r>
              <w:rPr>
                <w:rFonts w:ascii="宋体" w:hAnsi="宋体" w:cs="宋体" w:eastAsia="宋体" w:hint="default"/>
                <w:sz w:val="18"/>
                <w:szCs w:val="18"/>
              </w:rPr>
              <w:t> 总额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8" w:right="0"/>
              <w:jc w:val="left"/>
              <w:rPr>
                <w:rFonts w:ascii="Times New Roman" w:hAnsi="Times New Roman" w:cs="Times New Roman" w:eastAsia="Times New Roman" w:hint="default"/>
                <w:sz w:val="18"/>
                <w:szCs w:val="18"/>
              </w:rPr>
            </w:pPr>
            <w:r>
              <w:rPr>
                <w:rFonts w:ascii="Times New Roman"/>
                <w:sz w:val="18"/>
              </w:rPr>
              <w:t>30,74</w:t>
            </w:r>
          </w:p>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0,819.</w:t>
            </w:r>
          </w:p>
          <w:p>
            <w:pPr>
              <w:pStyle w:val="TableParagraph"/>
              <w:spacing w:line="240" w:lineRule="auto" w:before="106"/>
              <w:ind w:left="382" w:right="0"/>
              <w:jc w:val="left"/>
              <w:rPr>
                <w:rFonts w:ascii="Times New Roman" w:hAnsi="Times New Roman" w:cs="Times New Roman" w:eastAsia="Times New Roman" w:hint="default"/>
                <w:sz w:val="18"/>
                <w:szCs w:val="18"/>
              </w:rPr>
            </w:pPr>
            <w:r>
              <w:rPr>
                <w:rFonts w:ascii="Times New Roman"/>
                <w:sz w:val="18"/>
              </w:rPr>
              <w:t>46</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28" w:right="0"/>
              <w:jc w:val="left"/>
              <w:rPr>
                <w:rFonts w:ascii="Times New Roman" w:hAnsi="Times New Roman" w:cs="Times New Roman" w:eastAsia="Times New Roman" w:hint="default"/>
                <w:sz w:val="18"/>
                <w:szCs w:val="18"/>
              </w:rPr>
            </w:pPr>
            <w:r>
              <w:rPr>
                <w:rFonts w:ascii="Times New Roman"/>
                <w:sz w:val="18"/>
              </w:rPr>
              <w:t>30,740,</w:t>
            </w:r>
          </w:p>
          <w:p>
            <w:pPr>
              <w:pStyle w:val="TableParagraph"/>
              <w:spacing w:line="240" w:lineRule="auto" w:before="106"/>
              <w:ind w:left="173" w:right="0"/>
              <w:jc w:val="left"/>
              <w:rPr>
                <w:rFonts w:ascii="Times New Roman" w:hAnsi="Times New Roman" w:cs="Times New Roman" w:eastAsia="Times New Roman" w:hint="default"/>
                <w:sz w:val="18"/>
                <w:szCs w:val="18"/>
              </w:rPr>
            </w:pPr>
            <w:r>
              <w:rPr>
                <w:rFonts w:ascii="Times New Roman"/>
                <w:sz w:val="18"/>
              </w:rPr>
              <w:t>819.46</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101"/>
              <w:jc w:val="left"/>
              <w:rPr>
                <w:rFonts w:ascii="宋体" w:hAnsi="宋体" w:cs="宋体" w:eastAsia="宋体" w:hint="default"/>
                <w:sz w:val="18"/>
                <w:szCs w:val="18"/>
              </w:rPr>
            </w:pPr>
            <w:r>
              <w:rPr>
                <w:rFonts w:ascii="宋体" w:hAnsi="宋体" w:cs="宋体" w:eastAsia="宋体" w:hint="default"/>
                <w:spacing w:val="-5"/>
                <w:sz w:val="18"/>
                <w:szCs w:val="18"/>
              </w:rPr>
              <w:t>（二）所有者投</w:t>
            </w:r>
            <w:r>
              <w:rPr>
                <w:rFonts w:ascii="宋体" w:hAnsi="宋体" w:cs="宋体" w:eastAsia="宋体" w:hint="default"/>
                <w:sz w:val="18"/>
                <w:szCs w:val="18"/>
              </w:rPr>
              <w:t> 入和减少资本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1" w:right="0"/>
              <w:jc w:val="center"/>
              <w:rPr>
                <w:rFonts w:ascii="Times New Roman" w:hAnsi="Times New Roman" w:cs="Times New Roman" w:eastAsia="Times New Roman" w:hint="default"/>
                <w:sz w:val="18"/>
                <w:szCs w:val="18"/>
              </w:rPr>
            </w:pPr>
            <w:r>
              <w:rPr>
                <w:rFonts w:ascii="Times New Roman"/>
                <w:sz w:val="18"/>
              </w:rPr>
              <w:t>5,150,6</w:t>
            </w:r>
          </w:p>
          <w:p>
            <w:pPr>
              <w:pStyle w:val="TableParagraph"/>
              <w:spacing w:line="240" w:lineRule="auto" w:before="106"/>
              <w:ind w:left="177" w:right="0"/>
              <w:jc w:val="center"/>
              <w:rPr>
                <w:rFonts w:ascii="Times New Roman" w:hAnsi="Times New Roman" w:cs="Times New Roman" w:eastAsia="Times New Roman" w:hint="default"/>
                <w:sz w:val="18"/>
                <w:szCs w:val="18"/>
              </w:rPr>
            </w:pPr>
            <w:r>
              <w:rPr>
                <w:rFonts w:ascii="Times New Roman"/>
                <w:sz w:val="18"/>
              </w:rPr>
              <w:t>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5" w:right="0"/>
              <w:jc w:val="left"/>
              <w:rPr>
                <w:rFonts w:ascii="Times New Roman" w:hAnsi="Times New Roman" w:cs="Times New Roman" w:eastAsia="Times New Roman" w:hint="default"/>
                <w:sz w:val="18"/>
                <w:szCs w:val="18"/>
              </w:rPr>
            </w:pPr>
            <w:r>
              <w:rPr>
                <w:rFonts w:ascii="Times New Roman"/>
                <w:sz w:val="18"/>
              </w:rPr>
              <w:t>60,268,</w:t>
            </w:r>
          </w:p>
          <w:p>
            <w:pPr>
              <w:pStyle w:val="TableParagraph"/>
              <w:spacing w:line="240" w:lineRule="auto" w:before="106"/>
              <w:ind w:left="190" w:right="0"/>
              <w:jc w:val="left"/>
              <w:rPr>
                <w:rFonts w:ascii="Times New Roman" w:hAnsi="Times New Roman" w:cs="Times New Roman" w:eastAsia="Times New Roman" w:hint="default"/>
                <w:sz w:val="18"/>
                <w:szCs w:val="18"/>
              </w:rPr>
            </w:pPr>
            <w:r>
              <w:rPr>
                <w:rFonts w:ascii="Times New Roman"/>
                <w:sz w:val="18"/>
              </w:rPr>
              <w:t>032.00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19" w:right="0"/>
              <w:jc w:val="left"/>
              <w:rPr>
                <w:rFonts w:ascii="Times New Roman" w:hAnsi="Times New Roman" w:cs="Times New Roman" w:eastAsia="Times New Roman" w:hint="default"/>
                <w:sz w:val="18"/>
                <w:szCs w:val="18"/>
              </w:rPr>
            </w:pPr>
            <w:r>
              <w:rPr>
                <w:rFonts w:ascii="Times New Roman"/>
                <w:sz w:val="18"/>
              </w:rPr>
              <w:t>-55,117</w:t>
            </w:r>
          </w:p>
          <w:p>
            <w:pPr>
              <w:pStyle w:val="TableParagraph"/>
              <w:spacing w:line="240" w:lineRule="auto" w:before="106"/>
              <w:ind w:left="128" w:right="0"/>
              <w:jc w:val="left"/>
              <w:rPr>
                <w:rFonts w:ascii="Times New Roman" w:hAnsi="Times New Roman" w:cs="Times New Roman" w:eastAsia="Times New Roman" w:hint="default"/>
                <w:sz w:val="18"/>
                <w:szCs w:val="18"/>
              </w:rPr>
            </w:pPr>
            <w:r>
              <w:rPr>
                <w:rFonts w:ascii="Times New Roman"/>
                <w:sz w:val="18"/>
              </w:rPr>
              <w:t>,432.00</w:t>
            </w: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 的普通股</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．其他权益工 具持有者投入 资本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．股份支付计 入所有者权益 的金额</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41" w:right="0"/>
              <w:jc w:val="center"/>
              <w:rPr>
                <w:rFonts w:ascii="Times New Roman" w:hAnsi="Times New Roman" w:cs="Times New Roman" w:eastAsia="Times New Roman" w:hint="default"/>
                <w:sz w:val="18"/>
                <w:szCs w:val="18"/>
              </w:rPr>
            </w:pPr>
            <w:r>
              <w:rPr>
                <w:rFonts w:ascii="Times New Roman"/>
                <w:sz w:val="18"/>
              </w:rPr>
              <w:t>5,150,6</w:t>
            </w:r>
          </w:p>
          <w:p>
            <w:pPr>
              <w:pStyle w:val="TableParagraph"/>
              <w:spacing w:line="240" w:lineRule="auto" w:before="106"/>
              <w:ind w:left="177" w:right="0"/>
              <w:jc w:val="center"/>
              <w:rPr>
                <w:rFonts w:ascii="Times New Roman" w:hAnsi="Times New Roman" w:cs="Times New Roman" w:eastAsia="Times New Roman" w:hint="default"/>
                <w:sz w:val="18"/>
                <w:szCs w:val="18"/>
              </w:rPr>
            </w:pPr>
            <w:r>
              <w:rPr>
                <w:rFonts w:ascii="Times New Roman"/>
                <w:sz w:val="18"/>
              </w:rPr>
              <w:t>00.00</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60,268,</w:t>
            </w:r>
          </w:p>
          <w:p>
            <w:pPr>
              <w:pStyle w:val="TableParagraph"/>
              <w:spacing w:line="240" w:lineRule="auto" w:before="106"/>
              <w:ind w:left="190" w:right="0"/>
              <w:jc w:val="left"/>
              <w:rPr>
                <w:rFonts w:ascii="Times New Roman" w:hAnsi="Times New Roman" w:cs="Times New Roman" w:eastAsia="Times New Roman" w:hint="default"/>
                <w:sz w:val="18"/>
                <w:szCs w:val="18"/>
              </w:rPr>
            </w:pPr>
            <w:r>
              <w:rPr>
                <w:rFonts w:ascii="Times New Roman"/>
                <w:sz w:val="18"/>
              </w:rPr>
              <w:t>032.00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19" w:right="0"/>
              <w:jc w:val="left"/>
              <w:rPr>
                <w:rFonts w:ascii="Times New Roman" w:hAnsi="Times New Roman" w:cs="Times New Roman" w:eastAsia="Times New Roman" w:hint="default"/>
                <w:sz w:val="18"/>
                <w:szCs w:val="18"/>
              </w:rPr>
            </w:pPr>
            <w:r>
              <w:rPr>
                <w:rFonts w:ascii="Times New Roman"/>
                <w:sz w:val="18"/>
              </w:rPr>
              <w:t>-55,117</w:t>
            </w:r>
          </w:p>
          <w:p>
            <w:pPr>
              <w:pStyle w:val="TableParagraph"/>
              <w:spacing w:line="240" w:lineRule="auto" w:before="106"/>
              <w:ind w:left="128" w:right="0"/>
              <w:jc w:val="left"/>
              <w:rPr>
                <w:rFonts w:ascii="Times New Roman" w:hAnsi="Times New Roman" w:cs="Times New Roman" w:eastAsia="Times New Roman" w:hint="default"/>
                <w:sz w:val="18"/>
                <w:szCs w:val="18"/>
              </w:rPr>
            </w:pPr>
            <w:r>
              <w:rPr>
                <w:rFonts w:ascii="Times New Roman"/>
                <w:sz w:val="18"/>
              </w:rPr>
              <w:t>,432.00</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pacing w:val="-5"/>
                <w:sz w:val="18"/>
                <w:szCs w:val="18"/>
              </w:rPr>
              <w:t>（三）利润分配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3,074,0</w:t>
            </w:r>
          </w:p>
          <w:p>
            <w:pPr>
              <w:pStyle w:val="TableParagraph"/>
              <w:spacing w:line="240" w:lineRule="auto" w:before="106"/>
              <w:ind w:left="174" w:right="0"/>
              <w:jc w:val="center"/>
              <w:rPr>
                <w:rFonts w:ascii="Times New Roman" w:hAnsi="Times New Roman" w:cs="Times New Roman" w:eastAsia="Times New Roman" w:hint="default"/>
                <w:sz w:val="18"/>
                <w:szCs w:val="18"/>
              </w:rPr>
            </w:pPr>
            <w:r>
              <w:rPr>
                <w:rFonts w:ascii="Times New Roman"/>
                <w:sz w:val="18"/>
              </w:rPr>
              <w:t>81.95</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8" w:right="0"/>
              <w:jc w:val="left"/>
              <w:rPr>
                <w:rFonts w:ascii="Times New Roman" w:hAnsi="Times New Roman" w:cs="Times New Roman" w:eastAsia="Times New Roman" w:hint="default"/>
                <w:sz w:val="18"/>
                <w:szCs w:val="18"/>
              </w:rPr>
            </w:pPr>
            <w:r>
              <w:rPr>
                <w:rFonts w:ascii="Times New Roman"/>
                <w:sz w:val="18"/>
              </w:rPr>
              <w:t>-10,5</w:t>
            </w:r>
          </w:p>
          <w:p>
            <w:pPr>
              <w:pStyle w:val="TableParagraph"/>
              <w:spacing w:line="240" w:lineRule="auto" w:before="105"/>
              <w:ind w:left="158" w:right="0"/>
              <w:jc w:val="left"/>
              <w:rPr>
                <w:rFonts w:ascii="Times New Roman" w:hAnsi="Times New Roman" w:cs="Times New Roman" w:eastAsia="Times New Roman" w:hint="default"/>
                <w:sz w:val="18"/>
                <w:szCs w:val="18"/>
              </w:rPr>
            </w:pPr>
            <w:r>
              <w:rPr>
                <w:rFonts w:ascii="Times New Roman"/>
                <w:sz w:val="18"/>
              </w:rPr>
              <w:t>87,08</w:t>
            </w:r>
          </w:p>
          <w:p>
            <w:pPr>
              <w:pStyle w:val="TableParagraph"/>
              <w:spacing w:line="240" w:lineRule="auto" w:before="106"/>
              <w:ind w:left="248" w:right="0"/>
              <w:jc w:val="left"/>
              <w:rPr>
                <w:rFonts w:ascii="Times New Roman" w:hAnsi="Times New Roman" w:cs="Times New Roman" w:eastAsia="Times New Roman" w:hint="default"/>
                <w:sz w:val="18"/>
                <w:szCs w:val="18"/>
              </w:rPr>
            </w:pPr>
            <w:r>
              <w:rPr>
                <w:rFonts w:ascii="Times New Roman"/>
                <w:sz w:val="18"/>
              </w:rPr>
              <w:t>1.95</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-7,513,</w:t>
            </w:r>
          </w:p>
          <w:p>
            <w:pPr>
              <w:pStyle w:val="TableParagraph"/>
              <w:spacing w:line="240" w:lineRule="auto" w:before="106"/>
              <w:ind w:left="173" w:right="0"/>
              <w:jc w:val="left"/>
              <w:rPr>
                <w:rFonts w:ascii="Times New Roman" w:hAnsi="Times New Roman" w:cs="Times New Roman" w:eastAsia="Times New Roman" w:hint="default"/>
                <w:sz w:val="18"/>
                <w:szCs w:val="18"/>
              </w:rPr>
            </w:pPr>
            <w:r>
              <w:rPr>
                <w:rFonts w:ascii="Times New Roman"/>
                <w:sz w:val="18"/>
              </w:rPr>
              <w:t>000.00</w:t>
            </w: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2" w:lineRule="auto"/>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 积</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3,074,0</w:t>
            </w:r>
          </w:p>
          <w:p>
            <w:pPr>
              <w:pStyle w:val="TableParagraph"/>
              <w:spacing w:line="240" w:lineRule="auto" w:before="106"/>
              <w:ind w:left="174" w:right="0"/>
              <w:jc w:val="center"/>
              <w:rPr>
                <w:rFonts w:ascii="Times New Roman" w:hAnsi="Times New Roman" w:cs="Times New Roman" w:eastAsia="Times New Roman" w:hint="default"/>
                <w:sz w:val="18"/>
                <w:szCs w:val="18"/>
              </w:rPr>
            </w:pPr>
            <w:r>
              <w:rPr>
                <w:rFonts w:ascii="Times New Roman"/>
                <w:sz w:val="18"/>
              </w:rPr>
              <w:t>81.95</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center"/>
              <w:rPr>
                <w:rFonts w:ascii="Times New Roman" w:hAnsi="Times New Roman" w:cs="Times New Roman" w:eastAsia="Times New Roman" w:hint="default"/>
                <w:sz w:val="18"/>
                <w:szCs w:val="18"/>
              </w:rPr>
            </w:pPr>
            <w:r>
              <w:rPr>
                <w:rFonts w:ascii="Times New Roman"/>
                <w:sz w:val="18"/>
              </w:rPr>
              <w:t>-3,07</w:t>
            </w:r>
          </w:p>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4,081.</w:t>
            </w:r>
          </w:p>
          <w:p>
            <w:pPr>
              <w:pStyle w:val="TableParagraph"/>
              <w:spacing w:line="240" w:lineRule="auto" w:before="106"/>
              <w:ind w:left="279" w:right="0"/>
              <w:jc w:val="center"/>
              <w:rPr>
                <w:rFonts w:ascii="Times New Roman" w:hAnsi="Times New Roman" w:cs="Times New Roman" w:eastAsia="Times New Roman" w:hint="default"/>
                <w:sz w:val="18"/>
                <w:szCs w:val="18"/>
              </w:rPr>
            </w:pPr>
            <w:r>
              <w:rPr>
                <w:rFonts w:ascii="Times New Roman"/>
                <w:sz w:val="18"/>
              </w:rPr>
              <w:t>95</w:t>
            </w: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02" w:lineRule="auto"/>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16"/>
                <w:sz w:val="18"/>
                <w:szCs w:val="18"/>
              </w:rPr>
              <w:t>2</w:t>
            </w:r>
            <w:r>
              <w:rPr>
                <w:rFonts w:ascii="宋体" w:hAnsi="宋体" w:cs="宋体" w:eastAsia="宋体" w:hint="default"/>
                <w:spacing w:val="-16"/>
                <w:sz w:val="18"/>
                <w:szCs w:val="18"/>
              </w:rPr>
              <w:t>．对所有者（或</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股东）的分配</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center"/>
              <w:rPr>
                <w:rFonts w:ascii="Times New Roman" w:hAnsi="Times New Roman" w:cs="Times New Roman" w:eastAsia="Times New Roman" w:hint="default"/>
                <w:sz w:val="18"/>
                <w:szCs w:val="18"/>
              </w:rPr>
            </w:pPr>
            <w:r>
              <w:rPr>
                <w:rFonts w:ascii="Times New Roman"/>
                <w:sz w:val="18"/>
              </w:rPr>
              <w:t>-7,51</w:t>
            </w:r>
          </w:p>
          <w:p>
            <w:pPr>
              <w:pStyle w:val="TableParagraph"/>
              <w:spacing w:line="240" w:lineRule="auto" w:before="105"/>
              <w:ind w:left="112" w:right="0"/>
              <w:jc w:val="left"/>
              <w:rPr>
                <w:rFonts w:ascii="Times New Roman" w:hAnsi="Times New Roman" w:cs="Times New Roman" w:eastAsia="Times New Roman" w:hint="default"/>
                <w:sz w:val="18"/>
                <w:szCs w:val="18"/>
              </w:rPr>
            </w:pPr>
            <w:r>
              <w:rPr>
                <w:rFonts w:ascii="Times New Roman"/>
                <w:sz w:val="18"/>
              </w:rPr>
              <w:t>3,000.</w:t>
            </w:r>
          </w:p>
          <w:p>
            <w:pPr>
              <w:pStyle w:val="TableParagraph"/>
              <w:spacing w:line="240" w:lineRule="auto" w:before="106"/>
              <w:ind w:left="279" w:right="0"/>
              <w:jc w:val="center"/>
              <w:rPr>
                <w:rFonts w:ascii="Times New Roman" w:hAnsi="Times New Roman" w:cs="Times New Roman" w:eastAsia="Times New Roman" w:hint="default"/>
                <w:sz w:val="18"/>
                <w:szCs w:val="18"/>
              </w:rPr>
            </w:pPr>
            <w:r>
              <w:rPr>
                <w:rFonts w:ascii="Times New Roman"/>
                <w:sz w:val="18"/>
              </w:rPr>
              <w:t>00</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-7,513,</w:t>
            </w:r>
          </w:p>
          <w:p>
            <w:pPr>
              <w:pStyle w:val="TableParagraph"/>
              <w:spacing w:line="240" w:lineRule="auto" w:before="106"/>
              <w:ind w:left="173" w:right="0"/>
              <w:jc w:val="left"/>
              <w:rPr>
                <w:rFonts w:ascii="Times New Roman" w:hAnsi="Times New Roman" w:cs="Times New Roman" w:eastAsia="Times New Roman" w:hint="default"/>
                <w:sz w:val="18"/>
                <w:szCs w:val="18"/>
              </w:rPr>
            </w:pPr>
            <w:r>
              <w:rPr>
                <w:rFonts w:ascii="Times New Roman"/>
                <w:sz w:val="18"/>
              </w:rPr>
              <w:t>000.00</w:t>
            </w: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03" w:right="0"/>
              <w:jc w:val="left"/>
              <w:rPr>
                <w:rFonts w:ascii="宋体" w:hAnsi="宋体" w:cs="宋体" w:eastAsia="宋体" w:hint="default"/>
                <w:sz w:val="18"/>
                <w:szCs w:val="18"/>
              </w:rPr>
            </w:pPr>
            <w:r>
              <w:rPr>
                <w:rFonts w:ascii="宋体" w:hAnsi="宋体" w:cs="宋体" w:eastAsia="宋体" w:hint="default"/>
                <w:spacing w:val="-5"/>
                <w:sz w:val="18"/>
                <w:szCs w:val="18"/>
              </w:rPr>
              <w:t>（四）所有者权</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9"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442"/>
        <w:gridCol w:w="691"/>
        <w:gridCol w:w="665"/>
        <w:gridCol w:w="665"/>
        <w:gridCol w:w="665"/>
        <w:gridCol w:w="797"/>
        <w:gridCol w:w="798"/>
        <w:gridCol w:w="798"/>
        <w:gridCol w:w="798"/>
        <w:gridCol w:w="797"/>
        <w:gridCol w:w="676"/>
        <w:gridCol w:w="781"/>
      </w:tblGrid>
      <w:tr>
        <w:trPr>
          <w:trHeight w:val="36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益内部结转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 增资本（或股 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 增资本（或股 本）</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 补亏损</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03" w:right="156"/>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．设定受益计 划变动额结转 留存收益</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pacing w:val="-5"/>
                <w:sz w:val="18"/>
                <w:szCs w:val="18"/>
              </w:rPr>
              <w:t>（五）专项储备</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691"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
        </w:tc>
        <w:tc>
          <w:tcPr>
            <w:tcW w:w="676" w:type="dxa"/>
            <w:tcBorders>
              <w:top w:val="single" w:sz="4" w:space="0" w:color="000000"/>
              <w:left w:val="single" w:sz="4" w:space="0" w:color="000000"/>
              <w:bottom w:val="single" w:sz="4" w:space="0" w:color="000000"/>
              <w:right w:val="single" w:sz="4" w:space="0" w:color="000000"/>
            </w:tcBorders>
          </w:tcPr>
          <w:p>
            <w:pPr/>
          </w:p>
        </w:tc>
        <w:tc>
          <w:tcPr>
            <w:tcW w:w="781"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44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103" w:right="101"/>
              <w:jc w:val="left"/>
              <w:rPr>
                <w:rFonts w:ascii="宋体" w:hAnsi="宋体" w:cs="宋体" w:eastAsia="宋体" w:hint="default"/>
                <w:sz w:val="18"/>
                <w:szCs w:val="18"/>
              </w:rPr>
            </w:pPr>
            <w:r>
              <w:rPr>
                <w:rFonts w:ascii="宋体" w:hAnsi="宋体" w:cs="宋体" w:eastAsia="宋体" w:hint="default"/>
                <w:spacing w:val="-5"/>
                <w:sz w:val="18"/>
                <w:szCs w:val="18"/>
              </w:rPr>
              <w:t>四、本期期末余</w:t>
            </w:r>
            <w:r>
              <w:rPr>
                <w:rFonts w:ascii="宋体" w:hAnsi="宋体" w:cs="宋体" w:eastAsia="宋体" w:hint="default"/>
                <w:sz w:val="18"/>
                <w:szCs w:val="18"/>
              </w:rPr>
              <w:t> 额</w:t>
            </w:r>
          </w:p>
        </w:tc>
        <w:tc>
          <w:tcPr>
            <w:tcW w:w="6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73" w:right="0"/>
              <w:jc w:val="left"/>
              <w:rPr>
                <w:rFonts w:ascii="Times New Roman" w:hAnsi="Times New Roman" w:cs="Times New Roman" w:eastAsia="Times New Roman" w:hint="default"/>
                <w:sz w:val="18"/>
                <w:szCs w:val="18"/>
              </w:rPr>
            </w:pPr>
            <w:r>
              <w:rPr>
                <w:rFonts w:ascii="Times New Roman"/>
                <w:sz w:val="18"/>
              </w:rPr>
              <w:t>68,30</w:t>
            </w:r>
          </w:p>
          <w:p>
            <w:pPr>
              <w:pStyle w:val="TableParagraph"/>
              <w:spacing w:line="240" w:lineRule="auto" w:before="104"/>
              <w:ind w:left="128"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398" w:right="0"/>
              <w:jc w:val="left"/>
              <w:rPr>
                <w:rFonts w:ascii="Times New Roman" w:hAnsi="Times New Roman" w:cs="Times New Roman" w:eastAsia="Times New Roman" w:hint="default"/>
                <w:sz w:val="18"/>
                <w:szCs w:val="18"/>
              </w:rPr>
            </w:pPr>
            <w:r>
              <w:rPr>
                <w:rFonts w:ascii="Times New Roman"/>
                <w:sz w:val="18"/>
              </w:rPr>
              <w:t>00</w:t>
            </w: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665"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224,42</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1,696.4</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9</w:t>
            </w:r>
          </w:p>
        </w:tc>
        <w:tc>
          <w:tcPr>
            <w:tcW w:w="79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5" w:right="0"/>
              <w:jc w:val="left"/>
              <w:rPr>
                <w:rFonts w:ascii="Times New Roman" w:hAnsi="Times New Roman" w:cs="Times New Roman" w:eastAsia="Times New Roman" w:hint="default"/>
                <w:sz w:val="18"/>
                <w:szCs w:val="18"/>
              </w:rPr>
            </w:pPr>
            <w:r>
              <w:rPr>
                <w:rFonts w:ascii="Times New Roman"/>
                <w:sz w:val="18"/>
              </w:rPr>
              <w:t>60,268,</w:t>
            </w:r>
          </w:p>
          <w:p>
            <w:pPr>
              <w:pStyle w:val="TableParagraph"/>
              <w:spacing w:line="240" w:lineRule="auto" w:before="105"/>
              <w:ind w:left="190" w:right="0"/>
              <w:jc w:val="left"/>
              <w:rPr>
                <w:rFonts w:ascii="Times New Roman" w:hAnsi="Times New Roman" w:cs="Times New Roman" w:eastAsia="Times New Roman" w:hint="default"/>
                <w:sz w:val="18"/>
                <w:szCs w:val="18"/>
              </w:rPr>
            </w:pPr>
            <w:r>
              <w:rPr>
                <w:rFonts w:ascii="Times New Roman"/>
                <w:sz w:val="18"/>
              </w:rPr>
              <w:t>032.00</w:t>
            </w:r>
          </w:p>
        </w:tc>
        <w:tc>
          <w:tcPr>
            <w:tcW w:w="798" w:type="dxa"/>
            <w:tcBorders>
              <w:top w:val="single" w:sz="4" w:space="0" w:color="000000"/>
              <w:left w:val="single" w:sz="4" w:space="0" w:color="000000"/>
              <w:bottom w:val="single" w:sz="4" w:space="0" w:color="000000"/>
              <w:right w:val="single" w:sz="4" w:space="0" w:color="000000"/>
            </w:tcBorders>
          </w:tcPr>
          <w:p>
            <w:pPr/>
          </w:p>
        </w:tc>
        <w:tc>
          <w:tcPr>
            <w:tcW w:w="798" w:type="dxa"/>
            <w:tcBorders>
              <w:top w:val="single" w:sz="4" w:space="0" w:color="000000"/>
              <w:left w:val="single" w:sz="4" w:space="0" w:color="000000"/>
              <w:bottom w:val="single" w:sz="4" w:space="0" w:color="000000"/>
              <w:right w:val="single" w:sz="4" w:space="0" w:color="000000"/>
            </w:tcBorders>
          </w:tcPr>
          <w:p>
            <w:pPr/>
          </w:p>
        </w:tc>
        <w:tc>
          <w:tcPr>
            <w:tcW w:w="7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142" w:right="0"/>
              <w:jc w:val="left"/>
              <w:rPr>
                <w:rFonts w:ascii="Times New Roman" w:hAnsi="Times New Roman" w:cs="Times New Roman" w:eastAsia="Times New Roman" w:hint="default"/>
                <w:sz w:val="18"/>
                <w:szCs w:val="18"/>
              </w:rPr>
            </w:pPr>
            <w:r>
              <w:rPr>
                <w:rFonts w:ascii="Times New Roman"/>
                <w:sz w:val="18"/>
              </w:rPr>
              <w:t>21,044,</w:t>
            </w:r>
          </w:p>
          <w:p>
            <w:pPr>
              <w:pStyle w:val="TableParagraph"/>
              <w:spacing w:line="240" w:lineRule="auto" w:before="105"/>
              <w:ind w:left="188" w:right="0"/>
              <w:jc w:val="left"/>
              <w:rPr>
                <w:rFonts w:ascii="Times New Roman" w:hAnsi="Times New Roman" w:cs="Times New Roman" w:eastAsia="Times New Roman" w:hint="default"/>
                <w:sz w:val="18"/>
                <w:szCs w:val="18"/>
              </w:rPr>
            </w:pPr>
            <w:r>
              <w:rPr>
                <w:rFonts w:ascii="Times New Roman"/>
                <w:sz w:val="18"/>
              </w:rPr>
              <w:t>926.05</w:t>
            </w:r>
          </w:p>
        </w:tc>
        <w:tc>
          <w:tcPr>
            <w:tcW w:w="67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4" w:right="0"/>
              <w:jc w:val="left"/>
              <w:rPr>
                <w:rFonts w:ascii="Times New Roman" w:hAnsi="Times New Roman" w:cs="Times New Roman" w:eastAsia="Times New Roman" w:hint="default"/>
                <w:sz w:val="18"/>
                <w:szCs w:val="18"/>
              </w:rPr>
            </w:pPr>
            <w:r>
              <w:rPr>
                <w:rFonts w:ascii="Times New Roman"/>
                <w:sz w:val="18"/>
              </w:rPr>
              <w:t>119,8</w:t>
            </w:r>
          </w:p>
          <w:p>
            <w:pPr>
              <w:pStyle w:val="TableParagraph"/>
              <w:spacing w:line="240" w:lineRule="auto" w:before="104"/>
              <w:ind w:left="158" w:right="0"/>
              <w:jc w:val="left"/>
              <w:rPr>
                <w:rFonts w:ascii="Times New Roman" w:hAnsi="Times New Roman" w:cs="Times New Roman" w:eastAsia="Times New Roman" w:hint="default"/>
                <w:sz w:val="18"/>
                <w:szCs w:val="18"/>
              </w:rPr>
            </w:pPr>
            <w:r>
              <w:rPr>
                <w:rFonts w:ascii="Times New Roman"/>
                <w:sz w:val="18"/>
              </w:rPr>
              <w:t>58,23</w:t>
            </w:r>
          </w:p>
          <w:p>
            <w:pPr>
              <w:pStyle w:val="TableParagraph"/>
              <w:spacing w:line="240" w:lineRule="auto" w:before="106"/>
              <w:ind w:left="248" w:right="0"/>
              <w:jc w:val="left"/>
              <w:rPr>
                <w:rFonts w:ascii="Times New Roman" w:hAnsi="Times New Roman" w:cs="Times New Roman" w:eastAsia="Times New Roman" w:hint="default"/>
                <w:sz w:val="18"/>
                <w:szCs w:val="18"/>
              </w:rPr>
            </w:pPr>
            <w:r>
              <w:rPr>
                <w:rFonts w:ascii="Times New Roman"/>
                <w:sz w:val="18"/>
              </w:rPr>
              <w:t>4.19</w:t>
            </w:r>
          </w:p>
        </w:tc>
        <w:tc>
          <w:tcPr>
            <w:tcW w:w="7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373,35</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6,824.7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3</w:t>
            </w:r>
          </w:p>
        </w:tc>
      </w:tr>
    </w:tbl>
    <w:p>
      <w:pPr>
        <w:spacing w:line="240" w:lineRule="auto" w:before="7"/>
        <w:rPr>
          <w:rFonts w:ascii="Times New Roman" w:hAnsi="Times New Roman" w:cs="Times New Roman" w:eastAsia="Times New Roman" w:hint="default"/>
          <w:sz w:val="20"/>
          <w:szCs w:val="20"/>
        </w:rPr>
      </w:pPr>
    </w:p>
    <w:p>
      <w:pPr>
        <w:pStyle w:val="Heading4"/>
        <w:spacing w:line="240" w:lineRule="auto" w:before="26"/>
        <w:ind w:right="0"/>
        <w:jc w:val="left"/>
        <w:rPr>
          <w:b w:val="0"/>
          <w:bCs w:val="0"/>
        </w:rPr>
      </w:pPr>
      <w:bookmarkStart w:name="三、公司基本情况" w:id="167"/>
      <w:bookmarkEnd w:id="167"/>
      <w:r>
        <w:rPr>
          <w:b w:val="0"/>
          <w:bCs w:val="0"/>
        </w:rPr>
      </w:r>
      <w:r>
        <w:rPr/>
        <w:t>三、公司基本情况</w:t>
      </w:r>
      <w:r>
        <w:rPr>
          <w:b w:val="0"/>
          <w:bCs w:val="0"/>
        </w:rPr>
      </w:r>
    </w:p>
    <w:p>
      <w:pPr>
        <w:spacing w:line="240" w:lineRule="auto" w:before="7"/>
        <w:rPr>
          <w:rFonts w:ascii="宋体" w:hAnsi="宋体" w:cs="宋体" w:eastAsia="宋体" w:hint="default"/>
          <w:b/>
          <w:bCs/>
          <w:sz w:val="24"/>
          <w:szCs w:val="24"/>
        </w:rPr>
      </w:pPr>
    </w:p>
    <w:p>
      <w:pPr>
        <w:spacing w:line="259" w:lineRule="auto" w:before="0"/>
        <w:ind w:left="828" w:right="1011" w:firstLine="0"/>
        <w:jc w:val="left"/>
        <w:rPr>
          <w:rFonts w:ascii="宋体" w:hAnsi="宋体" w:cs="宋体" w:eastAsia="宋体" w:hint="default"/>
          <w:sz w:val="21"/>
          <w:szCs w:val="21"/>
        </w:rPr>
      </w:pPr>
      <w:r>
        <w:rPr>
          <w:rFonts w:ascii="宋体" w:hAnsi="宋体" w:cs="宋体" w:eastAsia="宋体" w:hint="default"/>
          <w:spacing w:val="-3"/>
          <w:sz w:val="21"/>
          <w:szCs w:val="21"/>
        </w:rPr>
        <w:t>上海中信信息发展股份有限公司（以下简称“公司”或“本公司”）是</w:t>
      </w:r>
      <w:r>
        <w:rPr>
          <w:rFonts w:ascii="Times New Roman" w:hAnsi="Times New Roman" w:cs="Times New Roman" w:eastAsia="Times New Roman" w:hint="default"/>
          <w:spacing w:val="-3"/>
          <w:sz w:val="21"/>
          <w:szCs w:val="21"/>
        </w:rPr>
        <w:t>2008</w:t>
      </w:r>
      <w:r>
        <w:rPr>
          <w:rFonts w:ascii="宋体" w:hAnsi="宋体" w:cs="宋体" w:eastAsia="宋体" w:hint="default"/>
          <w:spacing w:val="-3"/>
          <w:sz w:val="21"/>
          <w:szCs w:val="21"/>
        </w:rPr>
        <w:t>年</w:t>
      </w:r>
      <w:r>
        <w:rPr>
          <w:rFonts w:ascii="Times New Roman" w:hAnsi="Times New Roman" w:cs="Times New Roman" w:eastAsia="Times New Roman" w:hint="default"/>
          <w:spacing w:val="-3"/>
          <w:sz w:val="21"/>
          <w:szCs w:val="21"/>
        </w:rPr>
        <w:t>6</w:t>
      </w:r>
      <w:r>
        <w:rPr>
          <w:rFonts w:ascii="宋体" w:hAnsi="宋体" w:cs="宋体" w:eastAsia="宋体" w:hint="default"/>
          <w:spacing w:val="-3"/>
          <w:sz w:val="21"/>
          <w:szCs w:val="21"/>
        </w:rPr>
        <w:t>月</w:t>
      </w:r>
      <w:r>
        <w:rPr>
          <w:rFonts w:ascii="Times New Roman" w:hAnsi="Times New Roman" w:cs="Times New Roman" w:eastAsia="Times New Roman" w:hint="default"/>
          <w:spacing w:val="-3"/>
          <w:sz w:val="21"/>
          <w:szCs w:val="21"/>
        </w:rPr>
        <w:t>18</w:t>
      </w:r>
      <w:r>
        <w:rPr>
          <w:rFonts w:ascii="宋体" w:hAnsi="宋体" w:cs="宋体" w:eastAsia="宋体" w:hint="default"/>
          <w:spacing w:val="-3"/>
          <w:sz w:val="21"/>
          <w:szCs w:val="21"/>
        </w:rPr>
        <w:t>日由上海中信</w:t>
      </w:r>
      <w:r>
        <w:rPr>
          <w:rFonts w:ascii="宋体" w:hAnsi="宋体" w:cs="宋体" w:eastAsia="宋体" w:hint="default"/>
          <w:spacing w:val="-76"/>
          <w:sz w:val="21"/>
          <w:szCs w:val="21"/>
        </w:rPr>
        <w:t> </w:t>
      </w:r>
      <w:r>
        <w:rPr>
          <w:rFonts w:ascii="宋体" w:hAnsi="宋体" w:cs="宋体" w:eastAsia="宋体" w:hint="default"/>
          <w:spacing w:val="-3"/>
          <w:sz w:val="21"/>
          <w:szCs w:val="21"/>
        </w:rPr>
        <w:t>信息发展有限公司（以下简称“有限公司”）整体变更设立的股份有限公司，股份总额</w:t>
      </w:r>
      <w:r>
        <w:rPr>
          <w:rFonts w:ascii="Times New Roman" w:hAnsi="Times New Roman" w:cs="Times New Roman" w:eastAsia="Times New Roman" w:hint="default"/>
          <w:spacing w:val="-3"/>
          <w:sz w:val="21"/>
          <w:szCs w:val="21"/>
        </w:rPr>
        <w:t>2,280</w:t>
      </w:r>
      <w:r>
        <w:rPr>
          <w:rFonts w:ascii="宋体" w:hAnsi="宋体" w:cs="宋体" w:eastAsia="宋体" w:hint="default"/>
          <w:spacing w:val="-3"/>
          <w:sz w:val="21"/>
          <w:szCs w:val="21"/>
        </w:rPr>
        <w:t>万股，</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每股面值</w:t>
      </w:r>
      <w:r>
        <w:rPr>
          <w:rFonts w:ascii="Times New Roman" w:hAnsi="Times New Roman" w:cs="Times New Roman" w:eastAsia="Times New Roman" w:hint="default"/>
          <w:sz w:val="21"/>
          <w:szCs w:val="21"/>
        </w:rPr>
        <w:t>1</w:t>
      </w:r>
      <w:r>
        <w:rPr>
          <w:rFonts w:ascii="宋体" w:hAnsi="宋体" w:cs="宋体" w:eastAsia="宋体" w:hint="default"/>
          <w:sz w:val="21"/>
          <w:szCs w:val="21"/>
        </w:rPr>
        <w:t>元，注册资本、实收资本（股本）</w:t>
      </w:r>
      <w:r>
        <w:rPr>
          <w:rFonts w:ascii="Times New Roman" w:hAnsi="Times New Roman" w:cs="Times New Roman" w:eastAsia="Times New Roman" w:hint="default"/>
          <w:sz w:val="21"/>
          <w:szCs w:val="21"/>
        </w:rPr>
        <w:t>2,280</w:t>
      </w:r>
      <w:r>
        <w:rPr>
          <w:rFonts w:ascii="宋体" w:hAnsi="宋体" w:cs="宋体" w:eastAsia="宋体" w:hint="default"/>
          <w:sz w:val="21"/>
          <w:szCs w:val="21"/>
        </w:rPr>
        <w:t>万元。 </w:t>
      </w:r>
      <w:r>
        <w:rPr>
          <w:rFonts w:ascii="Times New Roman" w:hAnsi="Times New Roman" w:cs="Times New Roman" w:eastAsia="Times New Roman" w:hint="default"/>
          <w:sz w:val="21"/>
          <w:szCs w:val="21"/>
        </w:rPr>
        <w:t>2009</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月，根据本公司股东大会决议，增加注册资本</w:t>
      </w:r>
      <w:r>
        <w:rPr>
          <w:rFonts w:ascii="Times New Roman" w:hAnsi="Times New Roman" w:cs="Times New Roman" w:eastAsia="Times New Roman" w:hint="default"/>
          <w:sz w:val="21"/>
          <w:szCs w:val="21"/>
        </w:rPr>
        <w:t>720</w:t>
      </w:r>
      <w:r>
        <w:rPr>
          <w:rFonts w:ascii="宋体" w:hAnsi="宋体" w:cs="宋体" w:eastAsia="宋体" w:hint="default"/>
          <w:sz w:val="21"/>
          <w:szCs w:val="21"/>
        </w:rPr>
        <w:t>万元，由未分配利润转增股本。此次变 更后，公司注册资本、实收资本（股本）增至</w:t>
      </w:r>
      <w:r>
        <w:rPr>
          <w:rFonts w:ascii="Times New Roman" w:hAnsi="Times New Roman" w:cs="Times New Roman" w:eastAsia="Times New Roman" w:hint="default"/>
          <w:sz w:val="21"/>
          <w:szCs w:val="21"/>
        </w:rPr>
        <w:t>3,000</w:t>
      </w:r>
      <w:r>
        <w:rPr>
          <w:rFonts w:ascii="宋体" w:hAnsi="宋体" w:cs="宋体" w:eastAsia="宋体" w:hint="default"/>
          <w:sz w:val="21"/>
          <w:szCs w:val="21"/>
        </w:rPr>
        <w:t>万元。 </w:t>
      </w:r>
      <w:r>
        <w:rPr>
          <w:rFonts w:ascii="Times New Roman" w:hAnsi="Times New Roman" w:cs="Times New Roman" w:eastAsia="Times New Roman" w:hint="default"/>
          <w:sz w:val="21"/>
          <w:szCs w:val="21"/>
        </w:rPr>
        <w:t>2013</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月，根据本公司股东大会决议，本公司按每</w:t>
      </w:r>
      <w:r>
        <w:rPr>
          <w:rFonts w:ascii="Times New Roman" w:hAnsi="Times New Roman" w:cs="Times New Roman" w:eastAsia="Times New Roman" w:hint="default"/>
          <w:sz w:val="21"/>
          <w:szCs w:val="21"/>
        </w:rPr>
        <w:t>10</w:t>
      </w:r>
      <w:r>
        <w:rPr>
          <w:rFonts w:ascii="宋体" w:hAnsi="宋体" w:cs="宋体" w:eastAsia="宋体" w:hint="default"/>
          <w:sz w:val="21"/>
          <w:szCs w:val="21"/>
        </w:rPr>
        <w:t>股转增</w:t>
      </w:r>
      <w:r>
        <w:rPr>
          <w:rFonts w:ascii="Times New Roman" w:hAnsi="Times New Roman" w:cs="Times New Roman" w:eastAsia="Times New Roman" w:hint="default"/>
          <w:sz w:val="21"/>
          <w:szCs w:val="21"/>
        </w:rPr>
        <w:t>6.7</w:t>
      </w:r>
      <w:r>
        <w:rPr>
          <w:rFonts w:ascii="宋体" w:hAnsi="宋体" w:cs="宋体" w:eastAsia="宋体" w:hint="default"/>
          <w:sz w:val="21"/>
          <w:szCs w:val="21"/>
        </w:rPr>
        <w:t>股的比例，以资本公积、未分配利 润向全体股东转增股份总额</w:t>
      </w:r>
      <w:r>
        <w:rPr>
          <w:rFonts w:ascii="Times New Roman" w:hAnsi="Times New Roman" w:cs="Times New Roman" w:eastAsia="Times New Roman" w:hint="default"/>
          <w:sz w:val="21"/>
          <w:szCs w:val="21"/>
        </w:rPr>
        <w:t>2,010</w:t>
      </w:r>
      <w:r>
        <w:rPr>
          <w:rFonts w:ascii="宋体" w:hAnsi="宋体" w:cs="宋体" w:eastAsia="宋体" w:hint="default"/>
          <w:sz w:val="21"/>
          <w:szCs w:val="21"/>
        </w:rPr>
        <w:t>万股，增加股本</w:t>
      </w:r>
      <w:r>
        <w:rPr>
          <w:rFonts w:ascii="Times New Roman" w:hAnsi="Times New Roman" w:cs="Times New Roman" w:eastAsia="Times New Roman" w:hint="default"/>
          <w:sz w:val="21"/>
          <w:szCs w:val="21"/>
        </w:rPr>
        <w:t>2,010</w:t>
      </w:r>
      <w:r>
        <w:rPr>
          <w:rFonts w:ascii="宋体" w:hAnsi="宋体" w:cs="宋体" w:eastAsia="宋体" w:hint="default"/>
          <w:sz w:val="21"/>
          <w:szCs w:val="21"/>
        </w:rPr>
        <w:t>万元，其中：由资本公积转增</w:t>
      </w:r>
      <w:r>
        <w:rPr>
          <w:rFonts w:ascii="Times New Roman" w:hAnsi="Times New Roman" w:cs="Times New Roman" w:eastAsia="Times New Roman" w:hint="default"/>
          <w:sz w:val="21"/>
          <w:szCs w:val="21"/>
        </w:rPr>
        <w:t>2,453,540.62 </w:t>
      </w:r>
      <w:r>
        <w:rPr>
          <w:rFonts w:ascii="宋体" w:hAnsi="宋体" w:cs="宋体" w:eastAsia="宋体" w:hint="default"/>
          <w:spacing w:val="-6"/>
          <w:sz w:val="21"/>
          <w:szCs w:val="21"/>
        </w:rPr>
        <w:t>元，由未分配利润转增</w:t>
      </w:r>
      <w:r>
        <w:rPr>
          <w:rFonts w:ascii="Times New Roman" w:hAnsi="Times New Roman" w:cs="Times New Roman" w:eastAsia="Times New Roman" w:hint="default"/>
          <w:spacing w:val="-6"/>
          <w:sz w:val="21"/>
          <w:szCs w:val="21"/>
        </w:rPr>
        <w:t>17,646,459.38</w:t>
      </w:r>
      <w:r>
        <w:rPr>
          <w:rFonts w:ascii="宋体" w:hAnsi="宋体" w:cs="宋体" w:eastAsia="宋体" w:hint="default"/>
          <w:spacing w:val="-6"/>
          <w:sz w:val="21"/>
          <w:szCs w:val="21"/>
        </w:rPr>
        <w:t>元。转增股本后，公司注册资本、实收资本（股本）变更为</w:t>
      </w:r>
      <w:r>
        <w:rPr>
          <w:rFonts w:ascii="Times New Roman" w:hAnsi="Times New Roman" w:cs="Times New Roman" w:eastAsia="Times New Roman" w:hint="default"/>
          <w:spacing w:val="-6"/>
          <w:sz w:val="21"/>
          <w:szCs w:val="21"/>
        </w:rPr>
        <w:t>5,010</w:t>
      </w:r>
      <w:r>
        <w:rPr>
          <w:rFonts w:ascii="Times New Roman" w:hAnsi="Times New Roman" w:cs="Times New Roman" w:eastAsia="Times New Roman" w:hint="default"/>
          <w:spacing w:val="-48"/>
          <w:sz w:val="21"/>
          <w:szCs w:val="21"/>
        </w:rPr>
        <w:t> </w:t>
      </w:r>
      <w:r>
        <w:rPr>
          <w:rFonts w:ascii="宋体" w:hAnsi="宋体" w:cs="宋体" w:eastAsia="宋体" w:hint="default"/>
          <w:sz w:val="21"/>
          <w:szCs w:val="21"/>
        </w:rPr>
        <w:t>万元。 经中国证券监督管理委员会“证监许可</w:t>
      </w:r>
      <w:r>
        <w:rPr>
          <w:rFonts w:ascii="Times New Roman" w:hAnsi="Times New Roman" w:cs="Times New Roman" w:eastAsia="Times New Roman" w:hint="default"/>
          <w:sz w:val="21"/>
          <w:szCs w:val="21"/>
        </w:rPr>
        <w:t>[2015]958</w:t>
      </w:r>
      <w:r>
        <w:rPr>
          <w:rFonts w:ascii="宋体" w:hAnsi="宋体" w:cs="宋体" w:eastAsia="宋体" w:hint="default"/>
          <w:sz w:val="21"/>
          <w:szCs w:val="21"/>
        </w:rPr>
        <w:t>号”文核准，本公司于</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月公开发行人民币 普通股（</w:t>
      </w:r>
      <w:r>
        <w:rPr>
          <w:rFonts w:ascii="Times New Roman" w:hAnsi="Times New Roman" w:cs="Times New Roman" w:eastAsia="Times New Roman" w:hint="default"/>
          <w:sz w:val="21"/>
          <w:szCs w:val="21"/>
        </w:rPr>
        <w:t>A</w:t>
      </w:r>
      <w:r>
        <w:rPr>
          <w:rFonts w:ascii="宋体" w:hAnsi="宋体" w:cs="宋体" w:eastAsia="宋体" w:hint="default"/>
          <w:sz w:val="21"/>
          <w:szCs w:val="21"/>
        </w:rPr>
        <w:t>股）</w:t>
      </w:r>
      <w:r>
        <w:rPr>
          <w:rFonts w:ascii="Times New Roman" w:hAnsi="Times New Roman" w:cs="Times New Roman" w:eastAsia="Times New Roman" w:hint="default"/>
          <w:sz w:val="21"/>
          <w:szCs w:val="21"/>
        </w:rPr>
        <w:t>1,670</w:t>
      </w:r>
      <w:r>
        <w:rPr>
          <w:rFonts w:ascii="宋体" w:hAnsi="宋体" w:cs="宋体" w:eastAsia="宋体" w:hint="default"/>
          <w:sz w:val="21"/>
          <w:szCs w:val="21"/>
        </w:rPr>
        <w:t>万股，并于</w:t>
      </w:r>
      <w:r>
        <w:rPr>
          <w:rFonts w:ascii="Times New Roman" w:hAnsi="Times New Roman" w:cs="Times New Roman" w:eastAsia="Times New Roman" w:hint="default"/>
          <w:sz w:val="21"/>
          <w:szCs w:val="21"/>
        </w:rPr>
        <w:t>2015</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月</w:t>
      </w:r>
      <w:r>
        <w:rPr>
          <w:rFonts w:ascii="Times New Roman" w:hAnsi="Times New Roman" w:cs="Times New Roman" w:eastAsia="Times New Roman" w:hint="default"/>
          <w:sz w:val="21"/>
          <w:szCs w:val="21"/>
        </w:rPr>
        <w:t>11</w:t>
      </w:r>
      <w:r>
        <w:rPr>
          <w:rFonts w:ascii="宋体" w:hAnsi="宋体" w:cs="宋体" w:eastAsia="宋体" w:hint="default"/>
          <w:sz w:val="21"/>
          <w:szCs w:val="21"/>
        </w:rPr>
        <w:t>日在深圳证券交易所创业板上市交易，股票简称：信 息发展，股票代码：</w:t>
      </w:r>
      <w:r>
        <w:rPr>
          <w:rFonts w:ascii="Times New Roman" w:hAnsi="Times New Roman" w:cs="Times New Roman" w:eastAsia="Times New Roman" w:hint="default"/>
          <w:sz w:val="21"/>
          <w:szCs w:val="21"/>
        </w:rPr>
        <w:t>300469</w:t>
      </w:r>
      <w:r>
        <w:rPr>
          <w:rFonts w:ascii="宋体" w:hAnsi="宋体" w:cs="宋体" w:eastAsia="宋体" w:hint="default"/>
          <w:sz w:val="21"/>
          <w:szCs w:val="21"/>
        </w:rPr>
        <w:t>。发行后本公司注册资本、实收资本（股本）变更为</w:t>
      </w:r>
      <w:r>
        <w:rPr>
          <w:rFonts w:ascii="Times New Roman" w:hAnsi="Times New Roman" w:cs="Times New Roman" w:eastAsia="Times New Roman" w:hint="default"/>
          <w:sz w:val="21"/>
          <w:szCs w:val="21"/>
        </w:rPr>
        <w:t>6,680</w:t>
      </w:r>
      <w:r>
        <w:rPr>
          <w:rFonts w:ascii="宋体" w:hAnsi="宋体" w:cs="宋体" w:eastAsia="宋体" w:hint="default"/>
          <w:sz w:val="21"/>
          <w:szCs w:val="21"/>
        </w:rPr>
        <w:t>万元。 </w:t>
      </w:r>
      <w:r>
        <w:rPr>
          <w:rFonts w:ascii="宋体" w:hAnsi="宋体" w:cs="宋体" w:eastAsia="宋体" w:hint="default"/>
          <w:spacing w:val="-4"/>
          <w:sz w:val="21"/>
          <w:szCs w:val="21"/>
        </w:rPr>
        <w:t>本公司于</w:t>
      </w:r>
      <w:r>
        <w:rPr>
          <w:rFonts w:ascii="Times New Roman" w:hAnsi="Times New Roman" w:cs="Times New Roman" w:eastAsia="Times New Roman" w:hint="default"/>
          <w:spacing w:val="-4"/>
          <w:sz w:val="21"/>
          <w:szCs w:val="21"/>
        </w:rPr>
        <w:t>2016</w:t>
      </w:r>
      <w:r>
        <w:rPr>
          <w:rFonts w:ascii="宋体" w:hAnsi="宋体" w:cs="宋体" w:eastAsia="宋体" w:hint="default"/>
          <w:spacing w:val="-4"/>
          <w:sz w:val="21"/>
          <w:szCs w:val="21"/>
        </w:rPr>
        <w:t>年</w:t>
      </w:r>
      <w:r>
        <w:rPr>
          <w:rFonts w:ascii="Times New Roman" w:hAnsi="Times New Roman" w:cs="Times New Roman" w:eastAsia="Times New Roman" w:hint="default"/>
          <w:spacing w:val="-4"/>
          <w:sz w:val="21"/>
          <w:szCs w:val="21"/>
        </w:rPr>
        <w:t>7</w:t>
      </w:r>
      <w:r>
        <w:rPr>
          <w:rFonts w:ascii="宋体" w:hAnsi="宋体" w:cs="宋体" w:eastAsia="宋体" w:hint="default"/>
          <w:spacing w:val="-4"/>
          <w:sz w:val="21"/>
          <w:szCs w:val="21"/>
        </w:rPr>
        <w:t>月以每股</w:t>
      </w:r>
      <w:r>
        <w:rPr>
          <w:rFonts w:ascii="Times New Roman" w:hAnsi="Times New Roman" w:cs="Times New Roman" w:eastAsia="Times New Roman" w:hint="default"/>
          <w:spacing w:val="-4"/>
          <w:sz w:val="21"/>
          <w:szCs w:val="21"/>
        </w:rPr>
        <w:t>55.79</w:t>
      </w:r>
      <w:r>
        <w:rPr>
          <w:rFonts w:ascii="宋体" w:hAnsi="宋体" w:cs="宋体" w:eastAsia="宋体" w:hint="default"/>
          <w:spacing w:val="-4"/>
          <w:sz w:val="21"/>
          <w:szCs w:val="21"/>
        </w:rPr>
        <w:t>元的价格向激励对象（公司核心管理人员、核心业务（技术）人员）</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授予</w:t>
      </w:r>
      <w:r>
        <w:rPr>
          <w:rFonts w:ascii="Times New Roman" w:hAnsi="Times New Roman" w:cs="Times New Roman" w:eastAsia="Times New Roman" w:hint="default"/>
          <w:sz w:val="21"/>
          <w:szCs w:val="21"/>
        </w:rPr>
        <w:t>150</w:t>
      </w:r>
      <w:r>
        <w:rPr>
          <w:rFonts w:ascii="宋体" w:hAnsi="宋体" w:cs="宋体" w:eastAsia="宋体" w:hint="default"/>
          <w:sz w:val="21"/>
          <w:szCs w:val="21"/>
        </w:rPr>
        <w:t>万股限制性股票。授予后本公司注册资本、实收资本（股本）变更为</w:t>
      </w:r>
      <w:r>
        <w:rPr>
          <w:rFonts w:ascii="Times New Roman" w:hAnsi="Times New Roman" w:cs="Times New Roman" w:eastAsia="Times New Roman" w:hint="default"/>
          <w:sz w:val="21"/>
          <w:szCs w:val="21"/>
        </w:rPr>
        <w:t>6,830</w:t>
      </w:r>
      <w:r>
        <w:rPr>
          <w:rFonts w:ascii="宋体" w:hAnsi="宋体" w:cs="宋体" w:eastAsia="宋体" w:hint="default"/>
          <w:sz w:val="21"/>
          <w:szCs w:val="21"/>
        </w:rPr>
        <w:t>万元。 </w:t>
      </w:r>
      <w:r>
        <w:rPr>
          <w:rFonts w:ascii="Times New Roman" w:hAnsi="Times New Roman" w:cs="Times New Roman" w:eastAsia="Times New Roman" w:hint="default"/>
          <w:spacing w:val="-3"/>
          <w:sz w:val="21"/>
          <w:szCs w:val="21"/>
        </w:rPr>
        <w:t>2018</w:t>
      </w:r>
      <w:r>
        <w:rPr>
          <w:rFonts w:ascii="宋体" w:hAnsi="宋体" w:cs="宋体" w:eastAsia="宋体" w:hint="default"/>
          <w:spacing w:val="-3"/>
          <w:sz w:val="21"/>
          <w:szCs w:val="21"/>
        </w:rPr>
        <w:t>年</w:t>
      </w:r>
      <w:r>
        <w:rPr>
          <w:rFonts w:ascii="Times New Roman" w:hAnsi="Times New Roman" w:cs="Times New Roman" w:eastAsia="Times New Roman" w:hint="default"/>
          <w:spacing w:val="-3"/>
          <w:sz w:val="21"/>
          <w:szCs w:val="21"/>
        </w:rPr>
        <w:t>5</w:t>
      </w:r>
      <w:r>
        <w:rPr>
          <w:rFonts w:ascii="宋体" w:hAnsi="宋体" w:cs="宋体" w:eastAsia="宋体" w:hint="default"/>
          <w:spacing w:val="-3"/>
          <w:sz w:val="21"/>
          <w:szCs w:val="21"/>
        </w:rPr>
        <w:t>月，根据</w:t>
      </w:r>
      <w:r>
        <w:rPr>
          <w:rFonts w:ascii="Times New Roman" w:hAnsi="Times New Roman" w:cs="Times New Roman" w:eastAsia="Times New Roman" w:hint="default"/>
          <w:spacing w:val="-3"/>
          <w:sz w:val="21"/>
          <w:szCs w:val="21"/>
        </w:rPr>
        <w:t>2017</w:t>
      </w:r>
      <w:r>
        <w:rPr>
          <w:rFonts w:ascii="宋体" w:hAnsi="宋体" w:cs="宋体" w:eastAsia="宋体" w:hint="default"/>
          <w:spacing w:val="-3"/>
          <w:sz w:val="21"/>
          <w:szCs w:val="21"/>
        </w:rPr>
        <w:t>年年度股东大会会议，审议通过了《关于回购部分限制性股票的议案》，对</w:t>
      </w:r>
      <w:r>
        <w:rPr>
          <w:rFonts w:ascii="Times New Roman" w:hAnsi="Times New Roman" w:cs="Times New Roman" w:eastAsia="Times New Roman" w:hint="default"/>
          <w:spacing w:val="-3"/>
          <w:sz w:val="21"/>
          <w:szCs w:val="21"/>
        </w:rPr>
        <w:t>8</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名因离职不再具备激励资格员工所持有的限制性股票予以全部收回；及其他激励员工因第二个解 锁期业绩未达到限制性股票激励计划规定的要求，对第二个解锁期的限制性股票进行回购注销， 以上合并计算共计回购</w:t>
      </w:r>
      <w:r>
        <w:rPr>
          <w:rFonts w:ascii="Times New Roman" w:hAnsi="Times New Roman" w:cs="Times New Roman" w:eastAsia="Times New Roman" w:hint="default"/>
          <w:sz w:val="21"/>
          <w:szCs w:val="21"/>
        </w:rPr>
        <w:t>52.56</w:t>
      </w:r>
      <w:r>
        <w:rPr>
          <w:rFonts w:ascii="宋体" w:hAnsi="宋体" w:cs="宋体" w:eastAsia="宋体" w:hint="default"/>
          <w:sz w:val="21"/>
          <w:szCs w:val="21"/>
        </w:rPr>
        <w:t>万股。本次回购注销完成后，公司注册资本、实收资本（股本）变更</w:t>
      </w:r>
    </w:p>
    <w:p>
      <w:pPr>
        <w:spacing w:after="0" w:line="259"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line="256" w:lineRule="auto" w:before="35"/>
        <w:ind w:left="828" w:right="1113" w:firstLine="3"/>
        <w:jc w:val="left"/>
        <w:rPr>
          <w:rFonts w:ascii="宋体" w:hAnsi="宋体" w:cs="宋体" w:eastAsia="宋体" w:hint="default"/>
          <w:sz w:val="21"/>
          <w:szCs w:val="21"/>
        </w:rPr>
      </w:pPr>
      <w:r>
        <w:rPr>
          <w:rFonts w:ascii="宋体" w:hAnsi="宋体" w:cs="宋体" w:eastAsia="宋体" w:hint="default"/>
          <w:sz w:val="21"/>
          <w:szCs w:val="21"/>
        </w:rPr>
        <w:t>为</w:t>
      </w:r>
      <w:r>
        <w:rPr>
          <w:rFonts w:ascii="Times New Roman" w:hAnsi="Times New Roman" w:cs="Times New Roman" w:eastAsia="Times New Roman" w:hint="default"/>
          <w:sz w:val="21"/>
          <w:szCs w:val="21"/>
        </w:rPr>
        <w:t>6,777.44</w:t>
      </w:r>
      <w:r>
        <w:rPr>
          <w:rFonts w:ascii="宋体" w:hAnsi="宋体" w:cs="宋体" w:eastAsia="宋体" w:hint="default"/>
          <w:sz w:val="21"/>
          <w:szCs w:val="21"/>
        </w:rPr>
        <w:t>万元。 </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7</w:t>
      </w:r>
      <w:r>
        <w:rPr>
          <w:rFonts w:ascii="宋体" w:hAnsi="宋体" w:cs="宋体" w:eastAsia="宋体" w:hint="default"/>
          <w:sz w:val="21"/>
          <w:szCs w:val="21"/>
        </w:rPr>
        <w:t>月，根据本公司召开的</w:t>
      </w:r>
      <w:r>
        <w:rPr>
          <w:rFonts w:ascii="Times New Roman" w:hAnsi="Times New Roman" w:cs="Times New Roman" w:eastAsia="Times New Roman" w:hint="default"/>
          <w:sz w:val="21"/>
          <w:szCs w:val="21"/>
        </w:rPr>
        <w:t>2017</w:t>
      </w:r>
      <w:r>
        <w:rPr>
          <w:rFonts w:ascii="宋体" w:hAnsi="宋体" w:cs="宋体" w:eastAsia="宋体" w:hint="default"/>
          <w:sz w:val="21"/>
          <w:szCs w:val="21"/>
        </w:rPr>
        <w:t>年年度股东大会审议通过</w:t>
      </w:r>
      <w:r>
        <w:rPr>
          <w:rFonts w:ascii="Times New Roman" w:hAnsi="Times New Roman" w:cs="Times New Roman" w:eastAsia="Times New Roman" w:hint="default"/>
          <w:sz w:val="21"/>
          <w:szCs w:val="21"/>
        </w:rPr>
        <w:t>2017</w:t>
      </w:r>
      <w:r>
        <w:rPr>
          <w:rFonts w:ascii="宋体" w:hAnsi="宋体" w:cs="宋体" w:eastAsia="宋体" w:hint="default"/>
          <w:sz w:val="21"/>
          <w:szCs w:val="21"/>
        </w:rPr>
        <w:t>年年度权益分派方案，以公司现 有总股本</w:t>
      </w:r>
      <w:r>
        <w:rPr>
          <w:rFonts w:ascii="Times New Roman" w:hAnsi="Times New Roman" w:cs="Times New Roman" w:eastAsia="Times New Roman" w:hint="default"/>
          <w:sz w:val="21"/>
          <w:szCs w:val="21"/>
        </w:rPr>
        <w:t>6,777.44</w:t>
      </w:r>
      <w:r>
        <w:rPr>
          <w:rFonts w:ascii="宋体" w:hAnsi="宋体" w:cs="宋体" w:eastAsia="宋体" w:hint="default"/>
          <w:sz w:val="21"/>
          <w:szCs w:val="21"/>
        </w:rPr>
        <w:t>万股为基数，向全体股东每</w:t>
      </w:r>
      <w:r>
        <w:rPr>
          <w:rFonts w:ascii="Times New Roman" w:hAnsi="Times New Roman" w:cs="Times New Roman" w:eastAsia="Times New Roman" w:hint="default"/>
          <w:sz w:val="21"/>
          <w:szCs w:val="21"/>
        </w:rPr>
        <w:t>10</w:t>
      </w:r>
      <w:r>
        <w:rPr>
          <w:rFonts w:ascii="宋体" w:hAnsi="宋体" w:cs="宋体" w:eastAsia="宋体" w:hint="default"/>
          <w:sz w:val="21"/>
          <w:szCs w:val="21"/>
        </w:rPr>
        <w:t>股派</w:t>
      </w:r>
      <w:r>
        <w:rPr>
          <w:rFonts w:ascii="Times New Roman" w:hAnsi="Times New Roman" w:cs="Times New Roman" w:eastAsia="Times New Roman" w:hint="default"/>
          <w:sz w:val="21"/>
          <w:szCs w:val="21"/>
        </w:rPr>
        <w:t>1.00</w:t>
      </w:r>
      <w:r>
        <w:rPr>
          <w:rFonts w:ascii="宋体" w:hAnsi="宋体" w:cs="宋体" w:eastAsia="宋体" w:hint="default"/>
          <w:sz w:val="21"/>
          <w:szCs w:val="21"/>
        </w:rPr>
        <w:t>元人民币同时以资本公积向全体股东每</w:t>
      </w:r>
      <w:r>
        <w:rPr>
          <w:rFonts w:ascii="Times New Roman" w:hAnsi="Times New Roman" w:cs="Times New Roman" w:eastAsia="Times New Roman" w:hint="default"/>
          <w:sz w:val="21"/>
          <w:szCs w:val="21"/>
        </w:rPr>
        <w:t>10 </w:t>
      </w:r>
      <w:r>
        <w:rPr>
          <w:rFonts w:ascii="宋体" w:hAnsi="宋体" w:cs="宋体" w:eastAsia="宋体" w:hint="default"/>
          <w:sz w:val="21"/>
          <w:szCs w:val="21"/>
        </w:rPr>
        <w:t>股转增</w:t>
      </w:r>
      <w:r>
        <w:rPr>
          <w:rFonts w:ascii="Times New Roman" w:hAnsi="Times New Roman" w:cs="Times New Roman" w:eastAsia="Times New Roman" w:hint="default"/>
          <w:sz w:val="21"/>
          <w:szCs w:val="21"/>
        </w:rPr>
        <w:t>8</w:t>
      </w:r>
      <w:r>
        <w:rPr>
          <w:rFonts w:ascii="宋体" w:hAnsi="宋体" w:cs="宋体" w:eastAsia="宋体" w:hint="default"/>
          <w:sz w:val="21"/>
          <w:szCs w:val="21"/>
        </w:rPr>
        <w:t>股，经此次分配完成后，公司注册资本、实收资本（股本）变更为</w:t>
      </w:r>
      <w:r>
        <w:rPr>
          <w:rFonts w:ascii="Times New Roman" w:hAnsi="Times New Roman" w:cs="Times New Roman" w:eastAsia="Times New Roman" w:hint="default"/>
          <w:sz w:val="21"/>
          <w:szCs w:val="21"/>
        </w:rPr>
        <w:t>121,993,920.00</w:t>
      </w:r>
      <w:r>
        <w:rPr>
          <w:rFonts w:ascii="宋体" w:hAnsi="宋体" w:cs="宋体" w:eastAsia="宋体" w:hint="default"/>
          <w:sz w:val="21"/>
          <w:szCs w:val="21"/>
        </w:rPr>
        <w:t>元。</w:t>
      </w:r>
    </w:p>
    <w:p>
      <w:pPr>
        <w:spacing w:line="240" w:lineRule="auto" w:before="3"/>
        <w:rPr>
          <w:rFonts w:ascii="宋体" w:hAnsi="宋体" w:cs="宋体" w:eastAsia="宋体" w:hint="default"/>
          <w:sz w:val="24"/>
          <w:szCs w:val="24"/>
        </w:rPr>
      </w:pPr>
    </w:p>
    <w:p>
      <w:pPr>
        <w:spacing w:line="268" w:lineRule="auto" w:before="0"/>
        <w:ind w:left="828" w:right="0" w:firstLine="0"/>
        <w:jc w:val="left"/>
        <w:rPr>
          <w:rFonts w:ascii="宋体" w:hAnsi="宋体" w:cs="宋体" w:eastAsia="宋体" w:hint="default"/>
          <w:sz w:val="21"/>
          <w:szCs w:val="21"/>
        </w:rPr>
      </w:pPr>
      <w:r>
        <w:rPr>
          <w:rFonts w:ascii="宋体" w:hAnsi="宋体" w:cs="宋体" w:eastAsia="宋体" w:hint="default"/>
          <w:sz w:val="21"/>
          <w:szCs w:val="21"/>
        </w:rPr>
        <w:t>本公司注册地址：上海市静安区昌平路</w:t>
      </w:r>
      <w:r>
        <w:rPr>
          <w:rFonts w:ascii="Times New Roman" w:hAnsi="Times New Roman" w:cs="Times New Roman" w:eastAsia="Times New Roman" w:hint="default"/>
          <w:sz w:val="21"/>
          <w:szCs w:val="21"/>
        </w:rPr>
        <w:t>710</w:t>
      </w:r>
      <w:r>
        <w:rPr>
          <w:rFonts w:ascii="宋体" w:hAnsi="宋体" w:cs="宋体" w:eastAsia="宋体" w:hint="default"/>
          <w:sz w:val="21"/>
          <w:szCs w:val="21"/>
        </w:rPr>
        <w:t>号</w:t>
      </w:r>
      <w:r>
        <w:rPr>
          <w:rFonts w:ascii="Times New Roman" w:hAnsi="Times New Roman" w:cs="Times New Roman" w:eastAsia="Times New Roman" w:hint="default"/>
          <w:sz w:val="21"/>
          <w:szCs w:val="21"/>
        </w:rPr>
        <w:t>302</w:t>
      </w:r>
      <w:r>
        <w:rPr>
          <w:rFonts w:ascii="宋体" w:hAnsi="宋体" w:cs="宋体" w:eastAsia="宋体" w:hint="default"/>
          <w:sz w:val="21"/>
          <w:szCs w:val="21"/>
        </w:rPr>
        <w:t>室，法定代表人：张曙华。 本公司属软件行业，经营范围主要包括：计算机软硬件、系统集成、网络工程、电子信息领域内 的“四技”服务，计算机软硬件、网络工程设备、公共安全防范工程设计及施工，建筑智能化工 </w:t>
      </w:r>
      <w:r>
        <w:rPr>
          <w:rFonts w:ascii="宋体" w:hAnsi="宋体" w:cs="宋体" w:eastAsia="宋体" w:hint="default"/>
          <w:spacing w:val="-3"/>
          <w:sz w:val="21"/>
          <w:szCs w:val="21"/>
        </w:rPr>
        <w:t>程设计与施工，计算机数据处理（依法须经批准的项目，经相关部门批准后方可开展经营活动）。</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z w:val="21"/>
          <w:szCs w:val="21"/>
        </w:rPr>
        <w:t>本公司的母公司为上海中信电子发展有限公司，实际控制人为张曙华。 本财务报表业经公司董事会于</w:t>
      </w:r>
      <w:r>
        <w:rPr>
          <w:rFonts w:ascii="Times New Roman" w:hAnsi="Times New Roman" w:cs="Times New Roman" w:eastAsia="Times New Roman" w:hint="default"/>
          <w:sz w:val="21"/>
          <w:szCs w:val="21"/>
        </w:rPr>
        <w:t>2019</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9</w:t>
      </w:r>
      <w:r>
        <w:rPr>
          <w:rFonts w:ascii="宋体" w:hAnsi="宋体" w:cs="宋体" w:eastAsia="宋体" w:hint="default"/>
          <w:sz w:val="21"/>
          <w:szCs w:val="21"/>
        </w:rPr>
        <w:t>日批准报出。</w:t>
      </w:r>
    </w:p>
    <w:p>
      <w:pPr>
        <w:spacing w:line="240" w:lineRule="auto" w:before="4"/>
        <w:rPr>
          <w:rFonts w:ascii="宋体" w:hAnsi="宋体" w:cs="宋体" w:eastAsia="宋体" w:hint="default"/>
          <w:sz w:val="23"/>
          <w:szCs w:val="23"/>
        </w:rPr>
      </w:pPr>
    </w:p>
    <w:p>
      <w:pPr>
        <w:spacing w:before="0"/>
        <w:ind w:left="828" w:right="0" w:firstLine="0"/>
        <w:jc w:val="left"/>
        <w:rPr>
          <w:rFonts w:ascii="宋体" w:hAnsi="宋体" w:cs="宋体" w:eastAsia="宋体" w:hint="default"/>
          <w:sz w:val="21"/>
          <w:szCs w:val="21"/>
        </w:rPr>
      </w:pPr>
      <w:r>
        <w:rPr>
          <w:rFonts w:ascii="宋体" w:hAnsi="宋体" w:cs="宋体" w:eastAsia="宋体" w:hint="default"/>
          <w:sz w:val="21"/>
          <w:szCs w:val="21"/>
        </w:rPr>
        <w:t>截至</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日止，本公司合并财务报表范围内子公司如下：</w:t>
      </w:r>
    </w:p>
    <w:p>
      <w:pPr>
        <w:spacing w:line="240" w:lineRule="auto" w:before="8"/>
        <w:rPr>
          <w:rFonts w:ascii="宋体" w:hAnsi="宋体" w:cs="宋体" w:eastAsia="宋体" w:hint="default"/>
          <w:sz w:val="26"/>
          <w:szCs w:val="26"/>
        </w:rPr>
      </w:pPr>
    </w:p>
    <w:tbl>
      <w:tblPr>
        <w:tblW w:w="0" w:type="auto"/>
        <w:jc w:val="left"/>
        <w:tblInd w:w="720" w:type="dxa"/>
        <w:tblLayout w:type="fixed"/>
        <w:tblCellMar>
          <w:top w:w="0" w:type="dxa"/>
          <w:left w:w="0" w:type="dxa"/>
          <w:bottom w:w="0" w:type="dxa"/>
          <w:right w:w="0" w:type="dxa"/>
        </w:tblCellMar>
        <w:tblLook w:val="01E0"/>
      </w:tblPr>
      <w:tblGrid>
        <w:gridCol w:w="7814"/>
      </w:tblGrid>
      <w:tr>
        <w:trPr>
          <w:trHeight w:val="355" w:hRule="exact"/>
        </w:trPr>
        <w:tc>
          <w:tcPr>
            <w:tcW w:w="7814" w:type="dxa"/>
            <w:tcBorders>
              <w:top w:val="single" w:sz="6" w:space="0" w:color="000000"/>
              <w:left w:val="nil" w:sz="6" w:space="0" w:color="auto"/>
              <w:bottom w:val="single" w:sz="12" w:space="0" w:color="000000"/>
              <w:right w:val="nil" w:sz="6" w:space="0" w:color="auto"/>
            </w:tcBorders>
          </w:tcPr>
          <w:p>
            <w:pPr>
              <w:pStyle w:val="TableParagraph"/>
              <w:spacing w:line="271" w:lineRule="exact"/>
              <w:ind w:left="-1" w:right="0"/>
              <w:jc w:val="center"/>
              <w:rPr>
                <w:rFonts w:ascii="宋体" w:hAnsi="宋体" w:cs="宋体" w:eastAsia="宋体" w:hint="default"/>
                <w:sz w:val="21"/>
                <w:szCs w:val="21"/>
              </w:rPr>
            </w:pPr>
            <w:r>
              <w:rPr>
                <w:rFonts w:ascii="宋体" w:hAnsi="宋体" w:cs="宋体" w:eastAsia="宋体" w:hint="default"/>
                <w:sz w:val="21"/>
                <w:szCs w:val="21"/>
              </w:rPr>
              <w:t>子公司名称</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10" w:right="0"/>
              <w:jc w:val="left"/>
              <w:rPr>
                <w:rFonts w:ascii="宋体" w:hAnsi="宋体" w:cs="宋体" w:eastAsia="宋体" w:hint="default"/>
                <w:sz w:val="21"/>
                <w:szCs w:val="21"/>
              </w:rPr>
            </w:pPr>
            <w:r>
              <w:rPr>
                <w:rFonts w:ascii="宋体" w:hAnsi="宋体" w:cs="宋体" w:eastAsia="宋体" w:hint="default"/>
                <w:sz w:val="21"/>
                <w:szCs w:val="21"/>
              </w:rPr>
              <w:t>上海金档信息技术有限公司</w:t>
            </w:r>
          </w:p>
        </w:tc>
      </w:tr>
      <w:tr>
        <w:trPr>
          <w:trHeight w:val="353"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10" w:right="0"/>
              <w:jc w:val="left"/>
              <w:rPr>
                <w:rFonts w:ascii="宋体" w:hAnsi="宋体" w:cs="宋体" w:eastAsia="宋体" w:hint="default"/>
                <w:sz w:val="21"/>
                <w:szCs w:val="21"/>
              </w:rPr>
            </w:pPr>
            <w:r>
              <w:rPr>
                <w:rFonts w:ascii="宋体" w:hAnsi="宋体" w:cs="宋体" w:eastAsia="宋体" w:hint="default"/>
                <w:sz w:val="21"/>
                <w:szCs w:val="21"/>
              </w:rPr>
              <w:t>光典信息发展有限公司</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10" w:right="0"/>
              <w:jc w:val="left"/>
              <w:rPr>
                <w:rFonts w:ascii="宋体" w:hAnsi="宋体" w:cs="宋体" w:eastAsia="宋体" w:hint="default"/>
                <w:sz w:val="21"/>
                <w:szCs w:val="21"/>
              </w:rPr>
            </w:pPr>
            <w:r>
              <w:rPr>
                <w:rFonts w:ascii="宋体" w:hAnsi="宋体" w:cs="宋体" w:eastAsia="宋体" w:hint="default"/>
                <w:sz w:val="21"/>
                <w:szCs w:val="21"/>
              </w:rPr>
              <w:t>上海追索信息科技有限公司</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10" w:right="0"/>
              <w:jc w:val="left"/>
              <w:rPr>
                <w:rFonts w:ascii="宋体" w:hAnsi="宋体" w:cs="宋体" w:eastAsia="宋体" w:hint="default"/>
                <w:sz w:val="21"/>
                <w:szCs w:val="21"/>
              </w:rPr>
            </w:pPr>
            <w:r>
              <w:rPr>
                <w:rFonts w:ascii="宋体" w:hAnsi="宋体" w:cs="宋体" w:eastAsia="宋体" w:hint="default"/>
                <w:sz w:val="21"/>
                <w:szCs w:val="21"/>
              </w:rPr>
              <w:t>追溯云信息发展股份有限公司</w:t>
            </w:r>
          </w:p>
        </w:tc>
      </w:tr>
      <w:tr>
        <w:trPr>
          <w:trHeight w:val="353"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10" w:right="0"/>
              <w:jc w:val="left"/>
              <w:rPr>
                <w:rFonts w:ascii="宋体" w:hAnsi="宋体" w:cs="宋体" w:eastAsia="宋体" w:hint="default"/>
                <w:sz w:val="21"/>
                <w:szCs w:val="21"/>
              </w:rPr>
            </w:pPr>
            <w:r>
              <w:rPr>
                <w:rFonts w:ascii="宋体" w:hAnsi="宋体" w:cs="宋体" w:eastAsia="宋体" w:hint="default"/>
                <w:sz w:val="21"/>
                <w:szCs w:val="21"/>
              </w:rPr>
              <w:t>信发资产管理有限责任公司</w:t>
            </w:r>
          </w:p>
        </w:tc>
      </w:tr>
      <w:tr>
        <w:trPr>
          <w:trHeight w:val="352" w:hRule="exact"/>
        </w:trPr>
        <w:tc>
          <w:tcPr>
            <w:tcW w:w="7814"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10" w:right="0"/>
              <w:jc w:val="left"/>
              <w:rPr>
                <w:rFonts w:ascii="宋体" w:hAnsi="宋体" w:cs="宋体" w:eastAsia="宋体" w:hint="default"/>
                <w:sz w:val="21"/>
                <w:szCs w:val="21"/>
              </w:rPr>
            </w:pPr>
            <w:r>
              <w:rPr>
                <w:rFonts w:ascii="宋体" w:hAnsi="宋体" w:cs="宋体" w:eastAsia="宋体" w:hint="default"/>
                <w:sz w:val="21"/>
                <w:szCs w:val="21"/>
              </w:rPr>
              <w:t>智秾信息发展股份有限公司</w:t>
            </w:r>
          </w:p>
        </w:tc>
      </w:tr>
    </w:tbl>
    <w:p>
      <w:pPr>
        <w:spacing w:line="240" w:lineRule="auto" w:before="1"/>
        <w:rPr>
          <w:rFonts w:ascii="宋体" w:hAnsi="宋体" w:cs="宋体" w:eastAsia="宋体" w:hint="default"/>
          <w:sz w:val="20"/>
          <w:szCs w:val="20"/>
        </w:rPr>
      </w:pPr>
    </w:p>
    <w:p>
      <w:pPr>
        <w:spacing w:line="273" w:lineRule="auto" w:before="35"/>
        <w:ind w:left="828" w:right="1114" w:firstLine="0"/>
        <w:jc w:val="left"/>
        <w:rPr>
          <w:rFonts w:ascii="宋体" w:hAnsi="宋体" w:cs="宋体" w:eastAsia="宋体" w:hint="default"/>
          <w:sz w:val="21"/>
          <w:szCs w:val="21"/>
        </w:rPr>
      </w:pPr>
      <w:r>
        <w:rPr>
          <w:rFonts w:ascii="宋体" w:hAnsi="宋体" w:cs="宋体" w:eastAsia="宋体" w:hint="default"/>
          <w:sz w:val="21"/>
          <w:szCs w:val="21"/>
        </w:rPr>
        <w:t>本期合并财务报表范围及其变化情况详见“本附注八合并范围的变更”</w:t>
      </w:r>
      <w:r>
        <w:rPr>
          <w:rFonts w:ascii="宋体" w:hAnsi="宋体" w:cs="宋体" w:eastAsia="宋体" w:hint="default"/>
          <w:spacing w:val="-53"/>
          <w:sz w:val="21"/>
          <w:szCs w:val="21"/>
        </w:rPr>
        <w:t> </w:t>
      </w:r>
      <w:r>
        <w:rPr>
          <w:rFonts w:ascii="宋体" w:hAnsi="宋体" w:cs="宋体" w:eastAsia="宋体" w:hint="default"/>
          <w:sz w:val="21"/>
          <w:szCs w:val="21"/>
        </w:rPr>
        <w:t>和</w:t>
      </w:r>
      <w:r>
        <w:rPr>
          <w:rFonts w:ascii="宋体" w:hAnsi="宋体" w:cs="宋体" w:eastAsia="宋体" w:hint="default"/>
          <w:spacing w:val="-53"/>
          <w:sz w:val="21"/>
          <w:szCs w:val="21"/>
        </w:rPr>
        <w:t> </w:t>
      </w:r>
      <w:r>
        <w:rPr>
          <w:rFonts w:ascii="宋体" w:hAnsi="宋体" w:cs="宋体" w:eastAsia="宋体" w:hint="default"/>
          <w:sz w:val="21"/>
          <w:szCs w:val="21"/>
        </w:rPr>
        <w:t>“本附注九、在其他主</w:t>
      </w:r>
      <w:r>
        <w:rPr>
          <w:rFonts w:ascii="宋体" w:hAnsi="宋体" w:cs="宋体" w:eastAsia="宋体" w:hint="default"/>
          <w:sz w:val="21"/>
          <w:szCs w:val="21"/>
        </w:rPr>
        <w:t> </w:t>
      </w:r>
      <w:r>
        <w:rPr>
          <w:rFonts w:ascii="宋体" w:hAnsi="宋体" w:cs="宋体" w:eastAsia="宋体" w:hint="default"/>
          <w:spacing w:val="-16"/>
          <w:sz w:val="21"/>
          <w:szCs w:val="21"/>
        </w:rPr>
        <w:t>体中的权益”。</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5"/>
          <w:szCs w:val="25"/>
        </w:rPr>
      </w:pPr>
    </w:p>
    <w:p>
      <w:pPr>
        <w:pStyle w:val="Heading4"/>
        <w:spacing w:line="240" w:lineRule="auto"/>
        <w:ind w:right="0"/>
        <w:jc w:val="left"/>
        <w:rPr>
          <w:b w:val="0"/>
          <w:bCs w:val="0"/>
        </w:rPr>
      </w:pPr>
      <w:bookmarkStart w:name="四、财务报表的编制基础" w:id="168"/>
      <w:bookmarkEnd w:id="168"/>
      <w:r>
        <w:rPr>
          <w:b w:val="0"/>
          <w:bCs w:val="0"/>
        </w:rPr>
      </w:r>
      <w:r>
        <w:rPr/>
        <w:t>四、财务报表的编制基础</w:t>
      </w:r>
      <w:r>
        <w:rPr>
          <w:b w:val="0"/>
          <w:bCs w:val="0"/>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编制基础" w:id="169"/>
      <w:bookmarkEnd w:id="169"/>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、编制基础</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line="273" w:lineRule="auto" w:before="0"/>
        <w:ind w:left="114" w:right="1092" w:firstLine="0"/>
        <w:jc w:val="left"/>
        <w:rPr>
          <w:rFonts w:ascii="宋体" w:hAnsi="宋体" w:cs="宋体" w:eastAsia="宋体" w:hint="default"/>
          <w:sz w:val="21"/>
          <w:szCs w:val="21"/>
        </w:rPr>
      </w:pPr>
      <w:r>
        <w:rPr>
          <w:rFonts w:ascii="宋体" w:hAnsi="宋体" w:cs="宋体" w:eastAsia="宋体" w:hint="default"/>
          <w:sz w:val="21"/>
          <w:szCs w:val="21"/>
        </w:rPr>
        <w:t>公司以持续经营为基础，根据实际发生的交易和事项，按照财政部颁布的《企业会计准则——基本准则》 </w:t>
      </w:r>
      <w:r>
        <w:rPr>
          <w:rFonts w:ascii="宋体" w:hAnsi="宋体" w:cs="宋体" w:eastAsia="宋体" w:hint="default"/>
          <w:spacing w:val="-1"/>
          <w:sz w:val="21"/>
          <w:szCs w:val="21"/>
        </w:rPr>
        <w:t>和各项具体会计准则、企业会计准则应用指南、企业会计准则解释及其他相关规定（以下合称“企业会计</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6"/>
          <w:sz w:val="21"/>
          <w:szCs w:val="21"/>
        </w:rPr>
        <w:t>准则”），以及中国证券监督管理委员会《公开发行证券的公司信息披露编报规则第</w:t>
      </w:r>
      <w:r>
        <w:rPr>
          <w:rFonts w:ascii="宋体" w:hAnsi="宋体" w:cs="宋体" w:eastAsia="宋体" w:hint="default"/>
          <w:spacing w:val="-6"/>
          <w:sz w:val="21"/>
          <w:szCs w:val="21"/>
        </w:rPr>
        <w:t>15</w:t>
      </w:r>
      <w:r>
        <w:rPr>
          <w:rFonts w:ascii="宋体" w:hAnsi="宋体" w:cs="宋体" w:eastAsia="宋体" w:hint="default"/>
          <w:sz w:val="21"/>
          <w:szCs w:val="21"/>
        </w:rPr>
        <w:t> </w:t>
      </w:r>
      <w:r>
        <w:rPr>
          <w:rFonts w:ascii="宋体" w:hAnsi="宋体" w:cs="宋体" w:eastAsia="宋体" w:hint="default"/>
          <w:spacing w:val="-1"/>
          <w:sz w:val="21"/>
          <w:szCs w:val="21"/>
        </w:rPr>
        <w:t>号——财务报告的</w:t>
      </w:r>
      <w:r>
        <w:rPr>
          <w:rFonts w:ascii="宋体" w:hAnsi="宋体" w:cs="宋体" w:eastAsia="宋体" w:hint="default"/>
          <w:spacing w:val="-76"/>
          <w:sz w:val="21"/>
          <w:szCs w:val="21"/>
        </w:rPr>
        <w:t> </w:t>
      </w:r>
      <w:r>
        <w:rPr>
          <w:rFonts w:ascii="宋体" w:hAnsi="宋体" w:cs="宋体" w:eastAsia="宋体" w:hint="default"/>
          <w:spacing w:val="-76"/>
          <w:sz w:val="21"/>
          <w:szCs w:val="21"/>
        </w:rPr>
      </w:r>
      <w:r>
        <w:rPr>
          <w:rFonts w:ascii="宋体" w:hAnsi="宋体" w:cs="宋体" w:eastAsia="宋体" w:hint="default"/>
          <w:sz w:val="21"/>
          <w:szCs w:val="21"/>
        </w:rPr>
        <w:t>一般规定》的披露规定编制财务报表。</w:t>
      </w:r>
    </w:p>
    <w:p>
      <w:pPr>
        <w:spacing w:line="240" w:lineRule="auto" w:before="8"/>
        <w:rPr>
          <w:rFonts w:ascii="宋体" w:hAnsi="宋体" w:cs="宋体" w:eastAsia="宋体" w:hint="default"/>
          <w:sz w:val="23"/>
          <w:szCs w:val="23"/>
        </w:rPr>
      </w:pPr>
    </w:p>
    <w:p>
      <w:pPr>
        <w:spacing w:before="0"/>
        <w:ind w:left="114" w:right="0" w:firstLine="0"/>
        <w:jc w:val="left"/>
        <w:rPr>
          <w:rFonts w:ascii="宋体" w:hAnsi="宋体" w:cs="宋体" w:eastAsia="宋体" w:hint="default"/>
          <w:sz w:val="21"/>
          <w:szCs w:val="21"/>
        </w:rPr>
      </w:pPr>
      <w:bookmarkStart w:name="2、持续经营" w:id="170"/>
      <w:bookmarkEnd w:id="170"/>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、持续经营</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line="256" w:lineRule="auto" w:before="0"/>
        <w:ind w:left="114" w:right="1221" w:firstLine="0"/>
        <w:jc w:val="left"/>
        <w:rPr>
          <w:rFonts w:ascii="宋体" w:hAnsi="宋体" w:cs="宋体" w:eastAsia="宋体" w:hint="default"/>
          <w:sz w:val="21"/>
          <w:szCs w:val="21"/>
        </w:rPr>
      </w:pPr>
      <w:r>
        <w:rPr>
          <w:rFonts w:ascii="宋体" w:hAnsi="宋体" w:cs="宋体" w:eastAsia="宋体" w:hint="default"/>
          <w:sz w:val="21"/>
          <w:szCs w:val="21"/>
        </w:rPr>
        <w:t>本公司对自报告期末起</w:t>
      </w:r>
      <w:r>
        <w:rPr>
          <w:rFonts w:ascii="宋体" w:hAnsi="宋体" w:cs="宋体" w:eastAsia="宋体" w:hint="default"/>
          <w:spacing w:val="-24"/>
          <w:sz w:val="21"/>
          <w:szCs w:val="21"/>
        </w:rPr>
        <w:t> </w:t>
      </w:r>
      <w:r>
        <w:rPr>
          <w:rFonts w:ascii="Times New Roman" w:hAnsi="Times New Roman" w:cs="Times New Roman" w:eastAsia="Times New Roman" w:hint="default"/>
          <w:sz w:val="21"/>
          <w:szCs w:val="21"/>
        </w:rPr>
        <w:t>12</w:t>
      </w:r>
      <w:r>
        <w:rPr>
          <w:rFonts w:ascii="宋体" w:hAnsi="宋体" w:cs="宋体" w:eastAsia="宋体" w:hint="default"/>
          <w:sz w:val="21"/>
          <w:szCs w:val="21"/>
        </w:rPr>
        <w:t>个月的持续经营能力进行评价，评价结果表明本公司自报告期末起</w:t>
      </w:r>
      <w:r>
        <w:rPr>
          <w:rFonts w:ascii="Times New Roman" w:hAnsi="Times New Roman" w:cs="Times New Roman" w:eastAsia="Times New Roman" w:hint="default"/>
          <w:sz w:val="21"/>
          <w:szCs w:val="21"/>
        </w:rPr>
        <w:t>12</w:t>
      </w:r>
      <w:r>
        <w:rPr>
          <w:rFonts w:ascii="宋体" w:hAnsi="宋体" w:cs="宋体" w:eastAsia="宋体" w:hint="default"/>
          <w:sz w:val="21"/>
          <w:szCs w:val="21"/>
        </w:rPr>
        <w:t>个月的持 续经营能力不存在重大不确定性。</w:t>
      </w:r>
    </w:p>
    <w:p>
      <w:pPr>
        <w:spacing w:line="240" w:lineRule="auto" w:before="0"/>
        <w:rPr>
          <w:rFonts w:ascii="宋体" w:hAnsi="宋体" w:cs="宋体" w:eastAsia="宋体" w:hint="default"/>
          <w:sz w:val="20"/>
          <w:szCs w:val="20"/>
        </w:rPr>
      </w:pPr>
    </w:p>
    <w:p>
      <w:pPr>
        <w:spacing w:line="240" w:lineRule="auto" w:before="11"/>
        <w:rPr>
          <w:rFonts w:ascii="宋体" w:hAnsi="宋体" w:cs="宋体" w:eastAsia="宋体" w:hint="default"/>
          <w:sz w:val="26"/>
          <w:szCs w:val="26"/>
        </w:rPr>
      </w:pPr>
    </w:p>
    <w:p>
      <w:pPr>
        <w:pStyle w:val="Heading4"/>
        <w:spacing w:line="240" w:lineRule="auto"/>
        <w:ind w:right="0"/>
        <w:jc w:val="left"/>
        <w:rPr>
          <w:b w:val="0"/>
          <w:bCs w:val="0"/>
        </w:rPr>
      </w:pPr>
      <w:bookmarkStart w:name="五、重要会计政策及会计估计" w:id="171"/>
      <w:bookmarkEnd w:id="171"/>
      <w:r>
        <w:rPr>
          <w:b w:val="0"/>
          <w:bCs w:val="0"/>
        </w:rPr>
      </w:r>
      <w:r>
        <w:rPr/>
        <w:t>五、重要会计政策及会计估计</w:t>
      </w:r>
      <w:r>
        <w:rPr>
          <w:b w:val="0"/>
          <w:bCs w:val="0"/>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3"/>
        <w:rPr>
          <w:rFonts w:ascii="宋体" w:hAnsi="宋体" w:cs="宋体" w:eastAsia="宋体" w:hint="default"/>
          <w:sz w:val="20"/>
          <w:szCs w:val="20"/>
        </w:rPr>
      </w:pPr>
    </w:p>
    <w:p>
      <w:pPr>
        <w:spacing w:line="357" w:lineRule="auto" w:before="44"/>
        <w:ind w:left="114" w:right="8952" w:firstLine="0"/>
        <w:jc w:val="left"/>
        <w:rPr>
          <w:rFonts w:ascii="宋体" w:hAnsi="宋体" w:cs="宋体" w:eastAsia="宋体" w:hint="default"/>
          <w:sz w:val="18"/>
          <w:szCs w:val="18"/>
        </w:rPr>
      </w:pPr>
      <w:r>
        <w:rPr>
          <w:rFonts w:ascii="宋体" w:hAnsi="宋体" w:cs="宋体" w:eastAsia="宋体" w:hint="default"/>
          <w:sz w:val="18"/>
          <w:szCs w:val="18"/>
        </w:rPr>
        <w:t>是 软件与信息技术服务业</w:t>
      </w:r>
    </w:p>
    <w:p>
      <w:pPr>
        <w:spacing w:before="29"/>
        <w:ind w:left="114" w:right="0" w:firstLine="0"/>
        <w:jc w:val="left"/>
        <w:rPr>
          <w:rFonts w:ascii="宋体" w:hAnsi="宋体" w:cs="宋体" w:eastAsia="宋体" w:hint="default"/>
          <w:sz w:val="18"/>
          <w:szCs w:val="18"/>
        </w:rPr>
      </w:pPr>
      <w:r>
        <w:rPr>
          <w:rFonts w:ascii="宋体" w:hAnsi="宋体" w:cs="宋体" w:eastAsia="宋体" w:hint="default"/>
          <w:sz w:val="18"/>
          <w:szCs w:val="18"/>
        </w:rPr>
        <w:t>具体会计政策和会计估计提示：</w:t>
      </w:r>
    </w:p>
    <w:p>
      <w:pPr>
        <w:spacing w:before="89"/>
        <w:ind w:left="114" w:right="0" w:firstLine="0"/>
        <w:jc w:val="left"/>
        <w:rPr>
          <w:rFonts w:ascii="宋体" w:hAnsi="宋体" w:cs="宋体" w:eastAsia="宋体" w:hint="default"/>
          <w:sz w:val="21"/>
          <w:szCs w:val="21"/>
        </w:rPr>
      </w:pPr>
      <w:r>
        <w:rPr>
          <w:rFonts w:ascii="宋体" w:hAnsi="宋体" w:cs="宋体" w:eastAsia="宋体" w:hint="default"/>
          <w:sz w:val="21"/>
          <w:szCs w:val="21"/>
        </w:rPr>
        <w:t>以下披露内容已涵盖了本公司根据实际生产经营特点制定的具体会计政策和会计估计。</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9"/>
          <w:szCs w:val="29"/>
        </w:rPr>
      </w:pPr>
    </w:p>
    <w:p>
      <w:pPr>
        <w:spacing w:before="0"/>
        <w:ind w:left="114" w:right="0" w:firstLine="0"/>
        <w:jc w:val="left"/>
        <w:rPr>
          <w:rFonts w:ascii="宋体" w:hAnsi="宋体" w:cs="宋体" w:eastAsia="宋体" w:hint="default"/>
          <w:sz w:val="21"/>
          <w:szCs w:val="21"/>
        </w:rPr>
      </w:pPr>
      <w:bookmarkStart w:name="1、遵循企业会计准则的声明" w:id="172"/>
      <w:bookmarkEnd w:id="172"/>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、遵循企业会计准则的声明</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line="273" w:lineRule="auto" w:before="0"/>
        <w:ind w:left="114" w:right="1023" w:firstLine="0"/>
        <w:jc w:val="left"/>
        <w:rPr>
          <w:rFonts w:ascii="宋体" w:hAnsi="宋体" w:cs="宋体" w:eastAsia="宋体" w:hint="default"/>
          <w:sz w:val="21"/>
          <w:szCs w:val="21"/>
        </w:rPr>
      </w:pPr>
      <w:r>
        <w:rPr>
          <w:rFonts w:ascii="宋体" w:hAnsi="宋体" w:cs="宋体" w:eastAsia="宋体" w:hint="default"/>
          <w:spacing w:val="-3"/>
          <w:sz w:val="21"/>
          <w:szCs w:val="21"/>
        </w:rPr>
        <w:t>公司所编制的财务报表符合企业会计准则的要求，真实、完整地反映了报告期公司的财务状况、经营成果、</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现金流量等有关信息。</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spacing w:line="520" w:lineRule="auto" w:before="0"/>
        <w:ind w:left="114" w:right="6552" w:firstLine="0"/>
        <w:jc w:val="left"/>
        <w:rPr>
          <w:rFonts w:ascii="宋体" w:hAnsi="宋体" w:cs="宋体" w:eastAsia="宋体" w:hint="default"/>
          <w:sz w:val="21"/>
          <w:szCs w:val="21"/>
        </w:rPr>
      </w:pPr>
      <w:bookmarkStart w:name="2、会计期间" w:id="173"/>
      <w:bookmarkEnd w:id="173"/>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、会计期间</w:t>
      </w:r>
      <w:r>
        <w:rPr>
          <w:rFonts w:ascii="宋体" w:hAnsi="宋体" w:cs="宋体" w:eastAsia="宋体" w:hint="default"/>
          <w:b/>
          <w:bCs/>
          <w:w w:val="99"/>
          <w:sz w:val="21"/>
          <w:szCs w:val="21"/>
        </w:rPr>
        <w:t> </w:t>
      </w:r>
      <w:r>
        <w:rPr>
          <w:rFonts w:ascii="宋体" w:hAnsi="宋体" w:cs="宋体" w:eastAsia="宋体" w:hint="default"/>
          <w:sz w:val="21"/>
          <w:szCs w:val="21"/>
        </w:rPr>
        <w:t>自公历</w:t>
      </w:r>
      <w:r>
        <w:rPr>
          <w:rFonts w:ascii="宋体" w:hAnsi="宋体" w:cs="宋体" w:eastAsia="宋体" w:hint="default"/>
          <w:sz w:val="21"/>
          <w:szCs w:val="21"/>
        </w:rPr>
        <w:t>1</w:t>
      </w:r>
      <w:r>
        <w:rPr>
          <w:rFonts w:ascii="宋体" w:hAnsi="宋体" w:cs="宋体" w:eastAsia="宋体" w:hint="default"/>
          <w:sz w:val="21"/>
          <w:szCs w:val="21"/>
        </w:rPr>
        <w:t>月</w:t>
      </w:r>
      <w:r>
        <w:rPr>
          <w:rFonts w:ascii="宋体" w:hAnsi="宋体" w:cs="宋体" w:eastAsia="宋体" w:hint="default"/>
          <w:sz w:val="21"/>
          <w:szCs w:val="21"/>
        </w:rPr>
        <w:t>1</w:t>
      </w:r>
      <w:r>
        <w:rPr>
          <w:rFonts w:ascii="宋体" w:hAnsi="宋体" w:cs="宋体" w:eastAsia="宋体" w:hint="default"/>
          <w:sz w:val="21"/>
          <w:szCs w:val="21"/>
        </w:rPr>
        <w:t>日至</w:t>
      </w:r>
      <w:r>
        <w:rPr>
          <w:rFonts w:ascii="宋体" w:hAnsi="宋体" w:cs="宋体" w:eastAsia="宋体" w:hint="default"/>
          <w:sz w:val="21"/>
          <w:szCs w:val="21"/>
        </w:rPr>
        <w:t>12</w:t>
      </w:r>
      <w:r>
        <w:rPr>
          <w:rFonts w:ascii="宋体" w:hAnsi="宋体" w:cs="宋体" w:eastAsia="宋体" w:hint="default"/>
          <w:sz w:val="21"/>
          <w:szCs w:val="21"/>
        </w:rPr>
        <w:t>月</w:t>
      </w:r>
      <w:r>
        <w:rPr>
          <w:rFonts w:ascii="宋体" w:hAnsi="宋体" w:cs="宋体" w:eastAsia="宋体" w:hint="default"/>
          <w:sz w:val="21"/>
          <w:szCs w:val="21"/>
        </w:rPr>
        <w:t>31</w:t>
      </w:r>
      <w:r>
        <w:rPr>
          <w:rFonts w:ascii="宋体" w:hAnsi="宋体" w:cs="宋体" w:eastAsia="宋体" w:hint="default"/>
          <w:sz w:val="21"/>
          <w:szCs w:val="21"/>
        </w:rPr>
        <w:t>日止为一个会计年度。 </w:t>
      </w:r>
      <w:bookmarkStart w:name="3、营业周期" w:id="174"/>
      <w:bookmarkEnd w:id="174"/>
      <w:r>
        <w:rPr>
          <w:rFonts w:ascii="宋体" w:hAnsi="宋体" w:cs="宋体" w:eastAsia="宋体" w:hint="default"/>
          <w:sz w:val="21"/>
          <w:szCs w:val="21"/>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、营业周期</w:t>
      </w:r>
      <w:r>
        <w:rPr>
          <w:rFonts w:ascii="宋体" w:hAnsi="宋体" w:cs="宋体" w:eastAsia="宋体" w:hint="default"/>
          <w:sz w:val="21"/>
          <w:szCs w:val="21"/>
        </w:rPr>
      </w:r>
    </w:p>
    <w:p>
      <w:pPr>
        <w:spacing w:before="49"/>
        <w:ind w:left="114" w:right="0" w:firstLine="0"/>
        <w:jc w:val="left"/>
        <w:rPr>
          <w:rFonts w:ascii="宋体" w:hAnsi="宋体" w:cs="宋体" w:eastAsia="宋体" w:hint="default"/>
          <w:sz w:val="21"/>
          <w:szCs w:val="21"/>
        </w:rPr>
      </w:pPr>
      <w:r>
        <w:rPr>
          <w:rFonts w:ascii="宋体" w:hAnsi="宋体" w:cs="宋体" w:eastAsia="宋体" w:hint="default"/>
          <w:sz w:val="21"/>
          <w:szCs w:val="21"/>
        </w:rPr>
        <w:t>本公司营业周期为</w:t>
      </w:r>
      <w:r>
        <w:rPr>
          <w:rFonts w:ascii="Times New Roman" w:hAnsi="Times New Roman" w:cs="Times New Roman" w:eastAsia="Times New Roman" w:hint="default"/>
          <w:sz w:val="21"/>
          <w:szCs w:val="21"/>
        </w:rPr>
        <w:t>12</w:t>
      </w:r>
      <w:r>
        <w:rPr>
          <w:rFonts w:ascii="宋体" w:hAnsi="宋体" w:cs="宋体" w:eastAsia="宋体" w:hint="default"/>
          <w:sz w:val="21"/>
          <w:szCs w:val="21"/>
        </w:rPr>
        <w:t>个月。</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26"/>
          <w:szCs w:val="26"/>
        </w:rPr>
      </w:pPr>
    </w:p>
    <w:p>
      <w:pPr>
        <w:spacing w:line="506" w:lineRule="auto" w:before="0"/>
        <w:ind w:left="114" w:right="7602" w:firstLine="0"/>
        <w:jc w:val="left"/>
        <w:rPr>
          <w:rFonts w:ascii="宋体" w:hAnsi="宋体" w:cs="宋体" w:eastAsia="宋体" w:hint="default"/>
          <w:sz w:val="21"/>
          <w:szCs w:val="21"/>
        </w:rPr>
      </w:pPr>
      <w:bookmarkStart w:name="4、记账本位币" w:id="175"/>
      <w:bookmarkEnd w:id="175"/>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、记账本位币</w:t>
      </w:r>
      <w:r>
        <w:rPr>
          <w:rFonts w:ascii="宋体" w:hAnsi="宋体" w:cs="宋体" w:eastAsia="宋体" w:hint="default"/>
          <w:b/>
          <w:bCs/>
          <w:w w:val="99"/>
          <w:sz w:val="21"/>
          <w:szCs w:val="21"/>
        </w:rPr>
        <w:t> </w:t>
      </w:r>
      <w:r>
        <w:rPr>
          <w:rFonts w:ascii="宋体" w:hAnsi="宋体" w:cs="宋体" w:eastAsia="宋体" w:hint="default"/>
          <w:sz w:val="21"/>
          <w:szCs w:val="21"/>
        </w:rPr>
        <w:t>本公司采用人民币为记账本位币。</w:t>
      </w:r>
    </w:p>
    <w:p>
      <w:pPr>
        <w:spacing w:before="105"/>
        <w:ind w:left="114" w:right="0" w:firstLine="0"/>
        <w:jc w:val="left"/>
        <w:rPr>
          <w:rFonts w:ascii="宋体" w:hAnsi="宋体" w:cs="宋体" w:eastAsia="宋体" w:hint="default"/>
          <w:sz w:val="21"/>
          <w:szCs w:val="21"/>
        </w:rPr>
      </w:pPr>
      <w:bookmarkStart w:name="5、同一控制下和非同一控制下企业合并的会计处理方法" w:id="176"/>
      <w:bookmarkEnd w:id="176"/>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、同一控制下和非同一控制下企业合并的会计处理方法</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828" w:right="0" w:firstLine="0"/>
        <w:jc w:val="left"/>
        <w:rPr>
          <w:rFonts w:ascii="宋体" w:hAnsi="宋体" w:cs="宋体" w:eastAsia="宋体" w:hint="default"/>
          <w:sz w:val="21"/>
          <w:szCs w:val="21"/>
        </w:rPr>
      </w:pPr>
      <w:r>
        <w:rPr>
          <w:rFonts w:ascii="宋体" w:hAnsi="宋体" w:cs="宋体" w:eastAsia="宋体" w:hint="default"/>
          <w:sz w:val="21"/>
          <w:szCs w:val="21"/>
        </w:rPr>
        <w:t>同一控制下企业合并：本公司在企业合并中取得的资产和负债，按照合并日被合并方资产、负债</w:t>
      </w:r>
    </w:p>
    <w:p>
      <w:pPr>
        <w:spacing w:line="273" w:lineRule="auto" w:before="37"/>
        <w:ind w:left="828" w:right="1218" w:firstLine="0"/>
        <w:jc w:val="left"/>
        <w:rPr>
          <w:rFonts w:ascii="宋体" w:hAnsi="宋体" w:cs="宋体" w:eastAsia="宋体" w:hint="default"/>
          <w:sz w:val="21"/>
          <w:szCs w:val="21"/>
        </w:rPr>
      </w:pPr>
      <w:r>
        <w:rPr>
          <w:rFonts w:ascii="宋体" w:hAnsi="宋体" w:cs="宋体" w:eastAsia="宋体" w:hint="default"/>
          <w:sz w:val="21"/>
          <w:szCs w:val="21"/>
        </w:rPr>
        <w:t>（包括最终控制方收购被合并方而形成的商誉）在最终控制方合并财务报表中的账面价值计量。 在合并中取得的净资产账面价值与支付的合并对价账面价值（或发行股份面值总额）的差额，调 整资本公积中的股本溢价，资本公积中的股本溢价不足冲减的，调整留存收益。 非同一控制下企业合并：本公司在购买日对作为企业合并对价付出的资产、发生或承担的负债按 照公允价值计量，公允价值与其账面价值的差额，计入当期损益。本公司对合并成本大于合并中 取得的被购买方可辨认净资产公允价值份额的差额，确认为商誉；合并成本小于合并中取得的被 购买方可辨认净资产公允价值份额的差额，经复核后，计入当期损益。</w:t>
      </w:r>
    </w:p>
    <w:p>
      <w:pPr>
        <w:spacing w:line="273" w:lineRule="auto" w:before="7"/>
        <w:ind w:left="114" w:right="1023" w:firstLine="0"/>
        <w:jc w:val="left"/>
        <w:rPr>
          <w:rFonts w:ascii="宋体" w:hAnsi="宋体" w:cs="宋体" w:eastAsia="宋体" w:hint="default"/>
          <w:sz w:val="21"/>
          <w:szCs w:val="21"/>
        </w:rPr>
      </w:pPr>
      <w:r>
        <w:rPr>
          <w:rFonts w:ascii="宋体" w:hAnsi="宋体" w:cs="宋体" w:eastAsia="宋体" w:hint="default"/>
          <w:spacing w:val="-3"/>
          <w:sz w:val="21"/>
          <w:szCs w:val="21"/>
        </w:rPr>
        <w:t>为企业合并发生的审计、法律服务、评估咨询等中介费用以及其他直接相关费用，于发生时计入当期损益；</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z w:val="21"/>
          <w:szCs w:val="21"/>
        </w:rPr>
        <w:t>为企业合并而发行权益性证券的交易费用，冲减权益。</w:t>
      </w:r>
    </w:p>
    <w:p>
      <w:pPr>
        <w:spacing w:line="240" w:lineRule="auto" w:before="8"/>
        <w:rPr>
          <w:rFonts w:ascii="宋体" w:hAnsi="宋体" w:cs="宋体" w:eastAsia="宋体" w:hint="default"/>
          <w:sz w:val="24"/>
          <w:szCs w:val="24"/>
        </w:rPr>
      </w:pPr>
    </w:p>
    <w:p>
      <w:pPr>
        <w:spacing w:line="590" w:lineRule="atLeast" w:before="0"/>
        <w:ind w:left="889" w:right="8118" w:hanging="776"/>
        <w:jc w:val="left"/>
        <w:rPr>
          <w:rFonts w:ascii="宋体" w:hAnsi="宋体" w:cs="宋体" w:eastAsia="宋体" w:hint="default"/>
          <w:sz w:val="21"/>
          <w:szCs w:val="21"/>
        </w:rPr>
      </w:pPr>
      <w:bookmarkStart w:name="6、合并财务报表的编制方法" w:id="177"/>
      <w:bookmarkEnd w:id="177"/>
      <w:r>
        <w:rPr/>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、合并财务报表的编制方法</w:t>
      </w:r>
      <w:r>
        <w:rPr>
          <w:rFonts w:ascii="宋体" w:hAnsi="宋体" w:cs="宋体" w:eastAsia="宋体" w:hint="default"/>
          <w:b/>
          <w:bCs/>
          <w:w w:val="99"/>
          <w:sz w:val="21"/>
          <w:szCs w:val="21"/>
        </w:rPr>
        <w:t> </w:t>
      </w:r>
      <w:r>
        <w:rPr>
          <w:rFonts w:ascii="宋体" w:hAnsi="宋体" w:cs="宋体" w:eastAsia="宋体" w:hint="default"/>
          <w:b/>
          <w:bCs/>
          <w:sz w:val="21"/>
          <w:szCs w:val="21"/>
        </w:rPr>
        <w:t>合并范围</w:t>
      </w:r>
      <w:r>
        <w:rPr>
          <w:rFonts w:ascii="宋体" w:hAnsi="宋体" w:cs="宋体" w:eastAsia="宋体" w:hint="default"/>
          <w:sz w:val="21"/>
          <w:szCs w:val="21"/>
        </w:rPr>
      </w:r>
    </w:p>
    <w:p>
      <w:pPr>
        <w:spacing w:line="273" w:lineRule="auto" w:before="37"/>
        <w:ind w:left="1390" w:right="1116" w:firstLine="0"/>
        <w:jc w:val="left"/>
        <w:rPr>
          <w:rFonts w:ascii="宋体" w:hAnsi="宋体" w:cs="宋体" w:eastAsia="宋体" w:hint="default"/>
          <w:sz w:val="21"/>
          <w:szCs w:val="21"/>
        </w:rPr>
      </w:pPr>
      <w:r>
        <w:rPr>
          <w:rFonts w:ascii="宋体" w:hAnsi="宋体" w:cs="宋体" w:eastAsia="宋体" w:hint="default"/>
          <w:spacing w:val="-1"/>
          <w:sz w:val="21"/>
          <w:szCs w:val="21"/>
        </w:rPr>
        <w:t>本公司合并财务报表的合并范围以控制为基础确定，所有子公司（包括本公司所控制的被投</w:t>
      </w:r>
      <w:r>
        <w:rPr>
          <w:rFonts w:ascii="宋体" w:hAnsi="宋体" w:cs="宋体" w:eastAsia="宋体" w:hint="default"/>
          <w:sz w:val="21"/>
          <w:szCs w:val="21"/>
        </w:rPr>
        <w:t> 资方可分割的部分）均纳入合并财务报表。</w:t>
      </w:r>
    </w:p>
    <w:p>
      <w:pPr>
        <w:spacing w:after="0" w:line="273"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2"/>
          <w:szCs w:val="22"/>
        </w:rPr>
      </w:pPr>
    </w:p>
    <w:p>
      <w:pPr>
        <w:spacing w:before="35"/>
        <w:ind w:left="889" w:right="0" w:firstLine="0"/>
        <w:jc w:val="left"/>
        <w:rPr>
          <w:rFonts w:ascii="宋体" w:hAnsi="宋体" w:cs="宋体" w:eastAsia="宋体" w:hint="default"/>
          <w:sz w:val="21"/>
          <w:szCs w:val="21"/>
        </w:rPr>
      </w:pPr>
      <w:r>
        <w:rPr>
          <w:rFonts w:ascii="宋体" w:hAnsi="宋体" w:cs="宋体" w:eastAsia="宋体" w:hint="default"/>
          <w:b/>
          <w:bCs/>
          <w:sz w:val="21"/>
          <w:szCs w:val="21"/>
        </w:rPr>
        <w:t>合并程序</w:t>
      </w:r>
      <w:r>
        <w:rPr>
          <w:rFonts w:ascii="宋体" w:hAnsi="宋体" w:cs="宋体" w:eastAsia="宋体" w:hint="default"/>
          <w:sz w:val="21"/>
          <w:szCs w:val="21"/>
        </w:rPr>
      </w:r>
    </w:p>
    <w:p>
      <w:pPr>
        <w:spacing w:line="273" w:lineRule="auto" w:before="37"/>
        <w:ind w:left="1390" w:right="1076" w:firstLine="0"/>
        <w:jc w:val="left"/>
        <w:rPr>
          <w:rFonts w:ascii="宋体" w:hAnsi="宋体" w:cs="宋体" w:eastAsia="宋体" w:hint="default"/>
          <w:sz w:val="21"/>
          <w:szCs w:val="21"/>
        </w:rPr>
      </w:pPr>
      <w:r>
        <w:rPr>
          <w:rFonts w:ascii="宋体" w:hAnsi="宋体" w:cs="宋体" w:eastAsia="宋体" w:hint="default"/>
          <w:spacing w:val="-2"/>
          <w:sz w:val="21"/>
          <w:szCs w:val="21"/>
        </w:rPr>
        <w:t>本公司以自身和各子公司的财务报表为基础，根据其他有关资料，编制合并财务报表。本公</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司编制合并财务报表，将整个企业集团视为一个会计主体，依据相关企业会计准则的确认、 </w:t>
      </w:r>
      <w:r>
        <w:rPr>
          <w:rFonts w:ascii="宋体" w:hAnsi="宋体" w:cs="宋体" w:eastAsia="宋体" w:hint="default"/>
          <w:spacing w:val="-2"/>
          <w:sz w:val="21"/>
          <w:szCs w:val="21"/>
        </w:rPr>
        <w:t>计量和列报要求，按照统一的会计政策，反映本企业集团整体财务状况、经营成果和现金流</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量。 </w:t>
      </w:r>
      <w:r>
        <w:rPr>
          <w:rFonts w:ascii="宋体" w:hAnsi="宋体" w:cs="宋体" w:eastAsia="宋体" w:hint="default"/>
          <w:spacing w:val="-1"/>
          <w:sz w:val="21"/>
          <w:szCs w:val="21"/>
        </w:rPr>
        <w:t>所有纳入合并财务报表合并范围的子公司所采用的会计政策、会计期间与本公司一致，如子</w:t>
      </w:r>
      <w:r>
        <w:rPr>
          <w:rFonts w:ascii="宋体" w:hAnsi="宋体" w:cs="宋体" w:eastAsia="宋体" w:hint="default"/>
          <w:sz w:val="21"/>
          <w:szCs w:val="21"/>
        </w:rPr>
        <w:t> </w:t>
      </w:r>
      <w:r>
        <w:rPr>
          <w:rFonts w:ascii="宋体" w:hAnsi="宋体" w:cs="宋体" w:eastAsia="宋体" w:hint="default"/>
          <w:spacing w:val="-2"/>
          <w:sz w:val="21"/>
          <w:szCs w:val="21"/>
        </w:rPr>
        <w:t>公司采用的会计政策、会计期间与本公司不一致的，在编制合并财务报表时，按本公司的会</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pacing w:val="-2"/>
          <w:sz w:val="21"/>
          <w:szCs w:val="21"/>
        </w:rPr>
        <w:t>计政策、会计期间进行必要的调整。对于非同一控制下企业合并取得的子公司，以购买日可</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辨认净资产公允价值为基础对其财务报表进行调整。对于同一控制下企业合并取得的子公 </w:t>
      </w:r>
      <w:r>
        <w:rPr>
          <w:rFonts w:ascii="宋体" w:hAnsi="宋体" w:cs="宋体" w:eastAsia="宋体" w:hint="default"/>
          <w:spacing w:val="-1"/>
          <w:sz w:val="21"/>
          <w:szCs w:val="21"/>
        </w:rPr>
        <w:t>司，以其资产、负债（包括最终控制方收购该子公司而形成的商誉）在最终控制方财务报表</w:t>
      </w:r>
      <w:r>
        <w:rPr>
          <w:rFonts w:ascii="宋体" w:hAnsi="宋体" w:cs="宋体" w:eastAsia="宋体" w:hint="default"/>
          <w:sz w:val="21"/>
          <w:szCs w:val="21"/>
        </w:rPr>
        <w:t> 中的账面价值为基础对其财务报表进行调整。 </w:t>
      </w:r>
      <w:r>
        <w:rPr>
          <w:rFonts w:ascii="宋体" w:hAnsi="宋体" w:cs="宋体" w:eastAsia="宋体" w:hint="default"/>
          <w:spacing w:val="-1"/>
          <w:sz w:val="21"/>
          <w:szCs w:val="21"/>
        </w:rPr>
        <w:t>子公司所有者权益、当期净损益和当期综合收益中属于少数股东的份额分别在合并资产负债</w:t>
      </w:r>
      <w:r>
        <w:rPr>
          <w:rFonts w:ascii="宋体" w:hAnsi="宋体" w:cs="宋体" w:eastAsia="宋体" w:hint="default"/>
          <w:sz w:val="21"/>
          <w:szCs w:val="21"/>
        </w:rPr>
        <w:t> </w:t>
      </w:r>
      <w:r>
        <w:rPr>
          <w:rFonts w:ascii="宋体" w:hAnsi="宋体" w:cs="宋体" w:eastAsia="宋体" w:hint="default"/>
          <w:spacing w:val="-1"/>
          <w:sz w:val="21"/>
          <w:szCs w:val="21"/>
        </w:rPr>
        <w:t>表中所有者权益项目下、合并利润表中净利润项目下和综合收益总额项目下单独列示。子公</w:t>
      </w:r>
      <w:r>
        <w:rPr>
          <w:rFonts w:ascii="宋体" w:hAnsi="宋体" w:cs="宋体" w:eastAsia="宋体" w:hint="default"/>
          <w:sz w:val="21"/>
          <w:szCs w:val="21"/>
        </w:rPr>
        <w:t> 司少数股东分担的当期亏损超过了少数股东在该子公司期初所有者权益中所享有份额而形 成的余额，冲减少数股东权益。</w:t>
      </w:r>
    </w:p>
    <w:p>
      <w:pPr>
        <w:spacing w:line="271" w:lineRule="auto" w:before="7"/>
        <w:ind w:left="1390" w:right="111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）增加子公司或业务 </w:t>
      </w:r>
      <w:r>
        <w:rPr>
          <w:rFonts w:ascii="宋体" w:hAnsi="宋体" w:cs="宋体" w:eastAsia="宋体" w:hint="default"/>
          <w:spacing w:val="-1"/>
          <w:sz w:val="21"/>
          <w:szCs w:val="21"/>
        </w:rPr>
        <w:t>在报告期内，若因同一控制下企业合并增加子公司或业务的，则调整合并资产负债表的期初</w:t>
      </w:r>
      <w:r>
        <w:rPr>
          <w:rFonts w:ascii="宋体" w:hAnsi="宋体" w:cs="宋体" w:eastAsia="宋体" w:hint="default"/>
          <w:sz w:val="21"/>
          <w:szCs w:val="21"/>
        </w:rPr>
        <w:t> </w:t>
      </w:r>
      <w:r>
        <w:rPr>
          <w:rFonts w:ascii="宋体" w:hAnsi="宋体" w:cs="宋体" w:eastAsia="宋体" w:hint="default"/>
          <w:spacing w:val="-1"/>
          <w:sz w:val="21"/>
          <w:szCs w:val="21"/>
        </w:rPr>
        <w:t>数；将子公司或业务合并当期期初至报告期末的收入、费用、利润纳入合并利润表；将子公</w:t>
      </w:r>
      <w:r>
        <w:rPr>
          <w:rFonts w:ascii="宋体" w:hAnsi="宋体" w:cs="宋体" w:eastAsia="宋体" w:hint="default"/>
          <w:sz w:val="21"/>
          <w:szCs w:val="21"/>
        </w:rPr>
        <w:t> </w:t>
      </w:r>
      <w:r>
        <w:rPr>
          <w:rFonts w:ascii="宋体" w:hAnsi="宋体" w:cs="宋体" w:eastAsia="宋体" w:hint="default"/>
          <w:spacing w:val="-1"/>
          <w:sz w:val="21"/>
          <w:szCs w:val="21"/>
        </w:rPr>
        <w:t>司或业务合并当期期初至报告期末的现金流量纳入合并现金流量表，同时对比较报表的相关</w:t>
      </w:r>
      <w:r>
        <w:rPr>
          <w:rFonts w:ascii="宋体" w:hAnsi="宋体" w:cs="宋体" w:eastAsia="宋体" w:hint="default"/>
          <w:sz w:val="21"/>
          <w:szCs w:val="21"/>
        </w:rPr>
        <w:t> 项目进行调整，视同合并后的报告主体自最终控制方开始控制时点起一直存在。 </w:t>
      </w:r>
      <w:r>
        <w:rPr>
          <w:rFonts w:ascii="宋体" w:hAnsi="宋体" w:cs="宋体" w:eastAsia="宋体" w:hint="default"/>
          <w:spacing w:val="-1"/>
          <w:sz w:val="21"/>
          <w:szCs w:val="21"/>
        </w:rPr>
        <w:t>因追加投资等原因能够对同一控制下的被投资方实施控制的，视同参与合并的各方在最终控</w:t>
      </w:r>
      <w:r>
        <w:rPr>
          <w:rFonts w:ascii="宋体" w:hAnsi="宋体" w:cs="宋体" w:eastAsia="宋体" w:hint="default"/>
          <w:sz w:val="21"/>
          <w:szCs w:val="21"/>
        </w:rPr>
        <w:t> 制方开始控制时即以目前的状态存在进行调整。在取得被合并方控制权之前持有的股权投 </w:t>
      </w:r>
      <w:r>
        <w:rPr>
          <w:rFonts w:ascii="宋体" w:hAnsi="宋体" w:cs="宋体" w:eastAsia="宋体" w:hint="default"/>
          <w:spacing w:val="-1"/>
          <w:sz w:val="21"/>
          <w:szCs w:val="21"/>
        </w:rPr>
        <w:t>资，在取得原股权之日与合并方和被合并方同处于同一控制之日孰晚日起至合并日之间已确</w:t>
      </w:r>
      <w:r>
        <w:rPr>
          <w:rFonts w:ascii="宋体" w:hAnsi="宋体" w:cs="宋体" w:eastAsia="宋体" w:hint="default"/>
          <w:sz w:val="21"/>
          <w:szCs w:val="21"/>
        </w:rPr>
        <w:t> </w:t>
      </w:r>
      <w:r>
        <w:rPr>
          <w:rFonts w:ascii="宋体" w:hAnsi="宋体" w:cs="宋体" w:eastAsia="宋体" w:hint="default"/>
          <w:spacing w:val="-1"/>
          <w:sz w:val="21"/>
          <w:szCs w:val="21"/>
        </w:rPr>
        <w:t>认有关损益、其他综合收益以及其他净资产变动，分别冲减比较报表期间的期初留存收益或</w:t>
      </w:r>
      <w:r>
        <w:rPr>
          <w:rFonts w:ascii="宋体" w:hAnsi="宋体" w:cs="宋体" w:eastAsia="宋体" w:hint="default"/>
          <w:sz w:val="21"/>
          <w:szCs w:val="21"/>
        </w:rPr>
        <w:t> 当期损益。 </w:t>
      </w:r>
      <w:r>
        <w:rPr>
          <w:rFonts w:ascii="宋体" w:hAnsi="宋体" w:cs="宋体" w:eastAsia="宋体" w:hint="default"/>
          <w:spacing w:val="-1"/>
          <w:sz w:val="21"/>
          <w:szCs w:val="21"/>
        </w:rPr>
        <w:t>在报告期内，若因非同一控制下企业合并增加子公司或业务的，则不调整合并资产负债表期</w:t>
      </w:r>
      <w:r>
        <w:rPr>
          <w:rFonts w:ascii="宋体" w:hAnsi="宋体" w:cs="宋体" w:eastAsia="宋体" w:hint="default"/>
          <w:sz w:val="21"/>
          <w:szCs w:val="21"/>
        </w:rPr>
        <w:t> </w:t>
      </w:r>
      <w:r>
        <w:rPr>
          <w:rFonts w:ascii="宋体" w:hAnsi="宋体" w:cs="宋体" w:eastAsia="宋体" w:hint="default"/>
          <w:spacing w:val="-1"/>
          <w:sz w:val="21"/>
          <w:szCs w:val="21"/>
        </w:rPr>
        <w:t>初数；将该子公司或业务自购买日至报告期末的收入、费用、利润纳入合并利润表；该子公</w:t>
      </w:r>
      <w:r>
        <w:rPr>
          <w:rFonts w:ascii="宋体" w:hAnsi="宋体" w:cs="宋体" w:eastAsia="宋体" w:hint="default"/>
          <w:sz w:val="21"/>
          <w:szCs w:val="21"/>
        </w:rPr>
        <w:t> 司或业务自购买日至报告期末的现金流量纳入合并现金流量表。 </w:t>
      </w:r>
      <w:r>
        <w:rPr>
          <w:rFonts w:ascii="宋体" w:hAnsi="宋体" w:cs="宋体" w:eastAsia="宋体" w:hint="default"/>
          <w:spacing w:val="-1"/>
          <w:sz w:val="21"/>
          <w:szCs w:val="21"/>
        </w:rPr>
        <w:t>因追加投资等原因能够对非同一控制下的被投资方实施控制的，对于购买日之前持有的被购</w:t>
      </w:r>
      <w:r>
        <w:rPr>
          <w:rFonts w:ascii="宋体" w:hAnsi="宋体" w:cs="宋体" w:eastAsia="宋体" w:hint="default"/>
          <w:sz w:val="21"/>
          <w:szCs w:val="21"/>
        </w:rPr>
        <w:t> </w:t>
      </w:r>
      <w:r>
        <w:rPr>
          <w:rFonts w:ascii="宋体" w:hAnsi="宋体" w:cs="宋体" w:eastAsia="宋体" w:hint="default"/>
          <w:spacing w:val="-1"/>
          <w:sz w:val="21"/>
          <w:szCs w:val="21"/>
        </w:rPr>
        <w:t>买方的股权，本公司按照该股权在购买日的公允价值进行重新计量，公允价值与其账面价值</w:t>
      </w:r>
      <w:r>
        <w:rPr>
          <w:rFonts w:ascii="宋体" w:hAnsi="宋体" w:cs="宋体" w:eastAsia="宋体" w:hint="default"/>
          <w:sz w:val="21"/>
          <w:szCs w:val="21"/>
        </w:rPr>
        <w:t> </w:t>
      </w:r>
      <w:r>
        <w:rPr>
          <w:rFonts w:ascii="宋体" w:hAnsi="宋体" w:cs="宋体" w:eastAsia="宋体" w:hint="default"/>
          <w:spacing w:val="-1"/>
          <w:sz w:val="21"/>
          <w:szCs w:val="21"/>
        </w:rPr>
        <w:t>的差额计入当期投资收益。购买日之前持有的被购买方的股权涉及权益法核算下的其他综合</w:t>
      </w:r>
      <w:r>
        <w:rPr>
          <w:rFonts w:ascii="宋体" w:hAnsi="宋体" w:cs="宋体" w:eastAsia="宋体" w:hint="default"/>
          <w:sz w:val="21"/>
          <w:szCs w:val="21"/>
        </w:rPr>
        <w:t> </w:t>
      </w:r>
      <w:r>
        <w:rPr>
          <w:rFonts w:ascii="宋体" w:hAnsi="宋体" w:cs="宋体" w:eastAsia="宋体" w:hint="default"/>
          <w:spacing w:val="-1"/>
          <w:sz w:val="21"/>
          <w:szCs w:val="21"/>
        </w:rPr>
        <w:t>收益以及除净损益、其他综合收益和利润分配之外的其他所有者权益变动的，与其相关的其</w:t>
      </w:r>
      <w:r>
        <w:rPr>
          <w:rFonts w:ascii="宋体" w:hAnsi="宋体" w:cs="宋体" w:eastAsia="宋体" w:hint="default"/>
          <w:sz w:val="21"/>
          <w:szCs w:val="21"/>
        </w:rPr>
        <w:t> </w:t>
      </w:r>
      <w:r>
        <w:rPr>
          <w:rFonts w:ascii="宋体" w:hAnsi="宋体" w:cs="宋体" w:eastAsia="宋体" w:hint="default"/>
          <w:spacing w:val="-1"/>
          <w:sz w:val="21"/>
          <w:szCs w:val="21"/>
        </w:rPr>
        <w:t>他综合收益、其他所有者权益变动转为购买日所属当期投资收益，由于被投资方重新计量设</w:t>
      </w:r>
      <w:r>
        <w:rPr>
          <w:rFonts w:ascii="宋体" w:hAnsi="宋体" w:cs="宋体" w:eastAsia="宋体" w:hint="default"/>
          <w:sz w:val="21"/>
          <w:szCs w:val="21"/>
        </w:rPr>
        <w:t> 定受益计划净负债或净资产变动而产生的其他综合收益除外。</w:t>
      </w:r>
    </w:p>
    <w:p>
      <w:pPr>
        <w:spacing w:before="10"/>
        <w:ind w:left="139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）处置子公司或业务</w:t>
      </w:r>
    </w:p>
    <w:p>
      <w:pPr>
        <w:spacing w:line="273" w:lineRule="auto" w:before="21"/>
        <w:ind w:left="1390" w:right="1076" w:firstLine="0"/>
        <w:jc w:val="left"/>
        <w:rPr>
          <w:rFonts w:ascii="宋体" w:hAnsi="宋体" w:cs="宋体" w:eastAsia="宋体" w:hint="default"/>
          <w:sz w:val="21"/>
          <w:szCs w:val="21"/>
        </w:rPr>
      </w:pPr>
      <w:r>
        <w:rPr>
          <w:rFonts w:ascii="宋体" w:hAnsi="宋体" w:cs="宋体" w:eastAsia="宋体" w:hint="default"/>
          <w:sz w:val="21"/>
          <w:szCs w:val="21"/>
        </w:rPr>
        <w:t>①一般处理方法 </w:t>
      </w:r>
      <w:r>
        <w:rPr>
          <w:rFonts w:ascii="宋体" w:hAnsi="宋体" w:cs="宋体" w:eastAsia="宋体" w:hint="default"/>
          <w:spacing w:val="-1"/>
          <w:sz w:val="21"/>
          <w:szCs w:val="21"/>
        </w:rPr>
        <w:t>在报告期内，本公司处置子公司或业务，则该子公司或业务期初至处置日的收入、费用、利</w:t>
      </w:r>
      <w:r>
        <w:rPr>
          <w:rFonts w:ascii="宋体" w:hAnsi="宋体" w:cs="宋体" w:eastAsia="宋体" w:hint="default"/>
          <w:sz w:val="21"/>
          <w:szCs w:val="21"/>
        </w:rPr>
        <w:t> 润纳入合并利润表；该子公司或业务期初至处置日的现金流量纳入合并现金流量表。 因处置部分股权投资或其他原因丧失了对被投资方控制权时，对于处置后的剩余股权投资， </w:t>
      </w:r>
      <w:r>
        <w:rPr>
          <w:rFonts w:ascii="宋体" w:hAnsi="宋体" w:cs="宋体" w:eastAsia="宋体" w:hint="default"/>
          <w:spacing w:val="-1"/>
          <w:sz w:val="21"/>
          <w:szCs w:val="21"/>
        </w:rPr>
        <w:t>本公司按照其在丧失控制权日的公允价值进行重新计量。处置股权取得的对价与剩余股权公</w:t>
      </w:r>
      <w:r>
        <w:rPr>
          <w:rFonts w:ascii="宋体" w:hAnsi="宋体" w:cs="宋体" w:eastAsia="宋体" w:hint="default"/>
          <w:sz w:val="21"/>
          <w:szCs w:val="21"/>
        </w:rPr>
        <w:t> </w:t>
      </w:r>
      <w:r>
        <w:rPr>
          <w:rFonts w:ascii="宋体" w:hAnsi="宋体" w:cs="宋体" w:eastAsia="宋体" w:hint="default"/>
          <w:spacing w:val="-1"/>
          <w:sz w:val="21"/>
          <w:szCs w:val="21"/>
        </w:rPr>
        <w:t>允价值之和，减去按原持股比例计算应享有原有子公司自购买日或合并日开始持续计算的净</w:t>
      </w:r>
      <w:r>
        <w:rPr>
          <w:rFonts w:ascii="宋体" w:hAnsi="宋体" w:cs="宋体" w:eastAsia="宋体" w:hint="default"/>
          <w:sz w:val="21"/>
          <w:szCs w:val="21"/>
        </w:rPr>
        <w:t> </w:t>
      </w:r>
      <w:r>
        <w:rPr>
          <w:rFonts w:ascii="宋体" w:hAnsi="宋体" w:cs="宋体" w:eastAsia="宋体" w:hint="default"/>
          <w:spacing w:val="-1"/>
          <w:sz w:val="21"/>
          <w:szCs w:val="21"/>
        </w:rPr>
        <w:t>资产的份额与商誉之和的差额，计入丧失控制权当期的投资收益。与原有子公司股权投资相</w:t>
      </w:r>
      <w:r>
        <w:rPr>
          <w:rFonts w:ascii="宋体" w:hAnsi="宋体" w:cs="宋体" w:eastAsia="宋体" w:hint="default"/>
          <w:sz w:val="21"/>
          <w:szCs w:val="21"/>
        </w:rPr>
        <w:t> </w:t>
      </w:r>
      <w:r>
        <w:rPr>
          <w:rFonts w:ascii="宋体" w:hAnsi="宋体" w:cs="宋体" w:eastAsia="宋体" w:hint="default"/>
          <w:spacing w:val="-1"/>
          <w:sz w:val="21"/>
          <w:szCs w:val="21"/>
        </w:rPr>
        <w:t>关的其他综合收益或除净损益、其他综合收益及利润分配之外的其他所有者权益变动，在丧</w:t>
      </w:r>
    </w:p>
    <w:p>
      <w:pPr>
        <w:spacing w:after="0" w:line="273"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line="273" w:lineRule="auto" w:before="35"/>
        <w:ind w:left="1390" w:right="1116" w:firstLine="0"/>
        <w:jc w:val="left"/>
        <w:rPr>
          <w:rFonts w:ascii="宋体" w:hAnsi="宋体" w:cs="宋体" w:eastAsia="宋体" w:hint="default"/>
          <w:sz w:val="21"/>
          <w:szCs w:val="21"/>
        </w:rPr>
      </w:pPr>
      <w:r>
        <w:rPr>
          <w:rFonts w:ascii="宋体" w:hAnsi="宋体" w:cs="宋体" w:eastAsia="宋体" w:hint="default"/>
          <w:spacing w:val="-1"/>
          <w:sz w:val="21"/>
          <w:szCs w:val="21"/>
        </w:rPr>
        <w:t>失控制权时转为当期投资收益，由于被投资方重新计量设定受益计划净负债或净资产变动而</w:t>
      </w:r>
      <w:r>
        <w:rPr>
          <w:rFonts w:ascii="宋体" w:hAnsi="宋体" w:cs="宋体" w:eastAsia="宋体" w:hint="default"/>
          <w:sz w:val="21"/>
          <w:szCs w:val="21"/>
        </w:rPr>
        <w:t> 产生的其他综合收益除外。 </w:t>
      </w:r>
      <w:r>
        <w:rPr>
          <w:rFonts w:ascii="宋体" w:hAnsi="宋体" w:cs="宋体" w:eastAsia="宋体" w:hint="default"/>
          <w:spacing w:val="-1"/>
          <w:sz w:val="21"/>
          <w:szCs w:val="21"/>
        </w:rPr>
        <w:t>因其他投资方对子公司增资而导致本公司持股比例下降从而丧失控制权的，按照上述原则进</w:t>
      </w:r>
      <w:r>
        <w:rPr>
          <w:rFonts w:ascii="宋体" w:hAnsi="宋体" w:cs="宋体" w:eastAsia="宋体" w:hint="default"/>
          <w:sz w:val="21"/>
          <w:szCs w:val="21"/>
        </w:rPr>
        <w:t> 行会计处理。</w:t>
      </w:r>
    </w:p>
    <w:p>
      <w:pPr>
        <w:spacing w:line="273" w:lineRule="auto" w:before="8"/>
        <w:ind w:left="1390" w:right="1116" w:firstLine="0"/>
        <w:jc w:val="left"/>
        <w:rPr>
          <w:rFonts w:ascii="宋体" w:hAnsi="宋体" w:cs="宋体" w:eastAsia="宋体" w:hint="default"/>
          <w:sz w:val="21"/>
          <w:szCs w:val="21"/>
        </w:rPr>
      </w:pPr>
      <w:r>
        <w:rPr>
          <w:rFonts w:ascii="宋体" w:hAnsi="宋体" w:cs="宋体" w:eastAsia="宋体" w:hint="default"/>
          <w:sz w:val="21"/>
          <w:szCs w:val="21"/>
        </w:rPr>
        <w:t>②分步处置子公司 </w:t>
      </w:r>
      <w:r>
        <w:rPr>
          <w:rFonts w:ascii="宋体" w:hAnsi="宋体" w:cs="宋体" w:eastAsia="宋体" w:hint="default"/>
          <w:spacing w:val="-1"/>
          <w:sz w:val="21"/>
          <w:szCs w:val="21"/>
        </w:rPr>
        <w:t>通过多次交易分步处置对子公司股权投资直至丧失控制权的，处置对子公司股权投资的各项</w:t>
      </w:r>
      <w:r>
        <w:rPr>
          <w:rFonts w:ascii="宋体" w:hAnsi="宋体" w:cs="宋体" w:eastAsia="宋体" w:hint="default"/>
          <w:sz w:val="21"/>
          <w:szCs w:val="21"/>
        </w:rPr>
        <w:t> </w:t>
      </w:r>
      <w:r>
        <w:rPr>
          <w:rFonts w:ascii="宋体" w:hAnsi="宋体" w:cs="宋体" w:eastAsia="宋体" w:hint="default"/>
          <w:spacing w:val="-1"/>
          <w:sz w:val="21"/>
          <w:szCs w:val="21"/>
        </w:rPr>
        <w:t>交易的条款、条件以及经济影响符合以下一种或多种情况，通常表明应将多次交易事项作为</w:t>
      </w:r>
      <w:r>
        <w:rPr>
          <w:rFonts w:ascii="宋体" w:hAnsi="宋体" w:cs="宋体" w:eastAsia="宋体" w:hint="default"/>
          <w:sz w:val="21"/>
          <w:szCs w:val="21"/>
        </w:rPr>
        <w:t> 一揽子交易进行会计处理：</w:t>
      </w:r>
    </w:p>
    <w:p>
      <w:pPr>
        <w:spacing w:line="273" w:lineRule="auto" w:before="7"/>
        <w:ind w:left="1390" w:right="1116" w:firstLine="0"/>
        <w:jc w:val="left"/>
        <w:rPr>
          <w:rFonts w:ascii="宋体" w:hAnsi="宋体" w:cs="宋体" w:eastAsia="宋体" w:hint="default"/>
          <w:sz w:val="21"/>
          <w:szCs w:val="21"/>
        </w:rPr>
      </w:pPr>
      <w:r>
        <w:rPr>
          <w:rFonts w:ascii="宋体" w:hAnsi="宋体" w:cs="宋体" w:eastAsia="宋体" w:hint="default"/>
          <w:sz w:val="21"/>
          <w:szCs w:val="21"/>
        </w:rPr>
        <w:t>ⅰ．这些交易是同时或者在考虑了彼此影响的情况下订立的； ⅱ．这些交易整体才能达成一项完整的商业结果； ⅲ．一项交易的发生取决于其他至少一项交易的发生； ⅳ．一项交易单独看是不经济的，但是和其他交易一并考虑时是经济的。 </w:t>
      </w:r>
      <w:r>
        <w:rPr>
          <w:rFonts w:ascii="宋体" w:hAnsi="宋体" w:cs="宋体" w:eastAsia="宋体" w:hint="default"/>
          <w:spacing w:val="-1"/>
          <w:sz w:val="21"/>
          <w:szCs w:val="21"/>
        </w:rPr>
        <w:t>处置对子公司股权投资直至丧失控制权的各项交易属于一揽子交易的，本公司将各项交易作</w:t>
      </w:r>
      <w:r>
        <w:rPr>
          <w:rFonts w:ascii="宋体" w:hAnsi="宋体" w:cs="宋体" w:eastAsia="宋体" w:hint="default"/>
          <w:sz w:val="21"/>
          <w:szCs w:val="21"/>
        </w:rPr>
        <w:t> </w:t>
      </w:r>
      <w:r>
        <w:rPr>
          <w:rFonts w:ascii="宋体" w:hAnsi="宋体" w:cs="宋体" w:eastAsia="宋体" w:hint="default"/>
          <w:spacing w:val="-1"/>
          <w:sz w:val="21"/>
          <w:szCs w:val="21"/>
        </w:rPr>
        <w:t>为一项处置子公司并丧失控制权的交易进行会计处理；但是，在丧失控制权之前每一次处置</w:t>
      </w:r>
      <w:r>
        <w:rPr>
          <w:rFonts w:ascii="宋体" w:hAnsi="宋体" w:cs="宋体" w:eastAsia="宋体" w:hint="default"/>
          <w:sz w:val="21"/>
          <w:szCs w:val="21"/>
        </w:rPr>
        <w:t> </w:t>
      </w:r>
      <w:r>
        <w:rPr>
          <w:rFonts w:ascii="宋体" w:hAnsi="宋体" w:cs="宋体" w:eastAsia="宋体" w:hint="default"/>
          <w:spacing w:val="-1"/>
          <w:sz w:val="21"/>
          <w:szCs w:val="21"/>
        </w:rPr>
        <w:t>价款与处置投资对应的享有该子公司净资产份额的差额，在合并财务报表中确认为其他综合</w:t>
      </w:r>
      <w:r>
        <w:rPr>
          <w:rFonts w:ascii="宋体" w:hAnsi="宋体" w:cs="宋体" w:eastAsia="宋体" w:hint="default"/>
          <w:sz w:val="21"/>
          <w:szCs w:val="21"/>
        </w:rPr>
        <w:t> 收益，在丧失控制权时一并转入丧失控制权当期的损益。 处置对子公司股权投资直至丧失控制权的各项交易不属于一揽子交易的，在丧失控制权之 </w:t>
      </w:r>
      <w:r>
        <w:rPr>
          <w:rFonts w:ascii="宋体" w:hAnsi="宋体" w:cs="宋体" w:eastAsia="宋体" w:hint="default"/>
          <w:spacing w:val="-1"/>
          <w:sz w:val="21"/>
          <w:szCs w:val="21"/>
        </w:rPr>
        <w:t>前，按不丧失控制权的情况下部分处置对子公司的股权投资的相关政策进行会计处理；在丧</w:t>
      </w:r>
      <w:r>
        <w:rPr>
          <w:rFonts w:ascii="宋体" w:hAnsi="宋体" w:cs="宋体" w:eastAsia="宋体" w:hint="default"/>
          <w:sz w:val="21"/>
          <w:szCs w:val="21"/>
        </w:rPr>
        <w:t> 失控制权时，按处置子公司一般处理方法进行会计处理。</w:t>
      </w:r>
    </w:p>
    <w:p>
      <w:pPr>
        <w:spacing w:line="268" w:lineRule="auto" w:before="7"/>
        <w:ind w:left="139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）购买子公司少数股权 本公司因购买少数股权新取得的长期股权投资与按照新增持股比例计算应享有子公司自购 </w:t>
      </w:r>
      <w:r>
        <w:rPr>
          <w:rFonts w:ascii="宋体" w:hAnsi="宋体" w:cs="宋体" w:eastAsia="宋体" w:hint="default"/>
          <w:spacing w:val="-2"/>
          <w:sz w:val="21"/>
          <w:szCs w:val="21"/>
        </w:rPr>
        <w:t>买日（或合并日）开始持续计算的净资产份额之间的差额，调整合并资产负债表中的资本公</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积中的股本溢价，资本公积中的股本溢价不足冲减的，调整留存收益。</w:t>
      </w:r>
    </w:p>
    <w:p>
      <w:pPr>
        <w:spacing w:line="268" w:lineRule="auto" w:before="12"/>
        <w:ind w:left="1390" w:right="111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）不丧失控制权的情况下部分处置对子公司的股权投资 在不丧失控制权的情况下因部分处置对子公司的长期股权投资而取得的处置价款与处置长 </w:t>
      </w:r>
      <w:r>
        <w:rPr>
          <w:rFonts w:ascii="宋体" w:hAnsi="宋体" w:cs="宋体" w:eastAsia="宋体" w:hint="default"/>
          <w:spacing w:val="-1"/>
          <w:sz w:val="21"/>
          <w:szCs w:val="21"/>
        </w:rPr>
        <w:t>期股权投资相对应享有子公司自购买日或合并日开始持续计算的净资产份额之间的差额，调</w:t>
      </w:r>
      <w:r>
        <w:rPr>
          <w:rFonts w:ascii="宋体" w:hAnsi="宋体" w:cs="宋体" w:eastAsia="宋体" w:hint="default"/>
          <w:sz w:val="21"/>
          <w:szCs w:val="21"/>
        </w:rPr>
        <w:t> </w:t>
      </w:r>
      <w:r>
        <w:rPr>
          <w:rFonts w:ascii="宋体" w:hAnsi="宋体" w:cs="宋体" w:eastAsia="宋体" w:hint="default"/>
          <w:spacing w:val="-1"/>
          <w:sz w:val="21"/>
          <w:szCs w:val="21"/>
        </w:rPr>
        <w:t>整合并资产负债表中的资本公积中的股本溢价，资本公积中的股本溢价不足冲减的，调整留</w:t>
      </w:r>
      <w:r>
        <w:rPr>
          <w:rFonts w:ascii="宋体" w:hAnsi="宋体" w:cs="宋体" w:eastAsia="宋体" w:hint="default"/>
          <w:sz w:val="21"/>
          <w:szCs w:val="21"/>
        </w:rPr>
        <w:t> 存收益。</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7"/>
          <w:szCs w:val="27"/>
        </w:rPr>
      </w:pPr>
    </w:p>
    <w:p>
      <w:pPr>
        <w:spacing w:before="0"/>
        <w:ind w:left="114" w:right="0" w:firstLine="0"/>
        <w:jc w:val="left"/>
        <w:rPr>
          <w:rFonts w:ascii="宋体" w:hAnsi="宋体" w:cs="宋体" w:eastAsia="宋体" w:hint="default"/>
          <w:sz w:val="21"/>
          <w:szCs w:val="21"/>
        </w:rPr>
      </w:pPr>
      <w:bookmarkStart w:name="7、合营安排分类及共同经营会计处理方法" w:id="178"/>
      <w:bookmarkEnd w:id="178"/>
      <w:r>
        <w:rPr/>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、合营安排分类及共同经营会计处理方法</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8、现金及现金等价物的确定标准" w:id="179"/>
      <w:bookmarkEnd w:id="179"/>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、现金及现金等价物的确定标准</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line="273" w:lineRule="auto" w:before="0"/>
        <w:ind w:left="828" w:right="0" w:firstLine="0"/>
        <w:jc w:val="left"/>
        <w:rPr>
          <w:rFonts w:ascii="宋体" w:hAnsi="宋体" w:cs="宋体" w:eastAsia="宋体" w:hint="default"/>
          <w:sz w:val="21"/>
          <w:szCs w:val="21"/>
        </w:rPr>
      </w:pPr>
      <w:r>
        <w:rPr>
          <w:rFonts w:ascii="宋体" w:hAnsi="宋体" w:cs="宋体" w:eastAsia="宋体" w:hint="default"/>
          <w:sz w:val="21"/>
          <w:szCs w:val="21"/>
        </w:rPr>
        <w:t>在编制现金流量表时，将本公司库存现金以及可以随时用于支付的存款确认为现金。将同时具备 </w:t>
      </w:r>
      <w:r>
        <w:rPr>
          <w:rFonts w:ascii="宋体" w:hAnsi="宋体" w:cs="宋体" w:eastAsia="宋体" w:hint="default"/>
          <w:spacing w:val="-3"/>
          <w:sz w:val="21"/>
          <w:szCs w:val="21"/>
        </w:rPr>
        <w:t>期限短（从购买日起三个月内到期）、流动性强、易于转换为已知现金、价值变动风险很小四个条</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件的投资，确定为现金等价物。</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spacing w:before="0"/>
        <w:ind w:left="114" w:right="0" w:firstLine="0"/>
        <w:jc w:val="left"/>
        <w:rPr>
          <w:rFonts w:ascii="宋体" w:hAnsi="宋体" w:cs="宋体" w:eastAsia="宋体" w:hint="default"/>
          <w:sz w:val="21"/>
          <w:szCs w:val="21"/>
        </w:rPr>
      </w:pPr>
      <w:bookmarkStart w:name="9、外币业务和外币报表折算" w:id="180"/>
      <w:bookmarkEnd w:id="180"/>
      <w:r>
        <w:rPr/>
      </w: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、外币业务和外币报表折算</w:t>
      </w:r>
      <w:r>
        <w:rPr>
          <w:rFonts w:ascii="宋体" w:hAnsi="宋体" w:cs="宋体" w:eastAsia="宋体" w:hint="default"/>
          <w:sz w:val="21"/>
          <w:szCs w:val="21"/>
        </w:rPr>
      </w:r>
    </w:p>
    <w:p>
      <w:pPr>
        <w:spacing w:line="240" w:lineRule="auto" w:before="9"/>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0、金融工具" w:id="181"/>
      <w:bookmarkEnd w:id="181"/>
      <w:r>
        <w:rPr/>
      </w: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、金融工具</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line="273" w:lineRule="auto" w:before="0"/>
        <w:ind w:left="889" w:right="5629" w:hanging="62"/>
        <w:jc w:val="left"/>
        <w:rPr>
          <w:rFonts w:ascii="宋体" w:hAnsi="宋体" w:cs="宋体" w:eastAsia="宋体" w:hint="default"/>
          <w:sz w:val="21"/>
          <w:szCs w:val="21"/>
        </w:rPr>
      </w:pPr>
      <w:r>
        <w:rPr>
          <w:rFonts w:ascii="宋体" w:hAnsi="宋体" w:cs="宋体" w:eastAsia="宋体" w:hint="default"/>
          <w:sz w:val="21"/>
          <w:szCs w:val="21"/>
        </w:rPr>
        <w:t>金融工具包括金融资产、金融负债和权益工具。 </w:t>
      </w:r>
      <w:r>
        <w:rPr>
          <w:rFonts w:ascii="宋体" w:hAnsi="宋体" w:cs="宋体" w:eastAsia="宋体" w:hint="default"/>
          <w:b/>
          <w:bCs/>
          <w:sz w:val="21"/>
          <w:szCs w:val="21"/>
        </w:rPr>
        <w:t>金融工具的分类</w:t>
      </w:r>
      <w:r>
        <w:rPr>
          <w:rFonts w:ascii="宋体" w:hAnsi="宋体" w:cs="宋体" w:eastAsia="宋体" w:hint="default"/>
          <w:sz w:val="21"/>
          <w:szCs w:val="21"/>
        </w:rPr>
      </w:r>
    </w:p>
    <w:p>
      <w:pPr>
        <w:spacing w:after="0" w:line="273"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2"/>
        <w:rPr>
          <w:rFonts w:ascii="宋体" w:hAnsi="宋体" w:cs="宋体" w:eastAsia="宋体" w:hint="default"/>
          <w:b/>
          <w:bCs/>
          <w:sz w:val="18"/>
          <w:szCs w:val="18"/>
        </w:rPr>
      </w:pPr>
    </w:p>
    <w:p>
      <w:pPr>
        <w:spacing w:line="273" w:lineRule="auto" w:before="35"/>
        <w:ind w:left="1390" w:right="1132" w:firstLine="0"/>
        <w:jc w:val="both"/>
        <w:rPr>
          <w:rFonts w:ascii="宋体" w:hAnsi="宋体" w:cs="宋体" w:eastAsia="宋体" w:hint="default"/>
          <w:sz w:val="21"/>
          <w:szCs w:val="21"/>
        </w:rPr>
      </w:pPr>
      <w:r>
        <w:rPr>
          <w:rFonts w:ascii="宋体" w:hAnsi="宋体" w:cs="宋体" w:eastAsia="宋体" w:hint="default"/>
          <w:spacing w:val="-1"/>
          <w:sz w:val="21"/>
          <w:szCs w:val="21"/>
        </w:rPr>
        <w:t>金融资产和金融负债于初始确认时分类为：以公允价值计量且其变动计入当期损益的金融资</w:t>
      </w:r>
      <w:r>
        <w:rPr>
          <w:rFonts w:ascii="宋体" w:hAnsi="宋体" w:cs="宋体" w:eastAsia="宋体" w:hint="default"/>
          <w:sz w:val="21"/>
          <w:szCs w:val="21"/>
        </w:rPr>
        <w:t> </w:t>
      </w:r>
      <w:r>
        <w:rPr>
          <w:rFonts w:ascii="宋体" w:hAnsi="宋体" w:cs="宋体" w:eastAsia="宋体" w:hint="default"/>
          <w:spacing w:val="-1"/>
          <w:sz w:val="21"/>
          <w:szCs w:val="21"/>
        </w:rPr>
        <w:t>产或金融负债，包括交易性金融资产或金融负债和直接指定为以公允价值计量且其变动计入</w:t>
      </w:r>
      <w:r>
        <w:rPr>
          <w:rFonts w:ascii="宋体" w:hAnsi="宋体" w:cs="宋体" w:eastAsia="宋体" w:hint="default"/>
          <w:sz w:val="21"/>
          <w:szCs w:val="21"/>
        </w:rPr>
        <w:t> </w:t>
      </w:r>
      <w:r>
        <w:rPr>
          <w:rFonts w:ascii="宋体" w:hAnsi="宋体" w:cs="宋体" w:eastAsia="宋体" w:hint="default"/>
          <w:spacing w:val="-1"/>
          <w:sz w:val="21"/>
          <w:szCs w:val="21"/>
        </w:rPr>
        <w:t>当期损益的金融资产或金融负债；持有至到期投资；应收款项；可供出售金融资产；其他金</w:t>
      </w:r>
      <w:r>
        <w:rPr>
          <w:rFonts w:ascii="宋体" w:hAnsi="宋体" w:cs="宋体" w:eastAsia="宋体" w:hint="default"/>
          <w:sz w:val="21"/>
          <w:szCs w:val="21"/>
        </w:rPr>
        <w:t> 融负债等。</w:t>
      </w:r>
    </w:p>
    <w:p>
      <w:pPr>
        <w:spacing w:line="240" w:lineRule="auto" w:before="6"/>
        <w:rPr>
          <w:rFonts w:ascii="宋体" w:hAnsi="宋体" w:cs="宋体" w:eastAsia="宋体" w:hint="default"/>
          <w:sz w:val="24"/>
          <w:szCs w:val="24"/>
        </w:rPr>
      </w:pPr>
    </w:p>
    <w:p>
      <w:pPr>
        <w:spacing w:before="0"/>
        <w:ind w:left="889" w:right="0" w:firstLine="0"/>
        <w:jc w:val="left"/>
        <w:rPr>
          <w:rFonts w:ascii="宋体" w:hAnsi="宋体" w:cs="宋体" w:eastAsia="宋体" w:hint="default"/>
          <w:sz w:val="21"/>
          <w:szCs w:val="21"/>
        </w:rPr>
      </w:pPr>
      <w:r>
        <w:rPr>
          <w:rFonts w:ascii="宋体" w:hAnsi="宋体" w:cs="宋体" w:eastAsia="宋体" w:hint="default"/>
          <w:b/>
          <w:bCs/>
          <w:sz w:val="21"/>
          <w:szCs w:val="21"/>
        </w:rPr>
        <w:t>金融工具的确认依据和计量方法</w:t>
      </w:r>
      <w:r>
        <w:rPr>
          <w:rFonts w:ascii="宋体" w:hAnsi="宋体" w:cs="宋体" w:eastAsia="宋体" w:hint="default"/>
          <w:sz w:val="21"/>
          <w:szCs w:val="21"/>
        </w:rPr>
      </w:r>
    </w:p>
    <w:p>
      <w:pPr>
        <w:spacing w:line="268" w:lineRule="auto" w:before="37"/>
        <w:ind w:left="1390" w:right="111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）以公允价值计量且其变动计入当期损益的金融资产（金融负债） 取得时以公允价值（扣除已宣告但尚未发放的现金股利或已到付息期但尚未领取的债券利 息）作为初始确认金额，相关的交易费用计入当期损益。 持有期间将取得的利息或现金股利确认为投资收益，期末将公允价值变动计入当期损益。 </w:t>
      </w:r>
      <w:r>
        <w:rPr>
          <w:rFonts w:ascii="宋体" w:hAnsi="宋体" w:cs="宋体" w:eastAsia="宋体" w:hint="default"/>
          <w:spacing w:val="-1"/>
          <w:sz w:val="21"/>
          <w:szCs w:val="21"/>
        </w:rPr>
        <w:t>处置时，其公允价值与初始入账金额之间的差额确认为投资收益，同时调整公允价值变动损</w:t>
      </w:r>
      <w:r>
        <w:rPr>
          <w:rFonts w:ascii="宋体" w:hAnsi="宋体" w:cs="宋体" w:eastAsia="宋体" w:hint="default"/>
          <w:sz w:val="21"/>
          <w:szCs w:val="21"/>
        </w:rPr>
        <w:t> 益。</w:t>
      </w:r>
    </w:p>
    <w:p>
      <w:pPr>
        <w:spacing w:line="268" w:lineRule="auto" w:before="12"/>
        <w:ind w:left="1390" w:right="111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 </w:t>
      </w:r>
      <w:r>
        <w:rPr>
          <w:rFonts w:ascii="宋体" w:hAnsi="宋体" w:cs="宋体" w:eastAsia="宋体" w:hint="default"/>
          <w:spacing w:val="-1"/>
          <w:sz w:val="21"/>
          <w:szCs w:val="21"/>
        </w:rPr>
        <w:t>取得时按公允价值（扣除已到付息期但尚未领取的债券利息）和相关交易费用之和作为初始</w:t>
      </w:r>
      <w:r>
        <w:rPr>
          <w:rFonts w:ascii="宋体" w:hAnsi="宋体" w:cs="宋体" w:eastAsia="宋体" w:hint="default"/>
          <w:sz w:val="21"/>
          <w:szCs w:val="21"/>
        </w:rPr>
        <w:t> 确认金额。 </w:t>
      </w:r>
      <w:r>
        <w:rPr>
          <w:rFonts w:ascii="宋体" w:hAnsi="宋体" w:cs="宋体" w:eastAsia="宋体" w:hint="default"/>
          <w:spacing w:val="-1"/>
          <w:sz w:val="21"/>
          <w:szCs w:val="21"/>
        </w:rPr>
        <w:t>持有期间按照摊余成本和实际利率计算确认利息收入，计入投资收益。实际利率在取得时确</w:t>
      </w:r>
      <w:r>
        <w:rPr>
          <w:rFonts w:ascii="宋体" w:hAnsi="宋体" w:cs="宋体" w:eastAsia="宋体" w:hint="default"/>
          <w:sz w:val="21"/>
          <w:szCs w:val="21"/>
        </w:rPr>
        <w:t> 定，在该预期存续期间或适用的更短期间内保持不变。 处置时，将所取得价款与该投资账面价值之间的差额计入投资收益。</w:t>
      </w:r>
    </w:p>
    <w:p>
      <w:pPr>
        <w:spacing w:line="268" w:lineRule="auto" w:before="12"/>
        <w:ind w:left="1390" w:right="111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）应收款项 </w:t>
      </w:r>
      <w:r>
        <w:rPr>
          <w:rFonts w:ascii="宋体" w:hAnsi="宋体" w:cs="宋体" w:eastAsia="宋体" w:hint="default"/>
          <w:spacing w:val="-1"/>
          <w:sz w:val="21"/>
          <w:szCs w:val="21"/>
        </w:rPr>
        <w:t>公司对外销售商品或提供劳务形成的应收债权，以及公司持有的其他企业的不包括在活跃市</w:t>
      </w:r>
      <w:r>
        <w:rPr>
          <w:rFonts w:ascii="宋体" w:hAnsi="宋体" w:cs="宋体" w:eastAsia="宋体" w:hint="default"/>
          <w:sz w:val="21"/>
          <w:szCs w:val="21"/>
        </w:rPr>
        <w:t> </w:t>
      </w:r>
      <w:r>
        <w:rPr>
          <w:rFonts w:ascii="宋体" w:hAnsi="宋体" w:cs="宋体" w:eastAsia="宋体" w:hint="default"/>
          <w:spacing w:val="-2"/>
          <w:sz w:val="21"/>
          <w:szCs w:val="21"/>
        </w:rPr>
        <w:t>场上有报价的债务工具的债权，包括应收账款、其他应收款等，以向购货方应收的合同或协</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议价款作为初始确认金额；具有融资性质的，按其现值进行初始确认。 收回或处置时，将取得的价款与该应收款项账面价值之间的差额计入当期损益。</w:t>
      </w:r>
    </w:p>
    <w:p>
      <w:pPr>
        <w:spacing w:line="271" w:lineRule="auto" w:before="12"/>
        <w:ind w:left="1390" w:right="10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）可供出售金融资产 取得时按公允价值（扣除已宣告但尚未发放的现金股利或已到付息期但尚未领取的债券利 息）和相关交易费用之和作为初始确认金额。 </w:t>
      </w:r>
      <w:r>
        <w:rPr>
          <w:rFonts w:ascii="宋体" w:hAnsi="宋体" w:cs="宋体" w:eastAsia="宋体" w:hint="default"/>
          <w:spacing w:val="-1"/>
          <w:sz w:val="21"/>
          <w:szCs w:val="21"/>
        </w:rPr>
        <w:t>持有期间将取得的利息或现金股利确认为投资收益。期末以公允价值计量且将公允价值变动</w:t>
      </w:r>
      <w:r>
        <w:rPr>
          <w:rFonts w:ascii="宋体" w:hAnsi="宋体" w:cs="宋体" w:eastAsia="宋体" w:hint="default"/>
          <w:sz w:val="21"/>
          <w:szCs w:val="21"/>
        </w:rPr>
        <w:t> </w:t>
      </w:r>
      <w:r>
        <w:rPr>
          <w:rFonts w:ascii="宋体" w:hAnsi="宋体" w:cs="宋体" w:eastAsia="宋体" w:hint="default"/>
          <w:spacing w:val="-1"/>
          <w:sz w:val="21"/>
          <w:szCs w:val="21"/>
        </w:rPr>
        <w:t>计入其他综合收益。但是，在活跃市场中没有报价且其公允价值不能可靠计量的权益工具投</w:t>
      </w:r>
      <w:r>
        <w:rPr>
          <w:rFonts w:ascii="宋体" w:hAnsi="宋体" w:cs="宋体" w:eastAsia="宋体" w:hint="default"/>
          <w:sz w:val="21"/>
          <w:szCs w:val="21"/>
        </w:rPr>
        <w:t> 资，以及与该权益工具挂钩并须通过交付该权益工具结算的衍生金融资产，按照成本计量。 </w:t>
      </w:r>
      <w:r>
        <w:rPr>
          <w:rFonts w:ascii="宋体" w:hAnsi="宋体" w:cs="宋体" w:eastAsia="宋体" w:hint="default"/>
          <w:spacing w:val="-1"/>
          <w:sz w:val="21"/>
          <w:szCs w:val="21"/>
        </w:rPr>
        <w:t>处置时，将取得的价款与该金融资产账面价值之间的差额，计入投资损益；同时，将原直接</w:t>
      </w:r>
      <w:r>
        <w:rPr>
          <w:rFonts w:ascii="宋体" w:hAnsi="宋体" w:cs="宋体" w:eastAsia="宋体" w:hint="default"/>
          <w:sz w:val="21"/>
          <w:szCs w:val="21"/>
        </w:rPr>
        <w:t> 计入其他综合收益的公允价值变动累计额对应处置部分的金额转出，计入当期损益。</w:t>
      </w:r>
    </w:p>
    <w:p>
      <w:pPr>
        <w:spacing w:line="256" w:lineRule="auto" w:before="10"/>
        <w:ind w:left="1390" w:right="170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）其他金融负债 按其公允价值和相关交易费用之和作为初始确认金额。采用摊余成本进行后续计量。</w:t>
      </w:r>
    </w:p>
    <w:p>
      <w:pPr>
        <w:spacing w:line="240" w:lineRule="auto" w:before="7"/>
        <w:rPr>
          <w:rFonts w:ascii="宋体" w:hAnsi="宋体" w:cs="宋体" w:eastAsia="宋体" w:hint="default"/>
          <w:sz w:val="25"/>
          <w:szCs w:val="25"/>
        </w:rPr>
      </w:pPr>
    </w:p>
    <w:p>
      <w:pPr>
        <w:spacing w:line="273" w:lineRule="auto" w:before="0"/>
        <w:ind w:left="1390" w:right="1076" w:hanging="501"/>
        <w:jc w:val="left"/>
        <w:rPr>
          <w:rFonts w:ascii="宋体" w:hAnsi="宋体" w:cs="宋体" w:eastAsia="宋体" w:hint="default"/>
          <w:sz w:val="21"/>
          <w:szCs w:val="21"/>
        </w:rPr>
      </w:pPr>
      <w:r>
        <w:rPr>
          <w:rFonts w:ascii="宋体" w:hAnsi="宋体" w:cs="宋体" w:eastAsia="宋体" w:hint="default"/>
          <w:b/>
          <w:bCs/>
          <w:sz w:val="21"/>
          <w:szCs w:val="21"/>
        </w:rPr>
        <w:t>金融资产转移的确认依据和计量方法</w:t>
      </w:r>
      <w:r>
        <w:rPr>
          <w:rFonts w:ascii="宋体" w:hAnsi="宋体" w:cs="宋体" w:eastAsia="宋体" w:hint="default"/>
          <w:b/>
          <w:bCs/>
          <w:w w:val="99"/>
          <w:sz w:val="21"/>
          <w:szCs w:val="21"/>
        </w:rPr>
        <w:t> </w:t>
      </w:r>
      <w:r>
        <w:rPr>
          <w:rFonts w:ascii="宋体" w:hAnsi="宋体" w:cs="宋体" w:eastAsia="宋体" w:hint="default"/>
          <w:sz w:val="21"/>
          <w:szCs w:val="21"/>
        </w:rPr>
        <w:t>公司发生金融资产转移时，如已将金融资产所有权上几乎所有的风险和报酬转移给转入方， </w:t>
      </w:r>
      <w:r>
        <w:rPr>
          <w:rFonts w:ascii="宋体" w:hAnsi="宋体" w:cs="宋体" w:eastAsia="宋体" w:hint="default"/>
          <w:spacing w:val="-1"/>
          <w:sz w:val="21"/>
          <w:szCs w:val="21"/>
        </w:rPr>
        <w:t>则终止确认该金融资产；如保留了金融资产所有权上几乎所有的风险和报酬的，则不终止确</w:t>
      </w:r>
      <w:r>
        <w:rPr>
          <w:rFonts w:ascii="宋体" w:hAnsi="宋体" w:cs="宋体" w:eastAsia="宋体" w:hint="default"/>
          <w:sz w:val="21"/>
          <w:szCs w:val="21"/>
        </w:rPr>
        <w:t> 认该金融资产。 </w:t>
      </w:r>
      <w:r>
        <w:rPr>
          <w:rFonts w:ascii="宋体" w:hAnsi="宋体" w:cs="宋体" w:eastAsia="宋体" w:hint="default"/>
          <w:spacing w:val="-1"/>
          <w:sz w:val="21"/>
          <w:szCs w:val="21"/>
        </w:rPr>
        <w:t>在判断金融资产转移是否满足上述金融资产终止确认条件时，采用实质重于形式的原则。公</w:t>
      </w:r>
      <w:r>
        <w:rPr>
          <w:rFonts w:ascii="宋体" w:hAnsi="宋体" w:cs="宋体" w:eastAsia="宋体" w:hint="default"/>
          <w:sz w:val="21"/>
          <w:szCs w:val="21"/>
        </w:rPr>
        <w:t> </w:t>
      </w:r>
      <w:r>
        <w:rPr>
          <w:rFonts w:ascii="宋体" w:hAnsi="宋体" w:cs="宋体" w:eastAsia="宋体" w:hint="default"/>
          <w:spacing w:val="-1"/>
          <w:sz w:val="21"/>
          <w:szCs w:val="21"/>
        </w:rPr>
        <w:t>司将金融资产转移区分为金融资产整体转移和部分转移。金融资产整体转移满足终止确认条</w:t>
      </w:r>
      <w:r>
        <w:rPr>
          <w:rFonts w:ascii="宋体" w:hAnsi="宋体" w:cs="宋体" w:eastAsia="宋体" w:hint="default"/>
          <w:sz w:val="21"/>
          <w:szCs w:val="21"/>
        </w:rPr>
        <w:t> 件的，将下列两项金额的差额计入当期损益：</w:t>
      </w:r>
    </w:p>
    <w:p>
      <w:pPr>
        <w:spacing w:before="7"/>
        <w:ind w:left="139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）所转移金融资产的账面价值；</w:t>
      </w:r>
    </w:p>
    <w:p>
      <w:pPr>
        <w:spacing w:line="256" w:lineRule="auto" w:before="21"/>
        <w:ind w:left="1390" w:right="118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）因转移而收到的对价，与原直接计入所有者权益的公允价值变动累计额（涉及转移的 金融资产为可供出售金融资产的情形）之和。</w:t>
      </w:r>
    </w:p>
    <w:p>
      <w:pPr>
        <w:spacing w:after="0" w:line="256"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2"/>
          <w:szCs w:val="22"/>
        </w:rPr>
      </w:pPr>
    </w:p>
    <w:p>
      <w:pPr>
        <w:spacing w:line="273" w:lineRule="auto" w:before="35"/>
        <w:ind w:left="1390" w:right="1132" w:firstLine="0"/>
        <w:jc w:val="both"/>
        <w:rPr>
          <w:rFonts w:ascii="宋体" w:hAnsi="宋体" w:cs="宋体" w:eastAsia="宋体" w:hint="default"/>
          <w:sz w:val="21"/>
          <w:szCs w:val="21"/>
        </w:rPr>
      </w:pPr>
      <w:r>
        <w:rPr>
          <w:rFonts w:ascii="宋体" w:hAnsi="宋体" w:cs="宋体" w:eastAsia="宋体" w:hint="default"/>
          <w:spacing w:val="-1"/>
          <w:sz w:val="21"/>
          <w:szCs w:val="21"/>
        </w:rPr>
        <w:t>金融资产部分转移满足终止确认条件的，将所转移金融资产整体的账面价值，在终止确认部</w:t>
      </w:r>
      <w:r>
        <w:rPr>
          <w:rFonts w:ascii="宋体" w:hAnsi="宋体" w:cs="宋体" w:eastAsia="宋体" w:hint="default"/>
          <w:sz w:val="21"/>
          <w:szCs w:val="21"/>
        </w:rPr>
        <w:t> </w:t>
      </w:r>
      <w:r>
        <w:rPr>
          <w:rFonts w:ascii="宋体" w:hAnsi="宋体" w:cs="宋体" w:eastAsia="宋体" w:hint="default"/>
          <w:spacing w:val="-1"/>
          <w:sz w:val="21"/>
          <w:szCs w:val="21"/>
        </w:rPr>
        <w:t>分和未终止确认部分之间，按照各自的相对公允价值进行分摊，并将下列两项金额的差额计</w:t>
      </w:r>
      <w:r>
        <w:rPr>
          <w:rFonts w:ascii="宋体" w:hAnsi="宋体" w:cs="宋体" w:eastAsia="宋体" w:hint="default"/>
          <w:sz w:val="21"/>
          <w:szCs w:val="21"/>
        </w:rPr>
        <w:t> 入当期损益：</w:t>
      </w:r>
    </w:p>
    <w:p>
      <w:pPr>
        <w:spacing w:before="8"/>
        <w:ind w:left="139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）终止确认部分的账面价值；</w:t>
      </w:r>
    </w:p>
    <w:p>
      <w:pPr>
        <w:spacing w:line="266" w:lineRule="auto" w:before="21"/>
        <w:ind w:left="1390" w:right="111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）终止确认部分的对价，与原直接计入所有者权益的公允价值变动累计额中对应终止确 认部分的金额（涉及转移的金融资产为可供出售金融资产的情形）之和。 </w:t>
      </w:r>
      <w:r>
        <w:rPr>
          <w:rFonts w:ascii="宋体" w:hAnsi="宋体" w:cs="宋体" w:eastAsia="宋体" w:hint="default"/>
          <w:spacing w:val="-1"/>
          <w:sz w:val="21"/>
          <w:szCs w:val="21"/>
        </w:rPr>
        <w:t>金融资产转移不满足终止确认条件的，继续确认该金融资产，所收到的对价确认为一项金融</w:t>
      </w:r>
      <w:r>
        <w:rPr>
          <w:rFonts w:ascii="宋体" w:hAnsi="宋体" w:cs="宋体" w:eastAsia="宋体" w:hint="default"/>
          <w:sz w:val="21"/>
          <w:szCs w:val="21"/>
        </w:rPr>
        <w:t> 负债。</w:t>
      </w:r>
    </w:p>
    <w:p>
      <w:pPr>
        <w:spacing w:line="240" w:lineRule="auto" w:before="12"/>
        <w:rPr>
          <w:rFonts w:ascii="宋体" w:hAnsi="宋体" w:cs="宋体" w:eastAsia="宋体" w:hint="default"/>
          <w:sz w:val="24"/>
          <w:szCs w:val="24"/>
        </w:rPr>
      </w:pPr>
    </w:p>
    <w:p>
      <w:pPr>
        <w:spacing w:line="273" w:lineRule="auto" w:before="0"/>
        <w:ind w:left="1390" w:right="1116" w:hanging="501"/>
        <w:jc w:val="left"/>
        <w:rPr>
          <w:rFonts w:ascii="宋体" w:hAnsi="宋体" w:cs="宋体" w:eastAsia="宋体" w:hint="default"/>
          <w:sz w:val="21"/>
          <w:szCs w:val="21"/>
        </w:rPr>
      </w:pPr>
      <w:r>
        <w:rPr>
          <w:rFonts w:ascii="宋体" w:hAnsi="宋体" w:cs="宋体" w:eastAsia="宋体" w:hint="default"/>
          <w:b/>
          <w:bCs/>
          <w:sz w:val="21"/>
          <w:szCs w:val="21"/>
        </w:rPr>
        <w:t>金融负债终止确认条件</w:t>
      </w:r>
      <w:r>
        <w:rPr>
          <w:rFonts w:ascii="宋体" w:hAnsi="宋体" w:cs="宋体" w:eastAsia="宋体" w:hint="default"/>
          <w:b/>
          <w:bCs/>
          <w:w w:val="99"/>
          <w:sz w:val="21"/>
          <w:szCs w:val="21"/>
        </w:rPr>
        <w:t> </w:t>
      </w:r>
      <w:r>
        <w:rPr>
          <w:rFonts w:ascii="宋体" w:hAnsi="宋体" w:cs="宋体" w:eastAsia="宋体" w:hint="default"/>
          <w:spacing w:val="-1"/>
          <w:sz w:val="21"/>
          <w:szCs w:val="21"/>
        </w:rPr>
        <w:t>金融负债的现时义务全部或部分已经解除的，则终止确认该金融负债或其一部分；本公司若</w:t>
      </w:r>
      <w:r>
        <w:rPr>
          <w:rFonts w:ascii="宋体" w:hAnsi="宋体" w:cs="宋体" w:eastAsia="宋体" w:hint="default"/>
          <w:sz w:val="21"/>
          <w:szCs w:val="21"/>
        </w:rPr>
        <w:t> </w:t>
      </w:r>
      <w:r>
        <w:rPr>
          <w:rFonts w:ascii="宋体" w:hAnsi="宋体" w:cs="宋体" w:eastAsia="宋体" w:hint="default"/>
          <w:spacing w:val="-1"/>
          <w:sz w:val="21"/>
          <w:szCs w:val="21"/>
        </w:rPr>
        <w:t>与债权人签定协议，以承担新金融负债方式替换现存金融负债，且新金融负债与现存金融负</w:t>
      </w:r>
      <w:r>
        <w:rPr>
          <w:rFonts w:ascii="宋体" w:hAnsi="宋体" w:cs="宋体" w:eastAsia="宋体" w:hint="default"/>
          <w:sz w:val="21"/>
          <w:szCs w:val="21"/>
        </w:rPr>
        <w:t> 债的合同条款实质上不同的，则终止确认现存金融负债，并同时确认新金融负债。 </w:t>
      </w:r>
      <w:r>
        <w:rPr>
          <w:rFonts w:ascii="宋体" w:hAnsi="宋体" w:cs="宋体" w:eastAsia="宋体" w:hint="default"/>
          <w:spacing w:val="-1"/>
          <w:sz w:val="21"/>
          <w:szCs w:val="21"/>
        </w:rPr>
        <w:t>对现存金融负债全部或部分合同条款作出实质性修改的，则终止确认现存金融负债或其一部</w:t>
      </w:r>
      <w:r>
        <w:rPr>
          <w:rFonts w:ascii="宋体" w:hAnsi="宋体" w:cs="宋体" w:eastAsia="宋体" w:hint="default"/>
          <w:sz w:val="21"/>
          <w:szCs w:val="21"/>
        </w:rPr>
        <w:t> 分，同时将修改条款后的金融负债确认为一项新金融负债。 </w:t>
      </w:r>
      <w:r>
        <w:rPr>
          <w:rFonts w:ascii="宋体" w:hAnsi="宋体" w:cs="宋体" w:eastAsia="宋体" w:hint="default"/>
          <w:spacing w:val="-1"/>
          <w:sz w:val="21"/>
          <w:szCs w:val="21"/>
        </w:rPr>
        <w:t>金融负债全部或部分终止确认时，终止确认的金融负债账面价值与支付对价（包括转出的非</w:t>
      </w:r>
      <w:r>
        <w:rPr>
          <w:rFonts w:ascii="宋体" w:hAnsi="宋体" w:cs="宋体" w:eastAsia="宋体" w:hint="default"/>
          <w:sz w:val="21"/>
          <w:szCs w:val="21"/>
        </w:rPr>
        <w:t> 现金资产或承担的新金融负债）之间的差额，计入当期损益。 本公司若回购部分金融负债的，在回购日按照继续确认部分与终止确认部分的相对公允价 </w:t>
      </w:r>
      <w:r>
        <w:rPr>
          <w:rFonts w:ascii="宋体" w:hAnsi="宋体" w:cs="宋体" w:eastAsia="宋体" w:hint="default"/>
          <w:spacing w:val="-1"/>
          <w:sz w:val="21"/>
          <w:szCs w:val="21"/>
        </w:rPr>
        <w:t>值，将该金融负债整体的账面价值进行分配。分配给终止确认部分的账面价值与支付的对价</w:t>
      </w:r>
    </w:p>
    <w:p>
      <w:pPr>
        <w:spacing w:before="7"/>
        <w:ind w:left="1390" w:right="0" w:firstLine="0"/>
        <w:jc w:val="left"/>
        <w:rPr>
          <w:rFonts w:ascii="宋体" w:hAnsi="宋体" w:cs="宋体" w:eastAsia="宋体" w:hint="default"/>
          <w:sz w:val="21"/>
          <w:szCs w:val="21"/>
        </w:rPr>
      </w:pPr>
      <w:r>
        <w:rPr>
          <w:rFonts w:ascii="宋体" w:hAnsi="宋体" w:cs="宋体" w:eastAsia="宋体" w:hint="default"/>
          <w:sz w:val="21"/>
          <w:szCs w:val="21"/>
        </w:rPr>
        <w:t>（包括转出的非现金资产或承担的新金融负债）之间的差额，计入当期损益。</w:t>
      </w:r>
    </w:p>
    <w:p>
      <w:pPr>
        <w:spacing w:line="240" w:lineRule="auto" w:before="9"/>
        <w:rPr>
          <w:rFonts w:ascii="宋体" w:hAnsi="宋体" w:cs="宋体" w:eastAsia="宋体" w:hint="default"/>
          <w:sz w:val="26"/>
          <w:szCs w:val="26"/>
        </w:rPr>
      </w:pPr>
    </w:p>
    <w:p>
      <w:pPr>
        <w:spacing w:line="273" w:lineRule="auto" w:before="0"/>
        <w:ind w:left="1390" w:right="1116" w:hanging="501"/>
        <w:jc w:val="left"/>
        <w:rPr>
          <w:rFonts w:ascii="宋体" w:hAnsi="宋体" w:cs="宋体" w:eastAsia="宋体" w:hint="default"/>
          <w:sz w:val="21"/>
          <w:szCs w:val="21"/>
        </w:rPr>
      </w:pPr>
      <w:r>
        <w:rPr>
          <w:rFonts w:ascii="宋体" w:hAnsi="宋体" w:cs="宋体" w:eastAsia="宋体" w:hint="default"/>
          <w:b/>
          <w:bCs/>
          <w:sz w:val="21"/>
          <w:szCs w:val="21"/>
        </w:rPr>
        <w:t>金融资产和金融负债的公允价值的确定方法</w:t>
      </w:r>
      <w:r>
        <w:rPr>
          <w:rFonts w:ascii="宋体" w:hAnsi="宋体" w:cs="宋体" w:eastAsia="宋体" w:hint="default"/>
          <w:b/>
          <w:bCs/>
          <w:w w:val="99"/>
          <w:sz w:val="21"/>
          <w:szCs w:val="21"/>
        </w:rPr>
        <w:t> </w:t>
      </w:r>
      <w:r>
        <w:rPr>
          <w:rFonts w:ascii="宋体" w:hAnsi="宋体" w:cs="宋体" w:eastAsia="宋体" w:hint="default"/>
          <w:spacing w:val="-1"/>
          <w:sz w:val="21"/>
          <w:szCs w:val="21"/>
        </w:rPr>
        <w:t>存在活跃市场的金融工具，以活跃市场中的报价确定其公允价值。不存在活跃市场的金融工</w:t>
      </w:r>
      <w:r>
        <w:rPr>
          <w:rFonts w:ascii="宋体" w:hAnsi="宋体" w:cs="宋体" w:eastAsia="宋体" w:hint="default"/>
          <w:sz w:val="21"/>
          <w:szCs w:val="21"/>
        </w:rPr>
        <w:t> </w:t>
      </w:r>
      <w:r>
        <w:rPr>
          <w:rFonts w:ascii="宋体" w:hAnsi="宋体" w:cs="宋体" w:eastAsia="宋体" w:hint="default"/>
          <w:spacing w:val="-2"/>
          <w:sz w:val="21"/>
          <w:szCs w:val="21"/>
        </w:rPr>
        <w:t>具，采用估值技术确定其公允价值。在估值时，本公司采用在当前情况下适用并且有足够可</w:t>
      </w:r>
      <w:r>
        <w:rPr>
          <w:rFonts w:ascii="宋体" w:hAnsi="宋体" w:cs="宋体" w:eastAsia="宋体" w:hint="default"/>
          <w:sz w:val="21"/>
          <w:szCs w:val="21"/>
        </w:rPr>
        <w:t> </w:t>
      </w:r>
      <w:r>
        <w:rPr>
          <w:rFonts w:ascii="宋体" w:hAnsi="宋体" w:cs="宋体" w:eastAsia="宋体" w:hint="default"/>
          <w:spacing w:val="-1"/>
          <w:sz w:val="21"/>
          <w:szCs w:val="21"/>
        </w:rPr>
        <w:t>利用数据和其他信息支持的估值技术，选择与市场参与者在相关资产或负债的交易中所考虑</w:t>
      </w:r>
      <w:r>
        <w:rPr>
          <w:rFonts w:ascii="宋体" w:hAnsi="宋体" w:cs="宋体" w:eastAsia="宋体" w:hint="default"/>
          <w:sz w:val="21"/>
          <w:szCs w:val="21"/>
        </w:rPr>
        <w:t> </w:t>
      </w:r>
      <w:r>
        <w:rPr>
          <w:rFonts w:ascii="宋体" w:hAnsi="宋体" w:cs="宋体" w:eastAsia="宋体" w:hint="default"/>
          <w:spacing w:val="-1"/>
          <w:sz w:val="21"/>
          <w:szCs w:val="21"/>
        </w:rPr>
        <w:t>的资产或负债特征相一致的输入值，并优先使用相关可观察输入值。只有在相关可观察输入</w:t>
      </w:r>
      <w:r>
        <w:rPr>
          <w:rFonts w:ascii="宋体" w:hAnsi="宋体" w:cs="宋体" w:eastAsia="宋体" w:hint="default"/>
          <w:sz w:val="21"/>
          <w:szCs w:val="21"/>
        </w:rPr>
        <w:t> 值无法取得或取得不切实可行的情况下，才使用不可观察输入值。</w:t>
      </w:r>
    </w:p>
    <w:p>
      <w:pPr>
        <w:spacing w:line="240" w:lineRule="auto" w:before="6"/>
        <w:rPr>
          <w:rFonts w:ascii="宋体" w:hAnsi="宋体" w:cs="宋体" w:eastAsia="宋体" w:hint="default"/>
          <w:sz w:val="24"/>
          <w:szCs w:val="24"/>
        </w:rPr>
      </w:pPr>
    </w:p>
    <w:p>
      <w:pPr>
        <w:spacing w:line="273" w:lineRule="auto" w:before="0"/>
        <w:ind w:left="1390" w:right="1116" w:hanging="501"/>
        <w:jc w:val="left"/>
        <w:rPr>
          <w:rFonts w:ascii="宋体" w:hAnsi="宋体" w:cs="宋体" w:eastAsia="宋体" w:hint="default"/>
          <w:sz w:val="21"/>
          <w:szCs w:val="21"/>
        </w:rPr>
      </w:pPr>
      <w:r>
        <w:rPr>
          <w:rFonts w:ascii="宋体" w:hAnsi="宋体" w:cs="宋体" w:eastAsia="宋体" w:hint="default"/>
          <w:b/>
          <w:bCs/>
          <w:sz w:val="21"/>
          <w:szCs w:val="21"/>
        </w:rPr>
        <w:t>金融资产（不含应收款项）减值的测试方法及会计处理方法</w:t>
      </w:r>
      <w:r>
        <w:rPr>
          <w:rFonts w:ascii="宋体" w:hAnsi="宋体" w:cs="宋体" w:eastAsia="宋体" w:hint="default"/>
          <w:b/>
          <w:bCs/>
          <w:w w:val="99"/>
          <w:sz w:val="21"/>
          <w:szCs w:val="21"/>
        </w:rPr>
        <w:t> </w:t>
      </w:r>
      <w:r>
        <w:rPr>
          <w:rFonts w:ascii="宋体" w:hAnsi="宋体" w:cs="宋体" w:eastAsia="宋体" w:hint="default"/>
          <w:spacing w:val="-1"/>
          <w:sz w:val="21"/>
          <w:szCs w:val="21"/>
        </w:rPr>
        <w:t>除以公允价值计量且其变动计入当期损益的金融资产外，本公司于资产负债表日对金融资产</w:t>
      </w:r>
      <w:r>
        <w:rPr>
          <w:rFonts w:ascii="宋体" w:hAnsi="宋体" w:cs="宋体" w:eastAsia="宋体" w:hint="default"/>
          <w:sz w:val="21"/>
          <w:szCs w:val="21"/>
        </w:rPr>
        <w:t> 的账面价值进行检查，如果有客观证据表明某项金融资产发生减值的，计提减值准备。</w:t>
      </w:r>
    </w:p>
    <w:p>
      <w:pPr>
        <w:spacing w:line="271" w:lineRule="auto" w:before="7"/>
        <w:ind w:left="1390" w:right="111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）可供出售金融资产的减值准备： </w:t>
      </w:r>
      <w:r>
        <w:rPr>
          <w:rFonts w:ascii="宋体" w:hAnsi="宋体" w:cs="宋体" w:eastAsia="宋体" w:hint="default"/>
          <w:spacing w:val="-1"/>
          <w:sz w:val="21"/>
          <w:szCs w:val="21"/>
        </w:rPr>
        <w:t>期末如果可供出售金融资产的公允价值发生严重下降，或在综合考虑各种相关因素后，预期</w:t>
      </w:r>
      <w:r>
        <w:rPr>
          <w:rFonts w:ascii="宋体" w:hAnsi="宋体" w:cs="宋体" w:eastAsia="宋体" w:hint="default"/>
          <w:sz w:val="21"/>
          <w:szCs w:val="21"/>
        </w:rPr>
        <w:t> </w:t>
      </w:r>
      <w:r>
        <w:rPr>
          <w:rFonts w:ascii="宋体" w:hAnsi="宋体" w:cs="宋体" w:eastAsia="宋体" w:hint="default"/>
          <w:spacing w:val="-1"/>
          <w:sz w:val="21"/>
          <w:szCs w:val="21"/>
        </w:rPr>
        <w:t>这种下降趋势属于非暂时性的，就认定其已发生减值，将原直接计入所有者权益的公允价值</w:t>
      </w:r>
      <w:r>
        <w:rPr>
          <w:rFonts w:ascii="宋体" w:hAnsi="宋体" w:cs="宋体" w:eastAsia="宋体" w:hint="default"/>
          <w:sz w:val="21"/>
          <w:szCs w:val="21"/>
        </w:rPr>
        <w:t> 下降形成的累计损失一并转出，确认减值损失。 </w:t>
      </w:r>
      <w:r>
        <w:rPr>
          <w:rFonts w:ascii="宋体" w:hAnsi="宋体" w:cs="宋体" w:eastAsia="宋体" w:hint="default"/>
          <w:spacing w:val="-1"/>
          <w:sz w:val="21"/>
          <w:szCs w:val="21"/>
        </w:rPr>
        <w:t>对于已确认减值损失的可供出售债务工具，在随后的会计期间公允价值已上升且客观上与确</w:t>
      </w:r>
      <w:r>
        <w:rPr>
          <w:rFonts w:ascii="宋体" w:hAnsi="宋体" w:cs="宋体" w:eastAsia="宋体" w:hint="default"/>
          <w:sz w:val="21"/>
          <w:szCs w:val="21"/>
        </w:rPr>
        <w:t> 认原减值损失确认后发生的事项有关的，原确认的减值损失予以转回，计入当期损益。 可供出售权益工具投资发生的减值损失，不通过损益转回。</w:t>
      </w:r>
    </w:p>
    <w:p>
      <w:pPr>
        <w:spacing w:line="256" w:lineRule="auto" w:before="10"/>
        <w:ind w:left="1390" w:right="296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）持有至到期投资的减值准备： 持有至到期投资减值损失的计量比照应收款项减值损失计量方法处理。</w:t>
      </w:r>
    </w:p>
    <w:p>
      <w:pPr>
        <w:spacing w:after="0" w:line="256"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3"/>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11、应收票据及应收账款" w:id="182"/>
      <w:bookmarkEnd w:id="182"/>
      <w:r>
        <w:rPr/>
      </w:r>
      <w:r>
        <w:rPr>
          <w:rFonts w:ascii="Times New Roman" w:hAnsi="Times New Roman" w:cs="Times New Roman" w:eastAsia="Times New Roman" w:hint="default"/>
          <w:b/>
          <w:bCs/>
          <w:sz w:val="21"/>
          <w:szCs w:val="21"/>
        </w:rPr>
        <w:t>11</w:t>
      </w:r>
      <w:r>
        <w:rPr>
          <w:rFonts w:ascii="宋体" w:hAnsi="宋体" w:cs="宋体" w:eastAsia="宋体" w:hint="default"/>
          <w:b/>
          <w:bCs/>
          <w:sz w:val="21"/>
          <w:szCs w:val="21"/>
        </w:rPr>
        <w:t>、应收票据及应收账款</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单项金额重大并单独计提坏账准备的应收款项" w:id="183"/>
      <w:bookmarkEnd w:id="18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）单项金额重大并单独计提坏账准备的应收款项</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5"/>
        <w:gridCol w:w="4784"/>
      </w:tblGrid>
      <w:tr>
        <w:trPr>
          <w:trHeight w:val="1026"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单项金额重大的判断依据或金额标准</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本公司将单项金额大于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万元的应收账款或单项金额大</w:t>
            </w:r>
          </w:p>
          <w:p>
            <w:pPr>
              <w:pStyle w:val="TableParagraph"/>
              <w:spacing w:line="302" w:lineRule="auto" w:before="63"/>
              <w:ind w:left="103" w:right="168"/>
              <w:jc w:val="left"/>
              <w:rPr>
                <w:rFonts w:ascii="宋体" w:hAnsi="宋体" w:cs="宋体" w:eastAsia="宋体" w:hint="default"/>
                <w:sz w:val="18"/>
                <w:szCs w:val="18"/>
              </w:rPr>
            </w:pPr>
            <w:r>
              <w:rPr>
                <w:rFonts w:ascii="宋体" w:hAnsi="宋体" w:cs="宋体" w:eastAsia="宋体" w:hint="default"/>
                <w:sz w:val="18"/>
                <w:szCs w:val="18"/>
              </w:rPr>
              <w:t>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250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万元的其他应收款，确定为单项金额重大的应收款 项。</w:t>
            </w:r>
          </w:p>
        </w:tc>
      </w:tr>
      <w:tr>
        <w:trPr>
          <w:trHeight w:val="1338"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68"/>
              <w:jc w:val="both"/>
              <w:rPr>
                <w:rFonts w:ascii="宋体" w:hAnsi="宋体" w:cs="宋体" w:eastAsia="宋体" w:hint="default"/>
                <w:sz w:val="18"/>
                <w:szCs w:val="18"/>
              </w:rPr>
            </w:pPr>
            <w:r>
              <w:rPr>
                <w:rFonts w:ascii="宋体" w:hAnsi="宋体" w:cs="宋体" w:eastAsia="宋体" w:hint="default"/>
                <w:sz w:val="18"/>
                <w:szCs w:val="18"/>
              </w:rPr>
              <w:t>单独进行减值测试，如有客观证据表明其已发生减值，按 预计未来现金流量现值低于其账面价值的差额计提坏账准 备，计入当期损益。单独测试未发生减值的应收款项，将 其归入相应组合计提坏账准备。</w:t>
            </w:r>
          </w:p>
        </w:tc>
      </w:tr>
    </w:tbl>
    <w:p>
      <w:pPr>
        <w:spacing w:line="240" w:lineRule="auto" w:before="2"/>
        <w:rPr>
          <w:rFonts w:ascii="宋体" w:hAnsi="宋体" w:cs="宋体" w:eastAsia="宋体" w:hint="default"/>
          <w:b/>
          <w:bCs/>
          <w:sz w:val="19"/>
          <w:szCs w:val="19"/>
        </w:rPr>
      </w:pPr>
    </w:p>
    <w:p>
      <w:pPr>
        <w:spacing w:before="35"/>
        <w:ind w:left="114" w:right="0" w:firstLine="0"/>
        <w:jc w:val="left"/>
        <w:rPr>
          <w:rFonts w:ascii="宋体" w:hAnsi="宋体" w:cs="宋体" w:eastAsia="宋体" w:hint="default"/>
          <w:sz w:val="21"/>
          <w:szCs w:val="21"/>
        </w:rPr>
      </w:pPr>
      <w:bookmarkStart w:name="（2）按信用风险特征组合计提坏账准备的应收款项" w:id="184"/>
      <w:bookmarkEnd w:id="18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）按信用风险特征组合计提坏账准备的应收款项</w:t>
      </w:r>
      <w:r>
        <w:rPr>
          <w:rFonts w:ascii="宋体" w:hAnsi="宋体" w:cs="宋体" w:eastAsia="宋体" w:hint="default"/>
          <w:sz w:val="21"/>
          <w:szCs w:val="21"/>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坏账准备计提方法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账龄分析法</w:t>
            </w:r>
          </w:p>
        </w:tc>
      </w:tr>
      <w:tr>
        <w:trPr>
          <w:trHeight w:val="402" w:hRule="exact"/>
        </w:trPr>
        <w:tc>
          <w:tcPr>
            <w:tcW w:w="47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组合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其他方法</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组合中，采用账龄分析法计提坏账准备的：</w:t>
      </w:r>
    </w:p>
    <w:p>
      <w:pPr>
        <w:spacing w:before="117"/>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69"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组合中，采用余额百分比法计提坏账准备的：</w:t>
      </w:r>
    </w:p>
    <w:p>
      <w:pPr>
        <w:spacing w:line="357" w:lineRule="auto" w:before="117"/>
        <w:ind w:left="114" w:right="7512" w:firstLine="0"/>
        <w:jc w:val="left"/>
        <w:rPr>
          <w:rFonts w:ascii="宋体" w:hAnsi="宋体" w:cs="宋体" w:eastAsia="宋体" w:hint="default"/>
          <w:sz w:val="18"/>
          <w:szCs w:val="18"/>
        </w:rPr>
      </w:pPr>
      <w:r>
        <w:rPr>
          <w:rFonts w:ascii="宋体" w:hAnsi="宋体" w:cs="宋体" w:eastAsia="宋体" w:hint="default"/>
          <w:sz w:val="18"/>
          <w:szCs w:val="18"/>
        </w:rPr>
        <w:t>□ 适用 √ 不适用 组合中，采用其他方法计提坏账准备的：</w:t>
      </w:r>
    </w:p>
    <w:p>
      <w:pPr>
        <w:spacing w:before="29"/>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组合名称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69" w:right="0"/>
              <w:jc w:val="left"/>
              <w:rPr>
                <w:rFonts w:ascii="宋体" w:hAnsi="宋体" w:cs="宋体" w:eastAsia="宋体" w:hint="default"/>
                <w:sz w:val="18"/>
                <w:szCs w:val="18"/>
              </w:rPr>
            </w:pPr>
            <w:r>
              <w:rPr>
                <w:rFonts w:ascii="宋体" w:hAnsi="宋体" w:cs="宋体" w:eastAsia="宋体" w:hint="default"/>
                <w:sz w:val="18"/>
                <w:szCs w:val="18"/>
              </w:rPr>
              <w:t>应收账款计提比例</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其他应收款计提比例</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合并范围内的关联方往来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3）单项金额不重大但单独计提坏账准备的应收款项" w:id="185"/>
      <w:bookmarkEnd w:id="18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）单项金额不重大但单独计提坏账准备的应收款项</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5"/>
        <w:gridCol w:w="4784"/>
      </w:tblGrid>
      <w:tr>
        <w:trPr>
          <w:trHeight w:val="715"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单项计提坏账准备的理由</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68"/>
              <w:jc w:val="left"/>
              <w:rPr>
                <w:rFonts w:ascii="宋体" w:hAnsi="宋体" w:cs="宋体" w:eastAsia="宋体" w:hint="default"/>
                <w:sz w:val="18"/>
                <w:szCs w:val="18"/>
              </w:rPr>
            </w:pPr>
            <w:r>
              <w:rPr>
                <w:rFonts w:ascii="宋体" w:hAnsi="宋体" w:cs="宋体" w:eastAsia="宋体" w:hint="default"/>
                <w:sz w:val="18"/>
                <w:szCs w:val="18"/>
              </w:rPr>
              <w:t>应收款项的未来现金流量现值与以账龄为信用风险特征的 应收款项组合的未来现金流量现值存在显著差异</w:t>
            </w:r>
          </w:p>
        </w:tc>
      </w:tr>
    </w:tbl>
    <w:p>
      <w:pPr>
        <w:spacing w:after="0" w:line="316" w:lineRule="auto"/>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9"/>
        <w:rPr>
          <w:rFonts w:ascii="宋体" w:hAnsi="宋体" w:cs="宋体" w:eastAsia="宋体" w:hint="default"/>
          <w:b/>
          <w:bCs/>
          <w:sz w:val="22"/>
          <w:szCs w:val="22"/>
        </w:rPr>
      </w:pPr>
    </w:p>
    <w:tbl>
      <w:tblPr>
        <w:tblW w:w="0" w:type="auto"/>
        <w:jc w:val="left"/>
        <w:tblInd w:w="109" w:type="dxa"/>
        <w:tblLayout w:type="fixed"/>
        <w:tblCellMar>
          <w:top w:w="0" w:type="dxa"/>
          <w:left w:w="0" w:type="dxa"/>
          <w:bottom w:w="0" w:type="dxa"/>
          <w:right w:w="0" w:type="dxa"/>
        </w:tblCellMar>
        <w:tblLook w:val="01E0"/>
      </w:tblPr>
      <w:tblGrid>
        <w:gridCol w:w="4785"/>
        <w:gridCol w:w="4784"/>
      </w:tblGrid>
      <w:tr>
        <w:trPr>
          <w:trHeight w:val="714"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坏账准备的计提方法</w:t>
            </w:r>
          </w:p>
        </w:tc>
        <w:tc>
          <w:tcPr>
            <w:tcW w:w="478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68"/>
              <w:jc w:val="left"/>
              <w:rPr>
                <w:rFonts w:ascii="宋体" w:hAnsi="宋体" w:cs="宋体" w:eastAsia="宋体" w:hint="default"/>
                <w:sz w:val="18"/>
                <w:szCs w:val="18"/>
              </w:rPr>
            </w:pPr>
            <w:r>
              <w:rPr>
                <w:rFonts w:ascii="宋体" w:hAnsi="宋体" w:cs="宋体" w:eastAsia="宋体" w:hint="default"/>
                <w:sz w:val="18"/>
                <w:szCs w:val="18"/>
              </w:rPr>
              <w:t>单独进行减值测试，根据其未来现金流量现值低于其账面 价值的差额计提坏账准备</w:t>
            </w:r>
          </w:p>
        </w:tc>
      </w:tr>
    </w:tbl>
    <w:p>
      <w:pPr>
        <w:spacing w:line="240" w:lineRule="auto" w:before="2"/>
        <w:rPr>
          <w:rFonts w:ascii="宋体" w:hAnsi="宋体" w:cs="宋体" w:eastAsia="宋体" w:hint="default"/>
          <w:b/>
          <w:bCs/>
          <w:sz w:val="19"/>
          <w:szCs w:val="19"/>
        </w:rPr>
      </w:pPr>
    </w:p>
    <w:p>
      <w:pPr>
        <w:spacing w:before="35"/>
        <w:ind w:left="114" w:right="0" w:firstLine="0"/>
        <w:jc w:val="left"/>
        <w:rPr>
          <w:rFonts w:ascii="宋体" w:hAnsi="宋体" w:cs="宋体" w:eastAsia="宋体" w:hint="default"/>
          <w:sz w:val="21"/>
          <w:szCs w:val="21"/>
        </w:rPr>
      </w:pPr>
      <w:bookmarkStart w:name="12、存货" w:id="186"/>
      <w:bookmarkEnd w:id="186"/>
      <w:r>
        <w:rPr/>
      </w:r>
      <w:r>
        <w:rPr>
          <w:rFonts w:ascii="Times New Roman" w:hAnsi="Times New Roman" w:cs="Times New Roman" w:eastAsia="Times New Roman" w:hint="default"/>
          <w:b/>
          <w:bCs/>
          <w:sz w:val="21"/>
          <w:szCs w:val="21"/>
        </w:rPr>
        <w:t>12</w:t>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60" w:lineRule="auto" w:before="0"/>
        <w:ind w:left="11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6"/>
        <w:ind w:left="114" w:right="0" w:firstLine="0"/>
        <w:jc w:val="left"/>
        <w:rPr>
          <w:rFonts w:ascii="宋体" w:hAnsi="宋体" w:cs="宋体" w:eastAsia="宋体" w:hint="default"/>
          <w:sz w:val="18"/>
          <w:szCs w:val="18"/>
        </w:rPr>
      </w:pPr>
      <w:r>
        <w:rPr>
          <w:rFonts w:ascii="宋体" w:hAnsi="宋体" w:cs="宋体" w:eastAsia="宋体" w:hint="default"/>
          <w:sz w:val="18"/>
          <w:szCs w:val="18"/>
        </w:rPr>
        <w:t>软件与信息技术服务业</w:t>
      </w:r>
    </w:p>
    <w:p>
      <w:pPr>
        <w:spacing w:before="89"/>
        <w:ind w:left="889" w:right="0" w:firstLine="0"/>
        <w:jc w:val="left"/>
        <w:rPr>
          <w:rFonts w:ascii="宋体" w:hAnsi="宋体" w:cs="宋体" w:eastAsia="宋体" w:hint="default"/>
          <w:sz w:val="21"/>
          <w:szCs w:val="21"/>
        </w:rPr>
      </w:pPr>
      <w:r>
        <w:rPr>
          <w:rFonts w:ascii="宋体" w:hAnsi="宋体" w:cs="宋体" w:eastAsia="宋体" w:hint="default"/>
          <w:b/>
          <w:bCs/>
          <w:sz w:val="21"/>
          <w:szCs w:val="21"/>
        </w:rPr>
        <w:t>存货的分类</w:t>
      </w:r>
      <w:r>
        <w:rPr>
          <w:rFonts w:ascii="宋体" w:hAnsi="宋体" w:cs="宋体" w:eastAsia="宋体" w:hint="default"/>
          <w:sz w:val="21"/>
          <w:szCs w:val="21"/>
        </w:rPr>
      </w:r>
    </w:p>
    <w:p>
      <w:pPr>
        <w:spacing w:line="273" w:lineRule="auto" w:before="37"/>
        <w:ind w:left="1390" w:right="1132" w:firstLine="0"/>
        <w:jc w:val="both"/>
        <w:rPr>
          <w:rFonts w:ascii="宋体" w:hAnsi="宋体" w:cs="宋体" w:eastAsia="宋体" w:hint="default"/>
          <w:sz w:val="21"/>
          <w:szCs w:val="21"/>
        </w:rPr>
      </w:pPr>
      <w:r>
        <w:rPr>
          <w:rFonts w:ascii="宋体" w:hAnsi="宋体" w:cs="宋体" w:eastAsia="宋体" w:hint="default"/>
          <w:spacing w:val="-1"/>
          <w:sz w:val="21"/>
          <w:szCs w:val="21"/>
        </w:rPr>
        <w:t>存货是指本公司在日常经营活动中持有以备出售的商品、处在项目实施过程中的未完工项目</w:t>
      </w:r>
      <w:r>
        <w:rPr>
          <w:rFonts w:ascii="宋体" w:hAnsi="宋体" w:cs="宋体" w:eastAsia="宋体" w:hint="default"/>
          <w:sz w:val="21"/>
          <w:szCs w:val="21"/>
        </w:rPr>
        <w:t> </w:t>
      </w:r>
      <w:r>
        <w:rPr>
          <w:rFonts w:ascii="宋体" w:hAnsi="宋体" w:cs="宋体" w:eastAsia="宋体" w:hint="default"/>
          <w:spacing w:val="-1"/>
          <w:sz w:val="21"/>
          <w:szCs w:val="21"/>
        </w:rPr>
        <w:t>成本、项目实施或提供劳务过程中耗用的材料和物料等。主要包括原材料、库存商品、未完</w:t>
      </w:r>
      <w:r>
        <w:rPr>
          <w:rFonts w:ascii="宋体" w:hAnsi="宋体" w:cs="宋体" w:eastAsia="宋体" w:hint="default"/>
          <w:sz w:val="21"/>
          <w:szCs w:val="21"/>
        </w:rPr>
        <w:t> 工项目成本等。</w:t>
      </w:r>
    </w:p>
    <w:p>
      <w:pPr>
        <w:spacing w:line="240" w:lineRule="auto" w:before="6"/>
        <w:rPr>
          <w:rFonts w:ascii="宋体" w:hAnsi="宋体" w:cs="宋体" w:eastAsia="宋体" w:hint="default"/>
          <w:sz w:val="24"/>
          <w:szCs w:val="24"/>
        </w:rPr>
      </w:pPr>
    </w:p>
    <w:p>
      <w:pPr>
        <w:spacing w:line="273" w:lineRule="auto" w:before="0"/>
        <w:ind w:left="1390" w:right="6536" w:hanging="501"/>
        <w:jc w:val="left"/>
        <w:rPr>
          <w:rFonts w:ascii="宋体" w:hAnsi="宋体" w:cs="宋体" w:eastAsia="宋体" w:hint="default"/>
          <w:sz w:val="21"/>
          <w:szCs w:val="21"/>
        </w:rPr>
      </w:pPr>
      <w:r>
        <w:rPr>
          <w:rFonts w:ascii="宋体" w:hAnsi="宋体" w:cs="宋体" w:eastAsia="宋体" w:hint="default"/>
          <w:b/>
          <w:bCs/>
          <w:sz w:val="21"/>
          <w:szCs w:val="21"/>
        </w:rPr>
        <w:t>发出存货的计价方法</w:t>
      </w:r>
      <w:r>
        <w:rPr>
          <w:rFonts w:ascii="宋体" w:hAnsi="宋体" w:cs="宋体" w:eastAsia="宋体" w:hint="default"/>
          <w:b/>
          <w:bCs/>
          <w:w w:val="99"/>
          <w:sz w:val="21"/>
          <w:szCs w:val="21"/>
        </w:rPr>
        <w:t> </w:t>
      </w:r>
      <w:r>
        <w:rPr>
          <w:rFonts w:ascii="宋体" w:hAnsi="宋体" w:cs="宋体" w:eastAsia="宋体" w:hint="default"/>
          <w:sz w:val="21"/>
          <w:szCs w:val="21"/>
        </w:rPr>
        <w:t>存货发出时按个别认定法计价。</w:t>
      </w:r>
    </w:p>
    <w:p>
      <w:pPr>
        <w:spacing w:line="240" w:lineRule="auto" w:before="6"/>
        <w:rPr>
          <w:rFonts w:ascii="宋体" w:hAnsi="宋体" w:cs="宋体" w:eastAsia="宋体" w:hint="default"/>
          <w:sz w:val="24"/>
          <w:szCs w:val="24"/>
        </w:rPr>
      </w:pPr>
    </w:p>
    <w:p>
      <w:pPr>
        <w:spacing w:line="273" w:lineRule="auto" w:before="0"/>
        <w:ind w:left="1390" w:right="1076" w:hanging="501"/>
        <w:jc w:val="left"/>
        <w:rPr>
          <w:rFonts w:ascii="宋体" w:hAnsi="宋体" w:cs="宋体" w:eastAsia="宋体" w:hint="default"/>
          <w:sz w:val="21"/>
          <w:szCs w:val="21"/>
        </w:rPr>
      </w:pPr>
      <w:r>
        <w:rPr>
          <w:rFonts w:ascii="宋体" w:hAnsi="宋体" w:cs="宋体" w:eastAsia="宋体" w:hint="default"/>
          <w:b/>
          <w:bCs/>
          <w:sz w:val="21"/>
          <w:szCs w:val="21"/>
        </w:rPr>
        <w:t>不同类别存货可变现净值的确定依据</w:t>
      </w:r>
      <w:r>
        <w:rPr>
          <w:rFonts w:ascii="宋体" w:hAnsi="宋体" w:cs="宋体" w:eastAsia="宋体" w:hint="default"/>
          <w:b/>
          <w:bCs/>
          <w:w w:val="99"/>
          <w:sz w:val="21"/>
          <w:szCs w:val="21"/>
        </w:rPr>
        <w:t> </w:t>
      </w:r>
      <w:r>
        <w:rPr>
          <w:rFonts w:ascii="宋体" w:hAnsi="宋体" w:cs="宋体" w:eastAsia="宋体" w:hint="default"/>
          <w:sz w:val="21"/>
          <w:szCs w:val="21"/>
        </w:rPr>
        <w:t>期末对存货进行全面清查后，按存货的成本与可变现净值孰低提取或调整存货跌价准备。 产成品、库存商品和用于出售的材料等直接用于出售的商品存货，在正常生产经营过程中， </w:t>
      </w:r>
      <w:r>
        <w:rPr>
          <w:rFonts w:ascii="宋体" w:hAnsi="宋体" w:cs="宋体" w:eastAsia="宋体" w:hint="default"/>
          <w:spacing w:val="-1"/>
          <w:sz w:val="21"/>
          <w:szCs w:val="21"/>
        </w:rPr>
        <w:t>以该存货的估计售价减去估计的销售费用和相关税费后的金额，确定其可变现净值；需要经</w:t>
      </w:r>
      <w:r>
        <w:rPr>
          <w:rFonts w:ascii="宋体" w:hAnsi="宋体" w:cs="宋体" w:eastAsia="宋体" w:hint="default"/>
          <w:sz w:val="21"/>
          <w:szCs w:val="21"/>
        </w:rPr>
        <w:t> </w:t>
      </w:r>
      <w:r>
        <w:rPr>
          <w:rFonts w:ascii="宋体" w:hAnsi="宋体" w:cs="宋体" w:eastAsia="宋体" w:hint="default"/>
          <w:spacing w:val="-1"/>
          <w:sz w:val="21"/>
          <w:szCs w:val="21"/>
        </w:rPr>
        <w:t>过加工的材料存货，在正常生产经营过程中，以所生产的产成品的估计售价减去至完工时估</w:t>
      </w:r>
      <w:r>
        <w:rPr>
          <w:rFonts w:ascii="宋体" w:hAnsi="宋体" w:cs="宋体" w:eastAsia="宋体" w:hint="default"/>
          <w:sz w:val="21"/>
          <w:szCs w:val="21"/>
        </w:rPr>
        <w:t> </w:t>
      </w:r>
      <w:r>
        <w:rPr>
          <w:rFonts w:ascii="宋体" w:hAnsi="宋体" w:cs="宋体" w:eastAsia="宋体" w:hint="default"/>
          <w:spacing w:val="-2"/>
          <w:sz w:val="21"/>
          <w:szCs w:val="21"/>
        </w:rPr>
        <w:t>计将要发生的成本、估计的销售费用和相关税费后的金额，确定其可变现净值；为执行销售</w:t>
      </w:r>
      <w:r>
        <w:rPr>
          <w:rFonts w:ascii="宋体" w:hAnsi="宋体" w:cs="宋体" w:eastAsia="宋体" w:hint="default"/>
          <w:sz w:val="21"/>
          <w:szCs w:val="21"/>
        </w:rPr>
        <w:t> </w:t>
      </w:r>
      <w:r>
        <w:rPr>
          <w:rFonts w:ascii="宋体" w:hAnsi="宋体" w:cs="宋体" w:eastAsia="宋体" w:hint="default"/>
          <w:spacing w:val="-1"/>
          <w:sz w:val="21"/>
          <w:szCs w:val="21"/>
        </w:rPr>
        <w:t>合同或者劳务合同而持有的存货，其可变现净值以合同价格为基础计算，若持有存货的数量</w:t>
      </w:r>
      <w:r>
        <w:rPr>
          <w:rFonts w:ascii="宋体" w:hAnsi="宋体" w:cs="宋体" w:eastAsia="宋体" w:hint="default"/>
          <w:sz w:val="21"/>
          <w:szCs w:val="21"/>
        </w:rPr>
        <w:t> 多于销售合同订购数量的，超出部分的存货的可变现净值以一般销售价格为基础计算。 </w:t>
      </w:r>
      <w:r>
        <w:rPr>
          <w:rFonts w:ascii="宋体" w:hAnsi="宋体" w:cs="宋体" w:eastAsia="宋体" w:hint="default"/>
          <w:spacing w:val="-2"/>
          <w:sz w:val="21"/>
          <w:szCs w:val="21"/>
        </w:rPr>
        <w:t>期末按照单个存货项目计提存货跌价准备；但对于数量繁多、单价较低的存货，按照存货类</w:t>
      </w:r>
      <w:r>
        <w:rPr>
          <w:rFonts w:ascii="宋体" w:hAnsi="宋体" w:cs="宋体" w:eastAsia="宋体" w:hint="default"/>
          <w:sz w:val="21"/>
          <w:szCs w:val="21"/>
        </w:rPr>
        <w:t> </w:t>
      </w:r>
      <w:r>
        <w:rPr>
          <w:rFonts w:ascii="宋体" w:hAnsi="宋体" w:cs="宋体" w:eastAsia="宋体" w:hint="default"/>
          <w:spacing w:val="-1"/>
          <w:sz w:val="21"/>
          <w:szCs w:val="21"/>
        </w:rPr>
        <w:t>别计提存货跌价准备；与在同一地区生产和销售的产品系列相关、具有相同或类似最终用途</w:t>
      </w:r>
      <w:r>
        <w:rPr>
          <w:rFonts w:ascii="宋体" w:hAnsi="宋体" w:cs="宋体" w:eastAsia="宋体" w:hint="default"/>
          <w:sz w:val="21"/>
          <w:szCs w:val="21"/>
        </w:rPr>
        <w:t> 或目的，且难以与其他项目分开计量的存货，则合并计提存货跌价准备。 </w:t>
      </w:r>
      <w:r>
        <w:rPr>
          <w:rFonts w:ascii="宋体" w:hAnsi="宋体" w:cs="宋体" w:eastAsia="宋体" w:hint="default"/>
          <w:spacing w:val="-1"/>
          <w:sz w:val="21"/>
          <w:szCs w:val="21"/>
        </w:rPr>
        <w:t>以前减记存货价值的影响因素已经消失的，减记的金额予以恢复，并在原已计提的存货跌价</w:t>
      </w:r>
      <w:r>
        <w:rPr>
          <w:rFonts w:ascii="宋体" w:hAnsi="宋体" w:cs="宋体" w:eastAsia="宋体" w:hint="default"/>
          <w:sz w:val="21"/>
          <w:szCs w:val="21"/>
        </w:rPr>
        <w:t> 准备金额内转回，转回的金额计入当期损益。 </w:t>
      </w:r>
      <w:r>
        <w:rPr>
          <w:rFonts w:ascii="宋体" w:hAnsi="宋体" w:cs="宋体" w:eastAsia="宋体" w:hint="default"/>
          <w:spacing w:val="-1"/>
          <w:sz w:val="21"/>
          <w:szCs w:val="21"/>
        </w:rPr>
        <w:t>除有明确证据表明资产负债表日市场价格异常外，存货项目的可变现净值以资产负债表日市</w:t>
      </w:r>
      <w:r>
        <w:rPr>
          <w:rFonts w:ascii="宋体" w:hAnsi="宋体" w:cs="宋体" w:eastAsia="宋体" w:hint="default"/>
          <w:sz w:val="21"/>
          <w:szCs w:val="21"/>
        </w:rPr>
        <w:t> 场价格为基础确定。</w:t>
      </w:r>
    </w:p>
    <w:p>
      <w:pPr>
        <w:spacing w:before="7"/>
        <w:ind w:left="1390" w:right="0" w:firstLine="0"/>
        <w:jc w:val="both"/>
        <w:rPr>
          <w:rFonts w:ascii="宋体" w:hAnsi="宋体" w:cs="宋体" w:eastAsia="宋体" w:hint="default"/>
          <w:sz w:val="21"/>
          <w:szCs w:val="21"/>
        </w:rPr>
      </w:pPr>
      <w:r>
        <w:rPr>
          <w:rFonts w:ascii="宋体" w:hAnsi="宋体" w:cs="宋体" w:eastAsia="宋体" w:hint="default"/>
          <w:sz w:val="21"/>
          <w:szCs w:val="21"/>
        </w:rPr>
        <w:t>本期期末存货项目的可变现净值以资产负债表日市场价格为基础确定。</w:t>
      </w:r>
    </w:p>
    <w:p>
      <w:pPr>
        <w:spacing w:line="240" w:lineRule="auto" w:before="9"/>
        <w:rPr>
          <w:rFonts w:ascii="宋体" w:hAnsi="宋体" w:cs="宋体" w:eastAsia="宋体" w:hint="default"/>
          <w:sz w:val="26"/>
          <w:szCs w:val="26"/>
        </w:rPr>
      </w:pPr>
    </w:p>
    <w:p>
      <w:pPr>
        <w:spacing w:before="0"/>
        <w:ind w:left="889" w:right="0" w:firstLine="0"/>
        <w:jc w:val="left"/>
        <w:rPr>
          <w:rFonts w:ascii="宋体" w:hAnsi="宋体" w:cs="宋体" w:eastAsia="宋体" w:hint="default"/>
          <w:sz w:val="21"/>
          <w:szCs w:val="21"/>
        </w:rPr>
      </w:pPr>
      <w:r>
        <w:rPr>
          <w:rFonts w:ascii="宋体" w:hAnsi="宋体" w:cs="宋体" w:eastAsia="宋体" w:hint="default"/>
          <w:b/>
          <w:bCs/>
          <w:sz w:val="21"/>
          <w:szCs w:val="21"/>
        </w:rPr>
        <w:t>存货的盘存制度</w:t>
      </w:r>
      <w:r>
        <w:rPr>
          <w:rFonts w:ascii="宋体" w:hAnsi="宋体" w:cs="宋体" w:eastAsia="宋体" w:hint="default"/>
          <w:sz w:val="21"/>
          <w:szCs w:val="21"/>
        </w:rPr>
      </w:r>
    </w:p>
    <w:p>
      <w:pPr>
        <w:spacing w:before="37"/>
        <w:ind w:left="1390" w:right="0" w:firstLine="0"/>
        <w:jc w:val="both"/>
        <w:rPr>
          <w:rFonts w:ascii="宋体" w:hAnsi="宋体" w:cs="宋体" w:eastAsia="宋体" w:hint="default"/>
          <w:sz w:val="21"/>
          <w:szCs w:val="21"/>
        </w:rPr>
      </w:pPr>
      <w:r>
        <w:rPr>
          <w:rFonts w:ascii="宋体" w:hAnsi="宋体" w:cs="宋体" w:eastAsia="宋体" w:hint="default"/>
          <w:sz w:val="21"/>
          <w:szCs w:val="21"/>
        </w:rPr>
        <w:t>采用永续盘存制。</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spacing w:before="0"/>
        <w:ind w:left="114" w:right="0" w:firstLine="0"/>
        <w:jc w:val="left"/>
        <w:rPr>
          <w:rFonts w:ascii="宋体" w:hAnsi="宋体" w:cs="宋体" w:eastAsia="宋体" w:hint="default"/>
          <w:sz w:val="21"/>
          <w:szCs w:val="21"/>
        </w:rPr>
      </w:pPr>
      <w:bookmarkStart w:name="13、持有待售资产" w:id="187"/>
      <w:bookmarkEnd w:id="187"/>
      <w:r>
        <w:rPr/>
      </w:r>
      <w:r>
        <w:rPr>
          <w:rFonts w:ascii="Times New Roman" w:hAnsi="Times New Roman" w:cs="Times New Roman" w:eastAsia="Times New Roman" w:hint="default"/>
          <w:b/>
          <w:bCs/>
          <w:sz w:val="21"/>
          <w:szCs w:val="21"/>
        </w:rPr>
        <w:t>13</w:t>
      </w:r>
      <w:r>
        <w:rPr>
          <w:rFonts w:ascii="宋体" w:hAnsi="宋体" w:cs="宋体" w:eastAsia="宋体" w:hint="default"/>
          <w:b/>
          <w:bCs/>
          <w:sz w:val="21"/>
          <w:szCs w:val="21"/>
        </w:rPr>
        <w:t>、持有待售资产</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828" w:right="0" w:firstLine="0"/>
        <w:jc w:val="left"/>
        <w:rPr>
          <w:rFonts w:ascii="宋体" w:hAnsi="宋体" w:cs="宋体" w:eastAsia="宋体" w:hint="default"/>
          <w:sz w:val="21"/>
          <w:szCs w:val="21"/>
        </w:rPr>
      </w:pPr>
      <w:r>
        <w:rPr>
          <w:rFonts w:ascii="宋体" w:hAnsi="宋体" w:cs="宋体" w:eastAsia="宋体" w:hint="default"/>
          <w:sz w:val="21"/>
          <w:szCs w:val="21"/>
        </w:rPr>
        <w:t>本公司将同时满足下列条件的非流动资产或处置组划分为持有待售类别：</w:t>
      </w:r>
    </w:p>
    <w:p>
      <w:pPr>
        <w:spacing w:before="37"/>
        <w:ind w:left="828"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）根据类似交易中出售此类资产或处置组的惯例，在当前状况下即可立即出售；</w:t>
      </w:r>
    </w:p>
    <w:p>
      <w:pPr>
        <w:spacing w:line="264" w:lineRule="auto" w:before="21"/>
        <w:ind w:left="828" w:right="1113"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）出售极可能发生，即本公司已经就一项出售计划作出决议且获得确定的购买承诺，预计出售 将在一年内完成。有关规定要求本公司相关权力机构或者监管部门批准后方可出售的，已经获得 批准。</w:t>
      </w:r>
    </w:p>
    <w:p>
      <w:pPr>
        <w:spacing w:after="0" w:line="264"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5"/>
          <w:szCs w:val="25"/>
        </w:rPr>
      </w:pPr>
    </w:p>
    <w:p>
      <w:pPr>
        <w:spacing w:before="35"/>
        <w:ind w:left="114" w:right="0" w:firstLine="0"/>
        <w:jc w:val="left"/>
        <w:rPr>
          <w:rFonts w:ascii="宋体" w:hAnsi="宋体" w:cs="宋体" w:eastAsia="宋体" w:hint="default"/>
          <w:sz w:val="21"/>
          <w:szCs w:val="21"/>
        </w:rPr>
      </w:pPr>
      <w:bookmarkStart w:name="14、长期股权投资" w:id="188"/>
      <w:bookmarkEnd w:id="188"/>
      <w:r>
        <w:rPr/>
      </w:r>
      <w:r>
        <w:rPr>
          <w:rFonts w:ascii="Times New Roman" w:hAnsi="Times New Roman" w:cs="Times New Roman" w:eastAsia="Times New Roman" w:hint="default"/>
          <w:b/>
          <w:bCs/>
          <w:sz w:val="21"/>
          <w:szCs w:val="21"/>
        </w:rPr>
        <w:t>14</w:t>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line="273" w:lineRule="auto" w:before="0"/>
        <w:ind w:left="1390" w:right="1116" w:hanging="501"/>
        <w:jc w:val="left"/>
        <w:rPr>
          <w:rFonts w:ascii="宋体" w:hAnsi="宋体" w:cs="宋体" w:eastAsia="宋体" w:hint="default"/>
          <w:sz w:val="21"/>
          <w:szCs w:val="21"/>
        </w:rPr>
      </w:pPr>
      <w:r>
        <w:rPr>
          <w:rFonts w:ascii="宋体" w:hAnsi="宋体" w:cs="宋体" w:eastAsia="宋体" w:hint="default"/>
          <w:b/>
          <w:bCs/>
          <w:sz w:val="21"/>
          <w:szCs w:val="21"/>
        </w:rPr>
        <w:t>共同控制、重大影响的判断标准</w:t>
      </w:r>
      <w:r>
        <w:rPr>
          <w:rFonts w:ascii="宋体" w:hAnsi="宋体" w:cs="宋体" w:eastAsia="宋体" w:hint="default"/>
          <w:b/>
          <w:bCs/>
          <w:w w:val="99"/>
          <w:sz w:val="21"/>
          <w:szCs w:val="21"/>
        </w:rPr>
        <w:t> </w:t>
      </w:r>
      <w:r>
        <w:rPr>
          <w:rFonts w:ascii="宋体" w:hAnsi="宋体" w:cs="宋体" w:eastAsia="宋体" w:hint="default"/>
          <w:spacing w:val="-1"/>
          <w:sz w:val="21"/>
          <w:szCs w:val="21"/>
        </w:rPr>
        <w:t>共同控制，是指按照相关约定对某项安排所共有的控制，并且该安排的相关活动必须经过分</w:t>
      </w:r>
      <w:r>
        <w:rPr>
          <w:rFonts w:ascii="宋体" w:hAnsi="宋体" w:cs="宋体" w:eastAsia="宋体" w:hint="default"/>
          <w:sz w:val="21"/>
          <w:szCs w:val="21"/>
        </w:rPr>
        <w:t> </w:t>
      </w:r>
      <w:r>
        <w:rPr>
          <w:rFonts w:ascii="宋体" w:hAnsi="宋体" w:cs="宋体" w:eastAsia="宋体" w:hint="default"/>
          <w:spacing w:val="-1"/>
          <w:sz w:val="21"/>
          <w:szCs w:val="21"/>
        </w:rPr>
        <w:t>享控制权的参与方一致同意后才能决策。本公司与其他合营方一同对被投资单位实施共同控</w:t>
      </w:r>
      <w:r>
        <w:rPr>
          <w:rFonts w:ascii="宋体" w:hAnsi="宋体" w:cs="宋体" w:eastAsia="宋体" w:hint="default"/>
          <w:sz w:val="21"/>
          <w:szCs w:val="21"/>
        </w:rPr>
        <w:t> 制且对被投资单位净资产享有权利的，被投资单位为本公司的合营企业。 </w:t>
      </w:r>
      <w:r>
        <w:rPr>
          <w:rFonts w:ascii="宋体" w:hAnsi="宋体" w:cs="宋体" w:eastAsia="宋体" w:hint="default"/>
          <w:spacing w:val="-1"/>
          <w:sz w:val="21"/>
          <w:szCs w:val="21"/>
        </w:rPr>
        <w:t>重大影响，是指对一个企业的财务和经营决策有参与决策的权力，但并不能够控制或者与其</w:t>
      </w:r>
      <w:r>
        <w:rPr>
          <w:rFonts w:ascii="宋体" w:hAnsi="宋体" w:cs="宋体" w:eastAsia="宋体" w:hint="default"/>
          <w:sz w:val="21"/>
          <w:szCs w:val="21"/>
        </w:rPr>
        <w:t> </w:t>
      </w:r>
      <w:r>
        <w:rPr>
          <w:rFonts w:ascii="宋体" w:hAnsi="宋体" w:cs="宋体" w:eastAsia="宋体" w:hint="default"/>
          <w:spacing w:val="-1"/>
          <w:sz w:val="21"/>
          <w:szCs w:val="21"/>
        </w:rPr>
        <w:t>他方一起共同控制这些政策的制定。本公司能够对被投资单位施加重大影响的，被投资单位</w:t>
      </w:r>
      <w:r>
        <w:rPr>
          <w:rFonts w:ascii="宋体" w:hAnsi="宋体" w:cs="宋体" w:eastAsia="宋体" w:hint="default"/>
          <w:sz w:val="21"/>
          <w:szCs w:val="21"/>
        </w:rPr>
        <w:t> 为本公司联营企业。</w:t>
      </w:r>
    </w:p>
    <w:p>
      <w:pPr>
        <w:spacing w:line="240" w:lineRule="auto" w:before="6"/>
        <w:rPr>
          <w:rFonts w:ascii="宋体" w:hAnsi="宋体" w:cs="宋体" w:eastAsia="宋体" w:hint="default"/>
          <w:sz w:val="24"/>
          <w:szCs w:val="24"/>
        </w:rPr>
      </w:pPr>
    </w:p>
    <w:p>
      <w:pPr>
        <w:spacing w:before="0"/>
        <w:ind w:left="889" w:right="0" w:firstLine="0"/>
        <w:jc w:val="left"/>
        <w:rPr>
          <w:rFonts w:ascii="宋体" w:hAnsi="宋体" w:cs="宋体" w:eastAsia="宋体" w:hint="default"/>
          <w:sz w:val="21"/>
          <w:szCs w:val="21"/>
        </w:rPr>
      </w:pPr>
      <w:r>
        <w:rPr>
          <w:rFonts w:ascii="宋体" w:hAnsi="宋体" w:cs="宋体" w:eastAsia="宋体" w:hint="default"/>
          <w:b/>
          <w:bCs/>
          <w:sz w:val="21"/>
          <w:szCs w:val="21"/>
        </w:rPr>
        <w:t>初始投资成本的确定</w:t>
      </w:r>
      <w:r>
        <w:rPr>
          <w:rFonts w:ascii="宋体" w:hAnsi="宋体" w:cs="宋体" w:eastAsia="宋体" w:hint="default"/>
          <w:sz w:val="21"/>
          <w:szCs w:val="21"/>
        </w:rPr>
      </w:r>
    </w:p>
    <w:p>
      <w:pPr>
        <w:spacing w:line="271" w:lineRule="auto" w:before="37"/>
        <w:ind w:left="1390" w:right="111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）企业合并形成的长期股权投资 </w:t>
      </w:r>
      <w:r>
        <w:rPr>
          <w:rFonts w:ascii="宋体" w:hAnsi="宋体" w:cs="宋体" w:eastAsia="宋体" w:hint="default"/>
          <w:spacing w:val="-1"/>
          <w:sz w:val="21"/>
          <w:szCs w:val="21"/>
        </w:rPr>
        <w:t>同一控制下的企业合并：公司以支付现金、转让非现金资产或承担债务方式以及以发行权益</w:t>
      </w:r>
      <w:r>
        <w:rPr>
          <w:rFonts w:ascii="宋体" w:hAnsi="宋体" w:cs="宋体" w:eastAsia="宋体" w:hint="default"/>
          <w:sz w:val="21"/>
          <w:szCs w:val="21"/>
        </w:rPr>
        <w:t> </w:t>
      </w:r>
      <w:r>
        <w:rPr>
          <w:rFonts w:ascii="宋体" w:hAnsi="宋体" w:cs="宋体" w:eastAsia="宋体" w:hint="default"/>
          <w:spacing w:val="-1"/>
          <w:sz w:val="21"/>
          <w:szCs w:val="21"/>
        </w:rPr>
        <w:t>性证券作为合并对价的，在合并日按照取得被合并方所有者权益在最终控制方合并财务报表</w:t>
      </w:r>
      <w:r>
        <w:rPr>
          <w:rFonts w:ascii="宋体" w:hAnsi="宋体" w:cs="宋体" w:eastAsia="宋体" w:hint="default"/>
          <w:sz w:val="21"/>
          <w:szCs w:val="21"/>
        </w:rPr>
        <w:t> </w:t>
      </w:r>
      <w:r>
        <w:rPr>
          <w:rFonts w:ascii="宋体" w:hAnsi="宋体" w:cs="宋体" w:eastAsia="宋体" w:hint="default"/>
          <w:spacing w:val="-1"/>
          <w:sz w:val="21"/>
          <w:szCs w:val="21"/>
        </w:rPr>
        <w:t>中的账面价值的份额作为长期股权投资的初始投资成本。因追加投资等原因能够对同一控制</w:t>
      </w:r>
      <w:r>
        <w:rPr>
          <w:rFonts w:ascii="宋体" w:hAnsi="宋体" w:cs="宋体" w:eastAsia="宋体" w:hint="default"/>
          <w:sz w:val="21"/>
          <w:szCs w:val="21"/>
        </w:rPr>
        <w:t> </w:t>
      </w:r>
      <w:r>
        <w:rPr>
          <w:rFonts w:ascii="宋体" w:hAnsi="宋体" w:cs="宋体" w:eastAsia="宋体" w:hint="default"/>
          <w:spacing w:val="-1"/>
          <w:sz w:val="21"/>
          <w:szCs w:val="21"/>
        </w:rPr>
        <w:t>下的被投资单位实施控制的，在合并日根据合并后应享有被合并方净资产在最终控制方合并</w:t>
      </w:r>
      <w:r>
        <w:rPr>
          <w:rFonts w:ascii="宋体" w:hAnsi="宋体" w:cs="宋体" w:eastAsia="宋体" w:hint="default"/>
          <w:sz w:val="21"/>
          <w:szCs w:val="21"/>
        </w:rPr>
        <w:t> </w:t>
      </w:r>
      <w:r>
        <w:rPr>
          <w:rFonts w:ascii="宋体" w:hAnsi="宋体" w:cs="宋体" w:eastAsia="宋体" w:hint="default"/>
          <w:spacing w:val="-1"/>
          <w:sz w:val="21"/>
          <w:szCs w:val="21"/>
        </w:rPr>
        <w:t>财务报表中的账面价值的份额，确定长期股权投资的初始投资成本。合并日长期股权投资的</w:t>
      </w:r>
      <w:r>
        <w:rPr>
          <w:rFonts w:ascii="宋体" w:hAnsi="宋体" w:cs="宋体" w:eastAsia="宋体" w:hint="default"/>
          <w:sz w:val="21"/>
          <w:szCs w:val="21"/>
        </w:rPr>
        <w:t> </w:t>
      </w:r>
      <w:r>
        <w:rPr>
          <w:rFonts w:ascii="宋体" w:hAnsi="宋体" w:cs="宋体" w:eastAsia="宋体" w:hint="default"/>
          <w:spacing w:val="-1"/>
          <w:sz w:val="21"/>
          <w:szCs w:val="21"/>
        </w:rPr>
        <w:t>初始投资成本，与达到合并前的长期股权投资账面价值加上合并日进一步取得股份新支付对</w:t>
      </w:r>
      <w:r>
        <w:rPr>
          <w:rFonts w:ascii="宋体" w:hAnsi="宋体" w:cs="宋体" w:eastAsia="宋体" w:hint="default"/>
          <w:sz w:val="21"/>
          <w:szCs w:val="21"/>
        </w:rPr>
        <w:t> 价的账面价值之和的差额，调整股本溢价，股本溢价不足冲减的，冲减留存收益。 </w:t>
      </w:r>
      <w:r>
        <w:rPr>
          <w:rFonts w:ascii="宋体" w:hAnsi="宋体" w:cs="宋体" w:eastAsia="宋体" w:hint="default"/>
          <w:spacing w:val="-1"/>
          <w:sz w:val="21"/>
          <w:szCs w:val="21"/>
        </w:rPr>
        <w:t>非同一控制下的企业合并：公司按照购买日确定的合并成本作为长期股权投资的初始投资成</w:t>
      </w:r>
      <w:r>
        <w:rPr>
          <w:rFonts w:ascii="宋体" w:hAnsi="宋体" w:cs="宋体" w:eastAsia="宋体" w:hint="default"/>
          <w:sz w:val="21"/>
          <w:szCs w:val="21"/>
        </w:rPr>
        <w:t> </w:t>
      </w:r>
      <w:r>
        <w:rPr>
          <w:rFonts w:ascii="宋体" w:hAnsi="宋体" w:cs="宋体" w:eastAsia="宋体" w:hint="default"/>
          <w:spacing w:val="-1"/>
          <w:sz w:val="21"/>
          <w:szCs w:val="21"/>
        </w:rPr>
        <w:t>本。因追加投资等原因能够对非同一控制下的被投资单位实施控制的，按照原持有的股权投</w:t>
      </w:r>
      <w:r>
        <w:rPr>
          <w:rFonts w:ascii="宋体" w:hAnsi="宋体" w:cs="宋体" w:eastAsia="宋体" w:hint="default"/>
          <w:sz w:val="21"/>
          <w:szCs w:val="21"/>
        </w:rPr>
        <w:t> 资账面价值加上新增投资成本之和，作为改按成本法核算的初始投资成本。</w:t>
      </w:r>
    </w:p>
    <w:p>
      <w:pPr>
        <w:spacing w:line="271" w:lineRule="auto" w:before="10"/>
        <w:ind w:left="1390" w:right="111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）其他方式取得的长期股权投资 以支付现金方式取得的长期股权投资，按照实际支付的购买价款作为初始投资成本。 以发行权益性证券取得的长期股权投资，按照发行权益性证券的公允价值作为初始投资成 本。 </w:t>
      </w:r>
      <w:r>
        <w:rPr>
          <w:rFonts w:ascii="宋体" w:hAnsi="宋体" w:cs="宋体" w:eastAsia="宋体" w:hint="default"/>
          <w:spacing w:val="3"/>
          <w:sz w:val="21"/>
          <w:szCs w:val="21"/>
        </w:rPr>
        <w:t>在非货币性资产交换具备商业实质和换入资产或换出资产的公允价值能够可靠计量的前提</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pacing w:val="-1"/>
          <w:sz w:val="21"/>
          <w:szCs w:val="21"/>
        </w:rPr>
        <w:t>下，非货币性资产交换换入的长期股权投资以换出资产的公允价值和应支付的相关税费确定</w:t>
      </w:r>
      <w:r>
        <w:rPr>
          <w:rFonts w:ascii="宋体" w:hAnsi="宋体" w:cs="宋体" w:eastAsia="宋体" w:hint="default"/>
          <w:sz w:val="21"/>
          <w:szCs w:val="21"/>
        </w:rPr>
        <w:t> </w:t>
      </w:r>
      <w:r>
        <w:rPr>
          <w:rFonts w:ascii="宋体" w:hAnsi="宋体" w:cs="宋体" w:eastAsia="宋体" w:hint="default"/>
          <w:spacing w:val="-1"/>
          <w:sz w:val="21"/>
          <w:szCs w:val="21"/>
        </w:rPr>
        <w:t>其初始投资成本，除非有确凿证据表明换入资产的公允价值更加可靠；不满足上述前提的非</w:t>
      </w:r>
      <w:r>
        <w:rPr>
          <w:rFonts w:ascii="宋体" w:hAnsi="宋体" w:cs="宋体" w:eastAsia="宋体" w:hint="default"/>
          <w:sz w:val="21"/>
          <w:szCs w:val="21"/>
        </w:rPr>
        <w:t> </w:t>
      </w:r>
      <w:r>
        <w:rPr>
          <w:rFonts w:ascii="宋体" w:hAnsi="宋体" w:cs="宋体" w:eastAsia="宋体" w:hint="default"/>
          <w:spacing w:val="-1"/>
          <w:sz w:val="21"/>
          <w:szCs w:val="21"/>
        </w:rPr>
        <w:t>货币性资产交换，以换出资产的账面价值和应支付的相关税费作为换入长期股权投资的初始</w:t>
      </w:r>
      <w:r>
        <w:rPr>
          <w:rFonts w:ascii="宋体" w:hAnsi="宋体" w:cs="宋体" w:eastAsia="宋体" w:hint="default"/>
          <w:sz w:val="21"/>
          <w:szCs w:val="21"/>
        </w:rPr>
        <w:t> 投资成本。 通过债务重组取得的长期股权投资，其初始投资成本按照公允价值为基础确定。</w:t>
      </w:r>
    </w:p>
    <w:p>
      <w:pPr>
        <w:spacing w:line="240" w:lineRule="auto" w:before="8"/>
        <w:rPr>
          <w:rFonts w:ascii="宋体" w:hAnsi="宋体" w:cs="宋体" w:eastAsia="宋体" w:hint="default"/>
          <w:sz w:val="24"/>
          <w:szCs w:val="24"/>
        </w:rPr>
      </w:pPr>
    </w:p>
    <w:p>
      <w:pPr>
        <w:spacing w:before="0"/>
        <w:ind w:left="889" w:right="0" w:firstLine="0"/>
        <w:jc w:val="left"/>
        <w:rPr>
          <w:rFonts w:ascii="宋体" w:hAnsi="宋体" w:cs="宋体" w:eastAsia="宋体" w:hint="default"/>
          <w:sz w:val="21"/>
          <w:szCs w:val="21"/>
        </w:rPr>
      </w:pPr>
      <w:r>
        <w:rPr>
          <w:rFonts w:ascii="宋体" w:hAnsi="宋体" w:cs="宋体" w:eastAsia="宋体" w:hint="default"/>
          <w:b/>
          <w:bCs/>
          <w:sz w:val="21"/>
          <w:szCs w:val="21"/>
        </w:rPr>
        <w:t>后续计量及损益确认方法</w:t>
      </w:r>
      <w:r>
        <w:rPr>
          <w:rFonts w:ascii="宋体" w:hAnsi="宋体" w:cs="宋体" w:eastAsia="宋体" w:hint="default"/>
          <w:sz w:val="21"/>
          <w:szCs w:val="21"/>
        </w:rPr>
      </w:r>
    </w:p>
    <w:p>
      <w:pPr>
        <w:spacing w:line="266" w:lineRule="auto" w:before="37"/>
        <w:ind w:left="1390" w:right="111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）成本法核算的长期股权投资 </w:t>
      </w:r>
      <w:r>
        <w:rPr>
          <w:rFonts w:ascii="宋体" w:hAnsi="宋体" w:cs="宋体" w:eastAsia="宋体" w:hint="default"/>
          <w:spacing w:val="-1"/>
          <w:sz w:val="21"/>
          <w:szCs w:val="21"/>
        </w:rPr>
        <w:t>公司对子公司的长期股权投资，采用成本法核算。除取得投资时实际支付的价款或对价中包</w:t>
      </w:r>
      <w:r>
        <w:rPr>
          <w:rFonts w:ascii="宋体" w:hAnsi="宋体" w:cs="宋体" w:eastAsia="宋体" w:hint="default"/>
          <w:sz w:val="21"/>
          <w:szCs w:val="21"/>
        </w:rPr>
        <w:t> </w:t>
      </w:r>
      <w:r>
        <w:rPr>
          <w:rFonts w:ascii="宋体" w:hAnsi="宋体" w:cs="宋体" w:eastAsia="宋体" w:hint="default"/>
          <w:spacing w:val="-1"/>
          <w:sz w:val="21"/>
          <w:szCs w:val="21"/>
        </w:rPr>
        <w:t>含的已宣告但尚未发放的现金股利或利润外，公司按照享有被投资单位宣告发放的现金股利</w:t>
      </w:r>
      <w:r>
        <w:rPr>
          <w:rFonts w:ascii="宋体" w:hAnsi="宋体" w:cs="宋体" w:eastAsia="宋体" w:hint="default"/>
          <w:sz w:val="21"/>
          <w:szCs w:val="21"/>
        </w:rPr>
        <w:t> 或利润确认当期投资收益。</w:t>
      </w:r>
    </w:p>
    <w:p>
      <w:pPr>
        <w:spacing w:line="266" w:lineRule="auto" w:before="14"/>
        <w:ind w:left="1390" w:right="107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）权益法核算的长期股权投资 </w:t>
      </w:r>
      <w:r>
        <w:rPr>
          <w:rFonts w:ascii="宋体" w:hAnsi="宋体" w:cs="宋体" w:eastAsia="宋体" w:hint="default"/>
          <w:spacing w:val="-1"/>
          <w:sz w:val="21"/>
          <w:szCs w:val="21"/>
        </w:rPr>
        <w:t>对联营企业和合营企业的长期股权投资，采用权益法核算。初始投资成本大于投资时应享有</w:t>
      </w:r>
      <w:r>
        <w:rPr>
          <w:rFonts w:ascii="宋体" w:hAnsi="宋体" w:cs="宋体" w:eastAsia="宋体" w:hint="default"/>
          <w:sz w:val="21"/>
          <w:szCs w:val="21"/>
        </w:rPr>
        <w:t> </w:t>
      </w:r>
      <w:r>
        <w:rPr>
          <w:rFonts w:ascii="宋体" w:hAnsi="宋体" w:cs="宋体" w:eastAsia="宋体" w:hint="default"/>
          <w:spacing w:val="-1"/>
          <w:sz w:val="21"/>
          <w:szCs w:val="21"/>
        </w:rPr>
        <w:t>被投资单位可辨认净资产公允价值份额的差额，不调整长期股权投资的初始投资成本；初始</w:t>
      </w:r>
      <w:r>
        <w:rPr>
          <w:rFonts w:ascii="宋体" w:hAnsi="宋体" w:cs="宋体" w:eastAsia="宋体" w:hint="default"/>
          <w:sz w:val="21"/>
          <w:szCs w:val="21"/>
        </w:rPr>
        <w:t> 投资成本小于投资时应享有被投资单位可辨认净资产公允价值份额的差额，计入当期损益。</w:t>
      </w:r>
    </w:p>
    <w:p>
      <w:pPr>
        <w:spacing w:after="0" w:line="266"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line="271" w:lineRule="auto" w:before="35"/>
        <w:ind w:left="1390" w:right="0" w:firstLine="0"/>
        <w:jc w:val="left"/>
        <w:rPr>
          <w:rFonts w:ascii="宋体" w:hAnsi="宋体" w:cs="宋体" w:eastAsia="宋体" w:hint="default"/>
          <w:sz w:val="21"/>
          <w:szCs w:val="21"/>
        </w:rPr>
      </w:pPr>
      <w:r>
        <w:rPr>
          <w:rFonts w:ascii="宋体" w:hAnsi="宋体" w:cs="宋体" w:eastAsia="宋体" w:hint="default"/>
          <w:sz w:val="21"/>
          <w:szCs w:val="21"/>
        </w:rPr>
        <w:t>公司按照应享有或应分担的被投资单位实现的净损益和其他综合收益的份额，分别确认投资 收益和其他综合收益，同时调整长期股权投资的账面价值；按照被投资单位宣告分派的利润 或现金股利计算应享有的部分，相应减少长期股权投资的账面价值；对于被投资单位除净损 益、其他综合收益和利润分配以外所有者权益的其他变动，调整长期股权投资的账面价值并 计入所有者权益。 在确认应享有被投资单位净损益的份额时，以取得投资时被投资单位可辨认净资产的公允价 值为基础，并按照公司的会计政策及会计期间，对被投资单位的净利润进行调整后确认。在 持有投资期间，被投资单位编制合并财务报表的，以合并财务报表中的净利润、其他综合收 益和其他所有者权益变动中归属于被投资单位的金额为基础进行核算。 公司与联营企业、合营企业之间发生的未实现内部交易损益按照应享有的比例计算归属于公 </w:t>
      </w:r>
      <w:r>
        <w:rPr>
          <w:rFonts w:ascii="宋体" w:hAnsi="宋体" w:cs="宋体" w:eastAsia="宋体" w:hint="default"/>
          <w:spacing w:val="-4"/>
          <w:sz w:val="21"/>
          <w:szCs w:val="21"/>
        </w:rPr>
        <w:t>司的部分，予以抵销，在此基础上确认投资收益。与被投资单位发生的未实现内部交易损失，</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属于资产减值损失的，全额确认。公司与联营企业、合营企业之间发生投出或出售资产的交</w:t>
      </w:r>
      <w:r>
        <w:rPr>
          <w:rFonts w:ascii="宋体" w:hAnsi="宋体" w:cs="宋体" w:eastAsia="宋体" w:hint="default"/>
          <w:sz w:val="21"/>
          <w:szCs w:val="21"/>
        </w:rPr>
        <w:t> </w:t>
      </w:r>
      <w:r>
        <w:rPr>
          <w:rFonts w:ascii="宋体" w:hAnsi="宋体" w:cs="宋体" w:eastAsia="宋体" w:hint="default"/>
          <w:spacing w:val="-4"/>
          <w:sz w:val="21"/>
          <w:szCs w:val="21"/>
        </w:rPr>
        <w:t>易，该资产构成业务的，按照本附注</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三、（五）同一控制下和非同一控制下企业合并的会计</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w w:val="100"/>
          <w:sz w:val="21"/>
          <w:szCs w:val="21"/>
        </w:rPr>
        <w:t>处理方法</w:t>
      </w:r>
      <w:r>
        <w:rPr>
          <w:rFonts w:ascii="Times New Roman" w:hAnsi="Times New Roman" w:cs="Times New Roman" w:eastAsia="Times New Roman" w:hint="default"/>
          <w:spacing w:val="-3"/>
          <w:w w:val="100"/>
          <w:sz w:val="21"/>
          <w:szCs w:val="21"/>
        </w:rPr>
        <w:t>”</w:t>
      </w:r>
      <w:r>
        <w:rPr>
          <w:rFonts w:ascii="宋体" w:hAnsi="宋体" w:cs="宋体" w:eastAsia="宋体" w:hint="default"/>
          <w:spacing w:val="-3"/>
          <w:w w:val="100"/>
          <w:sz w:val="21"/>
          <w:szCs w:val="21"/>
        </w:rPr>
        <w:t>和</w:t>
      </w:r>
      <w:r>
        <w:rPr>
          <w:rFonts w:ascii="Times New Roman" w:hAnsi="Times New Roman" w:cs="Times New Roman" w:eastAsia="Times New Roman" w:hint="default"/>
          <w:spacing w:val="-3"/>
          <w:w w:val="100"/>
          <w:sz w:val="21"/>
          <w:szCs w:val="21"/>
        </w:rPr>
        <w:t>“</w:t>
      </w:r>
      <w:r>
        <w:rPr>
          <w:rFonts w:ascii="宋体" w:hAnsi="宋体" w:cs="宋体" w:eastAsia="宋体" w:hint="default"/>
          <w:spacing w:val="-3"/>
          <w:w w:val="100"/>
          <w:sz w:val="21"/>
          <w:szCs w:val="21"/>
        </w:rPr>
        <w:t>三、（六）合并财务报表的编制方法</w:t>
      </w:r>
      <w:r>
        <w:rPr>
          <w:rFonts w:ascii="Times New Roman" w:hAnsi="Times New Roman" w:cs="Times New Roman" w:eastAsia="Times New Roman" w:hint="default"/>
          <w:spacing w:val="-3"/>
          <w:w w:val="100"/>
          <w:sz w:val="21"/>
          <w:szCs w:val="21"/>
        </w:rPr>
        <w:t>”</w:t>
      </w:r>
      <w:r>
        <w:rPr>
          <w:rFonts w:ascii="宋体" w:hAnsi="宋体" w:cs="宋体" w:eastAsia="宋体" w:hint="default"/>
          <w:spacing w:val="-3"/>
          <w:w w:val="100"/>
          <w:sz w:val="21"/>
          <w:szCs w:val="21"/>
        </w:rPr>
        <w:t>中披露的相关政策进行会计处理。</w:t>
      </w:r>
      <w:r>
        <w:rPr>
          <w:rFonts w:ascii="宋体" w:hAnsi="宋体" w:cs="宋体" w:eastAsia="宋体" w:hint="default"/>
          <w:spacing w:val="-95"/>
          <w:w w:val="100"/>
          <w:sz w:val="21"/>
          <w:szCs w:val="21"/>
        </w:rPr>
        <w:t> </w:t>
      </w:r>
      <w:r>
        <w:rPr>
          <w:rFonts w:ascii="宋体" w:hAnsi="宋体" w:cs="宋体" w:eastAsia="宋体" w:hint="default"/>
          <w:sz w:val="21"/>
          <w:szCs w:val="21"/>
        </w:rPr>
        <w:t>在公司确认应分担被投资单位发生的亏损时，按照以下顺序进行处理：首先，冲减长期股权</w:t>
      </w:r>
      <w:r>
        <w:rPr>
          <w:rFonts w:ascii="宋体" w:hAnsi="宋体" w:cs="宋体" w:eastAsia="宋体" w:hint="default"/>
          <w:sz w:val="21"/>
          <w:szCs w:val="21"/>
        </w:rPr>
        <w:t> 投资的账面价值。其次，长期股权投资的账面价值不足以冲减的，以其他实质上构成对被投 资单位净投资的长期权益账面价值为限继续确认投资损失，冲减长期应收项目等的账面价 值。最后，经过上述处理，按照投资合同或协议约定企业仍承担额外义务的，按预计承担的 义务确认预计负债，计入当期投资损失。</w:t>
      </w:r>
    </w:p>
    <w:p>
      <w:pPr>
        <w:spacing w:line="271" w:lineRule="auto" w:before="10"/>
        <w:ind w:left="1390" w:right="101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）长期股权投资的处置 处置长期股权投资，其账面价值与实际取得价款的差额，计入当期损益。 采用权益法核算的长期股权投资，在处置该项投资时，采用与被投资单位直接处置相关资产 或负债相同的基础，按相应比例对原计入其他综合收益的部分进行会计处理。因被投资单位 除净损益、其他综合收益和利润分配以外的其他所有者权益变动而确认的所有者权益，按比 例结转入当期损益，由于被投资方重新计量设定受益计划净负债或净资产变动而产生的其他 综合收益除外。 因处置部分股权投资等原因丧失了对被投资单位的共同控制或重大影响的，处置后的剩余股 权改按金融工具确认和计量准则核算，其在丧失共同控制或重大影响之日的公允价值与账面 价值之间的差额计入当期损益。原股权投资因采用权益法核算而确认的其他综合收益，在终 止采用权益法核算时采用与被投资单位直接处置相关资产或负债相同的基础进行会计处理。 因被投资方除净损益、其他综合收益和利润分配以外的其他所有者权益变动而确认的所有者 权益，在终止采用权益法核算时全部转入当期损益。 因处置部分股权投资、因其他投资方对子公司增资而导致本公司持股比例下降等原因丧失了 对被投资单位控制权的，在编制个别财务报表时，剩余股权能够对被投资单位实施共同控制 </w:t>
      </w:r>
      <w:r>
        <w:rPr>
          <w:rFonts w:ascii="宋体" w:hAnsi="宋体" w:cs="宋体" w:eastAsia="宋体" w:hint="default"/>
          <w:spacing w:val="-4"/>
          <w:sz w:val="21"/>
          <w:szCs w:val="21"/>
        </w:rPr>
        <w:t>或重大影响的，改按权益法核算，并对该剩余股权视同自取得时即采用权益法核算进行调整；</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剩余股权不能对被投资单位实施共同控制或施加重大影响的，改按金融工具确认和计量准则</w:t>
      </w:r>
      <w:r>
        <w:rPr>
          <w:rFonts w:ascii="宋体" w:hAnsi="宋体" w:cs="宋体" w:eastAsia="宋体" w:hint="default"/>
          <w:sz w:val="21"/>
          <w:szCs w:val="21"/>
        </w:rPr>
        <w:t> 的有关规定进行会计处理，其在丧失控制之日的公允价值与账面价值间的差额计入当期损 益。 处置的股权是因追加投资等原因通过企业合并取得的，在编制个别财务报表时，处置后的剩 余股权采用成本法或权益法核算的，购买日之前持有的股权投资因采用权益法核算而确认的 其他综合收益和其他所有者权益按比例结转；处置后的剩余股权改按金融工具确认和计量准 则进行会计处理的，其他综合收益和其他所有者权益全部结转。</w:t>
      </w:r>
    </w:p>
    <w:p>
      <w:pPr>
        <w:spacing w:after="0" w:line="271"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3"/>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15、投资性房地产" w:id="189"/>
      <w:bookmarkEnd w:id="189"/>
      <w:r>
        <w:rPr/>
      </w:r>
      <w:r>
        <w:rPr>
          <w:rFonts w:ascii="Times New Roman" w:hAnsi="Times New Roman" w:cs="Times New Roman" w:eastAsia="Times New Roman" w:hint="default"/>
          <w:b/>
          <w:bCs/>
          <w:sz w:val="21"/>
          <w:szCs w:val="21"/>
        </w:rPr>
        <w:t>15</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57" w:lineRule="auto" w:before="0"/>
        <w:ind w:left="114" w:right="8952" w:firstLine="0"/>
        <w:jc w:val="left"/>
        <w:rPr>
          <w:rFonts w:ascii="宋体" w:hAnsi="宋体" w:cs="宋体" w:eastAsia="宋体" w:hint="default"/>
          <w:sz w:val="18"/>
          <w:szCs w:val="18"/>
        </w:rPr>
      </w:pPr>
      <w:r>
        <w:rPr>
          <w:rFonts w:ascii="宋体" w:hAnsi="宋体" w:cs="宋体" w:eastAsia="宋体" w:hint="default"/>
          <w:sz w:val="18"/>
          <w:szCs w:val="18"/>
        </w:rPr>
        <w:t>投资性房地产计量模式 不适用</w:t>
      </w:r>
    </w:p>
    <w:p>
      <w:pPr>
        <w:spacing w:line="240" w:lineRule="auto" w:before="1"/>
        <w:rPr>
          <w:rFonts w:ascii="宋体" w:hAnsi="宋体" w:cs="宋体" w:eastAsia="宋体" w:hint="default"/>
          <w:sz w:val="20"/>
          <w:szCs w:val="20"/>
        </w:rPr>
      </w:pPr>
    </w:p>
    <w:p>
      <w:pPr>
        <w:spacing w:before="0"/>
        <w:ind w:left="114" w:right="0" w:firstLine="0"/>
        <w:jc w:val="left"/>
        <w:rPr>
          <w:rFonts w:ascii="宋体" w:hAnsi="宋体" w:cs="宋体" w:eastAsia="宋体" w:hint="default"/>
          <w:sz w:val="21"/>
          <w:szCs w:val="21"/>
        </w:rPr>
      </w:pPr>
      <w:bookmarkStart w:name="16、固定资产" w:id="190"/>
      <w:bookmarkEnd w:id="190"/>
      <w:r>
        <w:rPr/>
      </w:r>
      <w:r>
        <w:rPr>
          <w:rFonts w:ascii="Times New Roman" w:hAnsi="Times New Roman" w:cs="Times New Roman" w:eastAsia="Times New Roman" w:hint="default"/>
          <w:b/>
          <w:bCs/>
          <w:sz w:val="21"/>
          <w:szCs w:val="21"/>
        </w:rPr>
        <w:t>16</w:t>
      </w:r>
      <w:r>
        <w:rPr>
          <w:rFonts w:ascii="宋体" w:hAnsi="宋体" w:cs="宋体" w:eastAsia="宋体" w:hint="default"/>
          <w:b/>
          <w:bCs/>
          <w:sz w:val="21"/>
          <w:szCs w:val="21"/>
        </w:rPr>
        <w:t>、固定资产</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确认条件" w:id="191"/>
      <w:bookmarkEnd w:id="19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）确认条件</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19" w:lineRule="auto" w:before="0"/>
        <w:ind w:left="114" w:right="0" w:firstLine="0"/>
        <w:jc w:val="left"/>
        <w:rPr>
          <w:rFonts w:ascii="宋体" w:hAnsi="宋体" w:cs="宋体" w:eastAsia="宋体" w:hint="default"/>
          <w:sz w:val="18"/>
          <w:szCs w:val="18"/>
        </w:rPr>
      </w:pPr>
      <w:r>
        <w:rPr>
          <w:rFonts w:ascii="宋体" w:hAnsi="宋体" w:cs="宋体" w:eastAsia="宋体" w:hint="default"/>
          <w:spacing w:val="-2"/>
          <w:sz w:val="18"/>
          <w:szCs w:val="18"/>
        </w:rPr>
        <w:t>固定资产指为生产商品、提供劳务、出租或经营管理而持有，并且使用寿命超过一个会计年度的有形资产。固定资产在同时</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满足下列条件时予以确认：</w:t>
      </w:r>
    </w:p>
    <w:p>
      <w:pPr>
        <w:spacing w:before="56"/>
        <w:ind w:left="1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）与该固定资产有关的经济利益很可能流入企业；</w:t>
      </w:r>
    </w:p>
    <w:p>
      <w:pPr>
        <w:spacing w:before="102"/>
        <w:ind w:left="1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）该固定资产的成本能够可靠地计量。</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9"/>
        <w:rPr>
          <w:rFonts w:ascii="宋体" w:hAnsi="宋体" w:cs="宋体" w:eastAsia="宋体" w:hint="default"/>
          <w:sz w:val="16"/>
          <w:szCs w:val="16"/>
        </w:rPr>
      </w:pPr>
    </w:p>
    <w:p>
      <w:pPr>
        <w:spacing w:before="0"/>
        <w:ind w:left="114" w:right="0" w:firstLine="0"/>
        <w:jc w:val="left"/>
        <w:rPr>
          <w:rFonts w:ascii="宋体" w:hAnsi="宋体" w:cs="宋体" w:eastAsia="宋体" w:hint="default"/>
          <w:sz w:val="21"/>
          <w:szCs w:val="21"/>
        </w:rPr>
      </w:pPr>
      <w:bookmarkStart w:name="（2）折旧方法" w:id="192"/>
      <w:bookmarkEnd w:id="19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）折旧方法</w:t>
      </w:r>
      <w:r>
        <w:rPr>
          <w:rFonts w:ascii="宋体" w:hAnsi="宋体" w:cs="宋体" w:eastAsia="宋体" w:hint="default"/>
          <w:sz w:val="21"/>
          <w:szCs w:val="21"/>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折旧方法</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折旧年限</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残值率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年折旧率</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20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9.5</w:t>
            </w:r>
            <w:r>
              <w:rPr>
                <w:rFonts w:ascii="宋体" w:hAnsi="宋体" w:cs="宋体" w:eastAsia="宋体" w:hint="default"/>
                <w:sz w:val="18"/>
                <w:szCs w:val="18"/>
              </w:rPr>
              <w:t>、</w:t>
            </w:r>
            <w:r>
              <w:rPr>
                <w:rFonts w:ascii="Times New Roman" w:hAnsi="Times New Roman" w:cs="Times New Roman" w:eastAsia="Times New Roman" w:hint="default"/>
                <w:sz w:val="18"/>
                <w:szCs w:val="18"/>
              </w:rPr>
              <w:t>4.75</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31.67</w:t>
            </w:r>
            <w:r>
              <w:rPr>
                <w:rFonts w:ascii="宋体" w:hAnsi="宋体" w:cs="宋体" w:eastAsia="宋体" w:hint="default"/>
                <w:sz w:val="18"/>
                <w:szCs w:val="18"/>
              </w:rPr>
              <w:t>、</w:t>
            </w:r>
            <w:r>
              <w:rPr>
                <w:rFonts w:ascii="Times New Roman" w:hAnsi="Times New Roman" w:cs="Times New Roman" w:eastAsia="Times New Roman" w:hint="default"/>
                <w:sz w:val="18"/>
                <w:szCs w:val="18"/>
              </w:rPr>
              <w:t>19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年限平均法</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19</w:t>
            </w:r>
            <w:r>
              <w:rPr>
                <w:rFonts w:ascii="宋体" w:hAnsi="宋体" w:cs="宋体" w:eastAsia="宋体" w:hint="default"/>
                <w:sz w:val="18"/>
                <w:szCs w:val="18"/>
              </w:rPr>
              <w:t>、</w:t>
            </w:r>
            <w:r>
              <w:rPr>
                <w:rFonts w:ascii="Times New Roman" w:hAnsi="Times New Roman" w:cs="Times New Roman" w:eastAsia="Times New Roman" w:hint="default"/>
                <w:sz w:val="18"/>
                <w:szCs w:val="18"/>
              </w:rPr>
              <w:t>11.875</w:t>
            </w:r>
          </w:p>
        </w:tc>
      </w:tr>
    </w:tbl>
    <w:p>
      <w:pPr>
        <w:spacing w:line="240" w:lineRule="auto" w:before="2"/>
        <w:rPr>
          <w:rFonts w:ascii="宋体" w:hAnsi="宋体" w:cs="宋体" w:eastAsia="宋体" w:hint="default"/>
          <w:b/>
          <w:bCs/>
          <w:sz w:val="19"/>
          <w:szCs w:val="19"/>
        </w:rPr>
      </w:pPr>
    </w:p>
    <w:p>
      <w:pPr>
        <w:spacing w:before="35"/>
        <w:ind w:left="114" w:right="0" w:firstLine="0"/>
        <w:jc w:val="left"/>
        <w:rPr>
          <w:rFonts w:ascii="宋体" w:hAnsi="宋体" w:cs="宋体" w:eastAsia="宋体" w:hint="default"/>
          <w:sz w:val="21"/>
          <w:szCs w:val="21"/>
        </w:rPr>
      </w:pPr>
      <w:bookmarkStart w:name="（3）融资租入固定资产的认定依据、计价和折旧方法" w:id="193"/>
      <w:bookmarkEnd w:id="19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）融资租入固定资产的认定依据、计价和折旧方法</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公司与租赁方所签订的租赁协议条款中规定了下列条件之一的，确认为融资租入资产：</w:t>
      </w:r>
    </w:p>
    <w:p>
      <w:pPr>
        <w:spacing w:before="116"/>
        <w:ind w:left="1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）租赁期满后租赁资产的所有权归属于本公司；</w:t>
      </w:r>
    </w:p>
    <w:p>
      <w:pPr>
        <w:spacing w:before="103"/>
        <w:ind w:left="1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）公司具有购买资产的选择权，购买价款远低于行使选择权时该资产的公允价值；</w:t>
      </w:r>
    </w:p>
    <w:p>
      <w:pPr>
        <w:spacing w:before="102"/>
        <w:ind w:left="1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）租赁期占所租赁资产使用寿命的大部分；</w:t>
      </w:r>
    </w:p>
    <w:p>
      <w:pPr>
        <w:spacing w:line="328" w:lineRule="auto" w:before="102"/>
        <w:ind w:left="114" w:right="0" w:firstLine="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4</w:t>
      </w:r>
      <w:r>
        <w:rPr>
          <w:rFonts w:ascii="宋体" w:hAnsi="宋体" w:cs="宋体" w:eastAsia="宋体" w:hint="default"/>
          <w:sz w:val="18"/>
          <w:szCs w:val="18"/>
        </w:rPr>
        <w:t>）租赁开始日的最低租赁付款额现值，与该资产的公允价值不存在较大的差异。 </w:t>
      </w:r>
      <w:r>
        <w:rPr>
          <w:rFonts w:ascii="宋体" w:hAnsi="宋体" w:cs="宋体" w:eastAsia="宋体" w:hint="default"/>
          <w:spacing w:val="-2"/>
          <w:sz w:val="18"/>
          <w:szCs w:val="18"/>
        </w:rPr>
        <w:t>公司在承租开始日，将租赁资产公允价值与最低租赁付款额现值两者中较低者作为租入资产的入账价值，将最低租赁付款额</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作为长期应付款的入账价值，其差额作为未确认的融资费。</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6"/>
        <w:rPr>
          <w:rFonts w:ascii="宋体" w:hAnsi="宋体" w:cs="宋体" w:eastAsia="宋体" w:hint="default"/>
          <w:sz w:val="21"/>
          <w:szCs w:val="21"/>
        </w:rPr>
      </w:pPr>
    </w:p>
    <w:p>
      <w:pPr>
        <w:spacing w:before="0"/>
        <w:ind w:left="114" w:right="0" w:firstLine="0"/>
        <w:jc w:val="left"/>
        <w:rPr>
          <w:rFonts w:ascii="宋体" w:hAnsi="宋体" w:cs="宋体" w:eastAsia="宋体" w:hint="default"/>
          <w:sz w:val="21"/>
          <w:szCs w:val="21"/>
        </w:rPr>
      </w:pPr>
      <w:bookmarkStart w:name="17、在建工程" w:id="194"/>
      <w:bookmarkEnd w:id="194"/>
      <w:r>
        <w:rPr/>
      </w:r>
      <w:r>
        <w:rPr>
          <w:rFonts w:ascii="Times New Roman" w:hAnsi="Times New Roman" w:cs="Times New Roman" w:eastAsia="Times New Roman" w:hint="default"/>
          <w:b/>
          <w:bCs/>
          <w:sz w:val="21"/>
          <w:szCs w:val="21"/>
        </w:rPr>
        <w:t>17</w:t>
      </w:r>
      <w:r>
        <w:rPr>
          <w:rFonts w:ascii="宋体" w:hAnsi="宋体" w:cs="宋体" w:eastAsia="宋体" w:hint="default"/>
          <w:b/>
          <w:bCs/>
          <w:sz w:val="21"/>
          <w:szCs w:val="21"/>
        </w:rPr>
        <w:t>、在建工程</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60" w:lineRule="auto" w:before="0"/>
        <w:ind w:left="11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6"/>
        <w:ind w:left="114" w:right="0" w:firstLine="0"/>
        <w:jc w:val="left"/>
        <w:rPr>
          <w:rFonts w:ascii="宋体" w:hAnsi="宋体" w:cs="宋体" w:eastAsia="宋体" w:hint="default"/>
          <w:sz w:val="18"/>
          <w:szCs w:val="18"/>
        </w:rPr>
      </w:pPr>
      <w:r>
        <w:rPr>
          <w:rFonts w:ascii="宋体" w:hAnsi="宋体" w:cs="宋体" w:eastAsia="宋体" w:hint="default"/>
          <w:sz w:val="18"/>
          <w:szCs w:val="18"/>
        </w:rPr>
        <w:t>软件与信息技术服务业</w:t>
      </w:r>
    </w:p>
    <w:p>
      <w:pPr>
        <w:spacing w:line="273" w:lineRule="auto" w:before="89"/>
        <w:ind w:left="828" w:right="1237" w:firstLine="0"/>
        <w:jc w:val="both"/>
        <w:rPr>
          <w:rFonts w:ascii="宋体" w:hAnsi="宋体" w:cs="宋体" w:eastAsia="宋体" w:hint="default"/>
          <w:sz w:val="21"/>
          <w:szCs w:val="21"/>
        </w:rPr>
      </w:pPr>
      <w:r>
        <w:rPr>
          <w:rFonts w:ascii="宋体" w:hAnsi="宋体" w:cs="宋体" w:eastAsia="宋体" w:hint="default"/>
          <w:sz w:val="21"/>
          <w:szCs w:val="21"/>
        </w:rPr>
        <w:t>在建工程项目按建造该项资产达到预定可使用状态前所发生的必要支出，作为固定资产的入账价 值。所建造的固定资产在工程已达到预定可使用状态，但尚未办理竣工决算的，自达到预定可使 用状态之日起，根据工程预算、造价或者工程实际成本等，按估计的价值转入固定资产，并按本</w:t>
      </w:r>
    </w:p>
    <w:p>
      <w:pPr>
        <w:spacing w:after="0" w:line="273" w:lineRule="auto"/>
        <w:jc w:val="both"/>
        <w:rPr>
          <w:rFonts w:ascii="宋体" w:hAnsi="宋体" w:cs="宋体" w:eastAsia="宋体" w:hint="default"/>
          <w:sz w:val="21"/>
          <w:szCs w:val="21"/>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line="273" w:lineRule="auto" w:before="35"/>
        <w:ind w:left="828" w:right="1218" w:firstLine="0"/>
        <w:jc w:val="left"/>
        <w:rPr>
          <w:rFonts w:ascii="宋体" w:hAnsi="宋体" w:cs="宋体" w:eastAsia="宋体" w:hint="default"/>
          <w:sz w:val="21"/>
          <w:szCs w:val="21"/>
        </w:rPr>
      </w:pPr>
      <w:r>
        <w:rPr>
          <w:rFonts w:ascii="宋体" w:hAnsi="宋体" w:cs="宋体" w:eastAsia="宋体" w:hint="default"/>
          <w:sz w:val="21"/>
          <w:szCs w:val="21"/>
        </w:rPr>
        <w:t>公司固定资产折旧政策计提固定资产的折旧，待办理竣工决算后，再按实际成本调整原来的暂估 价值，但不调整原已计提的折旧额。</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spacing w:before="0"/>
        <w:ind w:left="114" w:right="0" w:firstLine="0"/>
        <w:jc w:val="left"/>
        <w:rPr>
          <w:rFonts w:ascii="宋体" w:hAnsi="宋体" w:cs="宋体" w:eastAsia="宋体" w:hint="default"/>
          <w:sz w:val="21"/>
          <w:szCs w:val="21"/>
        </w:rPr>
      </w:pPr>
      <w:bookmarkStart w:name="18、借款费用" w:id="195"/>
      <w:bookmarkEnd w:id="195"/>
      <w:r>
        <w:rPr/>
      </w:r>
      <w:r>
        <w:rPr>
          <w:rFonts w:ascii="Times New Roman" w:hAnsi="Times New Roman" w:cs="Times New Roman" w:eastAsia="Times New Roman" w:hint="default"/>
          <w:b/>
          <w:bCs/>
          <w:sz w:val="21"/>
          <w:szCs w:val="21"/>
        </w:rPr>
        <w:t>18</w:t>
      </w:r>
      <w:r>
        <w:rPr>
          <w:rFonts w:ascii="宋体" w:hAnsi="宋体" w:cs="宋体" w:eastAsia="宋体" w:hint="default"/>
          <w:b/>
          <w:bCs/>
          <w:sz w:val="21"/>
          <w:szCs w:val="21"/>
        </w:rPr>
        <w:t>、借款费用</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line="273" w:lineRule="auto" w:before="0"/>
        <w:ind w:left="1390" w:right="1011" w:hanging="501"/>
        <w:jc w:val="left"/>
        <w:rPr>
          <w:rFonts w:ascii="宋体" w:hAnsi="宋体" w:cs="宋体" w:eastAsia="宋体" w:hint="default"/>
          <w:sz w:val="21"/>
          <w:szCs w:val="21"/>
        </w:rPr>
      </w:pPr>
      <w:r>
        <w:rPr>
          <w:rFonts w:ascii="宋体" w:hAnsi="宋体" w:cs="宋体" w:eastAsia="宋体" w:hint="default"/>
          <w:b/>
          <w:bCs/>
          <w:sz w:val="21"/>
          <w:szCs w:val="21"/>
        </w:rPr>
        <w:t>借款费用资本化的确认原则</w:t>
      </w:r>
      <w:r>
        <w:rPr>
          <w:rFonts w:ascii="宋体" w:hAnsi="宋体" w:cs="宋体" w:eastAsia="宋体" w:hint="default"/>
          <w:b/>
          <w:bCs/>
          <w:w w:val="99"/>
          <w:sz w:val="21"/>
          <w:szCs w:val="21"/>
        </w:rPr>
        <w:t> </w:t>
      </w:r>
      <w:r>
        <w:rPr>
          <w:rFonts w:ascii="宋体" w:hAnsi="宋体" w:cs="宋体" w:eastAsia="宋体" w:hint="default"/>
          <w:sz w:val="21"/>
          <w:szCs w:val="21"/>
        </w:rPr>
        <w:t>借款费用，包括借款利息、折价或者溢价的摊销、辅助费用以及因外币借款而发生的汇兑差 额等。 </w:t>
      </w:r>
      <w:r>
        <w:rPr>
          <w:rFonts w:ascii="宋体" w:hAnsi="宋体" w:cs="宋体" w:eastAsia="宋体" w:hint="default"/>
          <w:spacing w:val="-4"/>
          <w:sz w:val="21"/>
          <w:szCs w:val="21"/>
        </w:rPr>
        <w:t>公司发生的借款费用，可直接归属于符合资本化条件的资产的购建或者生产的，予以资本化，</w:t>
      </w:r>
      <w:r>
        <w:rPr>
          <w:rFonts w:ascii="宋体" w:hAnsi="宋体" w:cs="宋体" w:eastAsia="宋体" w:hint="default"/>
          <w:sz w:val="21"/>
          <w:szCs w:val="21"/>
        </w:rPr>
        <w:t> 计入相关资产成本；其他借款费用，在发生时根据其发生额确认为费用，计入当期损益。 符合资本化条件的资产，是指需要经过相当长时间的购建或者生产活动才能达到预定可使用 或者可销售状态的固定资产、投资性房地产和存货等资产。 借款费用同时满足下列条件时开始资本化：</w:t>
      </w:r>
    </w:p>
    <w:p>
      <w:pPr>
        <w:spacing w:line="256" w:lineRule="auto" w:before="7"/>
        <w:ind w:left="1390" w:right="120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）资产支出已经发生，资产支出包括为购建或者生产符合资本化条件的资产而以支付现 金、转移非现金资产或者承担带息债务形式发生的支出；</w:t>
      </w:r>
    </w:p>
    <w:p>
      <w:pPr>
        <w:spacing w:before="22"/>
        <w:ind w:left="1390"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）借款费用已经发生；</w:t>
      </w:r>
    </w:p>
    <w:p>
      <w:pPr>
        <w:spacing w:before="21"/>
        <w:ind w:left="1390" w:right="0"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）为使资产达到预定可使用或者可销售状态所必要的购建或者生产活动已经开始。</w:t>
      </w:r>
    </w:p>
    <w:p>
      <w:pPr>
        <w:spacing w:line="240" w:lineRule="auto" w:before="6"/>
        <w:rPr>
          <w:rFonts w:ascii="宋体" w:hAnsi="宋体" w:cs="宋体" w:eastAsia="宋体" w:hint="default"/>
          <w:sz w:val="25"/>
          <w:szCs w:val="25"/>
        </w:rPr>
      </w:pPr>
    </w:p>
    <w:p>
      <w:pPr>
        <w:spacing w:line="273" w:lineRule="auto" w:before="0"/>
        <w:ind w:left="1390" w:right="1076" w:hanging="501"/>
        <w:jc w:val="left"/>
        <w:rPr>
          <w:rFonts w:ascii="宋体" w:hAnsi="宋体" w:cs="宋体" w:eastAsia="宋体" w:hint="default"/>
          <w:sz w:val="21"/>
          <w:szCs w:val="21"/>
        </w:rPr>
      </w:pPr>
      <w:r>
        <w:rPr>
          <w:rFonts w:ascii="宋体" w:hAnsi="宋体" w:cs="宋体" w:eastAsia="宋体" w:hint="default"/>
          <w:b/>
          <w:bCs/>
          <w:sz w:val="21"/>
          <w:szCs w:val="21"/>
        </w:rPr>
        <w:t>借款费用资本化期间</w:t>
      </w:r>
      <w:r>
        <w:rPr>
          <w:rFonts w:ascii="宋体" w:hAnsi="宋体" w:cs="宋体" w:eastAsia="宋体" w:hint="default"/>
          <w:b/>
          <w:bCs/>
          <w:w w:val="99"/>
          <w:sz w:val="21"/>
          <w:szCs w:val="21"/>
        </w:rPr>
        <w:t> </w:t>
      </w:r>
      <w:r>
        <w:rPr>
          <w:rFonts w:ascii="宋体" w:hAnsi="宋体" w:cs="宋体" w:eastAsia="宋体" w:hint="default"/>
          <w:spacing w:val="-1"/>
          <w:sz w:val="21"/>
          <w:szCs w:val="21"/>
        </w:rPr>
        <w:t>资本化期间，指从借款费用开始资本化时点到停止资本化时点的期间，借款费用暂停资本化</w:t>
      </w:r>
      <w:r>
        <w:rPr>
          <w:rFonts w:ascii="宋体" w:hAnsi="宋体" w:cs="宋体" w:eastAsia="宋体" w:hint="default"/>
          <w:sz w:val="21"/>
          <w:szCs w:val="21"/>
        </w:rPr>
        <w:t> 的期间不包括在内。 </w:t>
      </w:r>
      <w:r>
        <w:rPr>
          <w:rFonts w:ascii="宋体" w:hAnsi="宋体" w:cs="宋体" w:eastAsia="宋体" w:hint="default"/>
          <w:spacing w:val="-1"/>
          <w:sz w:val="21"/>
          <w:szCs w:val="21"/>
        </w:rPr>
        <w:t>当购建或者生产符合资本化条件的资产达到预定可使用或者可销售状态时，借款费用停止资</w:t>
      </w:r>
      <w:r>
        <w:rPr>
          <w:rFonts w:ascii="宋体" w:hAnsi="宋体" w:cs="宋体" w:eastAsia="宋体" w:hint="default"/>
          <w:sz w:val="21"/>
          <w:szCs w:val="21"/>
        </w:rPr>
        <w:t> 本化。 </w:t>
      </w:r>
      <w:r>
        <w:rPr>
          <w:rFonts w:ascii="宋体" w:hAnsi="宋体" w:cs="宋体" w:eastAsia="宋体" w:hint="default"/>
          <w:spacing w:val="-1"/>
          <w:sz w:val="21"/>
          <w:szCs w:val="21"/>
        </w:rPr>
        <w:t>当购建或者生产符合资本化条件的资产中部分项目分别完工且可单独使用时，该部分资产借</w:t>
      </w:r>
      <w:r>
        <w:rPr>
          <w:rFonts w:ascii="宋体" w:hAnsi="宋体" w:cs="宋体" w:eastAsia="宋体" w:hint="default"/>
          <w:sz w:val="21"/>
          <w:szCs w:val="21"/>
        </w:rPr>
        <w:t> 款费用停止资本化。 购建或者生产的资产的各部分分别完工，但必须等到整体完工后才可使用或可对外销售的， 在该资产整体完工时停止借款费用资本化。</w:t>
      </w:r>
    </w:p>
    <w:p>
      <w:pPr>
        <w:spacing w:line="240" w:lineRule="auto" w:before="6"/>
        <w:rPr>
          <w:rFonts w:ascii="宋体" w:hAnsi="宋体" w:cs="宋体" w:eastAsia="宋体" w:hint="default"/>
          <w:sz w:val="24"/>
          <w:szCs w:val="24"/>
        </w:rPr>
      </w:pPr>
    </w:p>
    <w:p>
      <w:pPr>
        <w:spacing w:before="0"/>
        <w:ind w:left="889" w:right="0" w:firstLine="0"/>
        <w:jc w:val="left"/>
        <w:rPr>
          <w:rFonts w:ascii="宋体" w:hAnsi="宋体" w:cs="宋体" w:eastAsia="宋体" w:hint="default"/>
          <w:sz w:val="21"/>
          <w:szCs w:val="21"/>
        </w:rPr>
      </w:pPr>
      <w:r>
        <w:rPr>
          <w:rFonts w:ascii="宋体" w:hAnsi="宋体" w:cs="宋体" w:eastAsia="宋体" w:hint="default"/>
          <w:b/>
          <w:bCs/>
          <w:sz w:val="21"/>
          <w:szCs w:val="21"/>
        </w:rPr>
        <w:t>暂停资本化期间</w:t>
      </w:r>
      <w:r>
        <w:rPr>
          <w:rFonts w:ascii="宋体" w:hAnsi="宋体" w:cs="宋体" w:eastAsia="宋体" w:hint="default"/>
          <w:sz w:val="21"/>
          <w:szCs w:val="21"/>
        </w:rPr>
      </w:r>
    </w:p>
    <w:p>
      <w:pPr>
        <w:spacing w:line="266" w:lineRule="auto" w:before="37"/>
        <w:ind w:left="1390" w:right="1132" w:firstLine="0"/>
        <w:jc w:val="both"/>
        <w:rPr>
          <w:rFonts w:ascii="宋体" w:hAnsi="宋体" w:cs="宋体" w:eastAsia="宋体" w:hint="default"/>
          <w:sz w:val="21"/>
          <w:szCs w:val="21"/>
        </w:rPr>
      </w:pPr>
      <w:r>
        <w:rPr>
          <w:rFonts w:ascii="宋体" w:hAnsi="宋体" w:cs="宋体" w:eastAsia="宋体" w:hint="default"/>
          <w:sz w:val="21"/>
          <w:szCs w:val="21"/>
        </w:rPr>
        <w:t>符合资本化条件的资产在购建或生产过程中发生的非正常中断、且中断时间连续超过</w:t>
      </w:r>
      <w:r>
        <w:rPr>
          <w:rFonts w:ascii="Times New Roman" w:hAnsi="Times New Roman" w:cs="Times New Roman" w:eastAsia="Times New Roman" w:hint="default"/>
          <w:sz w:val="21"/>
          <w:szCs w:val="21"/>
        </w:rPr>
        <w:t>3</w:t>
      </w:r>
      <w:r>
        <w:rPr>
          <w:rFonts w:ascii="宋体" w:hAnsi="宋体" w:cs="宋体" w:eastAsia="宋体" w:hint="default"/>
          <w:sz w:val="21"/>
          <w:szCs w:val="21"/>
        </w:rPr>
        <w:t>个月 </w:t>
      </w:r>
      <w:r>
        <w:rPr>
          <w:rFonts w:ascii="宋体" w:hAnsi="宋体" w:cs="宋体" w:eastAsia="宋体" w:hint="default"/>
          <w:spacing w:val="-1"/>
          <w:sz w:val="21"/>
          <w:szCs w:val="21"/>
        </w:rPr>
        <w:t>的，则借款费用暂停资本化；该项中断如是所购建或生产的符合资本化条件的资产达到预定</w:t>
      </w:r>
      <w:r>
        <w:rPr>
          <w:rFonts w:ascii="宋体" w:hAnsi="宋体" w:cs="宋体" w:eastAsia="宋体" w:hint="default"/>
          <w:sz w:val="21"/>
          <w:szCs w:val="21"/>
        </w:rPr>
        <w:t> </w:t>
      </w:r>
      <w:r>
        <w:rPr>
          <w:rFonts w:ascii="宋体" w:hAnsi="宋体" w:cs="宋体" w:eastAsia="宋体" w:hint="default"/>
          <w:spacing w:val="-1"/>
          <w:sz w:val="21"/>
          <w:szCs w:val="21"/>
        </w:rPr>
        <w:t>可使用状态或者可销售状态必要的程序，则借款费用继续资本化。在中断期间发生的借款费</w:t>
      </w:r>
      <w:r>
        <w:rPr>
          <w:rFonts w:ascii="宋体" w:hAnsi="宋体" w:cs="宋体" w:eastAsia="宋体" w:hint="default"/>
          <w:sz w:val="21"/>
          <w:szCs w:val="21"/>
        </w:rPr>
        <w:t> 用确认为当期损益，直至资产的购建或者生产活动重新开始后借款费用继续资本化。</w:t>
      </w:r>
    </w:p>
    <w:p>
      <w:pPr>
        <w:spacing w:line="240" w:lineRule="auto" w:before="12"/>
        <w:rPr>
          <w:rFonts w:ascii="宋体" w:hAnsi="宋体" w:cs="宋体" w:eastAsia="宋体" w:hint="default"/>
          <w:sz w:val="24"/>
          <w:szCs w:val="24"/>
        </w:rPr>
      </w:pPr>
    </w:p>
    <w:p>
      <w:pPr>
        <w:spacing w:line="273" w:lineRule="auto" w:before="0"/>
        <w:ind w:left="1390" w:right="1116" w:hanging="501"/>
        <w:jc w:val="left"/>
        <w:rPr>
          <w:rFonts w:ascii="宋体" w:hAnsi="宋体" w:cs="宋体" w:eastAsia="宋体" w:hint="default"/>
          <w:sz w:val="21"/>
          <w:szCs w:val="21"/>
        </w:rPr>
      </w:pPr>
      <w:r>
        <w:rPr>
          <w:rFonts w:ascii="宋体" w:hAnsi="宋体" w:cs="宋体" w:eastAsia="宋体" w:hint="default"/>
          <w:b/>
          <w:bCs/>
          <w:sz w:val="21"/>
          <w:szCs w:val="21"/>
        </w:rPr>
        <w:t>借款费用资本化率、资本化金额的计算方法</w:t>
      </w:r>
      <w:r>
        <w:rPr>
          <w:rFonts w:ascii="宋体" w:hAnsi="宋体" w:cs="宋体" w:eastAsia="宋体" w:hint="default"/>
          <w:b/>
          <w:bCs/>
          <w:w w:val="99"/>
          <w:sz w:val="21"/>
          <w:szCs w:val="21"/>
        </w:rPr>
        <w:t> </w:t>
      </w:r>
      <w:r>
        <w:rPr>
          <w:rFonts w:ascii="宋体" w:hAnsi="宋体" w:cs="宋体" w:eastAsia="宋体" w:hint="default"/>
          <w:spacing w:val="-1"/>
          <w:sz w:val="21"/>
          <w:szCs w:val="21"/>
        </w:rPr>
        <w:t>对于为购建或者生产符合资本化条件的资产而借入的专门借款，以专门借款当期实际发生的</w:t>
      </w:r>
      <w:r>
        <w:rPr>
          <w:rFonts w:ascii="宋体" w:hAnsi="宋体" w:cs="宋体" w:eastAsia="宋体" w:hint="default"/>
          <w:sz w:val="21"/>
          <w:szCs w:val="21"/>
        </w:rPr>
        <w:t> </w:t>
      </w:r>
      <w:r>
        <w:rPr>
          <w:rFonts w:ascii="宋体" w:hAnsi="宋体" w:cs="宋体" w:eastAsia="宋体" w:hint="default"/>
          <w:spacing w:val="-1"/>
          <w:sz w:val="21"/>
          <w:szCs w:val="21"/>
        </w:rPr>
        <w:t>借款费用，减去尚未动用的借款资金存入银行取得的利息收入或进行暂时性投资取得的投资</w:t>
      </w:r>
      <w:r>
        <w:rPr>
          <w:rFonts w:ascii="宋体" w:hAnsi="宋体" w:cs="宋体" w:eastAsia="宋体" w:hint="default"/>
          <w:sz w:val="21"/>
          <w:szCs w:val="21"/>
        </w:rPr>
        <w:t> 收益后的金额，来确定借款费用的资本化金额。 </w:t>
      </w:r>
      <w:r>
        <w:rPr>
          <w:rFonts w:ascii="宋体" w:hAnsi="宋体" w:cs="宋体" w:eastAsia="宋体" w:hint="default"/>
          <w:spacing w:val="-1"/>
          <w:sz w:val="21"/>
          <w:szCs w:val="21"/>
        </w:rPr>
        <w:t>对于为购建或者生产符合资本化条件的资产而占用的一般借款，根据累计资产支出超过专门</w:t>
      </w:r>
      <w:r>
        <w:rPr>
          <w:rFonts w:ascii="宋体" w:hAnsi="宋体" w:cs="宋体" w:eastAsia="宋体" w:hint="default"/>
          <w:sz w:val="21"/>
          <w:szCs w:val="21"/>
        </w:rPr>
        <w:t> </w:t>
      </w:r>
      <w:r>
        <w:rPr>
          <w:rFonts w:ascii="宋体" w:hAnsi="宋体" w:cs="宋体" w:eastAsia="宋体" w:hint="default"/>
          <w:spacing w:val="-1"/>
          <w:sz w:val="21"/>
          <w:szCs w:val="21"/>
        </w:rPr>
        <w:t>借款部分的资产支出加权平均数乘以所占用一般借款的资本化率，计算确定一般借款应予资</w:t>
      </w:r>
      <w:r>
        <w:rPr>
          <w:rFonts w:ascii="宋体" w:hAnsi="宋体" w:cs="宋体" w:eastAsia="宋体" w:hint="default"/>
          <w:sz w:val="21"/>
          <w:szCs w:val="21"/>
        </w:rPr>
        <w:t> 本化的借款费用金额。资本化率根据一般借款加权平均利率计算确定。</w:t>
      </w:r>
    </w:p>
    <w:p>
      <w:pPr>
        <w:spacing w:after="0" w:line="273"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3"/>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19、生物资产" w:id="196"/>
      <w:bookmarkEnd w:id="196"/>
      <w:r>
        <w:rPr/>
      </w:r>
      <w:r>
        <w:rPr>
          <w:rFonts w:ascii="Times New Roman" w:hAnsi="Times New Roman" w:cs="Times New Roman" w:eastAsia="Times New Roman" w:hint="default"/>
          <w:b/>
          <w:bCs/>
          <w:sz w:val="21"/>
          <w:szCs w:val="21"/>
        </w:rPr>
        <w:t>19</w:t>
      </w:r>
      <w:r>
        <w:rPr>
          <w:rFonts w:ascii="宋体" w:hAnsi="宋体" w:cs="宋体" w:eastAsia="宋体" w:hint="default"/>
          <w:b/>
          <w:bCs/>
          <w:sz w:val="21"/>
          <w:szCs w:val="21"/>
        </w:rPr>
        <w:t>、生物资产</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20、油气资产" w:id="197"/>
      <w:bookmarkEnd w:id="197"/>
      <w:r>
        <w:rPr/>
      </w:r>
      <w:r>
        <w:rPr>
          <w:rFonts w:ascii="Times New Roman" w:hAnsi="Times New Roman" w:cs="Times New Roman" w:eastAsia="Times New Roman" w:hint="default"/>
          <w:b/>
          <w:bCs/>
          <w:sz w:val="21"/>
          <w:szCs w:val="21"/>
        </w:rPr>
        <w:t>20</w:t>
      </w:r>
      <w:r>
        <w:rPr>
          <w:rFonts w:ascii="宋体" w:hAnsi="宋体" w:cs="宋体" w:eastAsia="宋体" w:hint="default"/>
          <w:b/>
          <w:bCs/>
          <w:sz w:val="21"/>
          <w:szCs w:val="21"/>
        </w:rPr>
        <w:t>、油气资产</w:t>
      </w:r>
      <w:r>
        <w:rPr>
          <w:rFonts w:ascii="宋体" w:hAnsi="宋体" w:cs="宋体" w:eastAsia="宋体" w:hint="default"/>
          <w:sz w:val="21"/>
          <w:szCs w:val="21"/>
        </w:rPr>
      </w:r>
    </w:p>
    <w:p>
      <w:pPr>
        <w:spacing w:line="240" w:lineRule="auto" w:before="9"/>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21、无形资产" w:id="198"/>
      <w:bookmarkEnd w:id="198"/>
      <w:r>
        <w:rPr/>
      </w:r>
      <w:r>
        <w:rPr>
          <w:rFonts w:ascii="Times New Roman" w:hAnsi="Times New Roman" w:cs="Times New Roman" w:eastAsia="Times New Roman" w:hint="default"/>
          <w:b/>
          <w:bCs/>
          <w:sz w:val="21"/>
          <w:szCs w:val="21"/>
        </w:rPr>
        <w:t>21</w:t>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计价方法、使用寿命、减值测试" w:id="199"/>
      <w:bookmarkEnd w:id="19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）计价方法、使用寿命、减值测试</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60" w:lineRule="auto" w:before="0"/>
        <w:ind w:left="11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6"/>
        <w:ind w:left="114" w:right="0" w:firstLine="0"/>
        <w:jc w:val="left"/>
        <w:rPr>
          <w:rFonts w:ascii="宋体" w:hAnsi="宋体" w:cs="宋体" w:eastAsia="宋体" w:hint="default"/>
          <w:sz w:val="18"/>
          <w:szCs w:val="18"/>
        </w:rPr>
      </w:pPr>
      <w:r>
        <w:rPr>
          <w:rFonts w:ascii="宋体" w:hAnsi="宋体" w:cs="宋体" w:eastAsia="宋体" w:hint="default"/>
          <w:sz w:val="18"/>
          <w:szCs w:val="18"/>
        </w:rPr>
        <w:t>软件与信息技术服务业</w:t>
      </w:r>
    </w:p>
    <w:p>
      <w:pPr>
        <w:spacing w:before="89"/>
        <w:ind w:left="889" w:right="0" w:firstLine="0"/>
        <w:jc w:val="left"/>
        <w:rPr>
          <w:rFonts w:ascii="宋体" w:hAnsi="宋体" w:cs="宋体" w:eastAsia="宋体" w:hint="default"/>
          <w:sz w:val="21"/>
          <w:szCs w:val="21"/>
        </w:rPr>
      </w:pPr>
      <w:r>
        <w:rPr>
          <w:rFonts w:ascii="宋体" w:hAnsi="宋体" w:cs="宋体" w:eastAsia="宋体" w:hint="default"/>
          <w:b/>
          <w:bCs/>
          <w:sz w:val="21"/>
          <w:szCs w:val="21"/>
        </w:rPr>
        <w:t>无形资产的计价方法</w:t>
      </w:r>
      <w:r>
        <w:rPr>
          <w:rFonts w:ascii="宋体" w:hAnsi="宋体" w:cs="宋体" w:eastAsia="宋体" w:hint="default"/>
          <w:sz w:val="21"/>
          <w:szCs w:val="21"/>
        </w:rPr>
      </w:r>
    </w:p>
    <w:p>
      <w:pPr>
        <w:spacing w:line="271" w:lineRule="auto" w:before="37"/>
        <w:ind w:left="139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）公司取得无形资产时按成本进行初始计量； 外购无形资产的成本，包括购买价款、相关税费以及直接归属于使该项资产达到预定用途所 </w:t>
      </w:r>
      <w:r>
        <w:rPr>
          <w:rFonts w:ascii="宋体" w:hAnsi="宋体" w:cs="宋体" w:eastAsia="宋体" w:hint="default"/>
          <w:spacing w:val="-4"/>
          <w:sz w:val="21"/>
          <w:szCs w:val="21"/>
        </w:rPr>
        <w:t>发生的其他支出。购买无形资产的价款超过正常信用条件延期支付，实质上具有融资性质的，</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无形资产的成本以购买价款的现值为基础确定。 债务重组取得债务人用以抵债的无形资产，以该无形资产的公允价值为基础确定其入账价 </w:t>
      </w:r>
      <w:r>
        <w:rPr>
          <w:rFonts w:ascii="宋体" w:hAnsi="宋体" w:cs="宋体" w:eastAsia="宋体" w:hint="default"/>
          <w:spacing w:val="-4"/>
          <w:sz w:val="21"/>
          <w:szCs w:val="21"/>
        </w:rPr>
        <w:t>值，并将重组债务的账面价值与该用以抵债的无形资产公允价值之间的差额，计入当期损益。</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在非货币性资产交换具备商业实质且换入资产或换出资产的公允价值能够可靠计量的前提 下，非货币性资产交换换入的无形资产以换出资产的公允价值为基础确定其入账价值，除非</w:t>
      </w:r>
      <w:r>
        <w:rPr>
          <w:rFonts w:ascii="宋体" w:hAnsi="宋体" w:cs="宋体" w:eastAsia="宋体" w:hint="default"/>
          <w:sz w:val="21"/>
          <w:szCs w:val="21"/>
        </w:rPr>
        <w:t> 有确凿证据表明换入资产的公允价值更加可靠；不满足上述前提的非货币性资产交换，以换 出资产的账面价值和应支付的相关税费作为换入无形资产的成本，不确认损益。 以同一控制下的企业吸收合并方式取得的无形资产按被合并方的账面价值确定其入账价值； 以非同一控制下的企业吸收合并方式取得的无形资产按公允价值确定其入账价值。 </w:t>
      </w:r>
      <w:r>
        <w:rPr>
          <w:rFonts w:ascii="宋体" w:hAnsi="宋体" w:cs="宋体" w:eastAsia="宋体" w:hint="default"/>
          <w:spacing w:val="-4"/>
          <w:sz w:val="21"/>
          <w:szCs w:val="21"/>
        </w:rPr>
        <w:t>内部自行开发的无形资产，其成本包括：开发该无形资产时耗用的材料、劳务成本、注册费、</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在开发过程中使用的其他专利权和特许权的摊销以及满足资本化条件的利息费用，以及为使</w:t>
      </w:r>
      <w:r>
        <w:rPr>
          <w:rFonts w:ascii="宋体" w:hAnsi="宋体" w:cs="宋体" w:eastAsia="宋体" w:hint="default"/>
          <w:sz w:val="21"/>
          <w:szCs w:val="21"/>
        </w:rPr>
        <w:t> 该无形资产达到预定用途前所发生的其他直接费用。</w:t>
      </w:r>
    </w:p>
    <w:p>
      <w:pPr>
        <w:spacing w:line="240" w:lineRule="auto" w:before="8"/>
        <w:rPr>
          <w:rFonts w:ascii="宋体" w:hAnsi="宋体" w:cs="宋体" w:eastAsia="宋体" w:hint="default"/>
          <w:sz w:val="24"/>
          <w:szCs w:val="24"/>
        </w:rPr>
      </w:pPr>
    </w:p>
    <w:p>
      <w:pPr>
        <w:spacing w:line="256" w:lineRule="auto" w:before="0"/>
        <w:ind w:left="1390" w:right="5696"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）后续计量 在取得无形资产时分析判断其使用寿命。</w:t>
      </w:r>
    </w:p>
    <w:p>
      <w:pPr>
        <w:spacing w:line="273" w:lineRule="auto" w:before="22"/>
        <w:ind w:left="1390" w:right="1116" w:firstLine="0"/>
        <w:jc w:val="left"/>
        <w:rPr>
          <w:rFonts w:ascii="宋体" w:hAnsi="宋体" w:cs="宋体" w:eastAsia="宋体" w:hint="default"/>
          <w:sz w:val="21"/>
          <w:szCs w:val="21"/>
        </w:rPr>
      </w:pPr>
      <w:r>
        <w:rPr>
          <w:rFonts w:ascii="宋体" w:hAnsi="宋体" w:cs="宋体" w:eastAsia="宋体" w:hint="default"/>
          <w:spacing w:val="-1"/>
          <w:sz w:val="21"/>
          <w:szCs w:val="21"/>
        </w:rPr>
        <w:t>对于使用寿命有限的无形资产，在为企业带来经济利益的期限内按直线法摊销；无法预见无</w:t>
      </w:r>
      <w:r>
        <w:rPr>
          <w:rFonts w:ascii="宋体" w:hAnsi="宋体" w:cs="宋体" w:eastAsia="宋体" w:hint="default"/>
          <w:sz w:val="21"/>
          <w:szCs w:val="21"/>
        </w:rPr>
        <w:t> 形资产为企业带来经济利益期限的，视为使用寿命不确定的无形资产，不予摊销。</w:t>
      </w:r>
    </w:p>
    <w:p>
      <w:pPr>
        <w:spacing w:line="240" w:lineRule="auto" w:before="6"/>
        <w:rPr>
          <w:rFonts w:ascii="宋体" w:hAnsi="宋体" w:cs="宋体" w:eastAsia="宋体" w:hint="default"/>
          <w:sz w:val="24"/>
          <w:szCs w:val="24"/>
        </w:rPr>
      </w:pPr>
    </w:p>
    <w:p>
      <w:pPr>
        <w:spacing w:before="0"/>
        <w:ind w:left="889" w:right="0" w:firstLine="0"/>
        <w:jc w:val="left"/>
        <w:rPr>
          <w:rFonts w:ascii="宋体" w:hAnsi="宋体" w:cs="宋体" w:eastAsia="宋体" w:hint="default"/>
          <w:sz w:val="21"/>
          <w:szCs w:val="21"/>
        </w:rPr>
      </w:pPr>
      <w:r>
        <w:rPr>
          <w:rFonts w:ascii="宋体" w:hAnsi="宋体" w:cs="宋体" w:eastAsia="宋体" w:hint="default"/>
          <w:b/>
          <w:bCs/>
          <w:sz w:val="21"/>
          <w:szCs w:val="21"/>
        </w:rPr>
        <w:t>使用寿命有限的无形资产的使用寿命估计情况：</w:t>
      </w:r>
      <w:r>
        <w:rPr>
          <w:rFonts w:ascii="宋体" w:hAnsi="宋体" w:cs="宋体" w:eastAsia="宋体" w:hint="default"/>
          <w:sz w:val="21"/>
          <w:szCs w:val="21"/>
        </w:rPr>
      </w:r>
    </w:p>
    <w:p>
      <w:pPr>
        <w:spacing w:line="240" w:lineRule="auto" w:before="13"/>
        <w:rPr>
          <w:rFonts w:ascii="宋体" w:hAnsi="宋体" w:cs="宋体" w:eastAsia="宋体" w:hint="default"/>
          <w:b/>
          <w:bCs/>
          <w:sz w:val="3"/>
          <w:szCs w:val="3"/>
        </w:rPr>
      </w:pPr>
    </w:p>
    <w:tbl>
      <w:tblPr>
        <w:tblW w:w="0" w:type="auto"/>
        <w:jc w:val="left"/>
        <w:tblInd w:w="713" w:type="dxa"/>
        <w:tblLayout w:type="fixed"/>
        <w:tblCellMar>
          <w:top w:w="0" w:type="dxa"/>
          <w:left w:w="0" w:type="dxa"/>
          <w:bottom w:w="0" w:type="dxa"/>
          <w:right w:w="0" w:type="dxa"/>
        </w:tblCellMar>
        <w:tblLook w:val="01E0"/>
      </w:tblPr>
      <w:tblGrid>
        <w:gridCol w:w="2611"/>
        <w:gridCol w:w="3014"/>
        <w:gridCol w:w="2189"/>
      </w:tblGrid>
      <w:tr>
        <w:trPr>
          <w:trHeight w:val="355" w:hRule="exact"/>
        </w:trPr>
        <w:tc>
          <w:tcPr>
            <w:tcW w:w="2611" w:type="dxa"/>
            <w:tcBorders>
              <w:top w:val="single" w:sz="6" w:space="0" w:color="000000"/>
              <w:left w:val="single" w:sz="6" w:space="0" w:color="000000"/>
              <w:bottom w:val="single" w:sz="12" w:space="0" w:color="000000"/>
              <w:right w:val="single" w:sz="6" w:space="0" w:color="000000"/>
            </w:tcBorders>
          </w:tcPr>
          <w:p>
            <w:pPr>
              <w:pStyle w:val="TableParagraph"/>
              <w:tabs>
                <w:tab w:pos="419" w:val="left" w:leader="none"/>
              </w:tabs>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项</w:t>
              <w:tab/>
              <w:t>目</w:t>
            </w:r>
          </w:p>
        </w:tc>
        <w:tc>
          <w:tcPr>
            <w:tcW w:w="3014"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预计使用寿命（年）</w:t>
            </w:r>
          </w:p>
        </w:tc>
        <w:tc>
          <w:tcPr>
            <w:tcW w:w="2189" w:type="dxa"/>
            <w:tcBorders>
              <w:top w:val="single" w:sz="6" w:space="0" w:color="000000"/>
              <w:left w:val="single" w:sz="6" w:space="0" w:color="000000"/>
              <w:bottom w:val="single" w:sz="12" w:space="0" w:color="000000"/>
              <w:right w:val="nil" w:sz="6" w:space="0" w:color="auto"/>
            </w:tcBorders>
          </w:tcPr>
          <w:p>
            <w:pPr>
              <w:pStyle w:val="TableParagraph"/>
              <w:tabs>
                <w:tab w:pos="421" w:val="left" w:leader="none"/>
              </w:tabs>
              <w:spacing w:line="271" w:lineRule="exact"/>
              <w:ind w:right="4"/>
              <w:jc w:val="center"/>
              <w:rPr>
                <w:rFonts w:ascii="宋体" w:hAnsi="宋体" w:cs="宋体" w:eastAsia="宋体" w:hint="default"/>
                <w:sz w:val="21"/>
                <w:szCs w:val="21"/>
              </w:rPr>
            </w:pPr>
            <w:r>
              <w:rPr>
                <w:rFonts w:ascii="宋体" w:hAnsi="宋体" w:cs="宋体" w:eastAsia="宋体" w:hint="default"/>
                <w:sz w:val="21"/>
                <w:szCs w:val="21"/>
              </w:rPr>
              <w:t>依</w:t>
              <w:tab/>
              <w:t>据</w:t>
            </w:r>
          </w:p>
        </w:tc>
      </w:tr>
      <w:tr>
        <w:trPr>
          <w:trHeight w:val="353" w:hRule="exact"/>
        </w:trPr>
        <w:tc>
          <w:tcPr>
            <w:tcW w:w="261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土地使用权</w:t>
            </w:r>
          </w:p>
        </w:tc>
        <w:tc>
          <w:tcPr>
            <w:tcW w:w="301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sz w:val="21"/>
              </w:rPr>
              <w:t>50</w:t>
            </w:r>
          </w:p>
        </w:tc>
        <w:tc>
          <w:tcPr>
            <w:tcW w:w="2189"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土地出让期限</w:t>
            </w:r>
          </w:p>
        </w:tc>
      </w:tr>
      <w:tr>
        <w:trPr>
          <w:trHeight w:val="352" w:hRule="exact"/>
        </w:trPr>
        <w:tc>
          <w:tcPr>
            <w:tcW w:w="261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软件</w:t>
            </w:r>
          </w:p>
        </w:tc>
        <w:tc>
          <w:tcPr>
            <w:tcW w:w="301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sz w:val="21"/>
              </w:rPr>
              <w:t>5</w:t>
            </w:r>
          </w:p>
        </w:tc>
        <w:tc>
          <w:tcPr>
            <w:tcW w:w="2189"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受益期</w:t>
            </w:r>
          </w:p>
        </w:tc>
      </w:tr>
    </w:tbl>
    <w:p>
      <w:pPr>
        <w:spacing w:line="260" w:lineRule="exact" w:before="0"/>
        <w:ind w:left="1390" w:right="0" w:firstLine="0"/>
        <w:jc w:val="left"/>
        <w:rPr>
          <w:rFonts w:ascii="宋体" w:hAnsi="宋体" w:cs="宋体" w:eastAsia="宋体" w:hint="default"/>
          <w:sz w:val="21"/>
          <w:szCs w:val="21"/>
        </w:rPr>
      </w:pPr>
      <w:r>
        <w:rPr>
          <w:rFonts w:ascii="宋体" w:hAnsi="宋体" w:cs="宋体" w:eastAsia="宋体" w:hint="default"/>
          <w:sz w:val="21"/>
          <w:szCs w:val="21"/>
        </w:rPr>
        <w:t>每年度终了，对使用寿命有限的无形资产的使用寿命及摊销方法进行复核。</w:t>
      </w:r>
    </w:p>
    <w:p>
      <w:pPr>
        <w:spacing w:line="240" w:lineRule="auto" w:before="9"/>
        <w:rPr>
          <w:rFonts w:ascii="宋体" w:hAnsi="宋体" w:cs="宋体" w:eastAsia="宋体" w:hint="default"/>
          <w:sz w:val="26"/>
          <w:szCs w:val="26"/>
        </w:rPr>
      </w:pPr>
    </w:p>
    <w:p>
      <w:pPr>
        <w:spacing w:line="273" w:lineRule="auto" w:before="0"/>
        <w:ind w:left="1390" w:right="0" w:hanging="501"/>
        <w:jc w:val="left"/>
        <w:rPr>
          <w:rFonts w:ascii="宋体" w:hAnsi="宋体" w:cs="宋体" w:eastAsia="宋体" w:hint="default"/>
          <w:sz w:val="21"/>
          <w:szCs w:val="21"/>
        </w:rPr>
      </w:pPr>
      <w:r>
        <w:rPr>
          <w:rFonts w:ascii="宋体" w:hAnsi="宋体" w:cs="宋体" w:eastAsia="宋体" w:hint="default"/>
          <w:b/>
          <w:bCs/>
          <w:w w:val="95"/>
          <w:sz w:val="21"/>
          <w:szCs w:val="21"/>
        </w:rPr>
        <w:t>使用寿命不确定的无形资产的判断依据以及对其使用寿命进行复核的程序</w:t>
      </w:r>
      <w:r>
        <w:rPr>
          <w:rFonts w:ascii="宋体" w:hAnsi="宋体" w:cs="宋体" w:eastAsia="宋体" w:hint="default"/>
          <w:b/>
          <w:bCs/>
          <w:spacing w:val="28"/>
          <w:w w:val="95"/>
          <w:sz w:val="21"/>
          <w:szCs w:val="21"/>
        </w:rPr>
        <w:t> </w:t>
      </w:r>
      <w:r>
        <w:rPr>
          <w:rFonts w:ascii="宋体" w:hAnsi="宋体" w:cs="宋体" w:eastAsia="宋体" w:hint="default"/>
          <w:b/>
          <w:bCs/>
          <w:spacing w:val="28"/>
          <w:w w:val="95"/>
          <w:sz w:val="21"/>
          <w:szCs w:val="21"/>
        </w:rPr>
      </w:r>
      <w:r>
        <w:rPr>
          <w:rFonts w:ascii="宋体" w:hAnsi="宋体" w:cs="宋体" w:eastAsia="宋体" w:hint="default"/>
          <w:sz w:val="21"/>
          <w:szCs w:val="21"/>
        </w:rPr>
        <w:t>截至资产负债表日，本公司没有使用寿命不确定的无形资产。</w:t>
      </w:r>
    </w:p>
    <w:p>
      <w:pPr>
        <w:spacing w:after="0" w:line="273"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3"/>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2）内部研究开发支出会计政策" w:id="200"/>
      <w:bookmarkEnd w:id="20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）内部研究开发支出会计政策</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line="273" w:lineRule="auto" w:before="0"/>
        <w:ind w:left="1374" w:right="1118" w:firstLine="15"/>
        <w:jc w:val="left"/>
        <w:rPr>
          <w:rFonts w:ascii="宋体" w:hAnsi="宋体" w:cs="宋体" w:eastAsia="宋体" w:hint="default"/>
          <w:sz w:val="21"/>
          <w:szCs w:val="21"/>
        </w:rPr>
      </w:pPr>
      <w:r>
        <w:rPr>
          <w:rFonts w:ascii="宋体" w:hAnsi="宋体" w:cs="宋体" w:eastAsia="宋体" w:hint="default"/>
          <w:sz w:val="21"/>
          <w:szCs w:val="21"/>
        </w:rPr>
        <w:t>公司内部研究开发项目的支出分为研究阶段支出和开发阶段支出。 </w:t>
      </w:r>
      <w:r>
        <w:rPr>
          <w:rFonts w:ascii="宋体" w:hAnsi="宋体" w:cs="宋体" w:eastAsia="宋体" w:hint="default"/>
          <w:spacing w:val="-1"/>
          <w:sz w:val="21"/>
          <w:szCs w:val="21"/>
        </w:rPr>
        <w:t>研究阶段：为获取并理解新的科学或技术知识等而进行的独创性的有计划调查、研究活动的</w:t>
      </w:r>
      <w:r>
        <w:rPr>
          <w:rFonts w:ascii="宋体" w:hAnsi="宋体" w:cs="宋体" w:eastAsia="宋体" w:hint="default"/>
          <w:sz w:val="21"/>
          <w:szCs w:val="21"/>
        </w:rPr>
        <w:t> 阶段。 </w:t>
      </w:r>
      <w:r>
        <w:rPr>
          <w:rFonts w:ascii="宋体" w:hAnsi="宋体" w:cs="宋体" w:eastAsia="宋体" w:hint="default"/>
          <w:spacing w:val="-1"/>
          <w:sz w:val="21"/>
          <w:szCs w:val="21"/>
        </w:rPr>
        <w:t>开发阶段：在进行商业性生产或使用前，将研究成果或其他知识应用于某项计划或设计，以</w:t>
      </w:r>
    </w:p>
    <w:p>
      <w:pPr>
        <w:tabs>
          <w:tab w:pos="6519" w:val="left" w:leader="none"/>
        </w:tabs>
        <w:spacing w:line="273" w:lineRule="auto" w:before="7"/>
        <w:ind w:left="1374" w:right="2056" w:hanging="1261"/>
        <w:jc w:val="left"/>
        <w:rPr>
          <w:rFonts w:ascii="宋体" w:hAnsi="宋体" w:cs="宋体" w:eastAsia="宋体" w:hint="default"/>
          <w:sz w:val="21"/>
          <w:szCs w:val="21"/>
        </w:rPr>
      </w:pPr>
      <w:r>
        <w:rPr>
          <w:rFonts w:ascii="宋体" w:hAnsi="宋体" w:cs="宋体" w:eastAsia="宋体" w:hint="default"/>
          <w:sz w:val="21"/>
          <w:szCs w:val="21"/>
        </w:rPr>
        <w:t>生产出新的或具有实质性改进的材料、装</w:t>
        <w:tab/>
        <w:t>置、产品等活动的阶段。 内部研究开发项目开发阶段的支出，同时满足下列条件时确认为无形资产：</w:t>
      </w:r>
    </w:p>
    <w:p>
      <w:pPr>
        <w:spacing w:before="7"/>
        <w:ind w:left="137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）完成该无形资产以使其能够使用或出售在技术上具有可行性；</w:t>
      </w:r>
    </w:p>
    <w:p>
      <w:pPr>
        <w:spacing w:before="21"/>
        <w:ind w:left="137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）具有完成该无形资产并使用或出售的意图；</w:t>
      </w:r>
    </w:p>
    <w:p>
      <w:pPr>
        <w:spacing w:line="256" w:lineRule="auto" w:before="21"/>
        <w:ind w:left="1374" w:right="119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）无形资产产生经济利益的方式，包括能够证明运用该无形资产生产的产品存在市场或 无形资产自身存在市场，无形资产将在内部使用的，能够证明其有用性；</w:t>
      </w:r>
    </w:p>
    <w:p>
      <w:pPr>
        <w:spacing w:line="256" w:lineRule="auto" w:before="22"/>
        <w:ind w:left="1374" w:right="119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4</w:t>
      </w:r>
      <w:r>
        <w:rPr>
          <w:rFonts w:ascii="宋体" w:hAnsi="宋体" w:cs="宋体" w:eastAsia="宋体" w:hint="default"/>
          <w:sz w:val="21"/>
          <w:szCs w:val="21"/>
        </w:rPr>
        <w:t>）有足够的技术、财务资源和其他资源支持，以完成该无形资产的开发，并有能力使用 或出售该无形资产；</w:t>
      </w:r>
    </w:p>
    <w:p>
      <w:pPr>
        <w:spacing w:line="264" w:lineRule="auto" w:before="22"/>
        <w:ind w:left="1390" w:right="1116" w:hanging="16"/>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5</w:t>
      </w:r>
      <w:r>
        <w:rPr>
          <w:rFonts w:ascii="宋体" w:hAnsi="宋体" w:cs="宋体" w:eastAsia="宋体" w:hint="default"/>
          <w:sz w:val="21"/>
          <w:szCs w:val="21"/>
        </w:rPr>
        <w:t>）归属于该无形资产开发阶段的支出能够可靠地计量。 </w:t>
      </w:r>
      <w:r>
        <w:rPr>
          <w:rFonts w:ascii="宋体" w:hAnsi="宋体" w:cs="宋体" w:eastAsia="宋体" w:hint="default"/>
          <w:spacing w:val="-1"/>
          <w:sz w:val="21"/>
          <w:szCs w:val="21"/>
        </w:rPr>
        <w:t>开发阶段的支出，若不满足上列条件的，于发生时计入当期损益。研究阶段的支出，在发生</w:t>
      </w:r>
      <w:r>
        <w:rPr>
          <w:rFonts w:ascii="宋体" w:hAnsi="宋体" w:cs="宋体" w:eastAsia="宋体" w:hint="default"/>
          <w:sz w:val="21"/>
          <w:szCs w:val="21"/>
        </w:rPr>
        <w:t> 时计入当期损益。</w:t>
      </w: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8"/>
          <w:szCs w:val="28"/>
        </w:rPr>
      </w:pPr>
    </w:p>
    <w:p>
      <w:pPr>
        <w:spacing w:before="0"/>
        <w:ind w:left="114" w:right="0" w:firstLine="0"/>
        <w:jc w:val="left"/>
        <w:rPr>
          <w:rFonts w:ascii="宋体" w:hAnsi="宋体" w:cs="宋体" w:eastAsia="宋体" w:hint="default"/>
          <w:sz w:val="21"/>
          <w:szCs w:val="21"/>
        </w:rPr>
      </w:pPr>
      <w:bookmarkStart w:name="22、长期资产减值" w:id="201"/>
      <w:bookmarkEnd w:id="201"/>
      <w:r>
        <w:rPr/>
      </w:r>
      <w:r>
        <w:rPr>
          <w:rFonts w:ascii="Times New Roman" w:hAnsi="Times New Roman" w:cs="Times New Roman" w:eastAsia="Times New Roman" w:hint="default"/>
          <w:b/>
          <w:bCs/>
          <w:sz w:val="21"/>
          <w:szCs w:val="21"/>
        </w:rPr>
        <w:t>22</w:t>
      </w:r>
      <w:r>
        <w:rPr>
          <w:rFonts w:ascii="宋体" w:hAnsi="宋体" w:cs="宋体" w:eastAsia="宋体" w:hint="default"/>
          <w:b/>
          <w:bCs/>
          <w:sz w:val="21"/>
          <w:szCs w:val="21"/>
        </w:rPr>
        <w:t>、长期资产减值</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line="273" w:lineRule="auto" w:before="0"/>
        <w:ind w:left="828" w:right="1008" w:firstLine="0"/>
        <w:jc w:val="left"/>
        <w:rPr>
          <w:rFonts w:ascii="宋体" w:hAnsi="宋体" w:cs="宋体" w:eastAsia="宋体" w:hint="default"/>
          <w:sz w:val="21"/>
          <w:szCs w:val="21"/>
        </w:rPr>
      </w:pPr>
      <w:r>
        <w:rPr>
          <w:rFonts w:ascii="宋体" w:hAnsi="宋体" w:cs="宋体" w:eastAsia="宋体" w:hint="default"/>
          <w:sz w:val="21"/>
          <w:szCs w:val="21"/>
        </w:rPr>
        <w:t>长期股权投资、采用成本模式计量的投资性房地产、固定资产、在建工程、使用寿命有限的无形 资产等长期资产，于资产负债表日存在减值迹象的，进行减值测试。减值测试结果表明资产的可 收回金额低于其账面价值的，按其差额计提减值准备并计入减值损失。可收回金额为资产的公允 价值减去处置费用后的净额与资产预计未来现金流量的现值两者之间的较高者。资产减值准备按 单项资产为基础计算并确认，如果难以对单项资产的可收回金额进行估计的，以该资产所属的资 产组确定资产组的可收回金额。资产组是能够独立产生现金流入的最小资产组合。 商誉和使用寿命不确定的无形资产至少在每年年度终了进行减值测试。 本公司进行商誉减值测试，对于因企业合并形成的商誉的账面价值，自购买日起按照合理的方法 分摊至相关的资产组；难以分摊至相关的资产组的，将其分摊至相关的资产组组合。在将商誉的 账面价值分摊至相关的资产组或者资产组组合时，按照各资产组或者资产组组合的公允价值占相 关资产组或者资产组组合公允价值总额的比例进行分摊。公允价值难以可靠计量的，按照各资产 组或者资产组组合的账面价值占相关资产组或者资产组组合账面价值总额的比例进行分摊。 在对包含商誉的相关资产组或者资产组组合进行减值测试时，如与商誉相关的资产组或者资产组 组合存在减值迹象的，先对不包含商誉的资产组或者资产组组合进行减值测试，计算可收回金额， 并与相关账面价值相比较，确认相应的减值损失。再对包含商誉的资产组或者资产组组合进行减 值测试，比较这些相关资产组或者资产组组合的账面价值（包括所分摊的商誉的账面价值部分） 与其可收回金额，如相关资产组或者资产组组合的可收回金额低于其账面价值的，确认商誉的减 值损失。</w:t>
      </w:r>
      <w:r>
        <w:rPr>
          <w:rFonts w:ascii="宋体" w:hAnsi="宋体" w:cs="宋体" w:eastAsia="宋体" w:hint="default"/>
          <w:spacing w:val="-21"/>
          <w:sz w:val="21"/>
          <w:szCs w:val="21"/>
        </w:rPr>
        <w:t> </w:t>
      </w:r>
      <w:r>
        <w:rPr>
          <w:rFonts w:ascii="宋体" w:hAnsi="宋体" w:cs="宋体" w:eastAsia="宋体" w:hint="default"/>
          <w:sz w:val="21"/>
          <w:szCs w:val="21"/>
        </w:rPr>
        <w:t>上述资产减值损失一经确认，在以后会计期间不予转回。</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spacing w:before="0"/>
        <w:ind w:left="114" w:right="0" w:firstLine="0"/>
        <w:jc w:val="left"/>
        <w:rPr>
          <w:rFonts w:ascii="宋体" w:hAnsi="宋体" w:cs="宋体" w:eastAsia="宋体" w:hint="default"/>
          <w:sz w:val="21"/>
          <w:szCs w:val="21"/>
        </w:rPr>
      </w:pPr>
      <w:bookmarkStart w:name="23、长期待摊费用" w:id="202"/>
      <w:bookmarkEnd w:id="202"/>
      <w:r>
        <w:rPr/>
      </w:r>
      <w:r>
        <w:rPr>
          <w:rFonts w:ascii="Times New Roman" w:hAnsi="Times New Roman" w:cs="Times New Roman" w:eastAsia="Times New Roman" w:hint="default"/>
          <w:b/>
          <w:bCs/>
          <w:sz w:val="21"/>
          <w:szCs w:val="21"/>
        </w:rPr>
        <w:t>23</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before="0"/>
        <w:ind w:left="828" w:right="0" w:firstLine="0"/>
        <w:jc w:val="left"/>
        <w:rPr>
          <w:rFonts w:ascii="宋体" w:hAnsi="宋体" w:cs="宋体" w:eastAsia="宋体" w:hint="default"/>
          <w:sz w:val="21"/>
          <w:szCs w:val="21"/>
        </w:rPr>
      </w:pPr>
      <w:r>
        <w:rPr>
          <w:rFonts w:ascii="宋体" w:hAnsi="宋体" w:cs="宋体" w:eastAsia="宋体" w:hint="default"/>
          <w:sz w:val="21"/>
          <w:szCs w:val="21"/>
        </w:rPr>
        <w:t>长期待摊费用为已经发生但应由本期和以后各期负担的分摊期限在一年以上的各项费用。</w:t>
      </w:r>
    </w:p>
    <w:p>
      <w:pPr>
        <w:spacing w:after="0"/>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before="35"/>
        <w:ind w:left="889" w:right="0" w:firstLine="0"/>
        <w:jc w:val="left"/>
        <w:rPr>
          <w:rFonts w:ascii="宋体" w:hAnsi="宋体" w:cs="宋体" w:eastAsia="宋体" w:hint="default"/>
          <w:sz w:val="21"/>
          <w:szCs w:val="21"/>
        </w:rPr>
      </w:pPr>
      <w:r>
        <w:rPr>
          <w:rFonts w:ascii="宋体" w:hAnsi="宋体" w:cs="宋体" w:eastAsia="宋体" w:hint="default"/>
          <w:b/>
          <w:bCs/>
          <w:sz w:val="21"/>
          <w:szCs w:val="21"/>
        </w:rPr>
        <w:t>摊销方法</w:t>
      </w:r>
      <w:r>
        <w:rPr>
          <w:rFonts w:ascii="宋体" w:hAnsi="宋体" w:cs="宋体" w:eastAsia="宋体" w:hint="default"/>
          <w:sz w:val="21"/>
          <w:szCs w:val="21"/>
        </w:rPr>
      </w:r>
    </w:p>
    <w:p>
      <w:pPr>
        <w:spacing w:line="273" w:lineRule="auto" w:before="37"/>
        <w:ind w:left="959" w:right="6327" w:firstLine="430"/>
        <w:jc w:val="left"/>
        <w:rPr>
          <w:rFonts w:ascii="宋体" w:hAnsi="宋体" w:cs="宋体" w:eastAsia="宋体" w:hint="default"/>
          <w:sz w:val="21"/>
          <w:szCs w:val="21"/>
        </w:rPr>
      </w:pPr>
      <w:r>
        <w:rPr>
          <w:rFonts w:ascii="宋体" w:hAnsi="宋体" w:cs="宋体" w:eastAsia="宋体" w:hint="default"/>
          <w:sz w:val="21"/>
          <w:szCs w:val="21"/>
        </w:rPr>
        <w:t>长期待摊费用在受益期内平均摊销 </w:t>
      </w:r>
      <w:r>
        <w:rPr>
          <w:rFonts w:ascii="宋体" w:hAnsi="宋体" w:cs="宋体" w:eastAsia="宋体" w:hint="default"/>
          <w:b/>
          <w:bCs/>
          <w:sz w:val="21"/>
          <w:szCs w:val="21"/>
        </w:rPr>
        <w:t>2.</w:t>
      </w:r>
      <w:r>
        <w:rPr>
          <w:rFonts w:ascii="宋体" w:hAnsi="宋体" w:cs="宋体" w:eastAsia="宋体" w:hint="default"/>
          <w:b/>
          <w:bCs/>
          <w:sz w:val="21"/>
          <w:szCs w:val="21"/>
        </w:rPr>
        <w:t>摊销年限</w:t>
      </w:r>
      <w:r>
        <w:rPr>
          <w:rFonts w:ascii="宋体" w:hAnsi="宋体" w:cs="宋体" w:eastAsia="宋体" w:hint="default"/>
          <w:sz w:val="21"/>
          <w:szCs w:val="21"/>
        </w:rPr>
      </w:r>
    </w:p>
    <w:p>
      <w:pPr>
        <w:spacing w:before="7"/>
        <w:ind w:left="1374" w:right="0" w:firstLine="0"/>
        <w:jc w:val="left"/>
        <w:rPr>
          <w:rFonts w:ascii="宋体" w:hAnsi="宋体" w:cs="宋体" w:eastAsia="宋体" w:hint="default"/>
          <w:sz w:val="21"/>
          <w:szCs w:val="21"/>
        </w:rPr>
      </w:pPr>
      <w:r>
        <w:rPr>
          <w:rFonts w:ascii="宋体" w:hAnsi="宋体" w:cs="宋体" w:eastAsia="宋体" w:hint="default"/>
          <w:sz w:val="21"/>
          <w:szCs w:val="21"/>
        </w:rPr>
        <w:t>经营租赁方式租入的固定资产改良支出，按最佳预期经济利益实现方式合理摊</w:t>
      </w:r>
    </w:p>
    <w:p>
      <w:pPr>
        <w:spacing w:before="37"/>
        <w:ind w:left="114" w:right="0" w:firstLine="0"/>
        <w:jc w:val="left"/>
        <w:rPr>
          <w:rFonts w:ascii="宋体" w:hAnsi="宋体" w:cs="宋体" w:eastAsia="宋体" w:hint="default"/>
          <w:sz w:val="21"/>
          <w:szCs w:val="21"/>
        </w:rPr>
      </w:pPr>
      <w:r>
        <w:rPr>
          <w:rFonts w:ascii="宋体" w:hAnsi="宋体" w:cs="宋体" w:eastAsia="宋体" w:hint="default"/>
          <w:sz w:val="21"/>
          <w:szCs w:val="21"/>
        </w:rPr>
        <w:t>销。</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77"/>
        <w:ind w:left="114" w:right="0" w:firstLine="0"/>
        <w:jc w:val="left"/>
        <w:rPr>
          <w:rFonts w:ascii="宋体" w:hAnsi="宋体" w:cs="宋体" w:eastAsia="宋体" w:hint="default"/>
          <w:sz w:val="21"/>
          <w:szCs w:val="21"/>
        </w:rPr>
      </w:pPr>
      <w:bookmarkStart w:name="24、职工薪酬" w:id="203"/>
      <w:bookmarkEnd w:id="203"/>
      <w:r>
        <w:rPr/>
      </w:r>
      <w:r>
        <w:rPr>
          <w:rFonts w:ascii="Times New Roman" w:hAnsi="Times New Roman" w:cs="Times New Roman" w:eastAsia="Times New Roman" w:hint="default"/>
          <w:b/>
          <w:bCs/>
          <w:sz w:val="21"/>
          <w:szCs w:val="21"/>
        </w:rPr>
        <w:t>24</w:t>
      </w:r>
      <w:r>
        <w:rPr>
          <w:rFonts w:ascii="宋体" w:hAnsi="宋体" w:cs="宋体" w:eastAsia="宋体" w:hint="default"/>
          <w:b/>
          <w:bCs/>
          <w:sz w:val="21"/>
          <w:szCs w:val="21"/>
        </w:rPr>
        <w:t>、职工薪酬</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短期薪酬的会计处理方法" w:id="204"/>
      <w:bookmarkEnd w:id="20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）短期薪酬的会计处理方法</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line="273" w:lineRule="auto" w:before="0"/>
        <w:ind w:left="1390" w:right="1116" w:firstLine="0"/>
        <w:jc w:val="left"/>
        <w:rPr>
          <w:rFonts w:ascii="宋体" w:hAnsi="宋体" w:cs="宋体" w:eastAsia="宋体" w:hint="default"/>
          <w:sz w:val="21"/>
          <w:szCs w:val="21"/>
        </w:rPr>
      </w:pPr>
      <w:r>
        <w:rPr>
          <w:rFonts w:ascii="宋体" w:hAnsi="宋体" w:cs="宋体" w:eastAsia="宋体" w:hint="default"/>
          <w:spacing w:val="-1"/>
          <w:sz w:val="21"/>
          <w:szCs w:val="21"/>
        </w:rPr>
        <w:t>本公司在职工为本公司提供服务的会计期间，将实际发生的短期薪酬确认为负债，并计入当</w:t>
      </w:r>
      <w:r>
        <w:rPr>
          <w:rFonts w:ascii="宋体" w:hAnsi="宋体" w:cs="宋体" w:eastAsia="宋体" w:hint="default"/>
          <w:sz w:val="21"/>
          <w:szCs w:val="21"/>
        </w:rPr>
        <w:t> 期损益或相关资产成本。 本公司为职工缴纳的社会保险费和住房公积金，以及按规定提取的工会经费和职工教育经 </w:t>
      </w:r>
      <w:r>
        <w:rPr>
          <w:rFonts w:ascii="宋体" w:hAnsi="宋体" w:cs="宋体" w:eastAsia="宋体" w:hint="default"/>
          <w:spacing w:val="-1"/>
          <w:sz w:val="21"/>
          <w:szCs w:val="21"/>
        </w:rPr>
        <w:t>费，在职工为本公司提供服务的会计期间，根据规定的计提基础和计提比例计算确定相应的</w:t>
      </w:r>
      <w:r>
        <w:rPr>
          <w:rFonts w:ascii="宋体" w:hAnsi="宋体" w:cs="宋体" w:eastAsia="宋体" w:hint="default"/>
          <w:sz w:val="21"/>
          <w:szCs w:val="21"/>
        </w:rPr>
        <w:t> 职工薪酬金额。</w:t>
      </w:r>
    </w:p>
    <w:p>
      <w:pPr>
        <w:spacing w:before="7"/>
        <w:ind w:left="1374" w:right="0" w:firstLine="0"/>
        <w:jc w:val="left"/>
        <w:rPr>
          <w:rFonts w:ascii="宋体" w:hAnsi="宋体" w:cs="宋体" w:eastAsia="宋体" w:hint="default"/>
          <w:sz w:val="21"/>
          <w:szCs w:val="21"/>
        </w:rPr>
      </w:pPr>
      <w:r>
        <w:rPr>
          <w:rFonts w:ascii="宋体" w:hAnsi="宋体" w:cs="宋体" w:eastAsia="宋体" w:hint="default"/>
          <w:sz w:val="21"/>
          <w:szCs w:val="21"/>
        </w:rPr>
        <w:t>职工福利费为非货币性福利的，如能够可靠计量的，按照公允价值计量。</w:t>
      </w:r>
    </w:p>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29"/>
          <w:szCs w:val="29"/>
        </w:rPr>
      </w:pPr>
    </w:p>
    <w:p>
      <w:pPr>
        <w:spacing w:before="0"/>
        <w:ind w:left="114" w:right="0" w:firstLine="0"/>
        <w:jc w:val="left"/>
        <w:rPr>
          <w:rFonts w:ascii="宋体" w:hAnsi="宋体" w:cs="宋体" w:eastAsia="宋体" w:hint="default"/>
          <w:sz w:val="21"/>
          <w:szCs w:val="21"/>
        </w:rPr>
      </w:pPr>
      <w:bookmarkStart w:name="（2）离职后福利的会计处理方法" w:id="205"/>
      <w:bookmarkEnd w:id="20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）离职后福利的会计处理方法</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line="273" w:lineRule="auto" w:before="0"/>
        <w:ind w:left="1390" w:right="1116" w:firstLine="0"/>
        <w:jc w:val="left"/>
        <w:rPr>
          <w:rFonts w:ascii="宋体" w:hAnsi="宋体" w:cs="宋体" w:eastAsia="宋体" w:hint="default"/>
          <w:sz w:val="21"/>
          <w:szCs w:val="21"/>
        </w:rPr>
      </w:pPr>
      <w:r>
        <w:rPr>
          <w:rFonts w:ascii="宋体" w:hAnsi="宋体" w:cs="宋体" w:eastAsia="宋体" w:hint="default"/>
          <w:sz w:val="21"/>
          <w:szCs w:val="21"/>
        </w:rPr>
        <w:t>设定提存计划 </w:t>
      </w:r>
      <w:r>
        <w:rPr>
          <w:rFonts w:ascii="宋体" w:hAnsi="宋体" w:cs="宋体" w:eastAsia="宋体" w:hint="default"/>
          <w:spacing w:val="-1"/>
          <w:sz w:val="21"/>
          <w:szCs w:val="21"/>
        </w:rPr>
        <w:t>本公司按当地政府的相关规定为职工缴纳基本养老保险和失业保险，在职工为本公司提供服</w:t>
      </w:r>
      <w:r>
        <w:rPr>
          <w:rFonts w:ascii="宋体" w:hAnsi="宋体" w:cs="宋体" w:eastAsia="宋体" w:hint="default"/>
          <w:sz w:val="21"/>
          <w:szCs w:val="21"/>
        </w:rPr>
        <w:t> </w:t>
      </w:r>
      <w:r>
        <w:rPr>
          <w:rFonts w:ascii="宋体" w:hAnsi="宋体" w:cs="宋体" w:eastAsia="宋体" w:hint="default"/>
          <w:spacing w:val="-2"/>
          <w:sz w:val="21"/>
          <w:szCs w:val="21"/>
        </w:rPr>
        <w:t>务的会计期间，按以当地规定的缴纳基数和比例计算应缴纳金额，确认为负债，并计入当期</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损益或相关资产成本。</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spacing w:before="0"/>
        <w:ind w:left="114" w:right="0" w:firstLine="0"/>
        <w:jc w:val="left"/>
        <w:rPr>
          <w:rFonts w:ascii="宋体" w:hAnsi="宋体" w:cs="宋体" w:eastAsia="宋体" w:hint="default"/>
          <w:sz w:val="21"/>
          <w:szCs w:val="21"/>
        </w:rPr>
      </w:pPr>
      <w:bookmarkStart w:name="（3）辞退福利的会计处理方法" w:id="206"/>
      <w:bookmarkEnd w:id="20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）辞退福利的会计处理方法</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line="273" w:lineRule="auto" w:before="0"/>
        <w:ind w:left="1390" w:right="1132" w:firstLine="0"/>
        <w:jc w:val="both"/>
        <w:rPr>
          <w:rFonts w:ascii="宋体" w:hAnsi="宋体" w:cs="宋体" w:eastAsia="宋体" w:hint="default"/>
          <w:sz w:val="21"/>
          <w:szCs w:val="21"/>
        </w:rPr>
      </w:pPr>
      <w:r>
        <w:rPr>
          <w:rFonts w:ascii="宋体" w:hAnsi="宋体" w:cs="宋体" w:eastAsia="宋体" w:hint="default"/>
          <w:spacing w:val="-1"/>
          <w:sz w:val="21"/>
          <w:szCs w:val="21"/>
        </w:rPr>
        <w:t>本公司在不能单方面撤回因解除劳动关系计划或裁减建议所提供的辞退福利时，或确认与涉</w:t>
      </w:r>
      <w:r>
        <w:rPr>
          <w:rFonts w:ascii="宋体" w:hAnsi="宋体" w:cs="宋体" w:eastAsia="宋体" w:hint="default"/>
          <w:sz w:val="21"/>
          <w:szCs w:val="21"/>
        </w:rPr>
        <w:t> </w:t>
      </w:r>
      <w:r>
        <w:rPr>
          <w:rFonts w:ascii="宋体" w:hAnsi="宋体" w:cs="宋体" w:eastAsia="宋体" w:hint="default"/>
          <w:spacing w:val="-3"/>
          <w:sz w:val="21"/>
          <w:szCs w:val="21"/>
        </w:rPr>
        <w:t>及支付辞退福利的重组相关的成本或费用时（两者孰早），确认辞退福利产生的职工薪酬负</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债，并计入当期损益。</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spacing w:before="0"/>
        <w:ind w:left="114" w:right="0" w:firstLine="0"/>
        <w:jc w:val="left"/>
        <w:rPr>
          <w:rFonts w:ascii="宋体" w:hAnsi="宋体" w:cs="宋体" w:eastAsia="宋体" w:hint="default"/>
          <w:sz w:val="21"/>
          <w:szCs w:val="21"/>
        </w:rPr>
      </w:pPr>
      <w:bookmarkStart w:name="（4）其他长期职工福利的会计处理方法" w:id="207"/>
      <w:bookmarkEnd w:id="20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）其他长期职工福利的会计处理方法</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25、预计负债" w:id="208"/>
      <w:bookmarkEnd w:id="208"/>
      <w:r>
        <w:rPr/>
      </w:r>
      <w:r>
        <w:rPr>
          <w:rFonts w:ascii="Times New Roman" w:hAnsi="Times New Roman" w:cs="Times New Roman" w:eastAsia="Times New Roman" w:hint="default"/>
          <w:b/>
          <w:bCs/>
          <w:sz w:val="21"/>
          <w:szCs w:val="21"/>
        </w:rPr>
        <w:t>25</w:t>
      </w:r>
      <w:r>
        <w:rPr>
          <w:rFonts w:ascii="宋体" w:hAnsi="宋体" w:cs="宋体" w:eastAsia="宋体" w:hint="default"/>
          <w:b/>
          <w:bCs/>
          <w:sz w:val="21"/>
          <w:szCs w:val="21"/>
        </w:rPr>
        <w:t>、预计负债</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26、股份支付" w:id="209"/>
      <w:bookmarkEnd w:id="209"/>
      <w:r>
        <w:rPr/>
      </w:r>
      <w:r>
        <w:rPr>
          <w:rFonts w:ascii="Times New Roman" w:hAnsi="Times New Roman" w:cs="Times New Roman" w:eastAsia="Times New Roman" w:hint="default"/>
          <w:b/>
          <w:bCs/>
          <w:sz w:val="21"/>
          <w:szCs w:val="21"/>
        </w:rPr>
        <w:t>26</w:t>
      </w:r>
      <w:r>
        <w:rPr>
          <w:rFonts w:ascii="宋体" w:hAnsi="宋体" w:cs="宋体" w:eastAsia="宋体" w:hint="default"/>
          <w:b/>
          <w:bCs/>
          <w:sz w:val="21"/>
          <w:szCs w:val="21"/>
        </w:rPr>
        <w:t>、股份支付</w:t>
      </w:r>
      <w:r>
        <w:rPr>
          <w:rFonts w:ascii="宋体" w:hAnsi="宋体" w:cs="宋体" w:eastAsia="宋体" w:hint="default"/>
          <w:sz w:val="21"/>
          <w:szCs w:val="21"/>
        </w:rPr>
      </w:r>
    </w:p>
    <w:p>
      <w:pPr>
        <w:spacing w:line="240" w:lineRule="auto" w:before="9"/>
        <w:rPr>
          <w:rFonts w:ascii="宋体" w:hAnsi="宋体" w:cs="宋体" w:eastAsia="宋体" w:hint="default"/>
          <w:b/>
          <w:bCs/>
          <w:sz w:val="24"/>
          <w:szCs w:val="24"/>
        </w:rPr>
      </w:pPr>
    </w:p>
    <w:p>
      <w:pPr>
        <w:spacing w:line="256" w:lineRule="auto" w:before="0"/>
        <w:ind w:left="828" w:right="1218" w:firstLine="0"/>
        <w:jc w:val="left"/>
        <w:rPr>
          <w:rFonts w:ascii="宋体" w:hAnsi="宋体" w:cs="宋体" w:eastAsia="宋体" w:hint="default"/>
          <w:sz w:val="21"/>
          <w:szCs w:val="21"/>
        </w:rPr>
      </w:pPr>
      <w:r>
        <w:rPr>
          <w:rFonts w:ascii="宋体" w:hAnsi="宋体" w:cs="宋体" w:eastAsia="宋体" w:hint="default"/>
          <w:sz w:val="21"/>
          <w:szCs w:val="21"/>
        </w:rPr>
        <w:t>本公司的股份支付是为了获取职工</w:t>
      </w:r>
      <w:r>
        <w:rPr>
          <w:rFonts w:ascii="Times New Roman" w:hAnsi="Times New Roman" w:cs="Times New Roman" w:eastAsia="Times New Roman" w:hint="default"/>
          <w:sz w:val="21"/>
          <w:szCs w:val="21"/>
        </w:rPr>
        <w:t>[</w:t>
      </w:r>
      <w:r>
        <w:rPr>
          <w:rFonts w:ascii="宋体" w:hAnsi="宋体" w:cs="宋体" w:eastAsia="宋体" w:hint="default"/>
          <w:sz w:val="21"/>
          <w:szCs w:val="21"/>
        </w:rPr>
        <w:t>或其他方</w:t>
      </w:r>
      <w:r>
        <w:rPr>
          <w:rFonts w:ascii="Times New Roman" w:hAnsi="Times New Roman" w:cs="Times New Roman" w:eastAsia="Times New Roman" w:hint="default"/>
          <w:sz w:val="21"/>
          <w:szCs w:val="21"/>
        </w:rPr>
        <w:t>]</w:t>
      </w:r>
      <w:r>
        <w:rPr>
          <w:rFonts w:ascii="宋体" w:hAnsi="宋体" w:cs="宋体" w:eastAsia="宋体" w:hint="default"/>
          <w:sz w:val="21"/>
          <w:szCs w:val="21"/>
        </w:rPr>
        <w:t>提供服务而授予权益工具或者承担以权益工具为基 础确定的负债的交易。本公司的股份支付分为以权益结算的股份支付和以现金结算的股份支付。</w:t>
      </w:r>
    </w:p>
    <w:p>
      <w:pPr>
        <w:spacing w:before="21"/>
        <w:ind w:left="1390" w:right="0" w:firstLine="0"/>
        <w:jc w:val="left"/>
        <w:rPr>
          <w:rFonts w:ascii="宋体" w:hAnsi="宋体" w:cs="宋体" w:eastAsia="宋体" w:hint="default"/>
          <w:sz w:val="21"/>
          <w:szCs w:val="21"/>
        </w:rPr>
      </w:pPr>
      <w:r>
        <w:rPr>
          <w:rFonts w:ascii="宋体" w:hAnsi="宋体" w:cs="宋体" w:eastAsia="宋体" w:hint="default"/>
          <w:b/>
          <w:bCs/>
          <w:sz w:val="21"/>
          <w:szCs w:val="21"/>
        </w:rPr>
        <w:t>以权益结算的股份支付及权益工具</w:t>
      </w:r>
      <w:r>
        <w:rPr>
          <w:rFonts w:ascii="宋体" w:hAnsi="宋体" w:cs="宋体" w:eastAsia="宋体" w:hint="default"/>
          <w:sz w:val="21"/>
          <w:szCs w:val="21"/>
        </w:rPr>
      </w:r>
    </w:p>
    <w:p>
      <w:pPr>
        <w:spacing w:after="0"/>
        <w:jc w:val="left"/>
        <w:rPr>
          <w:rFonts w:ascii="宋体" w:hAnsi="宋体" w:cs="宋体" w:eastAsia="宋体" w:hint="default"/>
          <w:sz w:val="21"/>
          <w:szCs w:val="21"/>
        </w:rPr>
        <w:sectPr>
          <w:footerReference w:type="default" r:id="rId19"/>
          <w:pgSz w:w="11910" w:h="16840"/>
          <w:pgMar w:footer="1543" w:header="889" w:top="1140" w:bottom="1740" w:left="1020" w:right="0"/>
          <w:pgNumType w:start="163"/>
        </w:sectPr>
      </w:pPr>
    </w:p>
    <w:p>
      <w:pPr>
        <w:spacing w:line="240" w:lineRule="auto" w:before="12"/>
        <w:rPr>
          <w:rFonts w:ascii="宋体" w:hAnsi="宋体" w:cs="宋体" w:eastAsia="宋体" w:hint="default"/>
          <w:b/>
          <w:bCs/>
          <w:sz w:val="18"/>
          <w:szCs w:val="18"/>
        </w:rPr>
      </w:pPr>
    </w:p>
    <w:p>
      <w:pPr>
        <w:spacing w:line="273" w:lineRule="auto" w:before="35"/>
        <w:ind w:left="1390" w:right="0" w:firstLine="0"/>
        <w:jc w:val="left"/>
        <w:rPr>
          <w:rFonts w:ascii="宋体" w:hAnsi="宋体" w:cs="宋体" w:eastAsia="宋体" w:hint="default"/>
          <w:sz w:val="21"/>
          <w:szCs w:val="21"/>
        </w:rPr>
      </w:pPr>
      <w:r>
        <w:rPr>
          <w:rFonts w:ascii="宋体" w:hAnsi="宋体" w:cs="宋体" w:eastAsia="宋体" w:hint="default"/>
          <w:sz w:val="21"/>
          <w:szCs w:val="21"/>
        </w:rPr>
        <w:t>以限制性股票进行股份支付的，职工出资认购股票，股票在达到解锁条件并解锁前不得上市 流通或转让；如果最终股权激励计划规定的解锁条件未能达到，则本公司按照事先约定的价 格回购股票。本公司取得职工认购限制性股票支付的款项时，按照取得的认股款确认股本和 </w:t>
      </w:r>
      <w:r>
        <w:rPr>
          <w:rFonts w:ascii="宋体" w:hAnsi="宋体" w:cs="宋体" w:eastAsia="宋体" w:hint="default"/>
          <w:spacing w:val="-3"/>
          <w:sz w:val="21"/>
          <w:szCs w:val="21"/>
        </w:rPr>
        <w:t>资本公积（股本溢价），同时就回购义务全额确认一项负债并确认库存股。在等待期内每个</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资产负债表日，本公司根据最新取得的可行权职工人数变动、是否达到规定业绩条件等后续</w:t>
      </w:r>
      <w:r>
        <w:rPr>
          <w:rFonts w:ascii="宋体" w:hAnsi="宋体" w:cs="宋体" w:eastAsia="宋体" w:hint="default"/>
          <w:sz w:val="21"/>
          <w:szCs w:val="21"/>
        </w:rPr>
        <w:t> 信息对可行权权益工具数量作出最佳估计，以此为基础，按照授予日的公允价值，将当期取 得的服务计入相关成本或费用，相应增加资本公积。在可行权日之后不再对已确认的相关成 本或费用和所有者权益总额进行调整。但授予后立即可行权的，在授予日按照公允价值计入 相关成本或费用，相应增加资本公积。 对于最终未能行权的股份支付，不确认成本或费用，除非行权条件是市场条件或非可行权条 </w:t>
      </w:r>
      <w:r>
        <w:rPr>
          <w:rFonts w:ascii="宋体" w:hAnsi="宋体" w:cs="宋体" w:eastAsia="宋体" w:hint="default"/>
          <w:spacing w:val="-4"/>
          <w:sz w:val="21"/>
          <w:szCs w:val="21"/>
        </w:rPr>
        <w:t>件，此时无论是否满足市场条件或非可行权条件，只要满足所有可行权条件中的非市场条件，</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即视为可行权。 如果修改了以权益结算的股份支付的条款，至少按照未修改条款的情况确认取得的服务。此</w:t>
      </w:r>
      <w:r>
        <w:rPr>
          <w:rFonts w:ascii="宋体" w:hAnsi="宋体" w:cs="宋体" w:eastAsia="宋体" w:hint="default"/>
          <w:sz w:val="21"/>
          <w:szCs w:val="21"/>
        </w:rPr>
        <w:t> 外，任何增加所授予权益工具公允价值的修改，或在修改日对职工有利的变更，均确认取得 服务的增加。 如果取消了以权益结算的股份支付，则于取消日作为加速行权处理，立即确认尚未确认的金 额。职工或其他方能够选择满足非可行权条件但在等待期内未满足的，作为取消以权益结算 的股份支付处理。但是，如果授予新的权益工具，并在新权益工具授予日认定所授予的新权 益工具是用于替代被取消的权益工具的，则以与处理原权益工具条款和条件修改相同的方 式，对所授予的替代权益工具进行处理。</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spacing w:before="0"/>
        <w:ind w:left="114" w:right="0" w:firstLine="0"/>
        <w:jc w:val="left"/>
        <w:rPr>
          <w:rFonts w:ascii="宋体" w:hAnsi="宋体" w:cs="宋体" w:eastAsia="宋体" w:hint="default"/>
          <w:sz w:val="21"/>
          <w:szCs w:val="21"/>
        </w:rPr>
      </w:pPr>
      <w:bookmarkStart w:name="27、优先股、永续债等其他金融工具" w:id="210"/>
      <w:bookmarkEnd w:id="210"/>
      <w:r>
        <w:rPr/>
      </w:r>
      <w:r>
        <w:rPr>
          <w:rFonts w:ascii="Times New Roman" w:hAnsi="Times New Roman" w:cs="Times New Roman" w:eastAsia="Times New Roman" w:hint="default"/>
          <w:b/>
          <w:bCs/>
          <w:sz w:val="21"/>
          <w:szCs w:val="21"/>
        </w:rPr>
        <w:t>27</w:t>
      </w:r>
      <w:r>
        <w:rPr>
          <w:rFonts w:ascii="宋体" w:hAnsi="宋体" w:cs="宋体" w:eastAsia="宋体" w:hint="default"/>
          <w:b/>
          <w:bCs/>
          <w:sz w:val="21"/>
          <w:szCs w:val="21"/>
        </w:rPr>
        <w:t>、优先股、永续债等其他金融工具</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28、收入" w:id="211"/>
      <w:bookmarkEnd w:id="211"/>
      <w:r>
        <w:rPr/>
      </w:r>
      <w:r>
        <w:rPr>
          <w:rFonts w:ascii="Times New Roman" w:hAnsi="Times New Roman" w:cs="Times New Roman" w:eastAsia="Times New Roman" w:hint="default"/>
          <w:b/>
          <w:bCs/>
          <w:sz w:val="21"/>
          <w:szCs w:val="21"/>
        </w:rPr>
        <w:t>28</w:t>
      </w:r>
      <w:r>
        <w:rPr>
          <w:rFonts w:ascii="宋体" w:hAnsi="宋体" w:cs="宋体" w:eastAsia="宋体" w:hint="default"/>
          <w:b/>
          <w:bCs/>
          <w:sz w:val="21"/>
          <w:szCs w:val="21"/>
        </w:rPr>
        <w:t>、收入</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57" w:lineRule="auto" w:before="0"/>
        <w:ind w:left="114" w:right="7692" w:firstLine="0"/>
        <w:jc w:val="left"/>
        <w:rPr>
          <w:rFonts w:ascii="宋体" w:hAnsi="宋体" w:cs="宋体" w:eastAsia="宋体" w:hint="default"/>
          <w:sz w:val="18"/>
          <w:szCs w:val="18"/>
        </w:rPr>
      </w:pPr>
      <w:r>
        <w:rPr>
          <w:rFonts w:ascii="宋体" w:hAnsi="宋体" w:cs="宋体" w:eastAsia="宋体" w:hint="default"/>
          <w:sz w:val="18"/>
          <w:szCs w:val="18"/>
        </w:rPr>
        <w:t>公司是否需要遵守特殊行业的披露要求 是</w:t>
      </w:r>
    </w:p>
    <w:p>
      <w:pPr>
        <w:spacing w:before="29"/>
        <w:ind w:left="114" w:right="0" w:firstLine="0"/>
        <w:jc w:val="left"/>
        <w:rPr>
          <w:rFonts w:ascii="宋体" w:hAnsi="宋体" w:cs="宋体" w:eastAsia="宋体" w:hint="default"/>
          <w:sz w:val="18"/>
          <w:szCs w:val="18"/>
        </w:rPr>
      </w:pPr>
      <w:r>
        <w:rPr>
          <w:rFonts w:ascii="宋体" w:hAnsi="宋体" w:cs="宋体" w:eastAsia="宋体" w:hint="default"/>
          <w:sz w:val="18"/>
          <w:szCs w:val="18"/>
        </w:rPr>
        <w:t>软件与信息技术服务业</w:t>
      </w:r>
    </w:p>
    <w:p>
      <w:pPr>
        <w:spacing w:before="116"/>
        <w:ind w:left="114" w:right="0"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号——上市公司从事软件与信息技术服务业务》的披露要求</w:t>
      </w:r>
    </w:p>
    <w:p>
      <w:pPr>
        <w:tabs>
          <w:tab w:pos="2568" w:val="left" w:leader="none"/>
        </w:tabs>
        <w:spacing w:line="268" w:lineRule="auto" w:before="75"/>
        <w:ind w:left="1374" w:right="1131" w:firstLine="350"/>
        <w:jc w:val="left"/>
        <w:rPr>
          <w:rFonts w:ascii="宋体" w:hAnsi="宋体" w:cs="宋体" w:eastAsia="宋体" w:hint="default"/>
          <w:sz w:val="21"/>
          <w:szCs w:val="21"/>
        </w:rPr>
      </w:pPr>
      <w:r>
        <w:rPr>
          <w:rFonts w:ascii="Times New Roman" w:hAnsi="Times New Roman" w:cs="Times New Roman" w:eastAsia="Times New Roman" w:hint="default"/>
          <w:b/>
          <w:bCs/>
          <w:w w:val="95"/>
          <w:sz w:val="21"/>
          <w:szCs w:val="21"/>
        </w:rPr>
        <w:t>1</w:t>
      </w:r>
      <w:r>
        <w:rPr>
          <w:rFonts w:ascii="宋体" w:hAnsi="宋体" w:cs="宋体" w:eastAsia="宋体" w:hint="default"/>
          <w:b/>
          <w:bCs/>
          <w:w w:val="95"/>
          <w:sz w:val="21"/>
          <w:szCs w:val="21"/>
        </w:rPr>
        <w:t>、</w:t>
        <w:tab/>
      </w:r>
      <w:r>
        <w:rPr>
          <w:rFonts w:ascii="宋体" w:hAnsi="宋体" w:cs="宋体" w:eastAsia="宋体" w:hint="default"/>
          <w:b/>
          <w:bCs/>
          <w:sz w:val="21"/>
          <w:szCs w:val="21"/>
        </w:rPr>
        <w:t>销售商品收入的确认标准</w:t>
      </w:r>
      <w:r>
        <w:rPr>
          <w:rFonts w:ascii="宋体" w:hAnsi="宋体" w:cs="宋体" w:eastAsia="宋体" w:hint="default"/>
          <w:b/>
          <w:bCs/>
          <w:w w:val="99"/>
          <w:sz w:val="21"/>
          <w:szCs w:val="21"/>
        </w:rPr>
        <w:t> </w:t>
      </w:r>
      <w:r>
        <w:rPr>
          <w:rFonts w:ascii="宋体" w:hAnsi="宋体" w:cs="宋体" w:eastAsia="宋体" w:hint="default"/>
          <w:spacing w:val="-1"/>
          <w:sz w:val="21"/>
          <w:szCs w:val="21"/>
        </w:rPr>
        <w:t>公司已将商品所有权上的主要风险和报酬转移给购买方；公司既没有保留与所有权相联系的</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1"/>
          <w:sz w:val="21"/>
          <w:szCs w:val="21"/>
        </w:rPr>
        <w:t>继续管理权，也没有对已售出的商品实施有效控制；收入的金额能够可靠地计量；相关的经</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1"/>
          <w:sz w:val="21"/>
          <w:szCs w:val="21"/>
        </w:rPr>
        <w:t>济利益很可能流入公司；相关的已发生或将发生的成本能够可靠地计量时，确认商品销售收</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入实现。</w:t>
      </w:r>
    </w:p>
    <w:p>
      <w:pPr>
        <w:spacing w:line="240" w:lineRule="auto" w:before="10"/>
        <w:rPr>
          <w:rFonts w:ascii="宋体" w:hAnsi="宋体" w:cs="宋体" w:eastAsia="宋体" w:hint="default"/>
          <w:sz w:val="24"/>
          <w:szCs w:val="24"/>
        </w:rPr>
      </w:pPr>
    </w:p>
    <w:p>
      <w:pPr>
        <w:spacing w:line="264" w:lineRule="auto" w:before="0"/>
        <w:ind w:left="1374" w:right="0" w:hanging="4"/>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w:t>
      </w:r>
      <w:r>
        <w:rPr>
          <w:rFonts w:ascii="宋体" w:hAnsi="宋体" w:cs="宋体" w:eastAsia="宋体" w:hint="default"/>
          <w:b/>
          <w:bCs/>
          <w:spacing w:val="1"/>
          <w:sz w:val="21"/>
          <w:szCs w:val="21"/>
        </w:rPr>
        <w:t> </w:t>
      </w:r>
      <w:r>
        <w:rPr>
          <w:rFonts w:ascii="宋体" w:hAnsi="宋体" w:cs="宋体" w:eastAsia="宋体" w:hint="default"/>
          <w:b/>
          <w:bCs/>
          <w:sz w:val="21"/>
          <w:szCs w:val="21"/>
        </w:rPr>
        <w:t>确认让渡资产使用权收入的依据</w:t>
      </w:r>
      <w:r>
        <w:rPr>
          <w:rFonts w:ascii="宋体" w:hAnsi="宋体" w:cs="宋体" w:eastAsia="宋体" w:hint="default"/>
          <w:b/>
          <w:bCs/>
          <w:w w:val="99"/>
          <w:sz w:val="21"/>
          <w:szCs w:val="21"/>
        </w:rPr>
        <w:t> </w:t>
      </w:r>
      <w:r>
        <w:rPr>
          <w:rFonts w:ascii="宋体" w:hAnsi="宋体" w:cs="宋体" w:eastAsia="宋体" w:hint="default"/>
          <w:spacing w:val="-1"/>
          <w:sz w:val="21"/>
          <w:szCs w:val="21"/>
        </w:rPr>
        <w:t>与交易相关的经济利益很可能流入公司，收入的金额能够可靠地计量时。分别下列情况确定</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让渡资产使用权收入金额：</w:t>
      </w:r>
    </w:p>
    <w:p>
      <w:pPr>
        <w:spacing w:before="16"/>
        <w:ind w:left="137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）利息收入金额，按照他人使用本公司货币资金的时间和实际利率计算确定。</w:t>
      </w:r>
    </w:p>
    <w:p>
      <w:pPr>
        <w:spacing w:before="21"/>
        <w:ind w:left="1370" w:right="0" w:firstLine="3"/>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）使用费收入金额，按照有关合同或协议约定的收费时间和方法计算确定。</w:t>
      </w:r>
    </w:p>
    <w:p>
      <w:pPr>
        <w:spacing w:line="240" w:lineRule="auto" w:before="6"/>
        <w:rPr>
          <w:rFonts w:ascii="宋体" w:hAnsi="宋体" w:cs="宋体" w:eastAsia="宋体" w:hint="default"/>
          <w:sz w:val="25"/>
          <w:szCs w:val="25"/>
        </w:rPr>
      </w:pPr>
    </w:p>
    <w:p>
      <w:pPr>
        <w:spacing w:line="256" w:lineRule="auto" w:before="0"/>
        <w:ind w:left="1374" w:right="1302" w:hanging="4"/>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w:t>
      </w:r>
      <w:r>
        <w:rPr>
          <w:rFonts w:ascii="宋体" w:hAnsi="宋体" w:cs="宋体" w:eastAsia="宋体" w:hint="default"/>
          <w:b/>
          <w:bCs/>
          <w:spacing w:val="1"/>
          <w:sz w:val="21"/>
          <w:szCs w:val="21"/>
        </w:rPr>
        <w:t> </w:t>
      </w:r>
      <w:r>
        <w:rPr>
          <w:rFonts w:ascii="宋体" w:hAnsi="宋体" w:cs="宋体" w:eastAsia="宋体" w:hint="default"/>
          <w:b/>
          <w:bCs/>
          <w:sz w:val="21"/>
          <w:szCs w:val="21"/>
        </w:rPr>
        <w:t>按完工百分比法确认提供劳务的收入时，确定合同完工进度的依据和方法</w:t>
      </w:r>
      <w:r>
        <w:rPr>
          <w:rFonts w:ascii="宋体" w:hAnsi="宋体" w:cs="宋体" w:eastAsia="宋体" w:hint="default"/>
          <w:b/>
          <w:bCs/>
          <w:w w:val="99"/>
          <w:sz w:val="21"/>
          <w:szCs w:val="21"/>
        </w:rPr>
        <w:t> </w:t>
      </w:r>
      <w:r>
        <w:rPr>
          <w:rFonts w:ascii="宋体" w:hAnsi="宋体" w:cs="宋体" w:eastAsia="宋体" w:hint="default"/>
          <w:sz w:val="21"/>
          <w:szCs w:val="21"/>
        </w:rPr>
        <w:t>在资产负债表日提供劳务交易的结果能够可靠估计的，采用完工百分比法确认提供劳务收</w:t>
      </w:r>
    </w:p>
    <w:p>
      <w:pPr>
        <w:spacing w:after="0" w:line="256" w:lineRule="auto"/>
        <w:jc w:val="left"/>
        <w:rPr>
          <w:rFonts w:ascii="宋体" w:hAnsi="宋体" w:cs="宋体" w:eastAsia="宋体" w:hint="default"/>
          <w:sz w:val="21"/>
          <w:szCs w:val="21"/>
        </w:rPr>
        <w:sectPr>
          <w:footerReference w:type="default" r:id="rId20"/>
          <w:pgSz w:w="11910" w:h="16840"/>
          <w:pgMar w:footer="1019" w:header="889" w:top="1140" w:bottom="1200" w:left="1020" w:right="0"/>
          <w:pgNumType w:start="164"/>
        </w:sectPr>
      </w:pPr>
    </w:p>
    <w:p>
      <w:pPr>
        <w:spacing w:line="240" w:lineRule="auto" w:before="12"/>
        <w:rPr>
          <w:rFonts w:ascii="宋体" w:hAnsi="宋体" w:cs="宋体" w:eastAsia="宋体" w:hint="default"/>
          <w:sz w:val="18"/>
          <w:szCs w:val="18"/>
        </w:rPr>
      </w:pPr>
    </w:p>
    <w:p>
      <w:pPr>
        <w:spacing w:line="273" w:lineRule="auto" w:before="35"/>
        <w:ind w:left="1374" w:right="0" w:firstLine="0"/>
        <w:jc w:val="left"/>
        <w:rPr>
          <w:rFonts w:ascii="宋体" w:hAnsi="宋体" w:cs="宋体" w:eastAsia="宋体" w:hint="default"/>
          <w:sz w:val="21"/>
          <w:szCs w:val="21"/>
        </w:rPr>
      </w:pPr>
      <w:r>
        <w:rPr>
          <w:rFonts w:ascii="宋体" w:hAnsi="宋体" w:cs="宋体" w:eastAsia="宋体" w:hint="default"/>
          <w:spacing w:val="-1"/>
          <w:sz w:val="21"/>
          <w:szCs w:val="21"/>
        </w:rPr>
        <w:t>入。提供劳务交易的完工进度，依据已完工作的测量（或已经提供的劳务占应提供劳务总量</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的比例或已经发生的成本占估计总成本的比例）确定。 </w:t>
      </w:r>
      <w:r>
        <w:rPr>
          <w:rFonts w:ascii="宋体" w:hAnsi="宋体" w:cs="宋体" w:eastAsia="宋体" w:hint="default"/>
          <w:spacing w:val="-1"/>
          <w:sz w:val="21"/>
          <w:szCs w:val="21"/>
        </w:rPr>
        <w:t>按照已收或应收的合同或协议价款确定提供劳务收入总额，但已收或应收的合同或协议价款</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1"/>
          <w:sz w:val="21"/>
          <w:szCs w:val="21"/>
        </w:rPr>
        <w:t>不公允的除外。资产负债表日按照提供劳务收入总额乘以完工进度扣除以前会计期间累计已</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1"/>
          <w:sz w:val="21"/>
          <w:szCs w:val="21"/>
        </w:rPr>
        <w:t>确认提供劳务收入后的金额，确认当期提供劳务收入；同时，按照提供劳务估计总成本乘以</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完工进度扣除以前会计期间累计已确认劳务成本后的金额，结转当期劳务成本。 在资产负债表日提供劳务交易结果不能够可靠估计的，分别下列情况处理：</w:t>
      </w:r>
    </w:p>
    <w:p>
      <w:pPr>
        <w:spacing w:line="256" w:lineRule="auto" w:before="7"/>
        <w:ind w:left="1374" w:right="119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）已经发生的劳务成本预计能够得到补偿的，按照已经发生的劳务成本金额确认提供劳 务收入，并按相同金额结转劳务成本。</w:t>
      </w:r>
    </w:p>
    <w:p>
      <w:pPr>
        <w:spacing w:line="256" w:lineRule="auto" w:before="22"/>
        <w:ind w:left="1374" w:right="1197"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）已经发生的劳务成本预计不能够得到补偿的，将已经发生的劳务成本计入当期损益， 不确认提供劳务收入。</w:t>
      </w:r>
    </w:p>
    <w:p>
      <w:pPr>
        <w:spacing w:line="240" w:lineRule="auto" w:before="7"/>
        <w:rPr>
          <w:rFonts w:ascii="宋体" w:hAnsi="宋体" w:cs="宋体" w:eastAsia="宋体" w:hint="default"/>
          <w:sz w:val="25"/>
          <w:szCs w:val="25"/>
        </w:rPr>
      </w:pPr>
    </w:p>
    <w:p>
      <w:pPr>
        <w:spacing w:line="256" w:lineRule="auto" w:before="0"/>
        <w:ind w:left="1374" w:right="1932" w:hanging="4"/>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w:t>
      </w:r>
      <w:r>
        <w:rPr>
          <w:rFonts w:ascii="宋体" w:hAnsi="宋体" w:cs="宋体" w:eastAsia="宋体" w:hint="default"/>
          <w:b/>
          <w:bCs/>
          <w:spacing w:val="1"/>
          <w:sz w:val="21"/>
          <w:szCs w:val="21"/>
        </w:rPr>
        <w:t> </w:t>
      </w:r>
      <w:r>
        <w:rPr>
          <w:rFonts w:ascii="宋体" w:hAnsi="宋体" w:cs="宋体" w:eastAsia="宋体" w:hint="default"/>
          <w:b/>
          <w:bCs/>
          <w:sz w:val="21"/>
          <w:szCs w:val="21"/>
        </w:rPr>
        <w:t>公司收入的具体确认标准</w:t>
      </w:r>
      <w:r>
        <w:rPr>
          <w:rFonts w:ascii="宋体" w:hAnsi="宋体" w:cs="宋体" w:eastAsia="宋体" w:hint="default"/>
          <w:b/>
          <w:bCs/>
          <w:w w:val="99"/>
          <w:sz w:val="21"/>
          <w:szCs w:val="21"/>
        </w:rPr>
        <w:t> </w:t>
      </w:r>
      <w:r>
        <w:rPr>
          <w:rFonts w:ascii="宋体" w:hAnsi="宋体" w:cs="宋体" w:eastAsia="宋体" w:hint="default"/>
          <w:sz w:val="21"/>
          <w:szCs w:val="21"/>
        </w:rPr>
        <w:t>本公司的业务主要分为应用软件开发与销售、系统集成、技术支持与服务三部分。</w:t>
      </w:r>
    </w:p>
    <w:p>
      <w:pPr>
        <w:spacing w:line="264" w:lineRule="auto" w:before="22"/>
        <w:ind w:left="137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）应用软件开发与销售，是指根据客户的需求，利用开发工具为客户提供一整套实现某 </w:t>
      </w:r>
      <w:r>
        <w:rPr>
          <w:rFonts w:ascii="宋体" w:hAnsi="宋体" w:cs="宋体" w:eastAsia="宋体" w:hint="default"/>
          <w:spacing w:val="-1"/>
          <w:sz w:val="21"/>
          <w:szCs w:val="21"/>
        </w:rPr>
        <w:t>种功能的软件产品或者利用已有产品进行的二次开发以满足客户的某种特定需求。该类收入</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按照合同约定、在项目实施完成并经对方验收合格后确认收入的实现。</w:t>
      </w:r>
    </w:p>
    <w:p>
      <w:pPr>
        <w:spacing w:line="268" w:lineRule="auto" w:before="16"/>
        <w:ind w:left="1374" w:right="109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）技术支持与服务，是指利用软硬件专业知识向客户提供的有偿软硬件后续服务，包括 系统维护、软硬件应用与支持、软件产品维护与升级。该类收入中对服务内容、服务期限、 </w:t>
      </w:r>
      <w:r>
        <w:rPr>
          <w:rFonts w:ascii="宋体" w:hAnsi="宋体" w:cs="宋体" w:eastAsia="宋体" w:hint="default"/>
          <w:spacing w:val="-1"/>
          <w:sz w:val="21"/>
          <w:szCs w:val="21"/>
        </w:rPr>
        <w:t>收入总额、收款条件均有明确约定的服务合同，根据合同规定在服务期间内分期确认收入的</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实现；其他服务合同在提供服务的结果能够可靠估计的情况下，在合同约定的服务期限内， 经用户确认后确认收入的实现。</w:t>
      </w:r>
    </w:p>
    <w:p>
      <w:pPr>
        <w:spacing w:line="268" w:lineRule="auto" w:before="12"/>
        <w:ind w:left="137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3</w:t>
      </w:r>
      <w:r>
        <w:rPr>
          <w:rFonts w:ascii="宋体" w:hAnsi="宋体" w:cs="宋体" w:eastAsia="宋体" w:hint="default"/>
          <w:sz w:val="21"/>
          <w:szCs w:val="21"/>
        </w:rPr>
        <w:t>）系统集成项目业务，是指按照客户需求提供档案、食品流通追索、政法等领域信息化 </w:t>
      </w:r>
      <w:r>
        <w:rPr>
          <w:rFonts w:ascii="宋体" w:hAnsi="宋体" w:cs="宋体" w:eastAsia="宋体" w:hint="default"/>
          <w:spacing w:val="-3"/>
          <w:sz w:val="21"/>
          <w:szCs w:val="21"/>
        </w:rPr>
        <w:t>整体解决方案，通过本公司自制软件产品和外购硬件（原材料、设备等），以工程项目的形</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pacing w:val="-1"/>
          <w:sz w:val="21"/>
          <w:szCs w:val="21"/>
        </w:rPr>
        <w:t>式对整体方案予以实现。其收入确认的具体方法为：对于系统集成项目，公司根据合同的约</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1"/>
          <w:sz w:val="21"/>
          <w:szCs w:val="21"/>
        </w:rPr>
        <w:t>定，在系统集成项目中的软件产品和外购硬件（原材料、设备等）已交付给客户，系统已按</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合同约定的条件完成安装调试，通过客户验收完成后确认收入的实现。</w:t>
      </w:r>
    </w:p>
    <w:p>
      <w:pPr>
        <w:spacing w:line="240" w:lineRule="auto" w:before="0"/>
        <w:rPr>
          <w:rFonts w:ascii="宋体" w:hAnsi="宋体" w:cs="宋体" w:eastAsia="宋体" w:hint="default"/>
          <w:sz w:val="20"/>
          <w:szCs w:val="20"/>
        </w:rPr>
      </w:pPr>
    </w:p>
    <w:p>
      <w:pPr>
        <w:spacing w:line="240" w:lineRule="auto" w:before="10"/>
        <w:rPr>
          <w:rFonts w:ascii="宋体" w:hAnsi="宋体" w:cs="宋体" w:eastAsia="宋体" w:hint="default"/>
          <w:sz w:val="27"/>
          <w:szCs w:val="27"/>
        </w:rPr>
      </w:pPr>
    </w:p>
    <w:p>
      <w:pPr>
        <w:spacing w:before="0"/>
        <w:ind w:left="114" w:right="0" w:firstLine="0"/>
        <w:jc w:val="left"/>
        <w:rPr>
          <w:rFonts w:ascii="宋体" w:hAnsi="宋体" w:cs="宋体" w:eastAsia="宋体" w:hint="default"/>
          <w:sz w:val="21"/>
          <w:szCs w:val="21"/>
        </w:rPr>
      </w:pPr>
      <w:bookmarkStart w:name="29、政府补助" w:id="212"/>
      <w:bookmarkEnd w:id="212"/>
      <w:r>
        <w:rPr/>
      </w:r>
      <w:r>
        <w:rPr>
          <w:rFonts w:ascii="Times New Roman" w:hAnsi="Times New Roman" w:cs="Times New Roman" w:eastAsia="Times New Roman" w:hint="default"/>
          <w:b/>
          <w:bCs/>
          <w:sz w:val="21"/>
          <w:szCs w:val="21"/>
        </w:rPr>
        <w:t>29</w:t>
      </w:r>
      <w:r>
        <w:rPr>
          <w:rFonts w:ascii="宋体" w:hAnsi="宋体" w:cs="宋体" w:eastAsia="宋体" w:hint="default"/>
          <w:b/>
          <w:bCs/>
          <w:sz w:val="21"/>
          <w:szCs w:val="21"/>
        </w:rPr>
        <w:t>、政府补助</w:t>
      </w:r>
      <w:r>
        <w:rPr>
          <w:rFonts w:ascii="宋体" w:hAnsi="宋体" w:cs="宋体" w:eastAsia="宋体" w:hint="default"/>
          <w:sz w:val="21"/>
          <w:szCs w:val="21"/>
        </w:rPr>
      </w:r>
    </w:p>
    <w:p>
      <w:pPr>
        <w:spacing w:line="240" w:lineRule="auto" w:before="11"/>
        <w:rPr>
          <w:rFonts w:ascii="宋体" w:hAnsi="宋体" w:cs="宋体" w:eastAsia="宋体" w:hint="default"/>
          <w:b/>
          <w:bCs/>
          <w:sz w:val="21"/>
          <w:szCs w:val="21"/>
        </w:rPr>
      </w:pPr>
    </w:p>
    <w:p>
      <w:pPr>
        <w:spacing w:before="35"/>
        <w:ind w:left="889" w:right="0" w:firstLine="0"/>
        <w:jc w:val="left"/>
        <w:rPr>
          <w:rFonts w:ascii="宋体" w:hAnsi="宋体" w:cs="宋体" w:eastAsia="宋体" w:hint="default"/>
          <w:sz w:val="21"/>
          <w:szCs w:val="21"/>
        </w:rPr>
      </w:pPr>
      <w:r>
        <w:rPr>
          <w:rFonts w:ascii="宋体" w:hAnsi="宋体" w:cs="宋体" w:eastAsia="宋体" w:hint="default"/>
          <w:b/>
          <w:bCs/>
          <w:sz w:val="21"/>
          <w:szCs w:val="21"/>
        </w:rPr>
        <w:t>类型</w:t>
      </w:r>
      <w:r>
        <w:rPr>
          <w:rFonts w:ascii="宋体" w:hAnsi="宋体" w:cs="宋体" w:eastAsia="宋体" w:hint="default"/>
          <w:sz w:val="21"/>
          <w:szCs w:val="21"/>
        </w:rPr>
      </w:r>
    </w:p>
    <w:p>
      <w:pPr>
        <w:spacing w:line="273" w:lineRule="auto" w:before="37"/>
        <w:ind w:left="1390" w:right="1116" w:firstLine="0"/>
        <w:jc w:val="left"/>
        <w:rPr>
          <w:rFonts w:ascii="宋体" w:hAnsi="宋体" w:cs="宋体" w:eastAsia="宋体" w:hint="default"/>
          <w:sz w:val="21"/>
          <w:szCs w:val="21"/>
        </w:rPr>
      </w:pPr>
      <w:r>
        <w:rPr>
          <w:rFonts w:ascii="宋体" w:hAnsi="宋体" w:cs="宋体" w:eastAsia="宋体" w:hint="default"/>
          <w:spacing w:val="-1"/>
          <w:sz w:val="21"/>
          <w:szCs w:val="21"/>
        </w:rPr>
        <w:t>政府补助，是本公司从政府无偿取得的货币性资产与非货币性资产。分为与资产相关的政府</w:t>
      </w:r>
      <w:r>
        <w:rPr>
          <w:rFonts w:ascii="宋体" w:hAnsi="宋体" w:cs="宋体" w:eastAsia="宋体" w:hint="default"/>
          <w:sz w:val="21"/>
          <w:szCs w:val="21"/>
        </w:rPr>
        <w:t> 补助和与收益相关的政府补助。 </w:t>
      </w:r>
      <w:r>
        <w:rPr>
          <w:rFonts w:ascii="宋体" w:hAnsi="宋体" w:cs="宋体" w:eastAsia="宋体" w:hint="default"/>
          <w:spacing w:val="-1"/>
          <w:sz w:val="21"/>
          <w:szCs w:val="21"/>
        </w:rPr>
        <w:t>与资产相关的政府补助，是指本公司取得的、用于购建或以其他方式形成长期资产的政府补</w:t>
      </w:r>
      <w:r>
        <w:rPr>
          <w:rFonts w:ascii="宋体" w:hAnsi="宋体" w:cs="宋体" w:eastAsia="宋体" w:hint="default"/>
          <w:sz w:val="21"/>
          <w:szCs w:val="21"/>
        </w:rPr>
        <w:t> 助。与收益相关的政府补助，是指除与资产相关的政府补助之外的政府补助。</w:t>
      </w:r>
    </w:p>
    <w:p>
      <w:pPr>
        <w:spacing w:line="240" w:lineRule="auto" w:before="6"/>
        <w:rPr>
          <w:rFonts w:ascii="宋体" w:hAnsi="宋体" w:cs="宋体" w:eastAsia="宋体" w:hint="default"/>
          <w:sz w:val="24"/>
          <w:szCs w:val="24"/>
        </w:rPr>
      </w:pPr>
    </w:p>
    <w:p>
      <w:pPr>
        <w:spacing w:line="273" w:lineRule="auto" w:before="0"/>
        <w:ind w:left="1390" w:right="1116" w:firstLine="0"/>
        <w:jc w:val="left"/>
        <w:rPr>
          <w:rFonts w:ascii="宋体" w:hAnsi="宋体" w:cs="宋体" w:eastAsia="宋体" w:hint="default"/>
          <w:sz w:val="21"/>
          <w:szCs w:val="21"/>
        </w:rPr>
      </w:pPr>
      <w:r>
        <w:rPr>
          <w:rFonts w:ascii="宋体" w:hAnsi="宋体" w:cs="宋体" w:eastAsia="宋体" w:hint="default"/>
          <w:spacing w:val="-1"/>
          <w:sz w:val="21"/>
          <w:szCs w:val="21"/>
        </w:rPr>
        <w:t>本公司将政府补助划分为与资产相关的具体标准为：企业取得的，用于购建或以其他方式形</w:t>
      </w:r>
      <w:r>
        <w:rPr>
          <w:rFonts w:ascii="宋体" w:hAnsi="宋体" w:cs="宋体" w:eastAsia="宋体" w:hint="default"/>
          <w:sz w:val="21"/>
          <w:szCs w:val="21"/>
        </w:rPr>
        <w:t> 成长期资产的政府补助； </w:t>
      </w:r>
      <w:r>
        <w:rPr>
          <w:rFonts w:ascii="宋体" w:hAnsi="宋体" w:cs="宋体" w:eastAsia="宋体" w:hint="default"/>
          <w:spacing w:val="-1"/>
          <w:sz w:val="21"/>
          <w:szCs w:val="21"/>
        </w:rPr>
        <w:t>本公司将政府补助划分为与收益相关的具体标准为：除与资产相关的政府补助之外的政府补</w:t>
      </w:r>
      <w:r>
        <w:rPr>
          <w:rFonts w:ascii="宋体" w:hAnsi="宋体" w:cs="宋体" w:eastAsia="宋体" w:hint="default"/>
          <w:sz w:val="21"/>
          <w:szCs w:val="21"/>
        </w:rPr>
        <w:t> 助； </w:t>
      </w:r>
      <w:r>
        <w:rPr>
          <w:rFonts w:ascii="宋体" w:hAnsi="宋体" w:cs="宋体" w:eastAsia="宋体" w:hint="default"/>
          <w:spacing w:val="-1"/>
          <w:sz w:val="21"/>
          <w:szCs w:val="21"/>
        </w:rPr>
        <w:t>对于政府文件未明确规定补助对象的，本公司将该政府补助划分为与资产相关或与收益相关</w:t>
      </w:r>
      <w:r>
        <w:rPr>
          <w:rFonts w:ascii="宋体" w:hAnsi="宋体" w:cs="宋体" w:eastAsia="宋体" w:hint="default"/>
          <w:sz w:val="21"/>
          <w:szCs w:val="21"/>
        </w:rPr>
        <w:t> 的判断依据为：是否用于购建或以其他方式形成长期资产。</w:t>
      </w:r>
    </w:p>
    <w:p>
      <w:pPr>
        <w:spacing w:after="0" w:line="273"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before="35"/>
        <w:ind w:left="889" w:right="0" w:firstLine="0"/>
        <w:jc w:val="left"/>
        <w:rPr>
          <w:rFonts w:ascii="宋体" w:hAnsi="宋体" w:cs="宋体" w:eastAsia="宋体" w:hint="default"/>
          <w:sz w:val="21"/>
          <w:szCs w:val="21"/>
        </w:rPr>
      </w:pPr>
      <w:r>
        <w:rPr>
          <w:rFonts w:ascii="宋体" w:hAnsi="宋体" w:cs="宋体" w:eastAsia="宋体" w:hint="default"/>
          <w:b/>
          <w:bCs/>
          <w:sz w:val="21"/>
          <w:szCs w:val="21"/>
        </w:rPr>
        <w:t>确认时点</w:t>
      </w:r>
      <w:r>
        <w:rPr>
          <w:rFonts w:ascii="宋体" w:hAnsi="宋体" w:cs="宋体" w:eastAsia="宋体" w:hint="default"/>
          <w:sz w:val="21"/>
          <w:szCs w:val="21"/>
        </w:rPr>
      </w:r>
    </w:p>
    <w:p>
      <w:pPr>
        <w:spacing w:before="37"/>
        <w:ind w:left="1390" w:right="0" w:firstLine="0"/>
        <w:jc w:val="left"/>
        <w:rPr>
          <w:rFonts w:ascii="宋体" w:hAnsi="宋体" w:cs="宋体" w:eastAsia="宋体" w:hint="default"/>
          <w:sz w:val="21"/>
          <w:szCs w:val="21"/>
        </w:rPr>
      </w:pPr>
      <w:r>
        <w:rPr>
          <w:rFonts w:ascii="宋体" w:hAnsi="宋体" w:cs="宋体" w:eastAsia="宋体" w:hint="default"/>
          <w:sz w:val="21"/>
          <w:szCs w:val="21"/>
        </w:rPr>
        <w:t>公司实际取得政府补助款项作为确认时点。</w:t>
      </w:r>
    </w:p>
    <w:p>
      <w:pPr>
        <w:spacing w:line="240" w:lineRule="auto" w:before="9"/>
        <w:rPr>
          <w:rFonts w:ascii="宋体" w:hAnsi="宋体" w:cs="宋体" w:eastAsia="宋体" w:hint="default"/>
          <w:sz w:val="26"/>
          <w:szCs w:val="26"/>
        </w:rPr>
      </w:pPr>
    </w:p>
    <w:p>
      <w:pPr>
        <w:spacing w:before="0"/>
        <w:ind w:left="889" w:right="0" w:firstLine="0"/>
        <w:jc w:val="left"/>
        <w:rPr>
          <w:rFonts w:ascii="宋体" w:hAnsi="宋体" w:cs="宋体" w:eastAsia="宋体" w:hint="default"/>
          <w:sz w:val="21"/>
          <w:szCs w:val="21"/>
        </w:rPr>
      </w:pPr>
      <w:r>
        <w:rPr>
          <w:rFonts w:ascii="宋体" w:hAnsi="宋体" w:cs="宋体" w:eastAsia="宋体" w:hint="default"/>
          <w:b/>
          <w:bCs/>
          <w:sz w:val="21"/>
          <w:szCs w:val="21"/>
        </w:rPr>
        <w:t>会计处理</w:t>
      </w:r>
      <w:r>
        <w:rPr>
          <w:rFonts w:ascii="宋体" w:hAnsi="宋体" w:cs="宋体" w:eastAsia="宋体" w:hint="default"/>
          <w:sz w:val="21"/>
          <w:szCs w:val="21"/>
        </w:rPr>
      </w:r>
    </w:p>
    <w:p>
      <w:pPr>
        <w:spacing w:line="273" w:lineRule="auto" w:before="37"/>
        <w:ind w:left="1390" w:right="0" w:firstLine="0"/>
        <w:jc w:val="left"/>
        <w:rPr>
          <w:rFonts w:ascii="宋体" w:hAnsi="宋体" w:cs="宋体" w:eastAsia="宋体" w:hint="default"/>
          <w:sz w:val="21"/>
          <w:szCs w:val="21"/>
        </w:rPr>
      </w:pPr>
      <w:r>
        <w:rPr>
          <w:rFonts w:ascii="宋体" w:hAnsi="宋体" w:cs="宋体" w:eastAsia="宋体" w:hint="default"/>
          <w:sz w:val="21"/>
          <w:szCs w:val="21"/>
        </w:rPr>
        <w:t>本公司对政府补助采用总额法进行核算。 与资产相关的政府补助，冲减相关资产账面价值或确认为递延收益。确认为递延收益的，在 相关资产使用寿命内按照合理、系统的方法分期计入当期损益（与本公司日常活动相关的， </w:t>
      </w:r>
      <w:r>
        <w:rPr>
          <w:rFonts w:ascii="宋体" w:hAnsi="宋体" w:cs="宋体" w:eastAsia="宋体" w:hint="default"/>
          <w:spacing w:val="-4"/>
          <w:sz w:val="21"/>
          <w:szCs w:val="21"/>
        </w:rPr>
        <w:t>计入其他收益；与本公司日常活动无关的，计入营业外收入）；</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与收益相关的政府补助，用于补偿本公司以后期间的相关成本费用或损失的，确认为递延收</w:t>
      </w:r>
      <w:r>
        <w:rPr>
          <w:rFonts w:ascii="宋体" w:hAnsi="宋体" w:cs="宋体" w:eastAsia="宋体" w:hint="default"/>
          <w:sz w:val="21"/>
          <w:szCs w:val="21"/>
        </w:rPr>
        <w:t> 益，并在确认相关成本费用或损失的期间，计入当期损益（与本公司日常活动相关的，计入 其他收益；与本公司日常活动无关的，计入营业外收入）或冲减相关成本费用或损失；用于 </w:t>
      </w:r>
      <w:r>
        <w:rPr>
          <w:rFonts w:ascii="宋体" w:hAnsi="宋体" w:cs="宋体" w:eastAsia="宋体" w:hint="default"/>
          <w:spacing w:val="-4"/>
          <w:sz w:val="21"/>
          <w:szCs w:val="21"/>
        </w:rPr>
        <w:t>补偿本公司已发生的相关成本费用或损失的，直接计入当期损益（与本公司日常活动相关的，</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计入其他收益；与本公司日常活动无关的，计入营业外收入）或冲减相关成本费用或损失。</w:t>
      </w:r>
    </w:p>
    <w:p>
      <w:pPr>
        <w:spacing w:line="240" w:lineRule="auto" w:before="6"/>
        <w:rPr>
          <w:rFonts w:ascii="宋体" w:hAnsi="宋体" w:cs="宋体" w:eastAsia="宋体" w:hint="default"/>
          <w:sz w:val="24"/>
          <w:szCs w:val="24"/>
        </w:rPr>
      </w:pPr>
    </w:p>
    <w:p>
      <w:pPr>
        <w:spacing w:before="0"/>
        <w:ind w:left="1390" w:right="0" w:firstLine="0"/>
        <w:jc w:val="left"/>
        <w:rPr>
          <w:rFonts w:ascii="宋体" w:hAnsi="宋体" w:cs="宋体" w:eastAsia="宋体" w:hint="default"/>
          <w:sz w:val="21"/>
          <w:szCs w:val="21"/>
        </w:rPr>
      </w:pPr>
      <w:r>
        <w:rPr>
          <w:rFonts w:ascii="宋体" w:hAnsi="宋体" w:cs="宋体" w:eastAsia="宋体" w:hint="default"/>
          <w:sz w:val="21"/>
          <w:szCs w:val="21"/>
        </w:rPr>
        <w:t>本公司取得的政策性优惠贷款贴息，区分以下两种情况，分别进行会计处理：</w:t>
      </w:r>
    </w:p>
    <w:p>
      <w:pPr>
        <w:spacing w:line="264" w:lineRule="auto" w:before="37"/>
        <w:ind w:left="1390" w:right="1012"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1</w:t>
      </w:r>
      <w:r>
        <w:rPr>
          <w:rFonts w:ascii="宋体" w:hAnsi="宋体" w:cs="宋体" w:eastAsia="宋体" w:hint="default"/>
          <w:spacing w:val="-1"/>
          <w:sz w:val="21"/>
          <w:szCs w:val="21"/>
        </w:rPr>
        <w:t>）财政将贴息资金拨付给贷款银行，由贷款银行以政策性优惠利率向本公司提供贷款的，</w:t>
      </w:r>
      <w:r>
        <w:rPr>
          <w:rFonts w:ascii="宋体" w:hAnsi="宋体" w:cs="宋体" w:eastAsia="宋体" w:hint="default"/>
          <w:sz w:val="21"/>
          <w:szCs w:val="21"/>
        </w:rPr>
        <w:t> 本公司以实际收到的借款金额作为借款的入账价值，按照借款本金和该政策性优惠利率计算 相关借款费用。</w:t>
      </w:r>
    </w:p>
    <w:p>
      <w:pPr>
        <w:spacing w:before="16"/>
        <w:ind w:left="1390"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）财政将贴息资金直接拨付给本公司的，本公司将对应的贴息冲减相关借款费用。</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0、递延所得税资产/递延所得税负债" w:id="213"/>
      <w:bookmarkEnd w:id="213"/>
      <w:r>
        <w:rPr/>
      </w:r>
      <w:r>
        <w:rPr>
          <w:rFonts w:ascii="Times New Roman" w:hAnsi="Times New Roman" w:cs="Times New Roman" w:eastAsia="Times New Roman" w:hint="default"/>
          <w:b/>
          <w:bCs/>
          <w:sz w:val="21"/>
          <w:szCs w:val="21"/>
        </w:rPr>
        <w:t>30</w:t>
      </w:r>
      <w:r>
        <w:rPr>
          <w:rFonts w:ascii="宋体" w:hAnsi="宋体" w:cs="宋体" w:eastAsia="宋体" w:hint="default"/>
          <w:b/>
          <w:bCs/>
          <w:sz w:val="21"/>
          <w:szCs w:val="21"/>
        </w:rPr>
        <w:t>、递延所得税资产</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递延所得税负债</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line="273" w:lineRule="auto" w:before="0"/>
        <w:ind w:left="828" w:right="1218" w:firstLine="0"/>
        <w:jc w:val="left"/>
        <w:rPr>
          <w:rFonts w:ascii="宋体" w:hAnsi="宋体" w:cs="宋体" w:eastAsia="宋体" w:hint="default"/>
          <w:sz w:val="21"/>
          <w:szCs w:val="21"/>
        </w:rPr>
      </w:pPr>
      <w:r>
        <w:rPr>
          <w:rFonts w:ascii="宋体" w:hAnsi="宋体" w:cs="宋体" w:eastAsia="宋体" w:hint="default"/>
          <w:sz w:val="21"/>
          <w:szCs w:val="21"/>
        </w:rPr>
        <w:t>对于可抵扣暂时性差异确认递延所得税资产，以未来期间很可能取得的用来抵扣可抵扣暂时性差 异的应纳税所得额为限。对于能够结转以后年度的可抵扣亏损和税款抵减，以很可能获得用来抵 扣可抵扣亏损和税款抵减的未来应纳税所得额为限，确认相应的递延所得税资产。 对于应纳税暂时性差异，除特殊情况外，确认递延所得税负债。 不确认递延所得税资产或递延所得税负债的特殊情况包括：商誉的初始确认；除企业合并以外的 发生时既不影响会计利润也不影响应纳税所得额（或可抵扣亏损）的其他交易或事项。 当拥有以净额结算的法定权利，且意图以净额结算或取得资产、清偿负债同时进行时，当期所得 税资产及当期所得税负债以抵销后的净额列报。 当拥有以净额结算当期所得税资产及当期所得税负债的法定权利，且递延所得税资产及递延所得 税负债是与同一税收征管部门对同一纳税主体征收的所得税相关或者是对不同的纳税主体相关， 但在未来每一具有重要性的递延所得税资产及负债转回的期间内，涉及的纳税主体意图以净额结 算当期所得税资产和负债或是同时取得资产、清偿负债时，递延所得税资产及递延所得税负债以 抵销后的净额列报。</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spacing w:before="0"/>
        <w:ind w:left="114" w:right="0" w:firstLine="0"/>
        <w:jc w:val="left"/>
        <w:rPr>
          <w:rFonts w:ascii="宋体" w:hAnsi="宋体" w:cs="宋体" w:eastAsia="宋体" w:hint="default"/>
          <w:sz w:val="21"/>
          <w:szCs w:val="21"/>
        </w:rPr>
      </w:pPr>
      <w:bookmarkStart w:name="31、租赁" w:id="214"/>
      <w:bookmarkEnd w:id="214"/>
      <w:r>
        <w:rPr/>
      </w:r>
      <w:r>
        <w:rPr>
          <w:rFonts w:ascii="Times New Roman" w:hAnsi="Times New Roman" w:cs="Times New Roman" w:eastAsia="Times New Roman" w:hint="default"/>
          <w:b/>
          <w:bCs/>
          <w:sz w:val="21"/>
          <w:szCs w:val="21"/>
        </w:rPr>
        <w:t>31</w:t>
      </w:r>
      <w:r>
        <w:rPr>
          <w:rFonts w:ascii="宋体" w:hAnsi="宋体" w:cs="宋体" w:eastAsia="宋体" w:hint="default"/>
          <w:b/>
          <w:bCs/>
          <w:sz w:val="21"/>
          <w:szCs w:val="21"/>
        </w:rPr>
        <w:t>、租赁</w:t>
      </w:r>
      <w:r>
        <w:rPr>
          <w:rFonts w:ascii="宋体" w:hAnsi="宋体" w:cs="宋体" w:eastAsia="宋体" w:hint="default"/>
          <w:sz w:val="21"/>
          <w:szCs w:val="21"/>
        </w:rPr>
      </w:r>
    </w:p>
    <w:p>
      <w:pPr>
        <w:spacing w:line="240" w:lineRule="auto" w:before="9"/>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经营租赁的会计处理方法" w:id="215"/>
      <w:bookmarkEnd w:id="21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）经营租赁的会计处理方法</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line="273" w:lineRule="auto" w:before="0"/>
        <w:ind w:left="1390" w:right="0" w:firstLine="0"/>
        <w:jc w:val="left"/>
        <w:rPr>
          <w:rFonts w:ascii="宋体" w:hAnsi="宋体" w:cs="宋体" w:eastAsia="宋体" w:hint="default"/>
          <w:sz w:val="21"/>
          <w:szCs w:val="21"/>
        </w:rPr>
      </w:pPr>
      <w:r>
        <w:rPr>
          <w:rFonts w:ascii="宋体" w:hAnsi="宋体" w:cs="宋体" w:eastAsia="宋体" w:hint="default"/>
          <w:spacing w:val="-2"/>
          <w:sz w:val="21"/>
          <w:szCs w:val="21"/>
        </w:rPr>
        <w:t>公司租入资产所支付的租赁费，在不扣除免租期的整个租赁期内，按直线法进行分摊，计入</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当期费用。公司支付的与租赁交易相关的初始直接费用，计入当期费用。</w:t>
      </w:r>
    </w:p>
    <w:p>
      <w:pPr>
        <w:spacing w:after="0" w:line="273"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line="273" w:lineRule="auto" w:before="35"/>
        <w:ind w:left="1390" w:right="1116" w:firstLine="0"/>
        <w:jc w:val="left"/>
        <w:rPr>
          <w:rFonts w:ascii="宋体" w:hAnsi="宋体" w:cs="宋体" w:eastAsia="宋体" w:hint="default"/>
          <w:sz w:val="21"/>
          <w:szCs w:val="21"/>
        </w:rPr>
      </w:pPr>
      <w:r>
        <w:rPr>
          <w:rFonts w:ascii="宋体" w:hAnsi="宋体" w:cs="宋体" w:eastAsia="宋体" w:hint="default"/>
          <w:spacing w:val="-1"/>
          <w:sz w:val="21"/>
          <w:szCs w:val="21"/>
        </w:rPr>
        <w:t>资产出租方承担了应由公司承担的与租赁相关的费用时，公司将该部分费用从租金总额中扣</w:t>
      </w:r>
      <w:r>
        <w:rPr>
          <w:rFonts w:ascii="宋体" w:hAnsi="宋体" w:cs="宋体" w:eastAsia="宋体" w:hint="default"/>
          <w:sz w:val="21"/>
          <w:szCs w:val="21"/>
        </w:rPr>
        <w:t> 除，按扣除后的租金费用在租赁期内分摊，计入当期费用。 </w:t>
      </w:r>
      <w:r>
        <w:rPr>
          <w:rFonts w:ascii="宋体" w:hAnsi="宋体" w:cs="宋体" w:eastAsia="宋体" w:hint="default"/>
          <w:spacing w:val="-2"/>
          <w:sz w:val="21"/>
          <w:szCs w:val="21"/>
        </w:rPr>
        <w:t>公司出租资产所收取的租赁费，在不扣除免租期的整个租赁期内，按直线法进行分摊，确认</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pacing w:val="-2"/>
          <w:sz w:val="21"/>
          <w:szCs w:val="21"/>
        </w:rPr>
        <w:t>为租赁相关收入。公司支付的与租赁交易相关的初始直接费用，计入当期费用；如金额较大</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pacing w:val="-1"/>
          <w:sz w:val="21"/>
          <w:szCs w:val="21"/>
        </w:rPr>
        <w:t>的，则予以资本化，在整个租赁期间内按照与租赁相关收入确认相同的基础分期计入当期收</w:t>
      </w:r>
      <w:r>
        <w:rPr>
          <w:rFonts w:ascii="宋体" w:hAnsi="宋体" w:cs="宋体" w:eastAsia="宋体" w:hint="default"/>
          <w:sz w:val="21"/>
          <w:szCs w:val="21"/>
        </w:rPr>
        <w:t> 益。 </w:t>
      </w:r>
      <w:r>
        <w:rPr>
          <w:rFonts w:ascii="宋体" w:hAnsi="宋体" w:cs="宋体" w:eastAsia="宋体" w:hint="default"/>
          <w:spacing w:val="-1"/>
          <w:sz w:val="21"/>
          <w:szCs w:val="21"/>
        </w:rPr>
        <w:t>公司承担了应由承租方承担的与租赁相关的费用时，公司将该部分费用从租金收入总额中扣</w:t>
      </w:r>
      <w:r>
        <w:rPr>
          <w:rFonts w:ascii="宋体" w:hAnsi="宋体" w:cs="宋体" w:eastAsia="宋体" w:hint="default"/>
          <w:sz w:val="21"/>
          <w:szCs w:val="21"/>
        </w:rPr>
        <w:t> 除，按扣除后的租金费用在租赁期内分配。</w:t>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7"/>
          <w:szCs w:val="27"/>
        </w:rPr>
      </w:pPr>
    </w:p>
    <w:p>
      <w:pPr>
        <w:spacing w:before="0"/>
        <w:ind w:left="114" w:right="0" w:firstLine="0"/>
        <w:jc w:val="left"/>
        <w:rPr>
          <w:rFonts w:ascii="宋体" w:hAnsi="宋体" w:cs="宋体" w:eastAsia="宋体" w:hint="default"/>
          <w:sz w:val="21"/>
          <w:szCs w:val="21"/>
        </w:rPr>
      </w:pPr>
      <w:bookmarkStart w:name="（2）融资租赁的会计处理方法" w:id="216"/>
      <w:bookmarkEnd w:id="21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）融资租赁的会计处理方法</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line="273" w:lineRule="auto" w:before="0"/>
        <w:ind w:left="1390" w:right="0" w:firstLine="0"/>
        <w:jc w:val="left"/>
        <w:rPr>
          <w:rFonts w:ascii="宋体" w:hAnsi="宋体" w:cs="宋体" w:eastAsia="宋体" w:hint="default"/>
          <w:sz w:val="21"/>
          <w:szCs w:val="21"/>
        </w:rPr>
      </w:pPr>
      <w:r>
        <w:rPr>
          <w:rFonts w:ascii="宋体" w:hAnsi="宋体" w:cs="宋体" w:eastAsia="宋体" w:hint="default"/>
          <w:sz w:val="21"/>
          <w:szCs w:val="21"/>
        </w:rPr>
        <w:t>融资租入资产：公司在承租开始日，将租赁资产公允价值与最低租赁付款额现值两者中较低 者作为租入资产的入账价值，将最低租赁付款额作为长期应付款的入账价值，其差额作为未 确认的融资费用。公司采用实际利率法对未确认的融资费用，在资产租赁期间内摊销，计入 财务费用。公司发生的初始直接费用，计入租入资产价值。 融资租出资产：公司在租赁开始日，将应收融资租赁款，未担保余值之和与其现值的差额确 认为未实现融资收益，在将来收到租金的各期间内确认为租赁收入。公司发生的与出租交易 </w:t>
      </w:r>
      <w:r>
        <w:rPr>
          <w:rFonts w:ascii="宋体" w:hAnsi="宋体" w:cs="宋体" w:eastAsia="宋体" w:hint="default"/>
          <w:spacing w:val="-4"/>
          <w:sz w:val="21"/>
          <w:szCs w:val="21"/>
        </w:rPr>
        <w:t>相关的初始直接费用，计入应收融资租赁款的初始计量中，并减少租赁期内确认的收益金额。</w:t>
      </w:r>
    </w:p>
    <w:p>
      <w:pPr>
        <w:spacing w:line="240" w:lineRule="auto" w:before="8"/>
        <w:rPr>
          <w:rFonts w:ascii="宋体" w:hAnsi="宋体" w:cs="宋体" w:eastAsia="宋体" w:hint="default"/>
          <w:sz w:val="24"/>
          <w:szCs w:val="24"/>
        </w:rPr>
      </w:pPr>
    </w:p>
    <w:p>
      <w:pPr>
        <w:spacing w:line="590" w:lineRule="atLeast" w:before="0"/>
        <w:ind w:left="853" w:right="7381" w:hanging="740"/>
        <w:jc w:val="left"/>
        <w:rPr>
          <w:rFonts w:ascii="宋体" w:hAnsi="宋体" w:cs="宋体" w:eastAsia="宋体" w:hint="default"/>
          <w:sz w:val="21"/>
          <w:szCs w:val="21"/>
        </w:rPr>
      </w:pPr>
      <w:bookmarkStart w:name="32、其他重要的会计政策和会计估计" w:id="217"/>
      <w:bookmarkEnd w:id="217"/>
      <w:r>
        <w:rPr/>
      </w:r>
      <w:r>
        <w:rPr>
          <w:rFonts w:ascii="Times New Roman" w:hAnsi="Times New Roman" w:cs="Times New Roman" w:eastAsia="Times New Roman" w:hint="default"/>
          <w:b/>
          <w:bCs/>
          <w:sz w:val="21"/>
          <w:szCs w:val="21"/>
        </w:rPr>
        <w:t>32</w:t>
      </w:r>
      <w:r>
        <w:rPr>
          <w:rFonts w:ascii="宋体" w:hAnsi="宋体" w:cs="宋体" w:eastAsia="宋体" w:hint="default"/>
          <w:b/>
          <w:bCs/>
          <w:sz w:val="21"/>
          <w:szCs w:val="21"/>
        </w:rPr>
        <w:t>、其他重要的会计政策和会计估计</w:t>
      </w:r>
      <w:r>
        <w:rPr>
          <w:rFonts w:ascii="宋体" w:hAnsi="宋体" w:cs="宋体" w:eastAsia="宋体" w:hint="default"/>
          <w:b/>
          <w:bCs/>
          <w:w w:val="99"/>
          <w:sz w:val="21"/>
          <w:szCs w:val="21"/>
        </w:rPr>
        <w:t> </w:t>
      </w:r>
      <w:r>
        <w:rPr>
          <w:rFonts w:ascii="宋体" w:hAnsi="宋体" w:cs="宋体" w:eastAsia="宋体" w:hint="default"/>
          <w:b/>
          <w:bCs/>
          <w:sz w:val="21"/>
          <w:szCs w:val="21"/>
        </w:rPr>
        <w:t>回购本公司股份</w:t>
      </w:r>
      <w:r>
        <w:rPr>
          <w:rFonts w:ascii="宋体" w:hAnsi="宋体" w:cs="宋体" w:eastAsia="宋体" w:hint="default"/>
          <w:sz w:val="21"/>
          <w:szCs w:val="21"/>
        </w:rPr>
      </w:r>
    </w:p>
    <w:p>
      <w:pPr>
        <w:spacing w:line="268" w:lineRule="auto" w:before="37"/>
        <w:ind w:left="828" w:right="1122" w:firstLine="0"/>
        <w:jc w:val="left"/>
        <w:rPr>
          <w:rFonts w:ascii="宋体" w:hAnsi="宋体" w:cs="宋体" w:eastAsia="宋体" w:hint="default"/>
          <w:sz w:val="21"/>
          <w:szCs w:val="21"/>
        </w:rPr>
      </w:pPr>
      <w:r>
        <w:rPr>
          <w:rFonts w:ascii="宋体" w:hAnsi="宋体" w:cs="宋体" w:eastAsia="宋体" w:hint="default"/>
          <w:sz w:val="21"/>
          <w:szCs w:val="21"/>
        </w:rPr>
        <w:t>公司按法定程序报经批准采用收购本公司股票方式减资的，按注销股票面值总额减少股本，购回 股票支付的价款（含交易费用）与股票面值的差额调整所有者权益，超过面值总额的部分，依次 </w:t>
      </w:r>
      <w:r>
        <w:rPr>
          <w:rFonts w:ascii="宋体" w:hAnsi="宋体" w:cs="宋体" w:eastAsia="宋体" w:hint="default"/>
          <w:spacing w:val="-3"/>
          <w:sz w:val="21"/>
          <w:szCs w:val="21"/>
        </w:rPr>
        <w:t>冲减资本公积（股本溢价）、盈余公积和未分配利润；低于面值总额的，低于面值总额的部分增加</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10"/>
          <w:sz w:val="21"/>
          <w:szCs w:val="21"/>
        </w:rPr>
        <w:t>资本公积（股本溢价）。</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公司回购的股份在注销或者转让之前，作为库存股管理，回购股份的全部支出转作库存股成本。 </w:t>
      </w:r>
      <w:r>
        <w:rPr>
          <w:rFonts w:ascii="宋体" w:hAnsi="宋体" w:cs="宋体" w:eastAsia="宋体" w:hint="default"/>
          <w:spacing w:val="-1"/>
          <w:sz w:val="21"/>
          <w:szCs w:val="21"/>
        </w:rPr>
        <w:t>库存股转让时，转让收入高于库存股成本的部分，增加资本公积</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股本溢价</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；低于库存股成本的部</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1"/>
          <w:sz w:val="21"/>
          <w:szCs w:val="21"/>
        </w:rPr>
        <w:t>分，依次冲减资本公积</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股本溢价</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、盈余公积、未分配利润。低于库存股成本的部分，依次冲减资</w:t>
      </w:r>
      <w:r>
        <w:rPr>
          <w:rFonts w:ascii="宋体" w:hAnsi="宋体" w:cs="宋体" w:eastAsia="宋体" w:hint="default"/>
          <w:sz w:val="21"/>
          <w:szCs w:val="21"/>
        </w:rPr>
        <w:t> </w:t>
      </w:r>
      <w:r>
        <w:rPr>
          <w:rFonts w:ascii="宋体" w:hAnsi="宋体" w:cs="宋体" w:eastAsia="宋体" w:hint="default"/>
          <w:spacing w:val="-3"/>
          <w:sz w:val="21"/>
          <w:szCs w:val="21"/>
        </w:rPr>
        <w:t>本公积（股本溢价）、盈余公积、未分配利润。公司回购其普通股形成的库存股不得参与公司利润</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分配，在资产负债表中所有者权益的备抵项目列示。 因实行股权激励回购公司股份的，在回购时，按照回购股份的全部支出作为库存股处理，同时进 行备查登记。</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52"/>
        <w:ind w:left="114" w:right="0" w:firstLine="0"/>
        <w:jc w:val="left"/>
        <w:rPr>
          <w:rFonts w:ascii="宋体" w:hAnsi="宋体" w:cs="宋体" w:eastAsia="宋体" w:hint="default"/>
          <w:sz w:val="21"/>
          <w:szCs w:val="21"/>
        </w:rPr>
      </w:pPr>
      <w:bookmarkStart w:name="33、重要会计政策和会计估计变更" w:id="218"/>
      <w:bookmarkEnd w:id="218"/>
      <w:r>
        <w:rPr/>
      </w:r>
      <w:r>
        <w:rPr>
          <w:rFonts w:ascii="Times New Roman" w:hAnsi="Times New Roman" w:cs="Times New Roman" w:eastAsia="Times New Roman" w:hint="default"/>
          <w:b/>
          <w:bCs/>
          <w:sz w:val="21"/>
          <w:szCs w:val="21"/>
        </w:rPr>
        <w:t>33</w:t>
      </w:r>
      <w:r>
        <w:rPr>
          <w:rFonts w:ascii="宋体" w:hAnsi="宋体" w:cs="宋体" w:eastAsia="宋体" w:hint="default"/>
          <w:b/>
          <w:bCs/>
          <w:sz w:val="21"/>
          <w:szCs w:val="21"/>
        </w:rPr>
        <w:t>、重要会计政策和会计估计变更</w:t>
      </w:r>
      <w:r>
        <w:rPr>
          <w:rFonts w:ascii="宋体" w:hAnsi="宋体" w:cs="宋体" w:eastAsia="宋体" w:hint="default"/>
          <w:sz w:val="21"/>
          <w:szCs w:val="21"/>
        </w:rPr>
      </w:r>
    </w:p>
    <w:p>
      <w:pPr>
        <w:spacing w:line="240" w:lineRule="auto" w:before="9"/>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重要会计政策变更" w:id="219"/>
      <w:bookmarkEnd w:id="21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）重要会计政策变更</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1"/>
        <w:gridCol w:w="3190"/>
        <w:gridCol w:w="3189"/>
      </w:tblGrid>
      <w:tr>
        <w:trPr>
          <w:trHeight w:val="402" w:hRule="exact"/>
        </w:trPr>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10" w:right="0"/>
              <w:jc w:val="left"/>
              <w:rPr>
                <w:rFonts w:ascii="宋体" w:hAnsi="宋体" w:cs="宋体" w:eastAsia="宋体" w:hint="default"/>
                <w:sz w:val="18"/>
                <w:szCs w:val="18"/>
              </w:rPr>
            </w:pPr>
            <w:r>
              <w:rPr>
                <w:rFonts w:ascii="宋体" w:hAnsi="宋体" w:cs="宋体" w:eastAsia="宋体" w:hint="default"/>
                <w:sz w:val="18"/>
                <w:szCs w:val="18"/>
              </w:rPr>
              <w:t>会计政策变更的内容和原因</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审批程序</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备注</w:t>
            </w:r>
          </w:p>
        </w:tc>
      </w:tr>
    </w:tbl>
    <w:p>
      <w:pPr>
        <w:spacing w:after="0" w:line="240" w:lineRule="auto"/>
        <w:jc w:val="center"/>
        <w:rPr>
          <w:rFonts w:ascii="宋体" w:hAnsi="宋体" w:cs="宋体" w:eastAsia="宋体" w:hint="default"/>
          <w:sz w:val="18"/>
          <w:szCs w:val="18"/>
        </w:rPr>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3191"/>
        <w:gridCol w:w="3190"/>
        <w:gridCol w:w="3189"/>
      </w:tblGrid>
      <w:tr>
        <w:trPr>
          <w:trHeight w:val="5394"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5"/>
              <w:ind w:right="0"/>
              <w:jc w:val="left"/>
              <w:rPr>
                <w:rFonts w:ascii="宋体" w:hAnsi="宋体" w:cs="宋体" w:eastAsia="宋体" w:hint="default"/>
                <w:sz w:val="15"/>
                <w:szCs w:val="15"/>
              </w:rPr>
            </w:pPr>
          </w:p>
          <w:p>
            <w:pPr>
              <w:pStyle w:val="TableParagraph"/>
              <w:spacing w:line="300" w:lineRule="auto"/>
              <w:ind w:left="103" w:right="10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1</w:t>
            </w:r>
            <w:r>
              <w:rPr>
                <w:rFonts w:ascii="宋体" w:hAnsi="宋体" w:cs="宋体" w:eastAsia="宋体" w:hint="default"/>
                <w:spacing w:val="-3"/>
                <w:sz w:val="18"/>
                <w:szCs w:val="18"/>
              </w:rPr>
              <w:t>）资产负债表中</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应收票据</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和</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应收</w:t>
            </w:r>
            <w:r>
              <w:rPr>
                <w:rFonts w:ascii="宋体" w:hAnsi="宋体" w:cs="宋体" w:eastAsia="宋体" w:hint="default"/>
                <w:spacing w:val="-73"/>
                <w:sz w:val="18"/>
                <w:szCs w:val="18"/>
              </w:rPr>
              <w:t> </w:t>
            </w:r>
            <w:r>
              <w:rPr>
                <w:rFonts w:ascii="宋体" w:hAnsi="宋体" w:cs="宋体" w:eastAsia="宋体" w:hint="default"/>
                <w:sz w:val="18"/>
                <w:szCs w:val="18"/>
              </w:rPr>
              <w:t>账款</w:t>
            </w:r>
            <w:r>
              <w:rPr>
                <w:rFonts w:ascii="Times New Roman" w:hAnsi="Times New Roman" w:cs="Times New Roman" w:eastAsia="Times New Roman" w:hint="default"/>
                <w:sz w:val="18"/>
                <w:szCs w:val="18"/>
              </w:rPr>
              <w:t>"</w:t>
            </w:r>
            <w:r>
              <w:rPr>
                <w:rFonts w:ascii="宋体" w:hAnsi="宋体" w:cs="宋体" w:eastAsia="宋体" w:hint="default"/>
                <w:sz w:val="18"/>
                <w:szCs w:val="18"/>
              </w:rPr>
              <w:t>合并列示为</w:t>
            </w:r>
            <w:r>
              <w:rPr>
                <w:rFonts w:ascii="Times New Roman" w:hAnsi="Times New Roman" w:cs="Times New Roman" w:eastAsia="Times New Roman" w:hint="default"/>
                <w:sz w:val="18"/>
                <w:szCs w:val="18"/>
              </w:rPr>
              <w:t>"</w:t>
            </w:r>
            <w:r>
              <w:rPr>
                <w:rFonts w:ascii="宋体" w:hAnsi="宋体" w:cs="宋体" w:eastAsia="宋体" w:hint="default"/>
                <w:sz w:val="18"/>
                <w:szCs w:val="18"/>
              </w:rPr>
              <w:t>应收票据及应收账 款</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应付票据</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合并列 示为</w:t>
            </w:r>
            <w:r>
              <w:rPr>
                <w:rFonts w:ascii="Times New Roman" w:hAnsi="Times New Roman" w:cs="Times New Roman" w:eastAsia="Times New Roman" w:hint="default"/>
                <w:sz w:val="18"/>
                <w:szCs w:val="18"/>
              </w:rPr>
              <w:t>"</w:t>
            </w:r>
            <w:r>
              <w:rPr>
                <w:rFonts w:ascii="宋体" w:hAnsi="宋体" w:cs="宋体" w:eastAsia="宋体" w:hint="default"/>
                <w:sz w:val="18"/>
                <w:szCs w:val="18"/>
              </w:rPr>
              <w:t>应付票据及应付账款</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应收利 息</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应收股利</w:t>
            </w:r>
            <w:r>
              <w:rPr>
                <w:rFonts w:ascii="Times New Roman" w:hAnsi="Times New Roman" w:cs="Times New Roman" w:eastAsia="Times New Roman" w:hint="default"/>
                <w:sz w:val="18"/>
                <w:szCs w:val="18"/>
              </w:rPr>
              <w:t>"</w:t>
            </w:r>
            <w:r>
              <w:rPr>
                <w:rFonts w:ascii="宋体" w:hAnsi="宋体" w:cs="宋体" w:eastAsia="宋体" w:hint="default"/>
                <w:sz w:val="18"/>
                <w:szCs w:val="18"/>
              </w:rPr>
              <w:t>并入</w:t>
            </w:r>
            <w:r>
              <w:rPr>
                <w:rFonts w:ascii="Times New Roman" w:hAnsi="Times New Roman" w:cs="Times New Roman" w:eastAsia="Times New Roman" w:hint="default"/>
                <w:sz w:val="18"/>
                <w:szCs w:val="18"/>
              </w:rPr>
              <w:t>"</w:t>
            </w:r>
            <w:r>
              <w:rPr>
                <w:rFonts w:ascii="宋体" w:hAnsi="宋体" w:cs="宋体" w:eastAsia="宋体" w:hint="default"/>
                <w:sz w:val="18"/>
                <w:szCs w:val="18"/>
              </w:rPr>
              <w:t>其他应收款</w:t>
            </w:r>
            <w:r>
              <w:rPr>
                <w:rFonts w:ascii="Times New Roman" w:hAnsi="Times New Roman" w:cs="Times New Roman" w:eastAsia="Times New Roman" w:hint="default"/>
                <w:sz w:val="18"/>
                <w:szCs w:val="18"/>
              </w:rPr>
              <w:t>"</w:t>
            </w:r>
            <w:r>
              <w:rPr>
                <w:rFonts w:ascii="宋体" w:hAnsi="宋体" w:cs="宋体" w:eastAsia="宋体" w:hint="default"/>
                <w:sz w:val="18"/>
                <w:szCs w:val="18"/>
              </w:rPr>
              <w:t>列 示；</w:t>
            </w:r>
            <w:r>
              <w:rPr>
                <w:rFonts w:ascii="Times New Roman" w:hAnsi="Times New Roman" w:cs="Times New Roman" w:eastAsia="Times New Roman" w:hint="default"/>
                <w:sz w:val="18"/>
                <w:szCs w:val="18"/>
              </w:rPr>
              <w:t>"</w:t>
            </w:r>
            <w:r>
              <w:rPr>
                <w:rFonts w:ascii="宋体" w:hAnsi="宋体" w:cs="宋体" w:eastAsia="宋体" w:hint="default"/>
                <w:sz w:val="18"/>
                <w:szCs w:val="18"/>
              </w:rPr>
              <w:t>应付利息</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宋体" w:hAnsi="宋体" w:cs="宋体" w:eastAsia="宋体" w:hint="default"/>
                <w:sz w:val="18"/>
                <w:szCs w:val="18"/>
              </w:rPr>
              <w:t>应付股利</w:t>
            </w:r>
            <w:r>
              <w:rPr>
                <w:rFonts w:ascii="Times New Roman" w:hAnsi="Times New Roman" w:cs="Times New Roman" w:eastAsia="Times New Roman" w:hint="default"/>
                <w:sz w:val="18"/>
                <w:szCs w:val="18"/>
              </w:rPr>
              <w:t>"</w:t>
            </w:r>
            <w:r>
              <w:rPr>
                <w:rFonts w:ascii="宋体" w:hAnsi="宋体" w:cs="宋体" w:eastAsia="宋体" w:hint="default"/>
                <w:sz w:val="18"/>
                <w:szCs w:val="18"/>
              </w:rPr>
              <w:t>并入</w:t>
            </w:r>
            <w:r>
              <w:rPr>
                <w:rFonts w:ascii="Times New Roman" w:hAnsi="Times New Roman" w:cs="Times New Roman" w:eastAsia="Times New Roman" w:hint="default"/>
                <w:sz w:val="18"/>
                <w:szCs w:val="18"/>
              </w:rPr>
              <w:t>"</w:t>
            </w:r>
            <w:r>
              <w:rPr>
                <w:rFonts w:ascii="宋体" w:hAnsi="宋体" w:cs="宋体" w:eastAsia="宋体" w:hint="default"/>
                <w:sz w:val="18"/>
                <w:szCs w:val="18"/>
              </w:rPr>
              <w:t>其 </w:t>
            </w:r>
            <w:r>
              <w:rPr>
                <w:rFonts w:ascii="宋体" w:hAnsi="宋体" w:cs="宋体" w:eastAsia="宋体" w:hint="default"/>
                <w:spacing w:val="-2"/>
                <w:sz w:val="18"/>
                <w:szCs w:val="18"/>
              </w:rPr>
              <w:t>他应付款</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列示；</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固定资产清理</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并入</w:t>
            </w:r>
            <w:r>
              <w:rPr>
                <w:rFonts w:ascii="Times New Roman" w:hAnsi="Times New Roman" w:cs="Times New Roman" w:eastAsia="Times New Roman" w:hint="default"/>
                <w:spacing w:val="-2"/>
                <w:sz w:val="18"/>
                <w:szCs w:val="18"/>
              </w:rPr>
              <w:t>"</w:t>
            </w:r>
            <w:r>
              <w:rPr>
                <w:rFonts w:ascii="Times New Roman" w:hAnsi="Times New Roman" w:cs="Times New Roman" w:eastAsia="Times New Roman" w:hint="default"/>
                <w:spacing w:val="-31"/>
                <w:sz w:val="18"/>
                <w:szCs w:val="18"/>
              </w:rPr>
              <w:t> </w:t>
            </w:r>
            <w:r>
              <w:rPr>
                <w:rFonts w:ascii="宋体" w:hAnsi="宋体" w:cs="宋体" w:eastAsia="宋体" w:hint="default"/>
                <w:spacing w:val="-2"/>
                <w:sz w:val="18"/>
                <w:szCs w:val="18"/>
              </w:rPr>
              <w:t>固定资产</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列示；</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工程物资</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并入</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在建</w:t>
            </w:r>
            <w:r>
              <w:rPr>
                <w:rFonts w:ascii="宋体" w:hAnsi="宋体" w:cs="宋体" w:eastAsia="宋体" w:hint="default"/>
                <w:spacing w:val="-76"/>
                <w:sz w:val="18"/>
                <w:szCs w:val="18"/>
              </w:rPr>
              <w:t> </w:t>
            </w:r>
            <w:r>
              <w:rPr>
                <w:rFonts w:ascii="宋体" w:hAnsi="宋体" w:cs="宋体" w:eastAsia="宋体" w:hint="default"/>
                <w:spacing w:val="-2"/>
                <w:sz w:val="18"/>
                <w:szCs w:val="18"/>
              </w:rPr>
              <w:t>工程</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列示；</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专项应付款</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并入</w:t>
            </w:r>
            <w:r>
              <w:rPr>
                <w:rFonts w:ascii="Times New Roman" w:hAnsi="Times New Roman" w:cs="Times New Roman" w:eastAsia="Times New Roman" w:hint="default"/>
                <w:spacing w:val="-2"/>
                <w:sz w:val="18"/>
                <w:szCs w:val="18"/>
              </w:rPr>
              <w:t>"</w:t>
            </w:r>
            <w:r>
              <w:rPr>
                <w:rFonts w:ascii="宋体" w:hAnsi="宋体" w:cs="宋体" w:eastAsia="宋体" w:hint="default"/>
                <w:spacing w:val="-2"/>
                <w:sz w:val="18"/>
                <w:szCs w:val="18"/>
              </w:rPr>
              <w:t>长期应</w:t>
            </w:r>
            <w:r>
              <w:rPr>
                <w:rFonts w:ascii="宋体" w:hAnsi="宋体" w:cs="宋体" w:eastAsia="宋体" w:hint="default"/>
                <w:spacing w:val="-75"/>
                <w:sz w:val="18"/>
                <w:szCs w:val="18"/>
              </w:rPr>
              <w:t> </w:t>
            </w:r>
            <w:r>
              <w:rPr>
                <w:rFonts w:ascii="宋体" w:hAnsi="宋体" w:cs="宋体" w:eastAsia="宋体" w:hint="default"/>
                <w:sz w:val="18"/>
                <w:szCs w:val="18"/>
              </w:rPr>
              <w:t>付款</w:t>
            </w:r>
            <w:r>
              <w:rPr>
                <w:rFonts w:ascii="Times New Roman" w:hAnsi="Times New Roman" w:cs="Times New Roman" w:eastAsia="Times New Roman" w:hint="default"/>
                <w:sz w:val="18"/>
                <w:szCs w:val="18"/>
              </w:rPr>
              <w:t>"</w:t>
            </w:r>
            <w:r>
              <w:rPr>
                <w:rFonts w:ascii="宋体" w:hAnsi="宋体" w:cs="宋体" w:eastAsia="宋体" w:hint="default"/>
                <w:sz w:val="18"/>
                <w:szCs w:val="18"/>
              </w:rPr>
              <w:t>列示。比较数据相应调整。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董事会审批</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1"/>
              <w:jc w:val="both"/>
              <w:rPr>
                <w:rFonts w:ascii="宋体" w:hAnsi="宋体" w:cs="宋体" w:eastAsia="宋体" w:hint="default"/>
                <w:sz w:val="18"/>
                <w:szCs w:val="18"/>
              </w:rPr>
            </w:pPr>
            <w:r>
              <w:rPr>
                <w:rFonts w:ascii="宋体" w:hAnsi="宋体" w:cs="宋体" w:eastAsia="宋体" w:hint="default"/>
                <w:spacing w:val="-6"/>
                <w:sz w:val="18"/>
                <w:szCs w:val="18"/>
              </w:rPr>
              <w:t>“应收票据”和“应收账款”合并列示</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6"/>
                <w:sz w:val="18"/>
                <w:szCs w:val="18"/>
              </w:rPr>
              <w:t>为“应收票据及应收账款”，期末余额</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15"/>
                <w:sz w:val="18"/>
                <w:szCs w:val="18"/>
              </w:rPr>
              <w:t>及年初余额无影响；“应付票据”和“应</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pacing w:val="-6"/>
                <w:sz w:val="18"/>
                <w:szCs w:val="18"/>
              </w:rPr>
              <w:t>付账款”合并列示为“应付票据及应付</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5"/>
                <w:sz w:val="18"/>
                <w:szCs w:val="18"/>
              </w:rPr>
              <w:t>账款”，期末余额为</w:t>
            </w:r>
            <w:r>
              <w:rPr>
                <w:rFonts w:ascii="宋体" w:hAnsi="宋体" w:cs="宋体" w:eastAsia="宋体" w:hint="default"/>
                <w:spacing w:val="-39"/>
                <w:sz w:val="18"/>
                <w:szCs w:val="18"/>
              </w:rPr>
              <w:t> </w:t>
            </w:r>
            <w:r>
              <w:rPr>
                <w:rFonts w:ascii="Times New Roman" w:hAnsi="Times New Roman" w:cs="Times New Roman" w:eastAsia="Times New Roman" w:hint="default"/>
                <w:spacing w:val="-1"/>
                <w:sz w:val="18"/>
                <w:szCs w:val="18"/>
              </w:rPr>
              <w:t>228,288,347.43</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元，</w:t>
            </w:r>
          </w:p>
          <w:p>
            <w:pPr>
              <w:pStyle w:val="TableParagraph"/>
              <w:spacing w:line="314" w:lineRule="auto"/>
              <w:ind w:left="103" w:right="11"/>
              <w:jc w:val="left"/>
              <w:rPr>
                <w:rFonts w:ascii="宋体" w:hAnsi="宋体" w:cs="宋体" w:eastAsia="宋体" w:hint="default"/>
                <w:sz w:val="18"/>
                <w:szCs w:val="18"/>
              </w:rPr>
            </w:pPr>
            <w:r>
              <w:rPr>
                <w:rFonts w:ascii="宋体" w:hAnsi="宋体" w:cs="宋体" w:eastAsia="宋体" w:hint="default"/>
                <w:sz w:val="18"/>
                <w:szCs w:val="18"/>
              </w:rPr>
              <w:t>年初余额为</w:t>
            </w:r>
            <w:r>
              <w:rPr>
                <w:rFonts w:ascii="宋体" w:hAnsi="宋体" w:cs="宋体" w:eastAsia="宋体" w:hint="default"/>
                <w:spacing w:val="-44"/>
                <w:sz w:val="18"/>
                <w:szCs w:val="18"/>
              </w:rPr>
              <w:t> </w:t>
            </w:r>
            <w:r>
              <w:rPr>
                <w:rFonts w:ascii="Times New Roman" w:hAnsi="Times New Roman" w:cs="Times New Roman" w:eastAsia="Times New Roman" w:hint="default"/>
                <w:spacing w:val="-1"/>
                <w:sz w:val="18"/>
                <w:szCs w:val="18"/>
              </w:rPr>
              <w:t>254,892,701.47</w:t>
            </w:r>
            <w:r>
              <w:rPr>
                <w:rFonts w:ascii="Times New Roman" w:hAnsi="Times New Roman" w:cs="Times New Roman" w:eastAsia="Times New Roman" w:hint="default"/>
                <w:spacing w:val="2"/>
                <w:sz w:val="18"/>
                <w:szCs w:val="18"/>
              </w:rPr>
              <w:t> </w:t>
            </w:r>
            <w:r>
              <w:rPr>
                <w:rFonts w:ascii="宋体" w:hAnsi="宋体" w:cs="宋体" w:eastAsia="宋体" w:hint="default"/>
                <w:spacing w:val="-18"/>
                <w:sz w:val="18"/>
                <w:szCs w:val="18"/>
              </w:rPr>
              <w:t>元；“应收</w:t>
            </w:r>
            <w:r>
              <w:rPr>
                <w:rFonts w:ascii="宋体" w:hAnsi="宋体" w:cs="宋体" w:eastAsia="宋体" w:hint="default"/>
                <w:spacing w:val="-83"/>
                <w:sz w:val="18"/>
                <w:szCs w:val="18"/>
              </w:rPr>
              <w:t> </w:t>
            </w:r>
            <w:r>
              <w:rPr>
                <w:rFonts w:ascii="宋体" w:hAnsi="宋体" w:cs="宋体" w:eastAsia="宋体" w:hint="default"/>
                <w:spacing w:val="-83"/>
                <w:sz w:val="18"/>
                <w:szCs w:val="18"/>
              </w:rPr>
            </w:r>
            <w:r>
              <w:rPr>
                <w:rFonts w:ascii="宋体" w:hAnsi="宋体" w:cs="宋体" w:eastAsia="宋体" w:hint="default"/>
                <w:spacing w:val="-6"/>
                <w:sz w:val="18"/>
                <w:szCs w:val="18"/>
              </w:rPr>
              <w:t>利息”和“应收股利”并入“其他应收</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10"/>
                <w:sz w:val="18"/>
                <w:szCs w:val="18"/>
              </w:rPr>
              <w:t>款”列示，期末余额及年初余额无影响；</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6"/>
                <w:sz w:val="18"/>
                <w:szCs w:val="18"/>
              </w:rPr>
              <w:t>“应付利息”和“应付股利”并入“其</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他应付款”列示，期末余额为 </w:t>
            </w:r>
            <w:r>
              <w:rPr>
                <w:rFonts w:ascii="Times New Roman" w:hAnsi="Times New Roman" w:cs="Times New Roman" w:eastAsia="Times New Roman" w:hint="default"/>
                <w:sz w:val="18"/>
                <w:szCs w:val="18"/>
              </w:rPr>
              <w:t>39,257,223.57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元，年初余额为</w:t>
            </w:r>
          </w:p>
          <w:p>
            <w:pPr>
              <w:pStyle w:val="TableParagraph"/>
              <w:spacing w:line="314" w:lineRule="auto" w:before="1"/>
              <w:ind w:left="103" w:right="11"/>
              <w:jc w:val="left"/>
              <w:rPr>
                <w:rFonts w:ascii="宋体" w:hAnsi="宋体" w:cs="宋体" w:eastAsia="宋体" w:hint="default"/>
                <w:sz w:val="18"/>
                <w:szCs w:val="18"/>
              </w:rPr>
            </w:pPr>
            <w:r>
              <w:rPr>
                <w:rFonts w:ascii="Times New Roman" w:hAnsi="Times New Roman" w:cs="Times New Roman" w:eastAsia="Times New Roman" w:hint="default"/>
                <w:spacing w:val="-1"/>
                <w:sz w:val="18"/>
                <w:szCs w:val="18"/>
              </w:rPr>
              <w:t>67,670,246.66</w:t>
            </w:r>
            <w:r>
              <w:rPr>
                <w:rFonts w:ascii="Times New Roman" w:hAnsi="Times New Roman" w:cs="Times New Roman" w:eastAsia="Times New Roman" w:hint="default"/>
                <w:sz w:val="18"/>
                <w:szCs w:val="18"/>
              </w:rPr>
              <w:t> </w:t>
            </w:r>
            <w:r>
              <w:rPr>
                <w:rFonts w:ascii="宋体" w:hAnsi="宋体" w:cs="宋体" w:eastAsia="宋体" w:hint="default"/>
                <w:spacing w:val="-9"/>
                <w:sz w:val="18"/>
                <w:szCs w:val="18"/>
              </w:rPr>
              <w:t>元；“固定资产清理”并</w:t>
            </w:r>
            <w:r>
              <w:rPr>
                <w:rFonts w:ascii="宋体" w:hAnsi="宋体" w:cs="宋体" w:eastAsia="宋体" w:hint="default"/>
                <w:spacing w:val="-70"/>
                <w:sz w:val="18"/>
                <w:szCs w:val="18"/>
              </w:rPr>
              <w:t> </w:t>
            </w:r>
            <w:r>
              <w:rPr>
                <w:rFonts w:ascii="宋体" w:hAnsi="宋体" w:cs="宋体" w:eastAsia="宋体" w:hint="default"/>
                <w:spacing w:val="-70"/>
                <w:sz w:val="18"/>
                <w:szCs w:val="18"/>
              </w:rPr>
            </w:r>
            <w:r>
              <w:rPr>
                <w:rFonts w:ascii="宋体" w:hAnsi="宋体" w:cs="宋体" w:eastAsia="宋体" w:hint="default"/>
                <w:spacing w:val="-6"/>
                <w:sz w:val="18"/>
                <w:szCs w:val="18"/>
              </w:rPr>
              <w:t>入“固定资产”列示，期末余额及年初</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6"/>
                <w:sz w:val="18"/>
                <w:szCs w:val="18"/>
              </w:rPr>
              <w:t>余额无影响；“工程物资”并入“在建</w:t>
            </w:r>
            <w:r>
              <w:rPr>
                <w:rFonts w:ascii="宋体" w:hAnsi="宋体" w:cs="宋体" w:eastAsia="宋体" w:hint="default"/>
                <w:spacing w:val="-78"/>
                <w:sz w:val="18"/>
                <w:szCs w:val="18"/>
              </w:rPr>
              <w:t> </w:t>
            </w:r>
            <w:r>
              <w:rPr>
                <w:rFonts w:ascii="宋体" w:hAnsi="宋体" w:cs="宋体" w:eastAsia="宋体" w:hint="default"/>
                <w:spacing w:val="-78"/>
                <w:sz w:val="18"/>
                <w:szCs w:val="18"/>
              </w:rPr>
            </w:r>
            <w:r>
              <w:rPr>
                <w:rFonts w:ascii="宋体" w:hAnsi="宋体" w:cs="宋体" w:eastAsia="宋体" w:hint="default"/>
                <w:spacing w:val="-6"/>
                <w:sz w:val="18"/>
                <w:szCs w:val="18"/>
              </w:rPr>
              <w:t>工程”列示，期末余额及年初余额无影</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pacing w:val="-10"/>
                <w:sz w:val="18"/>
                <w:szCs w:val="18"/>
              </w:rPr>
              <w:t>响；“专项应付款”并入“长期应付款”</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列示，期末余额及年初余额无影响。</w:t>
            </w:r>
          </w:p>
        </w:tc>
      </w:tr>
      <w:tr>
        <w:trPr>
          <w:trHeight w:val="2898"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5"/>
                <w:szCs w:val="15"/>
              </w:rPr>
            </w:pPr>
          </w:p>
          <w:p>
            <w:pPr>
              <w:pStyle w:val="TableParagraph"/>
              <w:spacing w:line="300" w:lineRule="auto"/>
              <w:ind w:left="103" w:right="11"/>
              <w:jc w:val="left"/>
              <w:rPr>
                <w:rFonts w:ascii="宋体" w:hAnsi="宋体" w:cs="宋体" w:eastAsia="宋体" w:hint="default"/>
                <w:sz w:val="18"/>
                <w:szCs w:val="18"/>
              </w:rPr>
            </w:pPr>
            <w:r>
              <w:rPr>
                <w:rFonts w:ascii="宋体" w:hAnsi="宋体" w:cs="宋体" w:eastAsia="宋体" w:hint="default"/>
                <w:spacing w:val="-3"/>
                <w:sz w:val="18"/>
                <w:szCs w:val="18"/>
              </w:rPr>
              <w:t>（</w:t>
            </w: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）在利润表中新增</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研发费用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项目，</w:t>
            </w:r>
            <w:r>
              <w:rPr>
                <w:rFonts w:ascii="宋体" w:hAnsi="宋体" w:cs="宋体" w:eastAsia="宋体" w:hint="default"/>
                <w:spacing w:val="-88"/>
                <w:sz w:val="18"/>
                <w:szCs w:val="18"/>
              </w:rPr>
              <w:t> </w:t>
            </w:r>
            <w:r>
              <w:rPr>
                <w:rFonts w:ascii="宋体" w:hAnsi="宋体" w:cs="宋体" w:eastAsia="宋体" w:hint="default"/>
                <w:sz w:val="18"/>
                <w:szCs w:val="18"/>
              </w:rPr>
              <w:t>将原</w:t>
            </w:r>
            <w:r>
              <w:rPr>
                <w:rFonts w:ascii="Times New Roman" w:hAnsi="Times New Roman" w:cs="Times New Roman" w:eastAsia="Times New Roman" w:hint="default"/>
                <w:sz w:val="18"/>
                <w:szCs w:val="18"/>
              </w:rPr>
              <w:t>"</w:t>
            </w:r>
            <w:r>
              <w:rPr>
                <w:rFonts w:ascii="宋体" w:hAnsi="宋体" w:cs="宋体" w:eastAsia="宋体" w:hint="default"/>
                <w:sz w:val="18"/>
                <w:szCs w:val="18"/>
              </w:rPr>
              <w:t>管理费用</w:t>
            </w:r>
            <w:r>
              <w:rPr>
                <w:rFonts w:ascii="Times New Roman" w:hAnsi="Times New Roman" w:cs="Times New Roman" w:eastAsia="Times New Roman" w:hint="default"/>
                <w:sz w:val="18"/>
                <w:szCs w:val="18"/>
              </w:rPr>
              <w:t>"</w:t>
            </w:r>
            <w:r>
              <w:rPr>
                <w:rFonts w:ascii="宋体" w:hAnsi="宋体" w:cs="宋体" w:eastAsia="宋体" w:hint="default"/>
                <w:sz w:val="18"/>
                <w:szCs w:val="18"/>
              </w:rPr>
              <w:t>中的研发费用重分类 </w:t>
            </w:r>
            <w:r>
              <w:rPr>
                <w:rFonts w:ascii="宋体" w:hAnsi="宋体" w:cs="宋体" w:eastAsia="宋体" w:hint="default"/>
                <w:spacing w:val="-3"/>
                <w:sz w:val="18"/>
                <w:szCs w:val="18"/>
              </w:rPr>
              <w:t>至</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研发费用</w:t>
            </w:r>
            <w:r>
              <w:rPr>
                <w:rFonts w:ascii="Times New Roman" w:hAnsi="Times New Roman" w:cs="Times New Roman" w:eastAsia="Times New Roman" w:hint="default"/>
                <w:spacing w:val="-3"/>
                <w:sz w:val="18"/>
                <w:szCs w:val="18"/>
              </w:rPr>
              <w:t>"</w:t>
            </w:r>
            <w:r>
              <w:rPr>
                <w:rFonts w:ascii="宋体" w:hAnsi="宋体" w:cs="宋体" w:eastAsia="宋体" w:hint="default"/>
                <w:spacing w:val="-3"/>
                <w:sz w:val="18"/>
                <w:szCs w:val="18"/>
              </w:rPr>
              <w:t>单独列示；在利润表中财</w:t>
            </w:r>
            <w:r>
              <w:rPr>
                <w:rFonts w:ascii="宋体" w:hAnsi="宋体" w:cs="宋体" w:eastAsia="宋体" w:hint="default"/>
                <w:sz w:val="18"/>
                <w:szCs w:val="18"/>
              </w:rPr>
              <w:t> 务费用项下新增</w:t>
            </w:r>
            <w:r>
              <w:rPr>
                <w:rFonts w:ascii="Times New Roman" w:hAnsi="Times New Roman" w:cs="Times New Roman" w:eastAsia="Times New Roman" w:hint="default"/>
                <w:sz w:val="18"/>
                <w:szCs w:val="18"/>
              </w:rPr>
              <w:t>"</w:t>
            </w:r>
            <w:r>
              <w:rPr>
                <w:rFonts w:ascii="宋体" w:hAnsi="宋体" w:cs="宋体" w:eastAsia="宋体" w:hint="default"/>
                <w:sz w:val="18"/>
                <w:szCs w:val="18"/>
              </w:rPr>
              <w:t>其中：利息费用</w:t>
            </w:r>
            <w:r>
              <w:rPr>
                <w:rFonts w:ascii="Times New Roman" w:hAnsi="Times New Roman" w:cs="Times New Roman" w:eastAsia="Times New Roman" w:hint="default"/>
                <w:sz w:val="18"/>
                <w:szCs w:val="18"/>
              </w:rPr>
              <w:t>"</w:t>
            </w:r>
            <w:r>
              <w:rPr>
                <w:rFonts w:ascii="宋体" w:hAnsi="宋体" w:cs="宋体" w:eastAsia="宋体" w:hint="default"/>
                <w:sz w:val="18"/>
                <w:szCs w:val="18"/>
              </w:rPr>
              <w:t>和</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利息收入</w:t>
            </w:r>
            <w:r>
              <w:rPr>
                <w:rFonts w:ascii="Times New Roman" w:hAnsi="Times New Roman" w:cs="Times New Roman" w:eastAsia="Times New Roman" w:hint="default"/>
                <w:sz w:val="18"/>
                <w:szCs w:val="18"/>
              </w:rPr>
              <w:t>"</w:t>
            </w:r>
            <w:r>
              <w:rPr>
                <w:rFonts w:ascii="宋体" w:hAnsi="宋体" w:cs="宋体" w:eastAsia="宋体" w:hint="default"/>
                <w:sz w:val="18"/>
                <w:szCs w:val="18"/>
              </w:rPr>
              <w:t>项目。比较数据相应调整。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1"/>
              <w:ind w:left="103" w:right="0"/>
              <w:jc w:val="left"/>
              <w:rPr>
                <w:rFonts w:ascii="宋体" w:hAnsi="宋体" w:cs="宋体" w:eastAsia="宋体" w:hint="default"/>
                <w:sz w:val="18"/>
                <w:szCs w:val="18"/>
              </w:rPr>
            </w:pPr>
            <w:r>
              <w:rPr>
                <w:rFonts w:ascii="宋体" w:hAnsi="宋体" w:cs="宋体" w:eastAsia="宋体" w:hint="default"/>
                <w:sz w:val="18"/>
                <w:szCs w:val="18"/>
              </w:rPr>
              <w:t>董事会审批</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1"/>
              <w:jc w:val="both"/>
              <w:rPr>
                <w:rFonts w:ascii="宋体" w:hAnsi="宋体" w:cs="宋体" w:eastAsia="宋体" w:hint="default"/>
                <w:sz w:val="18"/>
                <w:szCs w:val="18"/>
              </w:rPr>
            </w:pPr>
            <w:r>
              <w:rPr>
                <w:rFonts w:ascii="宋体" w:hAnsi="宋体" w:cs="宋体" w:eastAsia="宋体" w:hint="default"/>
                <w:spacing w:val="-6"/>
                <w:sz w:val="18"/>
                <w:szCs w:val="18"/>
              </w:rPr>
              <w:t>新增“研发费用”项目，调减“管理费</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用”本期发生额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65,700,762.42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元，上</w:t>
            </w:r>
          </w:p>
          <w:p>
            <w:pPr>
              <w:pStyle w:val="TableParagraph"/>
              <w:spacing w:line="312" w:lineRule="auto"/>
              <w:ind w:left="103" w:right="101"/>
              <w:jc w:val="both"/>
              <w:rPr>
                <w:rFonts w:ascii="宋体" w:hAnsi="宋体" w:cs="宋体" w:eastAsia="宋体" w:hint="default"/>
                <w:sz w:val="18"/>
                <w:szCs w:val="18"/>
              </w:rPr>
            </w:pPr>
            <w:r>
              <w:rPr>
                <w:rFonts w:ascii="宋体" w:hAnsi="宋体" w:cs="宋体" w:eastAsia="宋体" w:hint="default"/>
                <w:sz w:val="18"/>
                <w:szCs w:val="18"/>
              </w:rPr>
              <w:t>期发生额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60,496,925.34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元；财务费用 </w:t>
            </w:r>
            <w:r>
              <w:rPr>
                <w:rFonts w:ascii="宋体" w:hAnsi="宋体" w:cs="宋体" w:eastAsia="宋体" w:hint="default"/>
                <w:spacing w:val="-6"/>
                <w:sz w:val="18"/>
                <w:szCs w:val="18"/>
              </w:rPr>
              <w:t>项下新增“其中：利息费用”和“利息</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pacing w:val="-6"/>
                <w:sz w:val="18"/>
                <w:szCs w:val="18"/>
              </w:rPr>
              <w:t>收入”项目，其中“利息费用”本期发</w:t>
            </w:r>
            <w:r>
              <w:rPr>
                <w:rFonts w:ascii="宋体" w:hAnsi="宋体" w:cs="宋体" w:eastAsia="宋体" w:hint="default"/>
                <w:spacing w:val="-76"/>
                <w:sz w:val="18"/>
                <w:szCs w:val="18"/>
              </w:rPr>
              <w:t> </w:t>
            </w:r>
            <w:r>
              <w:rPr>
                <w:rFonts w:ascii="宋体" w:hAnsi="宋体" w:cs="宋体" w:eastAsia="宋体" w:hint="default"/>
                <w:spacing w:val="-76"/>
                <w:sz w:val="18"/>
                <w:szCs w:val="18"/>
              </w:rPr>
            </w:r>
            <w:r>
              <w:rPr>
                <w:rFonts w:ascii="宋体" w:hAnsi="宋体" w:cs="宋体" w:eastAsia="宋体" w:hint="default"/>
                <w:sz w:val="18"/>
                <w:szCs w:val="18"/>
              </w:rPr>
              <w:t>生额为</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10,583,304.36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元，上期发生额</w:t>
            </w:r>
          </w:p>
          <w:p>
            <w:pPr>
              <w:pStyle w:val="TableParagraph"/>
              <w:spacing w:line="240" w:lineRule="auto" w:before="3"/>
              <w:ind w:left="103" w:right="0"/>
              <w:jc w:val="both"/>
              <w:rPr>
                <w:rFonts w:ascii="宋体" w:hAnsi="宋体" w:cs="宋体" w:eastAsia="宋体" w:hint="default"/>
                <w:sz w:val="18"/>
                <w:szCs w:val="18"/>
              </w:rPr>
            </w:pPr>
            <w:r>
              <w:rPr>
                <w:rFonts w:ascii="宋体" w:hAnsi="宋体" w:cs="宋体" w:eastAsia="宋体" w:hint="default"/>
                <w:sz w:val="18"/>
                <w:szCs w:val="18"/>
              </w:rPr>
              <w:t>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10,256,935.</w:t>
            </w:r>
            <w:r>
              <w:rPr>
                <w:rFonts w:ascii="Times New Roman" w:hAnsi="Times New Roman" w:cs="Times New Roman" w:eastAsia="Times New Roman" w:hint="default"/>
                <w:spacing w:val="-2"/>
                <w:sz w:val="18"/>
                <w:szCs w:val="18"/>
              </w:rPr>
              <w:t>9</w:t>
            </w:r>
            <w:r>
              <w:rPr>
                <w:rFonts w:ascii="Times New Roman" w:hAnsi="Times New Roman" w:cs="Times New Roman" w:eastAsia="Times New Roman" w:hint="default"/>
                <w:sz w:val="18"/>
                <w:szCs w:val="18"/>
              </w:rPr>
              <w:t>8 </w:t>
            </w:r>
            <w:r>
              <w:rPr>
                <w:rFonts w:ascii="宋体" w:hAnsi="宋体" w:cs="宋体" w:eastAsia="宋体" w:hint="default"/>
                <w:sz w:val="18"/>
                <w:szCs w:val="18"/>
              </w:rPr>
              <w:t>元</w:t>
            </w:r>
            <w:r>
              <w:rPr>
                <w:rFonts w:ascii="宋体" w:hAnsi="宋体" w:cs="宋体" w:eastAsia="宋体" w:hint="default"/>
                <w:spacing w:val="-112"/>
                <w:sz w:val="18"/>
                <w:szCs w:val="18"/>
              </w:rPr>
              <w:t>；</w:t>
            </w:r>
            <w:r>
              <w:rPr>
                <w:rFonts w:ascii="宋体" w:hAnsi="宋体" w:cs="宋体" w:eastAsia="宋体" w:hint="default"/>
                <w:sz w:val="18"/>
                <w:szCs w:val="18"/>
              </w:rPr>
              <w:t>“利息</w:t>
            </w:r>
            <w:r>
              <w:rPr>
                <w:rFonts w:ascii="宋体" w:hAnsi="宋体" w:cs="宋体" w:eastAsia="宋体" w:hint="default"/>
                <w:spacing w:val="1"/>
                <w:sz w:val="18"/>
                <w:szCs w:val="18"/>
              </w:rPr>
              <w:t>收</w:t>
            </w:r>
            <w:r>
              <w:rPr>
                <w:rFonts w:ascii="宋体" w:hAnsi="宋体" w:cs="宋体" w:eastAsia="宋体" w:hint="default"/>
                <w:sz w:val="18"/>
                <w:szCs w:val="18"/>
              </w:rPr>
              <w:t>入</w:t>
            </w:r>
            <w:r>
              <w:rPr>
                <w:rFonts w:ascii="宋体" w:hAnsi="宋体" w:cs="宋体" w:eastAsia="宋体" w:hint="default"/>
                <w:spacing w:val="-22"/>
                <w:sz w:val="18"/>
                <w:szCs w:val="18"/>
              </w:rPr>
              <w:t>”</w:t>
            </w:r>
            <w:r>
              <w:rPr>
                <w:rFonts w:ascii="宋体" w:hAnsi="宋体" w:cs="宋体" w:eastAsia="宋体" w:hint="default"/>
                <w:sz w:val="18"/>
                <w:szCs w:val="18"/>
              </w:rPr>
              <w:t>本期</w:t>
            </w:r>
          </w:p>
          <w:p>
            <w:pPr>
              <w:pStyle w:val="TableParagraph"/>
              <w:spacing w:line="240" w:lineRule="auto" w:before="63"/>
              <w:ind w:left="103" w:right="0"/>
              <w:jc w:val="both"/>
              <w:rPr>
                <w:rFonts w:ascii="宋体" w:hAnsi="宋体" w:cs="宋体" w:eastAsia="宋体" w:hint="default"/>
                <w:sz w:val="18"/>
                <w:szCs w:val="18"/>
              </w:rPr>
            </w:pPr>
            <w:r>
              <w:rPr>
                <w:rFonts w:ascii="宋体" w:hAnsi="宋体" w:cs="宋体" w:eastAsia="宋体" w:hint="default"/>
                <w:sz w:val="18"/>
                <w:szCs w:val="18"/>
              </w:rPr>
              <w:t>发生额为</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574,450.73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r>
              <w:rPr>
                <w:rFonts w:ascii="宋体" w:hAnsi="宋体" w:cs="宋体" w:eastAsia="宋体" w:hint="default"/>
                <w:spacing w:val="-87"/>
                <w:sz w:val="18"/>
                <w:szCs w:val="18"/>
              </w:rPr>
              <w:t>，</w:t>
            </w:r>
            <w:r>
              <w:rPr>
                <w:rFonts w:ascii="宋体" w:hAnsi="宋体" w:cs="宋体" w:eastAsia="宋体" w:hint="default"/>
                <w:sz w:val="18"/>
                <w:szCs w:val="18"/>
              </w:rPr>
              <w:t>上</w:t>
            </w:r>
            <w:r>
              <w:rPr>
                <w:rFonts w:ascii="宋体" w:hAnsi="宋体" w:cs="宋体" w:eastAsia="宋体" w:hint="default"/>
                <w:spacing w:val="-2"/>
                <w:sz w:val="18"/>
                <w:szCs w:val="18"/>
              </w:rPr>
              <w:t>期</w:t>
            </w:r>
            <w:r>
              <w:rPr>
                <w:rFonts w:ascii="宋体" w:hAnsi="宋体" w:cs="宋体" w:eastAsia="宋体" w:hint="default"/>
                <w:sz w:val="18"/>
                <w:szCs w:val="18"/>
              </w:rPr>
              <w:t>发生额为</w:t>
            </w:r>
          </w:p>
          <w:p>
            <w:pPr>
              <w:pStyle w:val="TableParagraph"/>
              <w:spacing w:line="240" w:lineRule="auto" w:before="64"/>
              <w:ind w:left="103" w:right="0"/>
              <w:jc w:val="both"/>
              <w:rPr>
                <w:rFonts w:ascii="宋体" w:hAnsi="宋体" w:cs="宋体" w:eastAsia="宋体" w:hint="default"/>
                <w:sz w:val="18"/>
                <w:szCs w:val="18"/>
              </w:rPr>
            </w:pPr>
            <w:r>
              <w:rPr>
                <w:rFonts w:ascii="Times New Roman" w:hAnsi="Times New Roman" w:cs="Times New Roman" w:eastAsia="Times New Roman" w:hint="default"/>
                <w:sz w:val="18"/>
                <w:szCs w:val="18"/>
              </w:rPr>
              <w:t>514,207.77 </w:t>
            </w:r>
            <w:r>
              <w:rPr>
                <w:rFonts w:ascii="宋体" w:hAnsi="宋体" w:cs="宋体" w:eastAsia="宋体" w:hint="default"/>
                <w:sz w:val="18"/>
                <w:szCs w:val="18"/>
              </w:rPr>
              <w:t>元。</w:t>
            </w:r>
          </w:p>
        </w:tc>
      </w:tr>
      <w:tr>
        <w:trPr>
          <w:trHeight w:val="1026" w:hRule="exact"/>
        </w:trPr>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7"/>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）所有者权益变动表中新增“设定 受益计划变动额结转留存收益”项目。 比较数据相应调整。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董事会审批</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03" w:right="11"/>
              <w:jc w:val="left"/>
              <w:rPr>
                <w:rFonts w:ascii="宋体" w:hAnsi="宋体" w:cs="宋体" w:eastAsia="宋体" w:hint="default"/>
                <w:sz w:val="18"/>
                <w:szCs w:val="18"/>
              </w:rPr>
            </w:pPr>
            <w:r>
              <w:rPr>
                <w:rFonts w:ascii="宋体" w:hAnsi="宋体" w:cs="宋体" w:eastAsia="宋体" w:hint="default"/>
                <w:spacing w:val="-6"/>
                <w:sz w:val="18"/>
                <w:szCs w:val="18"/>
              </w:rPr>
              <w:t>新增“设定受益计划变动额结转留存收</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益”本期发生额及上期发生额无影响。</w:t>
            </w:r>
          </w:p>
        </w:tc>
      </w:tr>
    </w:tbl>
    <w:p>
      <w:pPr>
        <w:spacing w:line="260" w:lineRule="exact" w:before="0"/>
        <w:ind w:left="114" w:right="0" w:firstLine="0"/>
        <w:jc w:val="left"/>
        <w:rPr>
          <w:rFonts w:ascii="宋体" w:hAnsi="宋体" w:cs="宋体" w:eastAsia="宋体" w:hint="default"/>
          <w:sz w:val="21"/>
          <w:szCs w:val="21"/>
        </w:rPr>
      </w:pPr>
      <w:r>
        <w:rPr>
          <w:rFonts w:ascii="宋体" w:hAnsi="宋体" w:cs="宋体" w:eastAsia="宋体" w:hint="default"/>
          <w:sz w:val="21"/>
          <w:szCs w:val="21"/>
        </w:rPr>
        <w:t>财政部于</w:t>
      </w:r>
      <w:r>
        <w:rPr>
          <w:rFonts w:ascii="宋体" w:hAnsi="宋体" w:cs="宋体" w:eastAsia="宋体" w:hint="default"/>
          <w:sz w:val="21"/>
          <w:szCs w:val="21"/>
        </w:rPr>
        <w:t>2018</w:t>
      </w:r>
      <w:r>
        <w:rPr>
          <w:rFonts w:ascii="宋体" w:hAnsi="宋体" w:cs="宋体" w:eastAsia="宋体" w:hint="default"/>
          <w:sz w:val="21"/>
          <w:szCs w:val="21"/>
        </w:rPr>
        <w:t>年</w:t>
      </w:r>
      <w:r>
        <w:rPr>
          <w:rFonts w:ascii="宋体" w:hAnsi="宋体" w:cs="宋体" w:eastAsia="宋体" w:hint="default"/>
          <w:sz w:val="21"/>
          <w:szCs w:val="21"/>
        </w:rPr>
        <w:t>6</w:t>
      </w:r>
      <w:r>
        <w:rPr>
          <w:rFonts w:ascii="宋体" w:hAnsi="宋体" w:cs="宋体" w:eastAsia="宋体" w:hint="default"/>
          <w:spacing w:val="-2"/>
          <w:sz w:val="21"/>
          <w:szCs w:val="21"/>
        </w:rPr>
        <w:t>月</w:t>
      </w:r>
      <w:r>
        <w:rPr>
          <w:rFonts w:ascii="宋体" w:hAnsi="宋体" w:cs="宋体" w:eastAsia="宋体" w:hint="default"/>
          <w:sz w:val="21"/>
          <w:szCs w:val="21"/>
        </w:rPr>
        <w:t>15</w:t>
      </w:r>
      <w:r>
        <w:rPr>
          <w:rFonts w:ascii="宋体" w:hAnsi="宋体" w:cs="宋体" w:eastAsia="宋体" w:hint="default"/>
          <w:spacing w:val="-2"/>
          <w:sz w:val="21"/>
          <w:szCs w:val="21"/>
        </w:rPr>
        <w:t>日</w:t>
      </w:r>
      <w:r>
        <w:rPr>
          <w:rFonts w:ascii="宋体" w:hAnsi="宋体" w:cs="宋体" w:eastAsia="宋体" w:hint="default"/>
          <w:sz w:val="21"/>
          <w:szCs w:val="21"/>
        </w:rPr>
        <w:t>发布了《财政部关于修订印发</w:t>
      </w:r>
      <w:r>
        <w:rPr>
          <w:rFonts w:ascii="宋体" w:hAnsi="宋体" w:cs="宋体" w:eastAsia="宋体" w:hint="default"/>
          <w:sz w:val="21"/>
          <w:szCs w:val="21"/>
        </w:rPr>
        <w:t>2018</w:t>
      </w:r>
      <w:r>
        <w:rPr>
          <w:rFonts w:ascii="宋体" w:hAnsi="宋体" w:cs="宋体" w:eastAsia="宋体" w:hint="default"/>
          <w:sz w:val="21"/>
          <w:szCs w:val="21"/>
        </w:rPr>
        <w:t>年度一般企业财务报表格式的通知</w:t>
      </w:r>
      <w:r>
        <w:rPr>
          <w:rFonts w:ascii="宋体" w:hAnsi="宋体" w:cs="宋体" w:eastAsia="宋体" w:hint="default"/>
          <w:spacing w:val="-106"/>
          <w:sz w:val="21"/>
          <w:szCs w:val="21"/>
        </w:rPr>
        <w:t>》</w:t>
      </w:r>
      <w:r>
        <w:rPr>
          <w:rFonts w:ascii="宋体" w:hAnsi="宋体" w:cs="宋体" w:eastAsia="宋体" w:hint="default"/>
          <w:sz w:val="21"/>
          <w:szCs w:val="21"/>
        </w:rPr>
        <w:t>（财会</w:t>
      </w:r>
    </w:p>
    <w:p>
      <w:pPr>
        <w:spacing w:before="37"/>
        <w:ind w:left="114" w:right="0" w:firstLine="0"/>
        <w:jc w:val="left"/>
        <w:rPr>
          <w:rFonts w:ascii="宋体" w:hAnsi="宋体" w:cs="宋体" w:eastAsia="宋体" w:hint="default"/>
          <w:sz w:val="21"/>
          <w:szCs w:val="21"/>
        </w:rPr>
      </w:pPr>
      <w:r>
        <w:rPr>
          <w:rFonts w:ascii="宋体" w:hAnsi="宋体" w:cs="宋体" w:eastAsia="宋体" w:hint="default"/>
          <w:sz w:val="21"/>
          <w:szCs w:val="21"/>
        </w:rPr>
        <w:t>（</w:t>
      </w:r>
      <w:r>
        <w:rPr>
          <w:rFonts w:ascii="宋体" w:hAnsi="宋体" w:cs="宋体" w:eastAsia="宋体" w:hint="default"/>
          <w:sz w:val="21"/>
          <w:szCs w:val="21"/>
        </w:rPr>
        <w:t>201</w:t>
      </w:r>
      <w:r>
        <w:rPr>
          <w:rFonts w:ascii="宋体" w:hAnsi="宋体" w:cs="宋体" w:eastAsia="宋体" w:hint="default"/>
          <w:spacing w:val="1"/>
          <w:sz w:val="21"/>
          <w:szCs w:val="21"/>
        </w:rPr>
        <w:t>8</w:t>
      </w:r>
      <w:r>
        <w:rPr>
          <w:rFonts w:ascii="宋体" w:hAnsi="宋体" w:cs="宋体" w:eastAsia="宋体" w:hint="default"/>
          <w:spacing w:val="-2"/>
          <w:sz w:val="21"/>
          <w:szCs w:val="21"/>
        </w:rPr>
        <w:t>）</w:t>
      </w:r>
      <w:r>
        <w:rPr>
          <w:rFonts w:ascii="宋体" w:hAnsi="宋体" w:cs="宋体" w:eastAsia="宋体" w:hint="default"/>
          <w:sz w:val="21"/>
          <w:szCs w:val="21"/>
        </w:rPr>
        <w:t>1</w:t>
      </w:r>
      <w:r>
        <w:rPr>
          <w:rFonts w:ascii="宋体" w:hAnsi="宋体" w:cs="宋体" w:eastAsia="宋体" w:hint="default"/>
          <w:spacing w:val="-1"/>
          <w:sz w:val="21"/>
          <w:szCs w:val="21"/>
        </w:rPr>
        <w:t>5</w:t>
      </w:r>
      <w:r>
        <w:rPr>
          <w:rFonts w:ascii="宋体" w:hAnsi="宋体" w:cs="宋体" w:eastAsia="宋体" w:hint="default"/>
          <w:sz w:val="21"/>
          <w:szCs w:val="21"/>
        </w:rPr>
        <w:t>号</w:t>
      </w:r>
      <w:r>
        <w:rPr>
          <w:rFonts w:ascii="宋体" w:hAnsi="宋体" w:cs="宋体" w:eastAsia="宋体" w:hint="default"/>
          <w:spacing w:val="-105"/>
          <w:sz w:val="21"/>
          <w:szCs w:val="21"/>
        </w:rPr>
        <w:t>）</w:t>
      </w:r>
      <w:r>
        <w:rPr>
          <w:rFonts w:ascii="宋体" w:hAnsi="宋体" w:cs="宋体" w:eastAsia="宋体" w:hint="default"/>
          <w:sz w:val="21"/>
          <w:szCs w:val="21"/>
        </w:rPr>
        <w:t>，对一</w:t>
      </w:r>
      <w:r>
        <w:rPr>
          <w:rFonts w:ascii="宋体" w:hAnsi="宋体" w:cs="宋体" w:eastAsia="宋体" w:hint="default"/>
          <w:spacing w:val="-2"/>
          <w:sz w:val="21"/>
          <w:szCs w:val="21"/>
        </w:rPr>
        <w:t>般</w:t>
      </w:r>
      <w:r>
        <w:rPr>
          <w:rFonts w:ascii="宋体" w:hAnsi="宋体" w:cs="宋体" w:eastAsia="宋体" w:hint="default"/>
          <w:sz w:val="21"/>
          <w:szCs w:val="21"/>
        </w:rPr>
        <w:t>企业财务报表格式进行了修订。</w:t>
      </w:r>
      <w:r>
        <w:rPr>
          <w:rFonts w:ascii="宋体" w:hAnsi="宋体" w:cs="宋体" w:eastAsia="宋体" w:hint="default"/>
          <w:spacing w:val="1"/>
          <w:sz w:val="21"/>
          <w:szCs w:val="21"/>
        </w:rPr>
        <w:t> </w:t>
      </w:r>
      <w:r>
        <w:rPr>
          <w:rFonts w:ascii="宋体" w:hAnsi="宋体" w:cs="宋体" w:eastAsia="宋体" w:hint="default"/>
          <w:spacing w:val="-2"/>
          <w:sz w:val="21"/>
          <w:szCs w:val="21"/>
        </w:rPr>
        <w:t>本</w:t>
      </w:r>
      <w:r>
        <w:rPr>
          <w:rFonts w:ascii="宋体" w:hAnsi="宋体" w:cs="宋体" w:eastAsia="宋体" w:hint="default"/>
          <w:sz w:val="21"/>
          <w:szCs w:val="21"/>
        </w:rPr>
        <w:t>公司执行上述规定的主要影响见上表。</w:t>
      </w:r>
    </w:p>
    <w:p>
      <w:pPr>
        <w:spacing w:line="240" w:lineRule="auto" w:before="11"/>
        <w:rPr>
          <w:rFonts w:ascii="宋体" w:hAnsi="宋体" w:cs="宋体" w:eastAsia="宋体" w:hint="default"/>
          <w:sz w:val="25"/>
          <w:szCs w:val="25"/>
        </w:rPr>
      </w:pPr>
    </w:p>
    <w:p>
      <w:pPr>
        <w:spacing w:before="0"/>
        <w:ind w:left="114" w:right="0" w:firstLine="0"/>
        <w:jc w:val="left"/>
        <w:rPr>
          <w:rFonts w:ascii="宋体" w:hAnsi="宋体" w:cs="宋体" w:eastAsia="宋体" w:hint="default"/>
          <w:sz w:val="21"/>
          <w:szCs w:val="21"/>
        </w:rPr>
      </w:pPr>
      <w:bookmarkStart w:name="（2）重要会计估计变更" w:id="220"/>
      <w:bookmarkEnd w:id="22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）重要会计估计变更</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1"/>
        <w:rPr>
          <w:rFonts w:ascii="宋体" w:hAnsi="宋体" w:cs="宋体" w:eastAsia="宋体" w:hint="default"/>
          <w:sz w:val="26"/>
          <w:szCs w:val="26"/>
        </w:rPr>
      </w:pPr>
    </w:p>
    <w:p>
      <w:pPr>
        <w:spacing w:line="487" w:lineRule="auto" w:before="0"/>
        <w:ind w:left="114" w:right="8966" w:firstLine="0"/>
        <w:jc w:val="left"/>
        <w:rPr>
          <w:rFonts w:ascii="宋体" w:hAnsi="宋体" w:cs="宋体" w:eastAsia="宋体" w:hint="default"/>
          <w:sz w:val="21"/>
          <w:szCs w:val="21"/>
        </w:rPr>
      </w:pPr>
      <w:bookmarkStart w:name="34、其他" w:id="221"/>
      <w:bookmarkEnd w:id="221"/>
      <w:r>
        <w:rPr/>
      </w:r>
      <w:r>
        <w:rPr>
          <w:rFonts w:ascii="Times New Roman" w:hAnsi="Times New Roman" w:cs="Times New Roman" w:eastAsia="Times New Roman" w:hint="default"/>
          <w:b/>
          <w:bCs/>
          <w:sz w:val="21"/>
          <w:szCs w:val="21"/>
        </w:rPr>
        <w:t>34</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六、税项" w:id="222"/>
      <w:bookmarkEnd w:id="222"/>
      <w:r>
        <w:rPr>
          <w:rFonts w:ascii="宋体" w:hAnsi="宋体" w:cs="宋体" w:eastAsia="宋体" w:hint="default"/>
          <w:b/>
          <w:bCs/>
          <w:w w:val="99"/>
          <w:sz w:val="21"/>
          <w:szCs w:val="21"/>
        </w:rPr>
      </w:r>
      <w:r>
        <w:rPr>
          <w:rFonts w:ascii="宋体" w:hAnsi="宋体" w:cs="宋体" w:eastAsia="宋体" w:hint="default"/>
          <w:b/>
          <w:bCs/>
          <w:sz w:val="24"/>
          <w:szCs w:val="24"/>
        </w:rPr>
        <w:t>六、税项</w:t>
      </w:r>
      <w:r>
        <w:rPr>
          <w:rFonts w:ascii="宋体" w:hAnsi="宋体" w:cs="宋体" w:eastAsia="宋体" w:hint="default"/>
          <w:b/>
          <w:bCs/>
          <w:spacing w:val="1"/>
          <w:w w:val="99"/>
          <w:sz w:val="24"/>
          <w:szCs w:val="24"/>
        </w:rPr>
        <w:t> </w:t>
      </w:r>
      <w:bookmarkStart w:name="1、主要税种及税率" w:id="223"/>
      <w:bookmarkEnd w:id="223"/>
      <w:r>
        <w:rPr>
          <w:rFonts w:ascii="宋体" w:hAnsi="宋体" w:cs="宋体" w:eastAsia="宋体" w:hint="default"/>
          <w:b/>
          <w:bCs/>
          <w:spacing w:val="1"/>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、主要税种及税率</w:t>
      </w:r>
      <w:r>
        <w:rPr>
          <w:rFonts w:ascii="宋体" w:hAnsi="宋体" w:cs="宋体" w:eastAsia="宋体" w:hint="default"/>
          <w:sz w:val="21"/>
          <w:szCs w:val="21"/>
        </w:rPr>
      </w:r>
    </w:p>
    <w:p>
      <w:pPr>
        <w:spacing w:line="240" w:lineRule="auto" w:before="6"/>
        <w:rPr>
          <w:rFonts w:ascii="宋体" w:hAnsi="宋体" w:cs="宋体" w:eastAsia="宋体" w:hint="default"/>
          <w:b/>
          <w:bCs/>
          <w:sz w:val="7"/>
          <w:szCs w:val="7"/>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税种</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计税依据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税率</w:t>
            </w:r>
          </w:p>
        </w:tc>
      </w:tr>
    </w:tbl>
    <w:p>
      <w:pPr>
        <w:spacing w:after="0" w:line="240" w:lineRule="auto"/>
        <w:jc w:val="center"/>
        <w:rPr>
          <w:rFonts w:ascii="宋体" w:hAnsi="宋体" w:cs="宋体" w:eastAsia="宋体" w:hint="default"/>
          <w:sz w:val="18"/>
          <w:szCs w:val="18"/>
        </w:rPr>
        <w:sectPr>
          <w:pgSz w:w="11910" w:h="16840"/>
          <w:pgMar w:header="889" w:footer="1019" w:top="1140" w:bottom="1200" w:left="1020" w:right="0"/>
        </w:sectPr>
      </w:pPr>
    </w:p>
    <w:p>
      <w:pPr>
        <w:spacing w:line="240" w:lineRule="auto" w:before="9"/>
        <w:rPr>
          <w:rFonts w:ascii="宋体" w:hAnsi="宋体" w:cs="宋体" w:eastAsia="宋体" w:hint="default"/>
          <w:b/>
          <w:bCs/>
          <w:sz w:val="22"/>
          <w:szCs w:val="22"/>
        </w:rPr>
      </w:pPr>
    </w:p>
    <w:tbl>
      <w:tblPr>
        <w:tblW w:w="0" w:type="auto"/>
        <w:jc w:val="left"/>
        <w:tblInd w:w="109" w:type="dxa"/>
        <w:tblLayout w:type="fixed"/>
        <w:tblCellMar>
          <w:top w:w="0" w:type="dxa"/>
          <w:left w:w="0" w:type="dxa"/>
          <w:bottom w:w="0" w:type="dxa"/>
          <w:right w:w="0" w:type="dxa"/>
        </w:tblCellMar>
        <w:tblLook w:val="01E0"/>
      </w:tblPr>
      <w:tblGrid>
        <w:gridCol w:w="3189"/>
        <w:gridCol w:w="3191"/>
        <w:gridCol w:w="3190"/>
      </w:tblGrid>
      <w:tr>
        <w:trPr>
          <w:trHeight w:val="1338"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2" w:right="102"/>
              <w:jc w:val="left"/>
              <w:rPr>
                <w:rFonts w:ascii="宋体" w:hAnsi="宋体" w:cs="宋体" w:eastAsia="宋体" w:hint="default"/>
                <w:sz w:val="18"/>
                <w:szCs w:val="18"/>
              </w:rPr>
            </w:pPr>
            <w:r>
              <w:rPr>
                <w:rFonts w:ascii="宋体" w:hAnsi="宋体" w:cs="宋体" w:eastAsia="宋体" w:hint="default"/>
                <w:sz w:val="18"/>
                <w:szCs w:val="18"/>
              </w:rPr>
              <w:t>按税法规定计算的销售货物和应税劳 </w:t>
            </w:r>
            <w:r>
              <w:rPr>
                <w:rFonts w:ascii="宋体" w:hAnsi="宋体" w:cs="宋体" w:eastAsia="宋体" w:hint="default"/>
                <w:spacing w:val="-6"/>
                <w:sz w:val="18"/>
                <w:szCs w:val="18"/>
              </w:rPr>
              <w:t>务收入为基础计算销项税额，在扣除当</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pacing w:val="-6"/>
                <w:sz w:val="18"/>
                <w:szCs w:val="18"/>
              </w:rPr>
              <w:t>期允许抵扣的进项税额后，差额部分为</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应交增值税</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w:t>
            </w:r>
            <w:r>
              <w:rPr>
                <w:rFonts w:ascii="Times New Roman" w:hAnsi="Times New Roman" w:cs="Times New Roman" w:eastAsia="Times New Roman" w:hint="default"/>
                <w:sz w:val="18"/>
                <w:szCs w:val="18"/>
              </w:rPr>
              <w:t>11</w:t>
            </w:r>
            <w:r>
              <w:rPr>
                <w:rFonts w:ascii="宋体" w:hAnsi="宋体" w:cs="宋体" w:eastAsia="宋体" w:hint="default"/>
                <w:sz w:val="18"/>
                <w:szCs w:val="18"/>
              </w:rPr>
              <w:t>、</w:t>
            </w:r>
            <w:r>
              <w:rPr>
                <w:rFonts w:ascii="Times New Roman" w:hAnsi="Times New Roman" w:cs="Times New Roman" w:eastAsia="Times New Roman" w:hint="default"/>
                <w:sz w:val="18"/>
                <w:szCs w:val="18"/>
              </w:rPr>
              <w:t>16</w:t>
            </w:r>
            <w:r>
              <w:rPr>
                <w:rFonts w:ascii="宋体" w:hAnsi="宋体" w:cs="宋体" w:eastAsia="宋体" w:hint="default"/>
                <w:sz w:val="18"/>
                <w:szCs w:val="18"/>
              </w:rPr>
              <w:t>、</w:t>
            </w: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17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按实际缴纳的增值税及消费税计缴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r>
              <w:rPr>
                <w:rFonts w:ascii="Times New Roman" w:hAnsi="Times New Roman" w:cs="Times New Roman" w:eastAsia="Times New Roman" w:hint="default"/>
                <w:sz w:val="18"/>
                <w:szCs w:val="18"/>
              </w:rPr>
              <w:t>5</w:t>
            </w:r>
            <w:r>
              <w:rPr>
                <w:rFonts w:ascii="宋体" w:hAnsi="宋体" w:cs="宋体" w:eastAsia="宋体" w:hint="default"/>
                <w:sz w:val="18"/>
                <w:szCs w:val="18"/>
              </w:rPr>
              <w:t>、</w:t>
            </w:r>
            <w:r>
              <w:rPr>
                <w:rFonts w:ascii="Times New Roman" w:hAnsi="Times New Roman" w:cs="Times New Roman" w:eastAsia="Times New Roman" w:hint="default"/>
                <w:sz w:val="18"/>
                <w:szCs w:val="18"/>
              </w:rPr>
              <w:t>7</w:t>
            </w:r>
          </w:p>
        </w:tc>
      </w:tr>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2" w:right="0"/>
              <w:jc w:val="left"/>
              <w:rPr>
                <w:rFonts w:ascii="宋体" w:hAnsi="宋体" w:cs="宋体" w:eastAsia="宋体" w:hint="default"/>
                <w:sz w:val="18"/>
                <w:szCs w:val="18"/>
              </w:rPr>
            </w:pPr>
            <w:r>
              <w:rPr>
                <w:rFonts w:ascii="宋体" w:hAnsi="宋体" w:cs="宋体" w:eastAsia="宋体" w:hint="default"/>
                <w:sz w:val="18"/>
                <w:szCs w:val="18"/>
              </w:rPr>
              <w:t>按应纳税所得额计缴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25</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存在不同企业所得税税率纳税主体的，披露情况说明</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纳税主体名称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所得税税率</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上海中信信息发展股份有限公司（即本公司）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上海金档信息技术有限公司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光典信息发展有限公司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上海追索信息科技有限公司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3" w:right="0"/>
              <w:jc w:val="left"/>
              <w:rPr>
                <w:rFonts w:ascii="Times New Roman" w:hAnsi="Times New Roman" w:cs="Times New Roman" w:eastAsia="Times New Roman" w:hint="default"/>
                <w:sz w:val="18"/>
                <w:szCs w:val="18"/>
              </w:rPr>
            </w:pPr>
            <w:r>
              <w:rPr>
                <w:rFonts w:ascii="Times New Roman"/>
                <w:sz w:val="18"/>
              </w:rPr>
              <w:t>15%</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追溯云信息发展股份有限公司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免征</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税收优惠" w:id="224"/>
      <w:bookmarkEnd w:id="224"/>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、税收优惠</w:t>
      </w:r>
      <w:r>
        <w:rPr>
          <w:rFonts w:ascii="宋体" w:hAnsi="宋体" w:cs="宋体" w:eastAsia="宋体" w:hint="default"/>
          <w:sz w:val="21"/>
          <w:szCs w:val="21"/>
        </w:rPr>
      </w:r>
    </w:p>
    <w:p>
      <w:pPr>
        <w:spacing w:line="240" w:lineRule="auto" w:before="11"/>
        <w:rPr>
          <w:rFonts w:ascii="宋体" w:hAnsi="宋体" w:cs="宋体" w:eastAsia="宋体" w:hint="default"/>
          <w:b/>
          <w:bCs/>
          <w:sz w:val="21"/>
          <w:szCs w:val="21"/>
        </w:rPr>
      </w:pPr>
    </w:p>
    <w:p>
      <w:pPr>
        <w:spacing w:line="266" w:lineRule="auto" w:before="35"/>
        <w:ind w:left="1374" w:right="1128" w:hanging="8"/>
        <w:jc w:val="left"/>
        <w:rPr>
          <w:rFonts w:ascii="宋体" w:hAnsi="宋体" w:cs="宋体" w:eastAsia="宋体" w:hint="default"/>
          <w:sz w:val="21"/>
          <w:szCs w:val="21"/>
        </w:rPr>
      </w:pPr>
      <w:r>
        <w:rPr>
          <w:rFonts w:ascii="宋体" w:hAnsi="宋体" w:cs="宋体" w:eastAsia="宋体" w:hint="default"/>
          <w:sz w:val="21"/>
          <w:szCs w:val="21"/>
        </w:rPr>
        <w:t>1</w:t>
      </w:r>
      <w:r>
        <w:rPr>
          <w:rFonts w:ascii="宋体" w:hAnsi="宋体" w:cs="宋体" w:eastAsia="宋体" w:hint="default"/>
          <w:sz w:val="21"/>
          <w:szCs w:val="21"/>
        </w:rPr>
        <w:t>、</w:t>
      </w:r>
      <w:r>
        <w:rPr>
          <w:rFonts w:ascii="宋体" w:hAnsi="宋体" w:cs="宋体" w:eastAsia="宋体" w:hint="default"/>
          <w:b/>
          <w:bCs/>
          <w:sz w:val="21"/>
          <w:szCs w:val="21"/>
        </w:rPr>
        <w:t>增值税</w:t>
      </w:r>
      <w:r>
        <w:rPr>
          <w:rFonts w:ascii="宋体" w:hAnsi="宋体" w:cs="宋体" w:eastAsia="宋体" w:hint="default"/>
          <w:b/>
          <w:bCs/>
          <w:spacing w:val="1"/>
          <w:w w:val="99"/>
          <w:sz w:val="21"/>
          <w:szCs w:val="21"/>
        </w:rPr>
        <w:t> </w:t>
      </w:r>
      <w:r>
        <w:rPr>
          <w:rFonts w:ascii="宋体" w:hAnsi="宋体" w:cs="宋体" w:eastAsia="宋体" w:hint="default"/>
          <w:spacing w:val="-6"/>
          <w:sz w:val="21"/>
          <w:szCs w:val="21"/>
        </w:rPr>
        <w:t>根据国务院发布的《关于印发进一步鼓励软件产业和集成电路产业发展若干政策的通知》（国</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pacing w:val="-2"/>
          <w:sz w:val="21"/>
          <w:szCs w:val="21"/>
        </w:rPr>
        <w:t>发</w:t>
      </w:r>
      <w:r>
        <w:rPr>
          <w:rFonts w:ascii="Times New Roman" w:hAnsi="Times New Roman" w:cs="Times New Roman" w:eastAsia="Times New Roman" w:hint="default"/>
          <w:spacing w:val="-2"/>
          <w:sz w:val="21"/>
          <w:szCs w:val="21"/>
        </w:rPr>
        <w:t>[2011]4</w:t>
      </w:r>
      <w:r>
        <w:rPr>
          <w:rFonts w:ascii="宋体" w:hAnsi="宋体" w:cs="宋体" w:eastAsia="宋体" w:hint="default"/>
          <w:spacing w:val="-2"/>
          <w:sz w:val="21"/>
          <w:szCs w:val="21"/>
        </w:rPr>
        <w:t>号）的规定，对增值税一般纳税人销售其自行开发生产的软件产品，按法定税率征</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pacing w:val="-3"/>
          <w:sz w:val="21"/>
          <w:szCs w:val="21"/>
        </w:rPr>
        <w:t>收增值税后，对增值税实际税负超过</w:t>
      </w:r>
      <w:r>
        <w:rPr>
          <w:rFonts w:ascii="Times New Roman" w:hAnsi="Times New Roman" w:cs="Times New Roman" w:eastAsia="Times New Roman" w:hint="default"/>
          <w:spacing w:val="-3"/>
          <w:sz w:val="21"/>
          <w:szCs w:val="21"/>
        </w:rPr>
        <w:t>3%</w:t>
      </w:r>
      <w:r>
        <w:rPr>
          <w:rFonts w:ascii="宋体" w:hAnsi="宋体" w:cs="宋体" w:eastAsia="宋体" w:hint="default"/>
          <w:spacing w:val="-3"/>
          <w:sz w:val="21"/>
          <w:szCs w:val="21"/>
        </w:rPr>
        <w:t>的部分实行即征即退政策。本公司销售的软件产品符</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合该项优惠政策。 </w:t>
      </w:r>
      <w:r>
        <w:rPr>
          <w:rFonts w:ascii="宋体" w:hAnsi="宋体" w:cs="宋体" w:eastAsia="宋体" w:hint="default"/>
          <w:spacing w:val="-1"/>
          <w:sz w:val="21"/>
          <w:szCs w:val="21"/>
        </w:rPr>
        <w:t>根据财政部、国家税务总局《关于在上海开展交通运输业和部分现代服务业营业税改征增值</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3"/>
          <w:sz w:val="21"/>
          <w:szCs w:val="21"/>
        </w:rPr>
        <w:t>税试点的通知》（财税【</w:t>
      </w:r>
      <w:r>
        <w:rPr>
          <w:rFonts w:ascii="Times New Roman" w:hAnsi="Times New Roman" w:cs="Times New Roman" w:eastAsia="Times New Roman" w:hint="default"/>
          <w:spacing w:val="-13"/>
          <w:sz w:val="21"/>
          <w:szCs w:val="21"/>
        </w:rPr>
        <w:t>2011</w:t>
      </w:r>
      <w:r>
        <w:rPr>
          <w:rFonts w:ascii="宋体" w:hAnsi="宋体" w:cs="宋体" w:eastAsia="宋体" w:hint="default"/>
          <w:spacing w:val="-13"/>
          <w:sz w:val="21"/>
          <w:szCs w:val="21"/>
        </w:rPr>
        <w:t>】</w:t>
      </w:r>
      <w:r>
        <w:rPr>
          <w:rFonts w:ascii="Times New Roman" w:hAnsi="Times New Roman" w:cs="Times New Roman" w:eastAsia="Times New Roman" w:hint="default"/>
          <w:spacing w:val="-13"/>
          <w:sz w:val="21"/>
          <w:szCs w:val="21"/>
        </w:rPr>
        <w:t>111</w:t>
      </w:r>
      <w:r>
        <w:rPr>
          <w:rFonts w:ascii="宋体" w:hAnsi="宋体" w:cs="宋体" w:eastAsia="宋体" w:hint="default"/>
          <w:spacing w:val="-13"/>
          <w:sz w:val="21"/>
          <w:szCs w:val="21"/>
        </w:rPr>
        <w:t>号）、《营业税改征增值税免税优惠政策过渡操作意见》，本</w:t>
      </w:r>
      <w:r>
        <w:rPr>
          <w:rFonts w:ascii="宋体" w:hAnsi="宋体" w:cs="宋体" w:eastAsia="宋体" w:hint="default"/>
          <w:spacing w:val="-68"/>
          <w:sz w:val="21"/>
          <w:szCs w:val="21"/>
        </w:rPr>
        <w:t> </w:t>
      </w:r>
      <w:r>
        <w:rPr>
          <w:rFonts w:ascii="宋体" w:hAnsi="宋体" w:cs="宋体" w:eastAsia="宋体" w:hint="default"/>
          <w:spacing w:val="-68"/>
          <w:sz w:val="21"/>
          <w:szCs w:val="21"/>
        </w:rPr>
      </w:r>
      <w:r>
        <w:rPr>
          <w:rFonts w:ascii="宋体" w:hAnsi="宋体" w:cs="宋体" w:eastAsia="宋体" w:hint="default"/>
          <w:sz w:val="21"/>
          <w:szCs w:val="21"/>
        </w:rPr>
        <w:t>公司及各子公司经主管税务机关审核并按规定程序审批后的技术开发业务免征增值税。</w:t>
      </w:r>
    </w:p>
    <w:p>
      <w:pPr>
        <w:spacing w:line="240" w:lineRule="auto" w:before="12"/>
        <w:rPr>
          <w:rFonts w:ascii="宋体" w:hAnsi="宋体" w:cs="宋体" w:eastAsia="宋体" w:hint="default"/>
          <w:sz w:val="24"/>
          <w:szCs w:val="24"/>
        </w:rPr>
      </w:pPr>
    </w:p>
    <w:p>
      <w:pPr>
        <w:spacing w:before="0"/>
        <w:ind w:left="1370" w:right="0" w:firstLine="0"/>
        <w:jc w:val="left"/>
        <w:rPr>
          <w:rFonts w:ascii="宋体" w:hAnsi="宋体" w:cs="宋体" w:eastAsia="宋体" w:hint="default"/>
          <w:sz w:val="21"/>
          <w:szCs w:val="21"/>
        </w:rPr>
      </w:pP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 企业所得税</w:t>
      </w:r>
      <w:r>
        <w:rPr>
          <w:rFonts w:ascii="宋体" w:hAnsi="宋体" w:cs="宋体" w:eastAsia="宋体" w:hint="default"/>
          <w:sz w:val="21"/>
          <w:szCs w:val="21"/>
        </w:rPr>
      </w:r>
    </w:p>
    <w:p>
      <w:pPr>
        <w:spacing w:line="264" w:lineRule="auto" w:before="21"/>
        <w:ind w:left="1374" w:right="1215" w:firstLine="0"/>
        <w:jc w:val="both"/>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1</w:t>
      </w:r>
      <w:r>
        <w:rPr>
          <w:rFonts w:ascii="宋体" w:hAnsi="宋体" w:cs="宋体" w:eastAsia="宋体" w:hint="default"/>
          <w:sz w:val="21"/>
          <w:szCs w:val="21"/>
        </w:rPr>
        <w:t>）</w:t>
      </w:r>
      <w:r>
        <w:rPr>
          <w:rFonts w:ascii="Times New Roman" w:hAnsi="Times New Roman" w:cs="Times New Roman" w:eastAsia="Times New Roman" w:hint="default"/>
          <w:sz w:val="21"/>
          <w:szCs w:val="21"/>
        </w:rPr>
        <w:t>2017</w:t>
      </w:r>
      <w:r>
        <w:rPr>
          <w:rFonts w:ascii="宋体" w:hAnsi="宋体" w:cs="宋体" w:eastAsia="宋体" w:hint="default"/>
          <w:sz w:val="21"/>
          <w:szCs w:val="21"/>
        </w:rPr>
        <w:t>年</w:t>
      </w:r>
      <w:r>
        <w:rPr>
          <w:rFonts w:ascii="Times New Roman" w:hAnsi="Times New Roman" w:cs="Times New Roman" w:eastAsia="Times New Roman" w:hint="default"/>
          <w:sz w:val="21"/>
          <w:szCs w:val="21"/>
        </w:rPr>
        <w:t>10</w:t>
      </w:r>
      <w:r>
        <w:rPr>
          <w:rFonts w:ascii="宋体" w:hAnsi="宋体" w:cs="宋体" w:eastAsia="宋体" w:hint="default"/>
          <w:sz w:val="21"/>
          <w:szCs w:val="21"/>
        </w:rPr>
        <w:t>月</w:t>
      </w:r>
      <w:r>
        <w:rPr>
          <w:rFonts w:ascii="Times New Roman" w:hAnsi="Times New Roman" w:cs="Times New Roman" w:eastAsia="Times New Roman" w:hint="default"/>
          <w:sz w:val="21"/>
          <w:szCs w:val="21"/>
        </w:rPr>
        <w:t>23</w:t>
      </w:r>
      <w:r>
        <w:rPr>
          <w:rFonts w:ascii="宋体" w:hAnsi="宋体" w:cs="宋体" w:eastAsia="宋体" w:hint="default"/>
          <w:sz w:val="21"/>
          <w:szCs w:val="21"/>
        </w:rPr>
        <w:t>日，本公司取得上海市科学技术委员会、上海市财政局、上海市国家税 </w:t>
      </w:r>
      <w:r>
        <w:rPr>
          <w:rFonts w:ascii="宋体" w:hAnsi="宋体" w:cs="宋体" w:eastAsia="宋体" w:hint="default"/>
          <w:spacing w:val="-3"/>
          <w:sz w:val="21"/>
          <w:szCs w:val="21"/>
        </w:rPr>
        <w:t>务局和上海市地方税务局颁发的《高新技术企业证书》，本公司通过复审，继续被认定高新</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技术企业，有效期为</w:t>
      </w:r>
      <w:r>
        <w:rPr>
          <w:rFonts w:ascii="Times New Roman" w:hAnsi="Times New Roman" w:cs="Times New Roman" w:eastAsia="Times New Roman" w:hint="default"/>
          <w:sz w:val="21"/>
          <w:szCs w:val="21"/>
        </w:rPr>
        <w:t>3</w:t>
      </w:r>
      <w:r>
        <w:rPr>
          <w:rFonts w:ascii="宋体" w:hAnsi="宋体" w:cs="宋体" w:eastAsia="宋体" w:hint="default"/>
          <w:sz w:val="21"/>
          <w:szCs w:val="21"/>
        </w:rPr>
        <w:t>年。因此，本公司</w:t>
      </w:r>
      <w:r>
        <w:rPr>
          <w:rFonts w:ascii="Times New Roman" w:hAnsi="Times New Roman" w:cs="Times New Roman" w:eastAsia="Times New Roman" w:hint="default"/>
          <w:sz w:val="21"/>
          <w:szCs w:val="21"/>
        </w:rPr>
        <w:t>2018</w:t>
      </w:r>
      <w:r>
        <w:rPr>
          <w:rFonts w:ascii="宋体" w:hAnsi="宋体" w:cs="宋体" w:eastAsia="宋体" w:hint="default"/>
          <w:sz w:val="21"/>
          <w:szCs w:val="21"/>
        </w:rPr>
        <w:t>年度减按</w:t>
      </w:r>
      <w:r>
        <w:rPr>
          <w:rFonts w:ascii="Times New Roman" w:hAnsi="Times New Roman" w:cs="Times New Roman" w:eastAsia="Times New Roman" w:hint="default"/>
          <w:sz w:val="21"/>
          <w:szCs w:val="21"/>
        </w:rPr>
        <w:t>15%</w:t>
      </w:r>
      <w:r>
        <w:rPr>
          <w:rFonts w:ascii="宋体" w:hAnsi="宋体" w:cs="宋体" w:eastAsia="宋体" w:hint="default"/>
          <w:sz w:val="21"/>
          <w:szCs w:val="21"/>
        </w:rPr>
        <w:t>的税率缴纳企业所得税。</w:t>
      </w:r>
    </w:p>
    <w:p>
      <w:pPr>
        <w:spacing w:line="240" w:lineRule="auto" w:before="9"/>
        <w:rPr>
          <w:rFonts w:ascii="宋体" w:hAnsi="宋体" w:cs="宋体" w:eastAsia="宋体" w:hint="default"/>
          <w:sz w:val="23"/>
          <w:szCs w:val="23"/>
        </w:rPr>
      </w:pPr>
    </w:p>
    <w:p>
      <w:pPr>
        <w:spacing w:line="264" w:lineRule="auto" w:before="0"/>
        <w:ind w:left="1374" w:right="1022"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11</w:t>
      </w:r>
      <w:r>
        <w:rPr>
          <w:rFonts w:ascii="宋体" w:hAnsi="宋体" w:cs="宋体" w:eastAsia="宋体" w:hint="default"/>
          <w:sz w:val="21"/>
          <w:szCs w:val="21"/>
        </w:rPr>
        <w:t>月</w:t>
      </w:r>
      <w:r>
        <w:rPr>
          <w:rFonts w:ascii="Times New Roman" w:hAnsi="Times New Roman" w:cs="Times New Roman" w:eastAsia="Times New Roman" w:hint="default"/>
          <w:sz w:val="21"/>
          <w:szCs w:val="21"/>
        </w:rPr>
        <w:t>24</w:t>
      </w:r>
      <w:r>
        <w:rPr>
          <w:rFonts w:ascii="宋体" w:hAnsi="宋体" w:cs="宋体" w:eastAsia="宋体" w:hint="default"/>
          <w:sz w:val="21"/>
          <w:szCs w:val="21"/>
        </w:rPr>
        <w:t>日，子公司上海金档信息技术有限公司取得上海市科学技术委员会、上 </w:t>
      </w:r>
      <w:r>
        <w:rPr>
          <w:rFonts w:ascii="宋体" w:hAnsi="宋体" w:cs="宋体" w:eastAsia="宋体" w:hint="default"/>
          <w:spacing w:val="-3"/>
          <w:sz w:val="21"/>
          <w:szCs w:val="21"/>
        </w:rPr>
        <w:t>海市财政局、上海市国家税务局、上海市地方税务局颁发的《高新技术企业证书》，被认定</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为高新技术企业，有效期为</w:t>
      </w:r>
      <w:r>
        <w:rPr>
          <w:rFonts w:ascii="Times New Roman" w:hAnsi="Times New Roman" w:cs="Times New Roman" w:eastAsia="Times New Roman" w:hint="default"/>
          <w:sz w:val="21"/>
          <w:szCs w:val="21"/>
        </w:rPr>
        <w:t>3</w:t>
      </w:r>
      <w:r>
        <w:rPr>
          <w:rFonts w:ascii="宋体" w:hAnsi="宋体" w:cs="宋体" w:eastAsia="宋体" w:hint="default"/>
          <w:sz w:val="21"/>
          <w:szCs w:val="21"/>
        </w:rPr>
        <w:t>年。因此，该子公司</w:t>
      </w:r>
      <w:r>
        <w:rPr>
          <w:rFonts w:ascii="Times New Roman" w:hAnsi="Times New Roman" w:cs="Times New Roman" w:eastAsia="Times New Roman" w:hint="default"/>
          <w:sz w:val="21"/>
          <w:szCs w:val="21"/>
        </w:rPr>
        <w:t>2018</w:t>
      </w:r>
      <w:r>
        <w:rPr>
          <w:rFonts w:ascii="宋体" w:hAnsi="宋体" w:cs="宋体" w:eastAsia="宋体" w:hint="default"/>
          <w:sz w:val="21"/>
          <w:szCs w:val="21"/>
        </w:rPr>
        <w:t>年度减按</w:t>
      </w:r>
      <w:r>
        <w:rPr>
          <w:rFonts w:ascii="Times New Roman" w:hAnsi="Times New Roman" w:cs="Times New Roman" w:eastAsia="Times New Roman" w:hint="default"/>
          <w:sz w:val="21"/>
          <w:szCs w:val="21"/>
        </w:rPr>
        <w:t>15%</w:t>
      </w:r>
      <w:r>
        <w:rPr>
          <w:rFonts w:ascii="宋体" w:hAnsi="宋体" w:cs="宋体" w:eastAsia="宋体" w:hint="default"/>
          <w:sz w:val="21"/>
          <w:szCs w:val="21"/>
        </w:rPr>
        <w:t>的税率征收企业所得税。</w:t>
      </w:r>
    </w:p>
    <w:p>
      <w:pPr>
        <w:spacing w:line="240" w:lineRule="auto" w:before="9"/>
        <w:rPr>
          <w:rFonts w:ascii="宋体" w:hAnsi="宋体" w:cs="宋体" w:eastAsia="宋体" w:hint="default"/>
          <w:sz w:val="23"/>
          <w:szCs w:val="23"/>
        </w:rPr>
      </w:pPr>
    </w:p>
    <w:p>
      <w:pPr>
        <w:spacing w:line="264" w:lineRule="auto" w:before="0"/>
        <w:ind w:left="1374" w:right="1215" w:firstLine="0"/>
        <w:jc w:val="both"/>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3</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2016</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11</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24</w:t>
      </w:r>
      <w:r>
        <w:rPr>
          <w:rFonts w:ascii="宋体" w:hAnsi="宋体" w:cs="宋体" w:eastAsia="宋体" w:hint="default"/>
          <w:spacing w:val="-1"/>
          <w:sz w:val="21"/>
          <w:szCs w:val="21"/>
        </w:rPr>
        <w:t>日，子公司光典信息发展有限公司取得上海市科学技术委员会、上海市</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宋体" w:hAnsi="宋体" w:cs="宋体" w:eastAsia="宋体" w:hint="default"/>
          <w:spacing w:val="-3"/>
          <w:sz w:val="21"/>
          <w:szCs w:val="21"/>
        </w:rPr>
        <w:t>财政局、上海市国家税务局、上海市地方税务局颁发的《高新技术企业证书》，被认定为高</w:t>
      </w:r>
      <w:r>
        <w:rPr>
          <w:rFonts w:ascii="宋体" w:hAnsi="宋体" w:cs="宋体" w:eastAsia="宋体" w:hint="default"/>
          <w:spacing w:val="-92"/>
          <w:sz w:val="21"/>
          <w:szCs w:val="21"/>
        </w:rPr>
        <w:t> </w:t>
      </w:r>
      <w:r>
        <w:rPr>
          <w:rFonts w:ascii="宋体" w:hAnsi="宋体" w:cs="宋体" w:eastAsia="宋体" w:hint="default"/>
          <w:spacing w:val="-92"/>
          <w:sz w:val="21"/>
          <w:szCs w:val="21"/>
        </w:rPr>
      </w:r>
      <w:r>
        <w:rPr>
          <w:rFonts w:ascii="宋体" w:hAnsi="宋体" w:cs="宋体" w:eastAsia="宋体" w:hint="default"/>
          <w:sz w:val="21"/>
          <w:szCs w:val="21"/>
        </w:rPr>
        <w:t>新技术企业，有效期为</w:t>
      </w:r>
      <w:r>
        <w:rPr>
          <w:rFonts w:ascii="Times New Roman" w:hAnsi="Times New Roman" w:cs="Times New Roman" w:eastAsia="Times New Roman" w:hint="default"/>
          <w:sz w:val="21"/>
          <w:szCs w:val="21"/>
        </w:rPr>
        <w:t>3</w:t>
      </w:r>
      <w:r>
        <w:rPr>
          <w:rFonts w:ascii="宋体" w:hAnsi="宋体" w:cs="宋体" w:eastAsia="宋体" w:hint="default"/>
          <w:sz w:val="21"/>
          <w:szCs w:val="21"/>
        </w:rPr>
        <w:t>年。因此，该子公司</w:t>
      </w:r>
      <w:r>
        <w:rPr>
          <w:rFonts w:ascii="Times New Roman" w:hAnsi="Times New Roman" w:cs="Times New Roman" w:eastAsia="Times New Roman" w:hint="default"/>
          <w:sz w:val="21"/>
          <w:szCs w:val="21"/>
        </w:rPr>
        <w:t>2018</w:t>
      </w:r>
      <w:r>
        <w:rPr>
          <w:rFonts w:ascii="宋体" w:hAnsi="宋体" w:cs="宋体" w:eastAsia="宋体" w:hint="default"/>
          <w:sz w:val="21"/>
          <w:szCs w:val="21"/>
        </w:rPr>
        <w:t>年度减按</w:t>
      </w:r>
      <w:r>
        <w:rPr>
          <w:rFonts w:ascii="Times New Roman" w:hAnsi="Times New Roman" w:cs="Times New Roman" w:eastAsia="Times New Roman" w:hint="default"/>
          <w:sz w:val="21"/>
          <w:szCs w:val="21"/>
        </w:rPr>
        <w:t>15%</w:t>
      </w:r>
      <w:r>
        <w:rPr>
          <w:rFonts w:ascii="宋体" w:hAnsi="宋体" w:cs="宋体" w:eastAsia="宋体" w:hint="default"/>
          <w:sz w:val="21"/>
          <w:szCs w:val="21"/>
        </w:rPr>
        <w:t>的税率征收企业所得税。</w:t>
      </w:r>
    </w:p>
    <w:p>
      <w:pPr>
        <w:spacing w:line="240" w:lineRule="auto" w:before="9"/>
        <w:rPr>
          <w:rFonts w:ascii="宋体" w:hAnsi="宋体" w:cs="宋体" w:eastAsia="宋体" w:hint="default"/>
          <w:sz w:val="23"/>
          <w:szCs w:val="23"/>
        </w:rPr>
      </w:pPr>
    </w:p>
    <w:p>
      <w:pPr>
        <w:spacing w:line="264" w:lineRule="auto" w:before="0"/>
        <w:ind w:left="1374" w:right="0" w:firstLine="0"/>
        <w:jc w:val="left"/>
        <w:rPr>
          <w:rFonts w:ascii="宋体" w:hAnsi="宋体" w:cs="宋体" w:eastAsia="宋体" w:hint="default"/>
          <w:sz w:val="21"/>
          <w:szCs w:val="21"/>
        </w:rPr>
      </w:pP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4</w:t>
      </w:r>
      <w:r>
        <w:rPr>
          <w:rFonts w:ascii="宋体" w:hAnsi="宋体" w:cs="宋体" w:eastAsia="宋体" w:hint="default"/>
          <w:spacing w:val="-1"/>
          <w:sz w:val="21"/>
          <w:szCs w:val="21"/>
        </w:rPr>
        <w:t>）</w:t>
      </w:r>
      <w:r>
        <w:rPr>
          <w:rFonts w:ascii="Times New Roman" w:hAnsi="Times New Roman" w:cs="Times New Roman" w:eastAsia="Times New Roman" w:hint="default"/>
          <w:spacing w:val="-1"/>
          <w:sz w:val="21"/>
          <w:szCs w:val="21"/>
        </w:rPr>
        <w:t>2018</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11</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27</w:t>
      </w:r>
      <w:r>
        <w:rPr>
          <w:rFonts w:ascii="宋体" w:hAnsi="宋体" w:cs="宋体" w:eastAsia="宋体" w:hint="default"/>
          <w:spacing w:val="-1"/>
          <w:sz w:val="21"/>
          <w:szCs w:val="21"/>
        </w:rPr>
        <w:t>日，控股子公司上海追索信息科技有限公司取得上海市科学技术委员会、</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pacing w:val="-3"/>
          <w:sz w:val="21"/>
          <w:szCs w:val="21"/>
        </w:rPr>
        <w:t>上海市财政局、上海市国家税务局、上海市地方税务局颁发的《高新技术企业证书》，被认</w:t>
      </w:r>
      <w:r>
        <w:rPr>
          <w:rFonts w:ascii="宋体" w:hAnsi="宋体" w:cs="宋体" w:eastAsia="宋体" w:hint="default"/>
          <w:spacing w:val="-90"/>
          <w:sz w:val="21"/>
          <w:szCs w:val="21"/>
        </w:rPr>
        <w:t> </w:t>
      </w:r>
      <w:r>
        <w:rPr>
          <w:rFonts w:ascii="宋体" w:hAnsi="宋体" w:cs="宋体" w:eastAsia="宋体" w:hint="default"/>
          <w:spacing w:val="-90"/>
          <w:sz w:val="21"/>
          <w:szCs w:val="21"/>
        </w:rPr>
      </w:r>
      <w:r>
        <w:rPr>
          <w:rFonts w:ascii="宋体" w:hAnsi="宋体" w:cs="宋体" w:eastAsia="宋体" w:hint="default"/>
          <w:spacing w:val="-5"/>
          <w:sz w:val="21"/>
          <w:szCs w:val="21"/>
        </w:rPr>
        <w:t>定为高新技术企业，有效期为</w:t>
      </w:r>
      <w:r>
        <w:rPr>
          <w:rFonts w:ascii="Times New Roman" w:hAnsi="Times New Roman" w:cs="Times New Roman" w:eastAsia="Times New Roman" w:hint="default"/>
          <w:spacing w:val="-5"/>
          <w:sz w:val="21"/>
          <w:szCs w:val="21"/>
        </w:rPr>
        <w:t>3</w:t>
      </w:r>
      <w:r>
        <w:rPr>
          <w:rFonts w:ascii="宋体" w:hAnsi="宋体" w:cs="宋体" w:eastAsia="宋体" w:hint="default"/>
          <w:spacing w:val="-5"/>
          <w:sz w:val="21"/>
          <w:szCs w:val="21"/>
        </w:rPr>
        <w:t>年。因此，该子公司</w:t>
      </w:r>
      <w:r>
        <w:rPr>
          <w:rFonts w:ascii="Times New Roman" w:hAnsi="Times New Roman" w:cs="Times New Roman" w:eastAsia="Times New Roman" w:hint="default"/>
          <w:spacing w:val="-5"/>
          <w:sz w:val="21"/>
          <w:szCs w:val="21"/>
        </w:rPr>
        <w:t>2018</w:t>
      </w:r>
      <w:r>
        <w:rPr>
          <w:rFonts w:ascii="宋体" w:hAnsi="宋体" w:cs="宋体" w:eastAsia="宋体" w:hint="default"/>
          <w:spacing w:val="-5"/>
          <w:sz w:val="21"/>
          <w:szCs w:val="21"/>
        </w:rPr>
        <w:t>年度减按</w:t>
      </w:r>
      <w:r>
        <w:rPr>
          <w:rFonts w:ascii="Times New Roman" w:hAnsi="Times New Roman" w:cs="Times New Roman" w:eastAsia="Times New Roman" w:hint="default"/>
          <w:spacing w:val="-5"/>
          <w:sz w:val="21"/>
          <w:szCs w:val="21"/>
        </w:rPr>
        <w:t>15%</w:t>
      </w:r>
      <w:r>
        <w:rPr>
          <w:rFonts w:ascii="宋体" w:hAnsi="宋体" w:cs="宋体" w:eastAsia="宋体" w:hint="default"/>
          <w:spacing w:val="-5"/>
          <w:sz w:val="21"/>
          <w:szCs w:val="21"/>
        </w:rPr>
        <w:t>的税率缴纳企业所得税。</w:t>
      </w:r>
    </w:p>
    <w:p>
      <w:pPr>
        <w:spacing w:after="0" w:line="264"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line="256" w:lineRule="auto" w:before="35"/>
        <w:ind w:left="1374" w:right="1130" w:firstLine="0"/>
        <w:jc w:val="both"/>
        <w:rPr>
          <w:rFonts w:ascii="宋体" w:hAnsi="宋体" w:cs="宋体" w:eastAsia="宋体" w:hint="default"/>
          <w:sz w:val="21"/>
          <w:szCs w:val="21"/>
        </w:rPr>
      </w:pPr>
      <w:r>
        <w:rPr>
          <w:rFonts w:ascii="宋体" w:hAnsi="宋体" w:cs="宋体" w:eastAsia="宋体" w:hint="default"/>
          <w:spacing w:val="-3"/>
          <w:sz w:val="21"/>
          <w:szCs w:val="21"/>
        </w:rPr>
        <w:t>（</w:t>
      </w:r>
      <w:r>
        <w:rPr>
          <w:rFonts w:ascii="Times New Roman" w:hAnsi="Times New Roman" w:cs="Times New Roman" w:eastAsia="Times New Roman" w:hint="default"/>
          <w:spacing w:val="-3"/>
          <w:sz w:val="21"/>
          <w:szCs w:val="21"/>
        </w:rPr>
        <w:t>5</w:t>
      </w:r>
      <w:r>
        <w:rPr>
          <w:rFonts w:ascii="宋体" w:hAnsi="宋体" w:cs="宋体" w:eastAsia="宋体" w:hint="default"/>
          <w:spacing w:val="-3"/>
          <w:sz w:val="21"/>
          <w:szCs w:val="21"/>
        </w:rPr>
        <w:t>）根据《财政部</w:t>
      </w:r>
      <w:r>
        <w:rPr>
          <w:rFonts w:ascii="宋体" w:hAnsi="宋体" w:cs="宋体" w:eastAsia="宋体" w:hint="default"/>
          <w:sz w:val="21"/>
          <w:szCs w:val="21"/>
        </w:rPr>
        <w:t> 国家税务总局关于进一步鼓励软件产业和集成电路产业发展企业所得税</w:t>
      </w:r>
      <w:r>
        <w:rPr>
          <w:rFonts w:ascii="宋体" w:hAnsi="宋体" w:cs="宋体" w:eastAsia="宋体" w:hint="default"/>
          <w:sz w:val="21"/>
          <w:szCs w:val="21"/>
        </w:rPr>
        <w:t> 政策的通知》财税</w:t>
      </w:r>
      <w:r>
        <w:rPr>
          <w:rFonts w:ascii="Times New Roman" w:hAnsi="Times New Roman" w:cs="Times New Roman" w:eastAsia="Times New Roman" w:hint="default"/>
          <w:sz w:val="21"/>
          <w:szCs w:val="21"/>
        </w:rPr>
        <w:t>[2012]27</w:t>
      </w:r>
      <w:r>
        <w:rPr>
          <w:rFonts w:ascii="宋体" w:hAnsi="宋体" w:cs="宋体" w:eastAsia="宋体" w:hint="default"/>
          <w:sz w:val="21"/>
          <w:szCs w:val="21"/>
        </w:rPr>
        <w:t>号第三条，控股子公司追溯云信息发展股份有限公司属于境内符 </w:t>
      </w:r>
      <w:r>
        <w:rPr>
          <w:rFonts w:ascii="宋体" w:hAnsi="宋体" w:cs="宋体" w:eastAsia="宋体" w:hint="default"/>
          <w:spacing w:val="-1"/>
          <w:sz w:val="21"/>
          <w:szCs w:val="21"/>
        </w:rPr>
        <w:t>合条件的软件企业，经认定后，在</w:t>
      </w:r>
      <w:r>
        <w:rPr>
          <w:rFonts w:ascii="Times New Roman" w:hAnsi="Times New Roman" w:cs="Times New Roman" w:eastAsia="Times New Roman" w:hint="default"/>
          <w:spacing w:val="-1"/>
          <w:sz w:val="21"/>
          <w:szCs w:val="21"/>
        </w:rPr>
        <w:t>2017</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12</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31</w:t>
      </w:r>
      <w:r>
        <w:rPr>
          <w:rFonts w:ascii="宋体" w:hAnsi="宋体" w:cs="宋体" w:eastAsia="宋体" w:hint="default"/>
          <w:spacing w:val="-1"/>
          <w:sz w:val="21"/>
          <w:szCs w:val="21"/>
        </w:rPr>
        <w:t>日前自获利年度起计算优惠期，第一年至第</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二年免征企业所得税，第三年至第五年按照</w:t>
      </w:r>
      <w:r>
        <w:rPr>
          <w:rFonts w:ascii="Times New Roman" w:hAnsi="Times New Roman" w:cs="Times New Roman" w:eastAsia="Times New Roman" w:hint="default"/>
          <w:sz w:val="21"/>
          <w:szCs w:val="21"/>
        </w:rPr>
        <w:t>25%</w:t>
      </w:r>
      <w:r>
        <w:rPr>
          <w:rFonts w:ascii="宋体" w:hAnsi="宋体" w:cs="宋体" w:eastAsia="宋体" w:hint="default"/>
          <w:sz w:val="21"/>
          <w:szCs w:val="21"/>
        </w:rPr>
        <w:t>的法定税率减半征收企业所得税，并享受至 </w:t>
      </w:r>
      <w:r>
        <w:rPr>
          <w:rFonts w:ascii="宋体" w:hAnsi="宋体" w:cs="宋体" w:eastAsia="宋体" w:hint="default"/>
          <w:spacing w:val="-1"/>
          <w:sz w:val="21"/>
          <w:szCs w:val="21"/>
        </w:rPr>
        <w:t>期满为止。追溯云信息发展股份有限公司已办理企业所得税优惠备案，因此，该子公司</w:t>
      </w:r>
      <w:r>
        <w:rPr>
          <w:rFonts w:ascii="Times New Roman" w:hAnsi="Times New Roman" w:cs="Times New Roman" w:eastAsia="Times New Roman" w:hint="default"/>
          <w:spacing w:val="-1"/>
          <w:sz w:val="21"/>
          <w:szCs w:val="21"/>
        </w:rPr>
        <w:t>2018</w:t>
      </w:r>
      <w:r>
        <w:rPr>
          <w:rFonts w:ascii="Times New Roman" w:hAnsi="Times New Roman" w:cs="Times New Roman" w:eastAsia="Times New Roman" w:hint="default"/>
          <w:spacing w:val="-35"/>
          <w:sz w:val="21"/>
          <w:szCs w:val="21"/>
        </w:rPr>
        <w:t> </w:t>
      </w:r>
      <w:r>
        <w:rPr>
          <w:rFonts w:ascii="宋体" w:hAnsi="宋体" w:cs="宋体" w:eastAsia="宋体" w:hint="default"/>
          <w:sz w:val="21"/>
          <w:szCs w:val="21"/>
        </w:rPr>
        <w:t>年度免征企业所得税。</w:t>
      </w:r>
    </w:p>
    <w:p>
      <w:pPr>
        <w:spacing w:line="240" w:lineRule="auto" w:before="0"/>
        <w:rPr>
          <w:rFonts w:ascii="宋体" w:hAnsi="宋体" w:cs="宋体" w:eastAsia="宋体" w:hint="default"/>
          <w:sz w:val="20"/>
          <w:szCs w:val="20"/>
        </w:rPr>
      </w:pPr>
    </w:p>
    <w:p>
      <w:pPr>
        <w:spacing w:before="139"/>
        <w:ind w:left="114" w:right="0"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号——上市公司从事软件与信息技术服务业务》的披露要求</w:t>
      </w:r>
    </w:p>
    <w:p>
      <w:pPr>
        <w:spacing w:line="240" w:lineRule="auto" w:before="10"/>
        <w:rPr>
          <w:rFonts w:ascii="宋体" w:hAnsi="宋体" w:cs="宋体" w:eastAsia="宋体" w:hint="default"/>
          <w:sz w:val="25"/>
          <w:szCs w:val="25"/>
        </w:rPr>
      </w:pPr>
    </w:p>
    <w:p>
      <w:pPr>
        <w:spacing w:line="487" w:lineRule="auto" w:before="0"/>
        <w:ind w:left="114" w:right="7692" w:firstLine="0"/>
        <w:jc w:val="left"/>
        <w:rPr>
          <w:rFonts w:ascii="宋体" w:hAnsi="宋体" w:cs="宋体" w:eastAsia="宋体" w:hint="default"/>
          <w:sz w:val="21"/>
          <w:szCs w:val="21"/>
        </w:rPr>
      </w:pPr>
      <w:bookmarkStart w:name="3、其他" w:id="225"/>
      <w:bookmarkEnd w:id="225"/>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七、合并财务报表项目注释" w:id="226"/>
      <w:bookmarkEnd w:id="226"/>
      <w:r>
        <w:rPr>
          <w:rFonts w:ascii="宋体" w:hAnsi="宋体" w:cs="宋体" w:eastAsia="宋体" w:hint="default"/>
          <w:b/>
          <w:bCs/>
          <w:spacing w:val="1"/>
          <w:w w:val="99"/>
          <w:sz w:val="21"/>
          <w:szCs w:val="21"/>
        </w:rPr>
      </w:r>
      <w:r>
        <w:rPr>
          <w:rFonts w:ascii="宋体" w:hAnsi="宋体" w:cs="宋体" w:eastAsia="宋体" w:hint="default"/>
          <w:b/>
          <w:bCs/>
          <w:w w:val="95"/>
          <w:sz w:val="24"/>
          <w:szCs w:val="24"/>
        </w:rPr>
        <w:t>七、合并财务报表项目注释</w:t>
      </w:r>
      <w:r>
        <w:rPr>
          <w:rFonts w:ascii="宋体" w:hAnsi="宋体" w:cs="宋体" w:eastAsia="宋体" w:hint="default"/>
          <w:b/>
          <w:bCs/>
          <w:spacing w:val="18"/>
          <w:w w:val="95"/>
          <w:sz w:val="24"/>
          <w:szCs w:val="24"/>
        </w:rPr>
        <w:t> </w:t>
      </w:r>
      <w:r>
        <w:rPr>
          <w:rFonts w:ascii="宋体" w:hAnsi="宋体" w:cs="宋体" w:eastAsia="宋体" w:hint="default"/>
          <w:b/>
          <w:bCs/>
          <w:spacing w:val="18"/>
          <w:w w:val="95"/>
          <w:sz w:val="24"/>
          <w:szCs w:val="24"/>
        </w:rPr>
      </w:r>
      <w:bookmarkStart w:name="1、货币资金" w:id="227"/>
      <w:bookmarkEnd w:id="227"/>
      <w:r>
        <w:rPr>
          <w:rFonts w:ascii="宋体" w:hAnsi="宋体" w:cs="宋体" w:eastAsia="宋体" w:hint="default"/>
          <w:b/>
          <w:bCs/>
          <w:spacing w:val="18"/>
          <w:w w:val="95"/>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、货币资金</w:t>
      </w:r>
      <w:r>
        <w:rPr>
          <w:rFonts w:ascii="宋体" w:hAnsi="宋体" w:cs="宋体" w:eastAsia="宋体" w:hint="default"/>
          <w:sz w:val="21"/>
          <w:szCs w:val="21"/>
        </w:rPr>
      </w:r>
    </w:p>
    <w:p>
      <w:pPr>
        <w:spacing w:before="109"/>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140,676.69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250,296.32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202,386,762.20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220,744,090.74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11,106,376.85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3,293,860.09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213,633,815.74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224,288,247.15</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before="90"/>
        <w:ind w:left="828" w:right="0" w:firstLine="0"/>
        <w:jc w:val="left"/>
        <w:rPr>
          <w:rFonts w:ascii="宋体" w:hAnsi="宋体" w:cs="宋体" w:eastAsia="宋体" w:hint="default"/>
          <w:sz w:val="21"/>
          <w:szCs w:val="21"/>
        </w:rPr>
      </w:pPr>
      <w:r>
        <w:rPr>
          <w:rFonts w:ascii="宋体" w:hAnsi="宋体" w:cs="宋体" w:eastAsia="宋体" w:hint="default"/>
          <w:sz w:val="21"/>
          <w:szCs w:val="21"/>
        </w:rPr>
        <w:t>其他货币资金明细如下：</w:t>
      </w:r>
    </w:p>
    <w:p>
      <w:pPr>
        <w:spacing w:line="240" w:lineRule="auto" w:before="13"/>
        <w:rPr>
          <w:rFonts w:ascii="宋体" w:hAnsi="宋体" w:cs="宋体" w:eastAsia="宋体" w:hint="default"/>
          <w:sz w:val="3"/>
          <w:szCs w:val="3"/>
        </w:rPr>
      </w:pPr>
    </w:p>
    <w:tbl>
      <w:tblPr>
        <w:tblW w:w="0" w:type="auto"/>
        <w:jc w:val="left"/>
        <w:tblInd w:w="713" w:type="dxa"/>
        <w:tblLayout w:type="fixed"/>
        <w:tblCellMar>
          <w:top w:w="0" w:type="dxa"/>
          <w:left w:w="0" w:type="dxa"/>
          <w:bottom w:w="0" w:type="dxa"/>
          <w:right w:w="0" w:type="dxa"/>
        </w:tblCellMar>
        <w:tblLook w:val="01E0"/>
      </w:tblPr>
      <w:tblGrid>
        <w:gridCol w:w="3473"/>
        <w:gridCol w:w="2171"/>
        <w:gridCol w:w="2170"/>
      </w:tblGrid>
      <w:tr>
        <w:trPr>
          <w:trHeight w:val="355" w:hRule="exact"/>
        </w:trPr>
        <w:tc>
          <w:tcPr>
            <w:tcW w:w="3473"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171"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left="657"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170" w:type="dxa"/>
            <w:tcBorders>
              <w:top w:val="single" w:sz="6" w:space="0" w:color="000000"/>
              <w:left w:val="single" w:sz="6" w:space="0" w:color="000000"/>
              <w:bottom w:val="single" w:sz="12" w:space="0" w:color="000000"/>
              <w:right w:val="nil" w:sz="6" w:space="0" w:color="auto"/>
            </w:tcBorders>
          </w:tcPr>
          <w:p>
            <w:pPr>
              <w:pStyle w:val="TableParagraph"/>
              <w:spacing w:line="271" w:lineRule="exact"/>
              <w:ind w:left="657"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52" w:hRule="exact"/>
        </w:trPr>
        <w:tc>
          <w:tcPr>
            <w:tcW w:w="347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存出投资款</w:t>
            </w:r>
          </w:p>
        </w:tc>
        <w:tc>
          <w:tcPr>
            <w:tcW w:w="217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right"/>
              <w:rPr>
                <w:rFonts w:ascii="宋体" w:hAnsi="宋体" w:cs="宋体" w:eastAsia="宋体" w:hint="default"/>
                <w:sz w:val="21"/>
                <w:szCs w:val="21"/>
              </w:rPr>
            </w:pPr>
            <w:r>
              <w:rPr>
                <w:rFonts w:ascii="宋体"/>
                <w:sz w:val="21"/>
              </w:rPr>
              <w:t>3,536,758.25</w:t>
            </w:r>
          </w:p>
        </w:tc>
        <w:tc>
          <w:tcPr>
            <w:tcW w:w="2170" w:type="dxa"/>
            <w:tcBorders>
              <w:top w:val="single" w:sz="12" w:space="0" w:color="000000"/>
              <w:left w:val="single" w:sz="6" w:space="0" w:color="000000"/>
              <w:bottom w:val="single" w:sz="12" w:space="0" w:color="000000"/>
              <w:right w:val="nil" w:sz="6" w:space="0" w:color="auto"/>
            </w:tcBorders>
          </w:tcPr>
          <w:p>
            <w:pPr/>
          </w:p>
        </w:tc>
      </w:tr>
      <w:tr>
        <w:trPr>
          <w:trHeight w:val="353" w:hRule="exact"/>
        </w:trPr>
        <w:tc>
          <w:tcPr>
            <w:tcW w:w="347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银行承兑汇票保证金</w:t>
            </w:r>
          </w:p>
        </w:tc>
        <w:tc>
          <w:tcPr>
            <w:tcW w:w="217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right"/>
              <w:rPr>
                <w:rFonts w:ascii="宋体" w:hAnsi="宋体" w:cs="宋体" w:eastAsia="宋体" w:hint="default"/>
                <w:sz w:val="21"/>
                <w:szCs w:val="21"/>
              </w:rPr>
            </w:pPr>
            <w:r>
              <w:rPr>
                <w:rFonts w:ascii="宋体"/>
                <w:sz w:val="21"/>
              </w:rPr>
              <w:t>3,000,000.00</w:t>
            </w:r>
          </w:p>
        </w:tc>
        <w:tc>
          <w:tcPr>
            <w:tcW w:w="217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7"/>
              <w:jc w:val="right"/>
              <w:rPr>
                <w:rFonts w:ascii="宋体" w:hAnsi="宋体" w:cs="宋体" w:eastAsia="宋体" w:hint="default"/>
                <w:sz w:val="21"/>
                <w:szCs w:val="21"/>
              </w:rPr>
            </w:pPr>
            <w:r>
              <w:rPr>
                <w:rFonts w:ascii="宋体"/>
                <w:sz w:val="21"/>
              </w:rPr>
              <w:t>947,130.00</w:t>
            </w:r>
          </w:p>
        </w:tc>
      </w:tr>
      <w:tr>
        <w:trPr>
          <w:trHeight w:val="352" w:hRule="exact"/>
        </w:trPr>
        <w:tc>
          <w:tcPr>
            <w:tcW w:w="347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保函保证金及相应利息</w:t>
            </w:r>
          </w:p>
        </w:tc>
        <w:tc>
          <w:tcPr>
            <w:tcW w:w="217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right"/>
              <w:rPr>
                <w:rFonts w:ascii="宋体" w:hAnsi="宋体" w:cs="宋体" w:eastAsia="宋体" w:hint="default"/>
                <w:sz w:val="21"/>
                <w:szCs w:val="21"/>
              </w:rPr>
            </w:pPr>
            <w:r>
              <w:rPr>
                <w:rFonts w:ascii="宋体"/>
                <w:sz w:val="21"/>
              </w:rPr>
              <w:t>4,569,618.60</w:t>
            </w:r>
          </w:p>
        </w:tc>
        <w:tc>
          <w:tcPr>
            <w:tcW w:w="217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6"/>
              <w:jc w:val="right"/>
              <w:rPr>
                <w:rFonts w:ascii="宋体" w:hAnsi="宋体" w:cs="宋体" w:eastAsia="宋体" w:hint="default"/>
                <w:sz w:val="21"/>
                <w:szCs w:val="21"/>
              </w:rPr>
            </w:pPr>
            <w:r>
              <w:rPr>
                <w:rFonts w:ascii="宋体"/>
                <w:sz w:val="21"/>
              </w:rPr>
              <w:t>2,346,730.09</w:t>
            </w:r>
          </w:p>
        </w:tc>
      </w:tr>
      <w:tr>
        <w:trPr>
          <w:trHeight w:val="352" w:hRule="exact"/>
        </w:trPr>
        <w:tc>
          <w:tcPr>
            <w:tcW w:w="347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217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2"/>
              <w:jc w:val="right"/>
              <w:rPr>
                <w:rFonts w:ascii="宋体" w:hAnsi="宋体" w:cs="宋体" w:eastAsia="宋体" w:hint="default"/>
                <w:sz w:val="21"/>
                <w:szCs w:val="21"/>
              </w:rPr>
            </w:pPr>
            <w:r>
              <w:rPr>
                <w:rFonts w:ascii="宋体"/>
                <w:sz w:val="21"/>
              </w:rPr>
              <w:t>11,106,376.85</w:t>
            </w:r>
          </w:p>
        </w:tc>
        <w:tc>
          <w:tcPr>
            <w:tcW w:w="217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6"/>
              <w:jc w:val="right"/>
              <w:rPr>
                <w:rFonts w:ascii="宋体" w:hAnsi="宋体" w:cs="宋体" w:eastAsia="宋体" w:hint="default"/>
                <w:sz w:val="21"/>
                <w:szCs w:val="21"/>
              </w:rPr>
            </w:pPr>
            <w:r>
              <w:rPr>
                <w:rFonts w:ascii="宋体"/>
                <w:sz w:val="21"/>
              </w:rPr>
              <w:t>3,293,860.09</w:t>
            </w:r>
          </w:p>
        </w:tc>
      </w:tr>
    </w:tbl>
    <w:p>
      <w:pPr>
        <w:spacing w:line="240" w:lineRule="auto" w:before="0"/>
        <w:rPr>
          <w:rFonts w:ascii="宋体" w:hAnsi="宋体" w:cs="宋体" w:eastAsia="宋体" w:hint="default"/>
          <w:sz w:val="20"/>
          <w:szCs w:val="20"/>
        </w:rPr>
      </w:pPr>
    </w:p>
    <w:p>
      <w:pPr>
        <w:spacing w:before="35"/>
        <w:ind w:left="828" w:right="0" w:firstLine="0"/>
        <w:jc w:val="left"/>
        <w:rPr>
          <w:rFonts w:ascii="宋体" w:hAnsi="宋体" w:cs="宋体" w:eastAsia="宋体" w:hint="default"/>
          <w:sz w:val="21"/>
          <w:szCs w:val="21"/>
        </w:rPr>
      </w:pPr>
      <w:r>
        <w:rPr>
          <w:rFonts w:ascii="宋体" w:hAnsi="宋体" w:cs="宋体" w:eastAsia="宋体" w:hint="default"/>
          <w:sz w:val="21"/>
          <w:szCs w:val="21"/>
        </w:rPr>
        <w:t>其中因抵押、质押或冻结等对使用有限制的货币资金明细如下：</w:t>
      </w:r>
    </w:p>
    <w:p>
      <w:pPr>
        <w:spacing w:line="240" w:lineRule="auto" w:before="11"/>
        <w:rPr>
          <w:rFonts w:ascii="宋体" w:hAnsi="宋体" w:cs="宋体" w:eastAsia="宋体" w:hint="default"/>
          <w:sz w:val="27"/>
          <w:szCs w:val="27"/>
        </w:rPr>
      </w:pPr>
    </w:p>
    <w:tbl>
      <w:tblPr>
        <w:tblW w:w="0" w:type="auto"/>
        <w:jc w:val="left"/>
        <w:tblInd w:w="713" w:type="dxa"/>
        <w:tblLayout w:type="fixed"/>
        <w:tblCellMar>
          <w:top w:w="0" w:type="dxa"/>
          <w:left w:w="0" w:type="dxa"/>
          <w:bottom w:w="0" w:type="dxa"/>
          <w:right w:w="0" w:type="dxa"/>
        </w:tblCellMar>
        <w:tblLook w:val="01E0"/>
      </w:tblPr>
      <w:tblGrid>
        <w:gridCol w:w="3473"/>
        <w:gridCol w:w="2171"/>
        <w:gridCol w:w="2170"/>
      </w:tblGrid>
      <w:tr>
        <w:trPr>
          <w:trHeight w:val="356" w:hRule="exact"/>
        </w:trPr>
        <w:tc>
          <w:tcPr>
            <w:tcW w:w="3473"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right="1518"/>
              <w:jc w:val="right"/>
              <w:rPr>
                <w:rFonts w:ascii="宋体" w:hAnsi="宋体" w:cs="宋体" w:eastAsia="宋体" w:hint="default"/>
                <w:sz w:val="21"/>
                <w:szCs w:val="21"/>
              </w:rPr>
            </w:pPr>
            <w:r>
              <w:rPr>
                <w:rFonts w:ascii="宋体" w:hAnsi="宋体" w:cs="宋体" w:eastAsia="宋体" w:hint="default"/>
                <w:sz w:val="21"/>
                <w:szCs w:val="21"/>
              </w:rPr>
              <w:t>项目</w:t>
            </w:r>
          </w:p>
        </w:tc>
        <w:tc>
          <w:tcPr>
            <w:tcW w:w="2171"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left="657"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170" w:type="dxa"/>
            <w:tcBorders>
              <w:top w:val="single" w:sz="6" w:space="0" w:color="000000"/>
              <w:left w:val="single" w:sz="6" w:space="0" w:color="000000"/>
              <w:bottom w:val="single" w:sz="12" w:space="0" w:color="000000"/>
              <w:right w:val="nil" w:sz="6" w:space="0" w:color="auto"/>
            </w:tcBorders>
          </w:tcPr>
          <w:p>
            <w:pPr>
              <w:pStyle w:val="TableParagraph"/>
              <w:spacing w:line="271" w:lineRule="exact"/>
              <w:ind w:left="657" w:right="0"/>
              <w:jc w:val="left"/>
              <w:rPr>
                <w:rFonts w:ascii="宋体" w:hAnsi="宋体" w:cs="宋体" w:eastAsia="宋体" w:hint="default"/>
                <w:sz w:val="21"/>
                <w:szCs w:val="21"/>
              </w:rPr>
            </w:pPr>
            <w:r>
              <w:rPr>
                <w:rFonts w:ascii="宋体" w:hAnsi="宋体" w:cs="宋体" w:eastAsia="宋体" w:hint="default"/>
                <w:sz w:val="21"/>
                <w:szCs w:val="21"/>
              </w:rPr>
              <w:t>年初余额</w:t>
            </w:r>
          </w:p>
        </w:tc>
      </w:tr>
      <w:tr>
        <w:trPr>
          <w:trHeight w:val="352" w:hRule="exact"/>
        </w:trPr>
        <w:tc>
          <w:tcPr>
            <w:tcW w:w="347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银行承兑汇票保证金</w:t>
            </w:r>
          </w:p>
        </w:tc>
        <w:tc>
          <w:tcPr>
            <w:tcW w:w="217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right"/>
              <w:rPr>
                <w:rFonts w:ascii="宋体" w:hAnsi="宋体" w:cs="宋体" w:eastAsia="宋体" w:hint="default"/>
                <w:sz w:val="21"/>
                <w:szCs w:val="21"/>
              </w:rPr>
            </w:pPr>
            <w:r>
              <w:rPr>
                <w:rFonts w:ascii="宋体"/>
                <w:sz w:val="21"/>
              </w:rPr>
              <w:t>3,000,000.00</w:t>
            </w:r>
          </w:p>
        </w:tc>
        <w:tc>
          <w:tcPr>
            <w:tcW w:w="217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7"/>
              <w:jc w:val="right"/>
              <w:rPr>
                <w:rFonts w:ascii="宋体" w:hAnsi="宋体" w:cs="宋体" w:eastAsia="宋体" w:hint="default"/>
                <w:sz w:val="21"/>
                <w:szCs w:val="21"/>
              </w:rPr>
            </w:pPr>
            <w:r>
              <w:rPr>
                <w:rFonts w:ascii="宋体"/>
                <w:sz w:val="21"/>
              </w:rPr>
              <w:t>947,130.00</w:t>
            </w:r>
          </w:p>
        </w:tc>
      </w:tr>
      <w:tr>
        <w:trPr>
          <w:trHeight w:val="352" w:hRule="exact"/>
        </w:trPr>
        <w:tc>
          <w:tcPr>
            <w:tcW w:w="347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保函保证金</w:t>
            </w:r>
          </w:p>
        </w:tc>
        <w:tc>
          <w:tcPr>
            <w:tcW w:w="217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right"/>
              <w:rPr>
                <w:rFonts w:ascii="宋体" w:hAnsi="宋体" w:cs="宋体" w:eastAsia="宋体" w:hint="default"/>
                <w:sz w:val="21"/>
                <w:szCs w:val="21"/>
              </w:rPr>
            </w:pPr>
            <w:r>
              <w:rPr>
                <w:rFonts w:ascii="宋体"/>
                <w:sz w:val="21"/>
              </w:rPr>
              <w:t>4,568,759.10</w:t>
            </w:r>
          </w:p>
        </w:tc>
        <w:tc>
          <w:tcPr>
            <w:tcW w:w="217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6"/>
              <w:jc w:val="right"/>
              <w:rPr>
                <w:rFonts w:ascii="宋体" w:hAnsi="宋体" w:cs="宋体" w:eastAsia="宋体" w:hint="default"/>
                <w:sz w:val="21"/>
                <w:szCs w:val="21"/>
              </w:rPr>
            </w:pPr>
            <w:r>
              <w:rPr>
                <w:rFonts w:ascii="宋体"/>
                <w:sz w:val="21"/>
              </w:rPr>
              <w:t>2,346,730.09</w:t>
            </w:r>
          </w:p>
        </w:tc>
      </w:tr>
      <w:tr>
        <w:trPr>
          <w:trHeight w:val="353" w:hRule="exact"/>
        </w:trPr>
        <w:tc>
          <w:tcPr>
            <w:tcW w:w="347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518"/>
              <w:jc w:val="right"/>
              <w:rPr>
                <w:rFonts w:ascii="宋体" w:hAnsi="宋体" w:cs="宋体" w:eastAsia="宋体" w:hint="default"/>
                <w:sz w:val="21"/>
                <w:szCs w:val="21"/>
              </w:rPr>
            </w:pPr>
            <w:r>
              <w:rPr>
                <w:rFonts w:ascii="宋体" w:hAnsi="宋体" w:cs="宋体" w:eastAsia="宋体" w:hint="default"/>
                <w:sz w:val="21"/>
                <w:szCs w:val="21"/>
              </w:rPr>
              <w:t>合计</w:t>
            </w:r>
          </w:p>
        </w:tc>
        <w:tc>
          <w:tcPr>
            <w:tcW w:w="217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right"/>
              <w:rPr>
                <w:rFonts w:ascii="宋体" w:hAnsi="宋体" w:cs="宋体" w:eastAsia="宋体" w:hint="default"/>
                <w:sz w:val="21"/>
                <w:szCs w:val="21"/>
              </w:rPr>
            </w:pPr>
            <w:r>
              <w:rPr>
                <w:rFonts w:ascii="宋体"/>
                <w:sz w:val="21"/>
              </w:rPr>
              <w:t>7,568,759.10</w:t>
            </w:r>
          </w:p>
        </w:tc>
        <w:tc>
          <w:tcPr>
            <w:tcW w:w="217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6"/>
              <w:jc w:val="right"/>
              <w:rPr>
                <w:rFonts w:ascii="宋体" w:hAnsi="宋体" w:cs="宋体" w:eastAsia="宋体" w:hint="default"/>
                <w:sz w:val="21"/>
                <w:szCs w:val="21"/>
              </w:rPr>
            </w:pPr>
            <w:r>
              <w:rPr>
                <w:rFonts w:ascii="宋体"/>
                <w:sz w:val="21"/>
              </w:rPr>
              <w:t>3,293,860.09</w:t>
            </w:r>
          </w:p>
        </w:tc>
      </w:tr>
    </w:tbl>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3"/>
          <w:szCs w:val="23"/>
        </w:rPr>
      </w:pPr>
    </w:p>
    <w:p>
      <w:pPr>
        <w:spacing w:before="35"/>
        <w:ind w:left="114" w:right="0" w:firstLine="0"/>
        <w:jc w:val="left"/>
        <w:rPr>
          <w:rFonts w:ascii="宋体" w:hAnsi="宋体" w:cs="宋体" w:eastAsia="宋体" w:hint="default"/>
          <w:sz w:val="21"/>
          <w:szCs w:val="21"/>
        </w:rPr>
      </w:pPr>
      <w:bookmarkStart w:name="2、以公允价值计量且其变动计入当期损益的金融资产" w:id="228"/>
      <w:bookmarkEnd w:id="228"/>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、以公允价值计量且其变动计入当期损益的金融资产</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pgSz w:w="11910" w:h="16840"/>
          <w:pgMar w:header="889" w:footer="1019" w:top="1140" w:bottom="1200" w:left="1020" w:right="0"/>
        </w:sectPr>
      </w:pPr>
    </w:p>
    <w:p>
      <w:pPr>
        <w:spacing w:line="240" w:lineRule="auto" w:before="3"/>
        <w:rPr>
          <w:rFonts w:ascii="宋体" w:hAnsi="宋体" w:cs="宋体" w:eastAsia="宋体" w:hint="default"/>
          <w:sz w:val="20"/>
          <w:szCs w:val="20"/>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衍生金融资产" w:id="229"/>
      <w:bookmarkEnd w:id="229"/>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、衍生金融资产</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应收票据及应收账款" w:id="230"/>
      <w:bookmarkEnd w:id="230"/>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、应收票据及应收账款</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354,806,506.77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318,647,442.63</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354,806,506.77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318,647,442.63</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1）应收票据" w:id="231"/>
      <w:bookmarkEnd w:id="23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）应收票据</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应收票据分类列示</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1"/>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期末公司已质押的应收票据</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期末已质押金额</w:t>
            </w:r>
          </w:p>
        </w:tc>
      </w:tr>
    </w:tbl>
    <w:p>
      <w:pPr>
        <w:spacing w:before="51"/>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期末公司已背书或贴现且在资产负债表日尚未到期的应收票据</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69"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80"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bl>
    <w:p>
      <w:pPr>
        <w:spacing w:before="52"/>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期末公司因出票人未履约而将其转应收账款的票据</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6" w:right="0"/>
              <w:jc w:val="left"/>
              <w:rPr>
                <w:rFonts w:ascii="宋体" w:hAnsi="宋体" w:cs="宋体" w:eastAsia="宋体" w:hint="default"/>
                <w:sz w:val="18"/>
                <w:szCs w:val="18"/>
              </w:rPr>
            </w:pPr>
            <w:r>
              <w:rPr>
                <w:rFonts w:ascii="宋体" w:hAnsi="宋体" w:cs="宋体" w:eastAsia="宋体" w:hint="default"/>
                <w:sz w:val="18"/>
                <w:szCs w:val="18"/>
              </w:rPr>
              <w:t>期末转应收账款金额</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应收账款" w:id="232"/>
      <w:bookmarkEnd w:id="23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应收账款分类披露</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634"/>
        <w:gridCol w:w="764"/>
        <w:gridCol w:w="762"/>
        <w:gridCol w:w="762"/>
        <w:gridCol w:w="762"/>
        <w:gridCol w:w="790"/>
        <w:gridCol w:w="654"/>
        <w:gridCol w:w="762"/>
        <w:gridCol w:w="813"/>
        <w:gridCol w:w="932"/>
        <w:gridCol w:w="932"/>
      </w:tblGrid>
      <w:tr>
        <w:trPr>
          <w:trHeight w:val="397" w:hRule="exact"/>
        </w:trPr>
        <w:tc>
          <w:tcPr>
            <w:tcW w:w="16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left="1"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4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7" w:hRule="exact"/>
        </w:trPr>
        <w:tc>
          <w:tcPr>
            <w:tcW w:w="1634" w:type="dxa"/>
            <w:vMerge/>
            <w:tcBorders>
              <w:left w:val="single" w:sz="4" w:space="0" w:color="000000"/>
              <w:right w:val="single" w:sz="4" w:space="0" w:color="000000"/>
            </w:tcBorders>
            <w:shd w:val="clear" w:color="auto" w:fill="D2D2D2"/>
          </w:tcPr>
          <w:p>
            <w:pPr/>
          </w:p>
        </w:tc>
        <w:tc>
          <w:tcPr>
            <w:tcW w:w="15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9"/>
                <w:szCs w:val="19"/>
              </w:rPr>
            </w:pPr>
          </w:p>
          <w:p>
            <w:pPr>
              <w:pStyle w:val="TableParagraph"/>
              <w:spacing w:line="319" w:lineRule="auto"/>
              <w:ind w:left="298" w:right="119"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0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9"/>
                <w:szCs w:val="19"/>
              </w:rPr>
            </w:pPr>
          </w:p>
          <w:p>
            <w:pPr>
              <w:pStyle w:val="TableParagraph"/>
              <w:spacing w:line="319" w:lineRule="auto"/>
              <w:ind w:left="370" w:right="191"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4" w:type="dxa"/>
            <w:vMerge/>
            <w:tcBorders>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70" w:right="190"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1"/>
              <w:ind w:left="103" w:right="259"/>
              <w:jc w:val="left"/>
              <w:rPr>
                <w:rFonts w:ascii="宋体" w:hAnsi="宋体" w:cs="宋体" w:eastAsia="宋体" w:hint="default"/>
                <w:sz w:val="18"/>
                <w:szCs w:val="18"/>
              </w:rPr>
            </w:pPr>
            <w:r>
              <w:rPr>
                <w:rFonts w:ascii="宋体" w:hAnsi="宋体" w:cs="宋体" w:eastAsia="宋体" w:hint="default"/>
                <w:sz w:val="18"/>
                <w:szCs w:val="18"/>
              </w:rPr>
              <w:t>按信用风险特征 组合计提坏账准</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62" w:right="0"/>
              <w:jc w:val="left"/>
              <w:rPr>
                <w:rFonts w:ascii="Times New Roman" w:hAnsi="Times New Roman" w:cs="Times New Roman" w:eastAsia="Times New Roman" w:hint="default"/>
                <w:sz w:val="18"/>
                <w:szCs w:val="18"/>
              </w:rPr>
            </w:pPr>
            <w:r>
              <w:rPr>
                <w:rFonts w:ascii="Times New Roman"/>
                <w:sz w:val="18"/>
              </w:rPr>
              <w:t>411,73</w:t>
            </w:r>
          </w:p>
          <w:p>
            <w:pPr>
              <w:pStyle w:val="TableParagraph"/>
              <w:spacing w:line="240" w:lineRule="auto" w:before="104"/>
              <w:ind w:left="110" w:right="0"/>
              <w:jc w:val="left"/>
              <w:rPr>
                <w:rFonts w:ascii="Times New Roman" w:hAnsi="Times New Roman" w:cs="Times New Roman" w:eastAsia="Times New Roman" w:hint="default"/>
                <w:sz w:val="18"/>
                <w:szCs w:val="18"/>
              </w:rPr>
            </w:pPr>
            <w:r>
              <w:rPr>
                <w:rFonts w:ascii="Times New Roman"/>
                <w:sz w:val="18"/>
              </w:rPr>
              <w:t>5,717.8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6"/>
              <w:ind w:left="49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7" w:right="0"/>
              <w:jc w:val="left"/>
              <w:rPr>
                <w:rFonts w:ascii="Times New Roman" w:hAnsi="Times New Roman" w:cs="Times New Roman" w:eastAsia="Times New Roman" w:hint="default"/>
                <w:sz w:val="18"/>
                <w:szCs w:val="18"/>
              </w:rPr>
            </w:pPr>
            <w:r>
              <w:rPr>
                <w:rFonts w:ascii="Times New Roman"/>
                <w:sz w:val="18"/>
              </w:rPr>
              <w:t>56,929,</w:t>
            </w:r>
          </w:p>
          <w:p>
            <w:pPr>
              <w:pStyle w:val="TableParagraph"/>
              <w:spacing w:line="240" w:lineRule="auto" w:before="106"/>
              <w:ind w:left="159" w:right="0"/>
              <w:jc w:val="left"/>
              <w:rPr>
                <w:rFonts w:ascii="Times New Roman" w:hAnsi="Times New Roman" w:cs="Times New Roman" w:eastAsia="Times New Roman" w:hint="default"/>
                <w:sz w:val="18"/>
                <w:szCs w:val="18"/>
              </w:rPr>
            </w:pPr>
            <w:r>
              <w:rPr>
                <w:rFonts w:ascii="Times New Roman"/>
                <w:sz w:val="18"/>
              </w:rPr>
              <w:t>211.12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4" w:right="0"/>
              <w:jc w:val="left"/>
              <w:rPr>
                <w:rFonts w:ascii="Times New Roman" w:hAnsi="Times New Roman" w:cs="Times New Roman" w:eastAsia="Times New Roman" w:hint="default"/>
                <w:sz w:val="18"/>
                <w:szCs w:val="18"/>
              </w:rPr>
            </w:pPr>
            <w:r>
              <w:rPr>
                <w:rFonts w:ascii="Times New Roman"/>
                <w:sz w:val="18"/>
              </w:rPr>
              <w:t>13.83</w:t>
            </w:r>
          </w:p>
          <w:p>
            <w:pPr>
              <w:pStyle w:val="TableParagraph"/>
              <w:spacing w:line="240" w:lineRule="auto" w:before="106"/>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81" w:right="0"/>
              <w:jc w:val="left"/>
              <w:rPr>
                <w:rFonts w:ascii="Times New Roman" w:hAnsi="Times New Roman" w:cs="Times New Roman" w:eastAsia="Times New Roman" w:hint="default"/>
                <w:sz w:val="18"/>
                <w:szCs w:val="18"/>
              </w:rPr>
            </w:pPr>
            <w:r>
              <w:rPr>
                <w:rFonts w:ascii="Times New Roman"/>
                <w:sz w:val="18"/>
              </w:rPr>
              <w:t>354,80</w:t>
            </w:r>
          </w:p>
          <w:p>
            <w:pPr>
              <w:pStyle w:val="TableParagraph"/>
              <w:spacing w:line="240" w:lineRule="auto" w:before="104"/>
              <w:ind w:left="135" w:right="0"/>
              <w:jc w:val="left"/>
              <w:rPr>
                <w:rFonts w:ascii="Times New Roman" w:hAnsi="Times New Roman" w:cs="Times New Roman" w:eastAsia="Times New Roman" w:hint="default"/>
                <w:sz w:val="18"/>
                <w:szCs w:val="18"/>
              </w:rPr>
            </w:pPr>
            <w:r>
              <w:rPr>
                <w:rFonts w:ascii="Times New Roman"/>
                <w:sz w:val="18"/>
              </w:rPr>
              <w:t>6,506.7</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36" w:right="0"/>
              <w:jc w:val="left"/>
              <w:rPr>
                <w:rFonts w:ascii="Times New Roman" w:hAnsi="Times New Roman" w:cs="Times New Roman" w:eastAsia="Times New Roman" w:hint="default"/>
                <w:sz w:val="18"/>
                <w:szCs w:val="18"/>
              </w:rPr>
            </w:pPr>
            <w:r>
              <w:rPr>
                <w:rFonts w:ascii="Times New Roman"/>
                <w:sz w:val="18"/>
              </w:rPr>
              <w:t>359,6</w:t>
            </w:r>
          </w:p>
          <w:p>
            <w:pPr>
              <w:pStyle w:val="TableParagraph"/>
              <w:spacing w:line="240" w:lineRule="auto" w:before="104"/>
              <w:ind w:left="136" w:right="0"/>
              <w:jc w:val="left"/>
              <w:rPr>
                <w:rFonts w:ascii="Times New Roman" w:hAnsi="Times New Roman" w:cs="Times New Roman" w:eastAsia="Times New Roman" w:hint="default"/>
                <w:sz w:val="18"/>
                <w:szCs w:val="18"/>
              </w:rPr>
            </w:pPr>
            <w:r>
              <w:rPr>
                <w:rFonts w:ascii="Times New Roman"/>
                <w:sz w:val="18"/>
              </w:rPr>
              <w:t>60,61</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6"/>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61" w:right="0"/>
              <w:jc w:val="left"/>
              <w:rPr>
                <w:rFonts w:ascii="Times New Roman" w:hAnsi="Times New Roman" w:cs="Times New Roman" w:eastAsia="Times New Roman" w:hint="default"/>
                <w:sz w:val="18"/>
                <w:szCs w:val="18"/>
              </w:rPr>
            </w:pPr>
            <w:r>
              <w:rPr>
                <w:rFonts w:ascii="Times New Roman"/>
                <w:sz w:val="18"/>
              </w:rPr>
              <w:t>41,013,</w:t>
            </w:r>
          </w:p>
          <w:p>
            <w:pPr>
              <w:pStyle w:val="TableParagraph"/>
              <w:spacing w:line="240" w:lineRule="auto" w:before="106"/>
              <w:ind w:left="206" w:right="0"/>
              <w:jc w:val="left"/>
              <w:rPr>
                <w:rFonts w:ascii="Times New Roman" w:hAnsi="Times New Roman" w:cs="Times New Roman" w:eastAsia="Times New Roman" w:hint="default"/>
                <w:sz w:val="18"/>
                <w:szCs w:val="18"/>
              </w:rPr>
            </w:pPr>
            <w:r>
              <w:rPr>
                <w:rFonts w:ascii="Times New Roman"/>
                <w:sz w:val="18"/>
              </w:rPr>
              <w:t>175.99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1" w:right="0"/>
              <w:jc w:val="left"/>
              <w:rPr>
                <w:rFonts w:ascii="Times New Roman" w:hAnsi="Times New Roman" w:cs="Times New Roman" w:eastAsia="Times New Roman" w:hint="default"/>
                <w:sz w:val="18"/>
                <w:szCs w:val="18"/>
              </w:rPr>
            </w:pPr>
            <w:r>
              <w:rPr>
                <w:rFonts w:ascii="Times New Roman"/>
                <w:sz w:val="18"/>
              </w:rPr>
              <w:t>11.40%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6" w:right="0"/>
              <w:jc w:val="center"/>
              <w:rPr>
                <w:rFonts w:ascii="Times New Roman" w:hAnsi="Times New Roman" w:cs="Times New Roman" w:eastAsia="Times New Roman" w:hint="default"/>
                <w:sz w:val="18"/>
                <w:szCs w:val="18"/>
              </w:rPr>
            </w:pPr>
            <w:r>
              <w:rPr>
                <w:rFonts w:ascii="Times New Roman"/>
                <w:sz w:val="18"/>
              </w:rPr>
              <w:t>318,647,</w:t>
            </w:r>
          </w:p>
          <w:p>
            <w:pPr>
              <w:pStyle w:val="TableParagraph"/>
              <w:spacing w:line="240" w:lineRule="auto" w:before="106"/>
              <w:ind w:left="222" w:right="0"/>
              <w:jc w:val="center"/>
              <w:rPr>
                <w:rFonts w:ascii="Times New Roman" w:hAnsi="Times New Roman" w:cs="Times New Roman" w:eastAsia="Times New Roman" w:hint="default"/>
                <w:sz w:val="18"/>
                <w:szCs w:val="18"/>
              </w:rPr>
            </w:pPr>
            <w:r>
              <w:rPr>
                <w:rFonts w:ascii="Times New Roman"/>
                <w:sz w:val="18"/>
              </w:rPr>
              <w:t>442.63</w:t>
            </w:r>
          </w:p>
        </w:tc>
      </w:tr>
    </w:tbl>
    <w:p>
      <w:pPr>
        <w:spacing w:after="0" w:line="240" w:lineRule="auto"/>
        <w:jc w:val="center"/>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1634"/>
        <w:gridCol w:w="764"/>
        <w:gridCol w:w="762"/>
        <w:gridCol w:w="762"/>
        <w:gridCol w:w="762"/>
        <w:gridCol w:w="790"/>
        <w:gridCol w:w="654"/>
        <w:gridCol w:w="762"/>
        <w:gridCol w:w="813"/>
        <w:gridCol w:w="932"/>
        <w:gridCol w:w="932"/>
      </w:tblGrid>
      <w:tr>
        <w:trPr>
          <w:trHeight w:val="362"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备的应收账款</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9</w:t>
            </w: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7</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6" w:right="0"/>
              <w:jc w:val="left"/>
              <w:rPr>
                <w:rFonts w:ascii="Times New Roman" w:hAnsi="Times New Roman" w:cs="Times New Roman" w:eastAsia="Times New Roman" w:hint="default"/>
                <w:sz w:val="18"/>
                <w:szCs w:val="18"/>
              </w:rPr>
            </w:pPr>
            <w:r>
              <w:rPr>
                <w:rFonts w:ascii="Times New Roman"/>
                <w:sz w:val="18"/>
              </w:rPr>
              <w:t>8.62</w:t>
            </w:r>
          </w:p>
        </w:tc>
        <w:tc>
          <w:tcPr>
            <w:tcW w:w="762" w:type="dxa"/>
            <w:tcBorders>
              <w:top w:val="single" w:sz="4" w:space="0" w:color="000000"/>
              <w:left w:val="single" w:sz="4" w:space="0" w:color="000000"/>
              <w:bottom w:val="single" w:sz="4" w:space="0" w:color="000000"/>
              <w:right w:val="single" w:sz="4" w:space="0" w:color="000000"/>
            </w:tcBorders>
          </w:tcPr>
          <w:p>
            <w:pPr/>
          </w:p>
        </w:tc>
        <w:tc>
          <w:tcPr>
            <w:tcW w:w="813"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2"/>
                <w:sz w:val="18"/>
              </w:rPr>
              <w:t>411,73</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5,717.8</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56,929,</w:t>
            </w:r>
          </w:p>
          <w:p>
            <w:pPr>
              <w:pStyle w:val="TableParagraph"/>
              <w:spacing w:line="240" w:lineRule="auto" w:before="105"/>
              <w:ind w:left="159" w:right="0"/>
              <w:jc w:val="left"/>
              <w:rPr>
                <w:rFonts w:ascii="Times New Roman" w:hAnsi="Times New Roman" w:cs="Times New Roman" w:eastAsia="Times New Roman" w:hint="default"/>
                <w:sz w:val="18"/>
                <w:szCs w:val="18"/>
              </w:rPr>
            </w:pPr>
            <w:r>
              <w:rPr>
                <w:rFonts w:ascii="Times New Roman"/>
                <w:sz w:val="18"/>
              </w:rPr>
              <w:t>211.12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13.83</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354,80</w:t>
            </w:r>
          </w:p>
          <w:p>
            <w:pPr>
              <w:pStyle w:val="TableParagraph"/>
              <w:spacing w:line="240" w:lineRule="auto" w:before="104"/>
              <w:ind w:right="101"/>
              <w:jc w:val="right"/>
              <w:rPr>
                <w:rFonts w:ascii="Times New Roman" w:hAnsi="Times New Roman" w:cs="Times New Roman" w:eastAsia="Times New Roman" w:hint="default"/>
                <w:sz w:val="18"/>
                <w:szCs w:val="18"/>
              </w:rPr>
            </w:pPr>
            <w:r>
              <w:rPr>
                <w:rFonts w:ascii="Times New Roman"/>
                <w:sz w:val="18"/>
              </w:rPr>
              <w:t>6,506.7</w:t>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7</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6" w:right="0"/>
              <w:jc w:val="left"/>
              <w:rPr>
                <w:rFonts w:ascii="Times New Roman" w:hAnsi="Times New Roman" w:cs="Times New Roman" w:eastAsia="Times New Roman" w:hint="default"/>
                <w:sz w:val="18"/>
                <w:szCs w:val="18"/>
              </w:rPr>
            </w:pPr>
            <w:r>
              <w:rPr>
                <w:rFonts w:ascii="Times New Roman"/>
                <w:sz w:val="18"/>
              </w:rPr>
              <w:t>359,6</w:t>
            </w:r>
          </w:p>
          <w:p>
            <w:pPr>
              <w:pStyle w:val="TableParagraph"/>
              <w:spacing w:line="240" w:lineRule="auto" w:before="104"/>
              <w:ind w:left="136" w:right="0"/>
              <w:jc w:val="left"/>
              <w:rPr>
                <w:rFonts w:ascii="Times New Roman" w:hAnsi="Times New Roman" w:cs="Times New Roman" w:eastAsia="Times New Roman" w:hint="default"/>
                <w:sz w:val="18"/>
                <w:szCs w:val="18"/>
              </w:rPr>
            </w:pPr>
            <w:r>
              <w:rPr>
                <w:rFonts w:ascii="Times New Roman"/>
                <w:sz w:val="18"/>
              </w:rPr>
              <w:t>60,61</w:t>
            </w:r>
          </w:p>
          <w:p>
            <w:pPr>
              <w:pStyle w:val="TableParagraph"/>
              <w:spacing w:line="240" w:lineRule="auto" w:before="106"/>
              <w:ind w:left="226" w:right="0"/>
              <w:jc w:val="left"/>
              <w:rPr>
                <w:rFonts w:ascii="Times New Roman" w:hAnsi="Times New Roman" w:cs="Times New Roman" w:eastAsia="Times New Roman" w:hint="default"/>
                <w:sz w:val="18"/>
                <w:szCs w:val="18"/>
              </w:rPr>
            </w:pPr>
            <w:r>
              <w:rPr>
                <w:rFonts w:ascii="Times New Roman"/>
                <w:sz w:val="18"/>
              </w:rPr>
              <w:t>8.62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41,013,</w:t>
            </w:r>
          </w:p>
          <w:p>
            <w:pPr>
              <w:pStyle w:val="TableParagraph"/>
              <w:spacing w:line="240" w:lineRule="auto" w:before="105"/>
              <w:ind w:left="206" w:right="0"/>
              <w:jc w:val="left"/>
              <w:rPr>
                <w:rFonts w:ascii="Times New Roman" w:hAnsi="Times New Roman" w:cs="Times New Roman" w:eastAsia="Times New Roman" w:hint="default"/>
                <w:sz w:val="18"/>
                <w:szCs w:val="18"/>
              </w:rPr>
            </w:pPr>
            <w:r>
              <w:rPr>
                <w:rFonts w:ascii="Times New Roman"/>
                <w:sz w:val="18"/>
              </w:rPr>
              <w:t>175.99</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271" w:right="0"/>
              <w:jc w:val="left"/>
              <w:rPr>
                <w:rFonts w:ascii="Times New Roman" w:hAnsi="Times New Roman" w:cs="Times New Roman" w:eastAsia="Times New Roman" w:hint="default"/>
                <w:sz w:val="18"/>
                <w:szCs w:val="18"/>
              </w:rPr>
            </w:pPr>
            <w:r>
              <w:rPr>
                <w:rFonts w:ascii="Times New Roman"/>
                <w:sz w:val="18"/>
              </w:rPr>
              <w:t>11.40%</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6" w:right="0"/>
              <w:jc w:val="center"/>
              <w:rPr>
                <w:rFonts w:ascii="Times New Roman" w:hAnsi="Times New Roman" w:cs="Times New Roman" w:eastAsia="Times New Roman" w:hint="default"/>
                <w:sz w:val="18"/>
                <w:szCs w:val="18"/>
              </w:rPr>
            </w:pPr>
            <w:r>
              <w:rPr>
                <w:rFonts w:ascii="Times New Roman"/>
                <w:sz w:val="18"/>
              </w:rPr>
              <w:t>318,647,</w:t>
            </w:r>
          </w:p>
          <w:p>
            <w:pPr>
              <w:pStyle w:val="TableParagraph"/>
              <w:spacing w:line="240" w:lineRule="auto" w:before="105"/>
              <w:ind w:left="222" w:right="0"/>
              <w:jc w:val="center"/>
              <w:rPr>
                <w:rFonts w:ascii="Times New Roman" w:hAnsi="Times New Roman" w:cs="Times New Roman" w:eastAsia="Times New Roman" w:hint="default"/>
                <w:sz w:val="18"/>
                <w:szCs w:val="18"/>
              </w:rPr>
            </w:pPr>
            <w:r>
              <w:rPr>
                <w:rFonts w:ascii="Times New Roman"/>
                <w:sz w:val="18"/>
              </w:rPr>
              <w:t>442.63</w:t>
            </w:r>
          </w:p>
        </w:tc>
      </w:tr>
    </w:tbl>
    <w:p>
      <w:pPr>
        <w:spacing w:after="0" w:line="240" w:lineRule="auto"/>
        <w:jc w:val="center"/>
        <w:rPr>
          <w:rFonts w:ascii="Times New Roman" w:hAnsi="Times New Roman" w:cs="Times New Roman" w:eastAsia="Times New Roman" w:hint="default"/>
          <w:sz w:val="18"/>
          <w:szCs w:val="18"/>
        </w:rPr>
        <w:sectPr>
          <w:pgSz w:w="11910" w:h="16840"/>
          <w:pgMar w:header="889" w:footer="1019" w:top="1140" w:bottom="1200" w:left="1020" w:right="0"/>
        </w:sectPr>
      </w:pPr>
    </w:p>
    <w:p>
      <w:pPr>
        <w:spacing w:before="51"/>
        <w:ind w:left="114"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期末单项金额重大并单项计提坏账准备的应收账款：</w:t>
      </w:r>
    </w:p>
    <w:p>
      <w:pPr>
        <w:spacing w:line="357" w:lineRule="auto" w:before="117"/>
        <w:ind w:left="114" w:right="160" w:firstLine="0"/>
        <w:jc w:val="left"/>
        <w:rPr>
          <w:rFonts w:ascii="宋体" w:hAnsi="宋体" w:cs="宋体" w:eastAsia="宋体" w:hint="default"/>
          <w:sz w:val="18"/>
          <w:szCs w:val="18"/>
        </w:rPr>
      </w:pPr>
      <w:r>
        <w:rPr>
          <w:rFonts w:ascii="宋体" w:hAnsi="宋体" w:cs="宋体" w:eastAsia="宋体" w:hint="default"/>
          <w:sz w:val="18"/>
          <w:szCs w:val="18"/>
        </w:rPr>
        <w:t>□ 适用 √ 不适用 组合中，按账龄分析法计提坏账准备的应收账款：</w:t>
      </w:r>
    </w:p>
    <w:p>
      <w:pPr>
        <w:spacing w:before="28"/>
        <w:ind w:left="114" w:right="-2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spacing w:before="0"/>
        <w:ind w:left="11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140" w:bottom="1200" w:left="1020" w:right="0"/>
          <w:cols w:num="2" w:equalWidth="0">
            <w:col w:w="4255" w:space="4575"/>
            <w:col w:w="2060"/>
          </w:cols>
        </w:sectPr>
      </w:pP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241,427,192.52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12,071,359.63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89,583,996.44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8,958,399.64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47,318,974.40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14,195,692.32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16,302,025.69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8,151,012.85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11,835,940.53</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8,285,158.37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5,267,588.31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5,267,588.31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411,735,717.89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56,929,211.12</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line="360" w:lineRule="auto" w:before="51"/>
        <w:ind w:left="114" w:right="6432"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组合中，采用余额百分比法计提坏账准备的应收账款：</w:t>
      </w:r>
    </w:p>
    <w:p>
      <w:pPr>
        <w:spacing w:line="360" w:lineRule="auto" w:before="26"/>
        <w:ind w:left="114" w:right="6792" w:firstLine="0"/>
        <w:jc w:val="left"/>
        <w:rPr>
          <w:rFonts w:ascii="宋体" w:hAnsi="宋体" w:cs="宋体" w:eastAsia="宋体" w:hint="default"/>
          <w:sz w:val="18"/>
          <w:szCs w:val="18"/>
        </w:rPr>
      </w:pPr>
      <w:r>
        <w:rPr>
          <w:rFonts w:ascii="宋体" w:hAnsi="宋体" w:cs="宋体" w:eastAsia="宋体" w:hint="default"/>
          <w:sz w:val="18"/>
          <w:szCs w:val="18"/>
        </w:rPr>
        <w:t>□ 适用 √ 不适用 组合中，采用其他方法计提坏账准备的应收账款：</w:t>
      </w:r>
    </w:p>
    <w:p>
      <w:pPr>
        <w:spacing w:before="26"/>
        <w:ind w:left="114" w:right="0"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号——上市公司从事软件与信息技术服务业务》的披露要求</w:t>
      </w:r>
    </w:p>
    <w:p>
      <w:pPr>
        <w:spacing w:before="102"/>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本期计提、收回或转回的坏账准备情况</w:t>
      </w:r>
    </w:p>
    <w:p>
      <w:pPr>
        <w:spacing w:line="338" w:lineRule="auto" w:before="103"/>
        <w:ind w:left="114" w:right="4770"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15,916,035.13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元；本期收回或转回坏账准备金额元。 其中本期坏账准备收回或转回金额重要的：</w:t>
      </w:r>
    </w:p>
    <w:p>
      <w:pPr>
        <w:spacing w:before="4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59"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before="51"/>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本期实际核销的应收账款情况</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其中重要的应收账款核销情况：</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6"/>
        <w:gridCol w:w="1594"/>
        <w:gridCol w:w="1595"/>
        <w:gridCol w:w="1594"/>
        <w:gridCol w:w="1594"/>
        <w:gridCol w:w="1595"/>
      </w:tblGrid>
      <w:tr>
        <w:trPr>
          <w:trHeight w:val="714" w:hRule="exact"/>
        </w:trPr>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3"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52"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6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31" w:right="161" w:hanging="270"/>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应收账款核销说明：</w:t>
      </w:r>
    </w:p>
    <w:p>
      <w:pPr>
        <w:spacing w:after="0"/>
        <w:jc w:val="left"/>
        <w:rPr>
          <w:rFonts w:ascii="宋体" w:hAnsi="宋体" w:cs="宋体" w:eastAsia="宋体" w:hint="default"/>
          <w:sz w:val="18"/>
          <w:szCs w:val="18"/>
        </w:rPr>
        <w:sectPr>
          <w:type w:val="continuous"/>
          <w:pgSz w:w="11910" w:h="16840"/>
          <w:pgMar w:top="1140" w:bottom="1200" w:left="1020" w:right="0"/>
        </w:sectPr>
      </w:pPr>
    </w:p>
    <w:p>
      <w:pPr>
        <w:spacing w:line="240" w:lineRule="auto" w:before="3"/>
        <w:rPr>
          <w:rFonts w:ascii="宋体" w:hAnsi="宋体" w:cs="宋体" w:eastAsia="宋体" w:hint="default"/>
          <w:sz w:val="20"/>
          <w:szCs w:val="20"/>
        </w:rPr>
      </w:pPr>
    </w:p>
    <w:p>
      <w:pPr>
        <w:spacing w:line="338" w:lineRule="auto" w:before="44"/>
        <w:ind w:left="114" w:right="682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按欠款方归集的期末余额前五名的应收账款情况</w:t>
      </w:r>
      <w:r>
        <w:rPr>
          <w:rFonts w:ascii="宋体" w:hAnsi="宋体" w:cs="宋体" w:eastAsia="宋体" w:hint="default"/>
          <w:w w:val="99"/>
          <w:sz w:val="18"/>
          <w:szCs w:val="18"/>
        </w:rPr>
        <w:t> </w:t>
      </w:r>
      <w:r>
        <w:rPr>
          <w:rFonts w:ascii="宋体" w:hAnsi="宋体" w:cs="宋体" w:eastAsia="宋体" w:hint="default"/>
          <w:sz w:val="18"/>
          <w:szCs w:val="18"/>
        </w:rPr>
        <w:t>公司是否需要遵守特殊行业的披露要求</w:t>
      </w:r>
    </w:p>
    <w:p>
      <w:pPr>
        <w:spacing w:line="357" w:lineRule="auto" w:before="43"/>
        <w:ind w:left="114" w:right="8952" w:firstLine="0"/>
        <w:jc w:val="left"/>
        <w:rPr>
          <w:rFonts w:ascii="宋体" w:hAnsi="宋体" w:cs="宋体" w:eastAsia="宋体" w:hint="default"/>
          <w:sz w:val="18"/>
          <w:szCs w:val="18"/>
        </w:rPr>
      </w:pPr>
      <w:r>
        <w:rPr>
          <w:rFonts w:ascii="宋体" w:hAnsi="宋体" w:cs="宋体" w:eastAsia="宋体" w:hint="default"/>
          <w:sz w:val="18"/>
          <w:szCs w:val="18"/>
        </w:rPr>
        <w:t>是 软件与信息技术服务业</w:t>
      </w:r>
    </w:p>
    <w:tbl>
      <w:tblPr>
        <w:tblW w:w="0" w:type="auto"/>
        <w:jc w:val="left"/>
        <w:tblInd w:w="713" w:type="dxa"/>
        <w:tblLayout w:type="fixed"/>
        <w:tblCellMar>
          <w:top w:w="0" w:type="dxa"/>
          <w:left w:w="0" w:type="dxa"/>
          <w:bottom w:w="0" w:type="dxa"/>
          <w:right w:w="0" w:type="dxa"/>
        </w:tblCellMar>
        <w:tblLook w:val="01E0"/>
      </w:tblPr>
      <w:tblGrid>
        <w:gridCol w:w="2924"/>
        <w:gridCol w:w="1659"/>
        <w:gridCol w:w="1751"/>
        <w:gridCol w:w="1480"/>
      </w:tblGrid>
      <w:tr>
        <w:trPr>
          <w:trHeight w:val="355" w:hRule="exact"/>
        </w:trPr>
        <w:tc>
          <w:tcPr>
            <w:tcW w:w="2924" w:type="dxa"/>
            <w:vMerge w:val="restart"/>
            <w:tcBorders>
              <w:top w:val="single" w:sz="6" w:space="0" w:color="000000"/>
              <w:left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4890" w:type="dxa"/>
            <w:gridSpan w:val="3"/>
            <w:tcBorders>
              <w:top w:val="single" w:sz="6" w:space="0" w:color="000000"/>
              <w:left w:val="single" w:sz="6" w:space="0" w:color="000000"/>
              <w:bottom w:val="single" w:sz="12" w:space="0" w:color="000000"/>
              <w:right w:val="nil" w:sz="6" w:space="0" w:color="auto"/>
            </w:tcBorders>
          </w:tcPr>
          <w:p>
            <w:pPr>
              <w:pStyle w:val="TableParagraph"/>
              <w:spacing w:line="271" w:lineRule="exact"/>
              <w:ind w:right="7"/>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665" w:hRule="exact"/>
        </w:trPr>
        <w:tc>
          <w:tcPr>
            <w:tcW w:w="2924" w:type="dxa"/>
            <w:vMerge/>
            <w:tcBorders>
              <w:left w:val="single" w:sz="6" w:space="0" w:color="000000"/>
              <w:bottom w:val="single" w:sz="12" w:space="0" w:color="000000"/>
              <w:right w:val="single" w:sz="6" w:space="0" w:color="000000"/>
            </w:tcBorders>
          </w:tcPr>
          <w:p>
            <w:pPr/>
          </w:p>
        </w:tc>
        <w:tc>
          <w:tcPr>
            <w:tcW w:w="165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402"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75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占应收账款合计数</w:t>
            </w:r>
          </w:p>
          <w:p>
            <w:pPr>
              <w:pStyle w:val="TableParagraph"/>
              <w:spacing w:line="240" w:lineRule="auto" w:before="37"/>
              <w:ind w:right="1"/>
              <w:jc w:val="center"/>
              <w:rPr>
                <w:rFonts w:ascii="宋体" w:hAnsi="宋体" w:cs="宋体" w:eastAsia="宋体" w:hint="default"/>
                <w:sz w:val="21"/>
                <w:szCs w:val="21"/>
              </w:rPr>
            </w:pPr>
            <w:r>
              <w:rPr>
                <w:rFonts w:ascii="宋体" w:hAnsi="宋体" w:cs="宋体" w:eastAsia="宋体" w:hint="default"/>
                <w:sz w:val="21"/>
                <w:szCs w:val="21"/>
              </w:rPr>
              <w:t>的比例</w:t>
            </w:r>
            <w:r>
              <w:rPr>
                <w:rFonts w:ascii="宋体" w:hAnsi="宋体" w:cs="宋体" w:eastAsia="宋体" w:hint="default"/>
                <w:sz w:val="21"/>
                <w:szCs w:val="21"/>
              </w:rPr>
              <w:t>(%)</w:t>
            </w:r>
          </w:p>
        </w:tc>
        <w:tc>
          <w:tcPr>
            <w:tcW w:w="148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312"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52" w:hRule="exact"/>
        </w:trPr>
        <w:tc>
          <w:tcPr>
            <w:tcW w:w="292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165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30,024,114.00</w:t>
            </w:r>
          </w:p>
        </w:tc>
        <w:tc>
          <w:tcPr>
            <w:tcW w:w="175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7.29</w:t>
            </w:r>
          </w:p>
        </w:tc>
        <w:tc>
          <w:tcPr>
            <w:tcW w:w="148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6"/>
              <w:jc w:val="right"/>
              <w:rPr>
                <w:rFonts w:ascii="宋体" w:hAnsi="宋体" w:cs="宋体" w:eastAsia="宋体" w:hint="default"/>
                <w:sz w:val="21"/>
                <w:szCs w:val="21"/>
              </w:rPr>
            </w:pPr>
            <w:r>
              <w:rPr>
                <w:rFonts w:ascii="宋体"/>
                <w:sz w:val="21"/>
              </w:rPr>
              <w:t>1,501,205.70</w:t>
            </w:r>
          </w:p>
        </w:tc>
      </w:tr>
      <w:tr>
        <w:trPr>
          <w:trHeight w:val="352" w:hRule="exact"/>
        </w:trPr>
        <w:tc>
          <w:tcPr>
            <w:tcW w:w="292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165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15,738,923.07</w:t>
            </w:r>
          </w:p>
        </w:tc>
        <w:tc>
          <w:tcPr>
            <w:tcW w:w="175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3.82</w:t>
            </w:r>
          </w:p>
        </w:tc>
        <w:tc>
          <w:tcPr>
            <w:tcW w:w="148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7"/>
              <w:jc w:val="right"/>
              <w:rPr>
                <w:rFonts w:ascii="宋体" w:hAnsi="宋体" w:cs="宋体" w:eastAsia="宋体" w:hint="default"/>
                <w:sz w:val="21"/>
                <w:szCs w:val="21"/>
              </w:rPr>
            </w:pPr>
            <w:r>
              <w:rPr>
                <w:rFonts w:ascii="宋体"/>
                <w:sz w:val="21"/>
              </w:rPr>
              <w:t>786,946.15</w:t>
            </w:r>
          </w:p>
        </w:tc>
      </w:tr>
      <w:tr>
        <w:trPr>
          <w:trHeight w:val="353" w:hRule="exact"/>
        </w:trPr>
        <w:tc>
          <w:tcPr>
            <w:tcW w:w="292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165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13,374,384.47</w:t>
            </w:r>
          </w:p>
        </w:tc>
        <w:tc>
          <w:tcPr>
            <w:tcW w:w="175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3.25</w:t>
            </w:r>
          </w:p>
        </w:tc>
        <w:tc>
          <w:tcPr>
            <w:tcW w:w="148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7"/>
              <w:jc w:val="right"/>
              <w:rPr>
                <w:rFonts w:ascii="宋体" w:hAnsi="宋体" w:cs="宋体" w:eastAsia="宋体" w:hint="default"/>
                <w:sz w:val="21"/>
                <w:szCs w:val="21"/>
              </w:rPr>
            </w:pPr>
            <w:r>
              <w:rPr>
                <w:rFonts w:ascii="宋体"/>
                <w:sz w:val="21"/>
              </w:rPr>
              <w:t>668,719.22</w:t>
            </w:r>
          </w:p>
        </w:tc>
      </w:tr>
      <w:tr>
        <w:trPr>
          <w:trHeight w:val="352" w:hRule="exact"/>
        </w:trPr>
        <w:tc>
          <w:tcPr>
            <w:tcW w:w="292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165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10,483,000.00</w:t>
            </w:r>
          </w:p>
        </w:tc>
        <w:tc>
          <w:tcPr>
            <w:tcW w:w="175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2.55</w:t>
            </w:r>
          </w:p>
        </w:tc>
        <w:tc>
          <w:tcPr>
            <w:tcW w:w="148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6"/>
              <w:jc w:val="right"/>
              <w:rPr>
                <w:rFonts w:ascii="宋体" w:hAnsi="宋体" w:cs="宋体" w:eastAsia="宋体" w:hint="default"/>
                <w:sz w:val="21"/>
                <w:szCs w:val="21"/>
              </w:rPr>
            </w:pPr>
            <w:r>
              <w:rPr>
                <w:rFonts w:ascii="宋体"/>
                <w:sz w:val="21"/>
              </w:rPr>
              <w:t>3,144,900.00</w:t>
            </w:r>
          </w:p>
        </w:tc>
      </w:tr>
      <w:tr>
        <w:trPr>
          <w:trHeight w:val="352" w:hRule="exact"/>
        </w:trPr>
        <w:tc>
          <w:tcPr>
            <w:tcW w:w="292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165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8,664,953.09</w:t>
            </w:r>
          </w:p>
        </w:tc>
        <w:tc>
          <w:tcPr>
            <w:tcW w:w="175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2.10</w:t>
            </w:r>
          </w:p>
        </w:tc>
        <w:tc>
          <w:tcPr>
            <w:tcW w:w="148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7"/>
              <w:jc w:val="right"/>
              <w:rPr>
                <w:rFonts w:ascii="宋体" w:hAnsi="宋体" w:cs="宋体" w:eastAsia="宋体" w:hint="default"/>
                <w:sz w:val="21"/>
                <w:szCs w:val="21"/>
              </w:rPr>
            </w:pPr>
            <w:r>
              <w:rPr>
                <w:rFonts w:ascii="宋体"/>
                <w:sz w:val="21"/>
              </w:rPr>
              <w:t>713,325.97</w:t>
            </w:r>
          </w:p>
        </w:tc>
      </w:tr>
      <w:tr>
        <w:trPr>
          <w:trHeight w:val="353" w:hRule="exact"/>
        </w:trPr>
        <w:tc>
          <w:tcPr>
            <w:tcW w:w="292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165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78,285,374.63</w:t>
            </w:r>
          </w:p>
        </w:tc>
        <w:tc>
          <w:tcPr>
            <w:tcW w:w="1751"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2"/>
              <w:jc w:val="right"/>
              <w:rPr>
                <w:rFonts w:ascii="宋体" w:hAnsi="宋体" w:cs="宋体" w:eastAsia="宋体" w:hint="default"/>
                <w:sz w:val="21"/>
                <w:szCs w:val="21"/>
              </w:rPr>
            </w:pPr>
            <w:r>
              <w:rPr>
                <w:rFonts w:ascii="宋体"/>
                <w:sz w:val="21"/>
              </w:rPr>
              <w:t>19.01</w:t>
            </w:r>
          </w:p>
        </w:tc>
        <w:tc>
          <w:tcPr>
            <w:tcW w:w="148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6"/>
              <w:jc w:val="right"/>
              <w:rPr>
                <w:rFonts w:ascii="宋体" w:hAnsi="宋体" w:cs="宋体" w:eastAsia="宋体" w:hint="default"/>
                <w:sz w:val="21"/>
                <w:szCs w:val="21"/>
              </w:rPr>
            </w:pPr>
            <w:r>
              <w:rPr>
                <w:rFonts w:ascii="宋体"/>
                <w:sz w:val="21"/>
              </w:rPr>
              <w:t>6,815,097.04</w:t>
            </w:r>
          </w:p>
        </w:tc>
      </w:tr>
    </w:tbl>
    <w:p>
      <w:pPr>
        <w:spacing w:line="240" w:lineRule="auto" w:before="8"/>
        <w:rPr>
          <w:rFonts w:ascii="宋体" w:hAnsi="宋体" w:cs="宋体" w:eastAsia="宋体" w:hint="default"/>
          <w:sz w:val="25"/>
          <w:szCs w:val="25"/>
        </w:rPr>
      </w:pPr>
    </w:p>
    <w:p>
      <w:pPr>
        <w:spacing w:before="44"/>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因金融资产转移而终止确认的应收账款</w:t>
      </w:r>
    </w:p>
    <w:p>
      <w:pPr>
        <w:spacing w:before="75"/>
        <w:ind w:left="114" w:right="0" w:firstLine="0"/>
        <w:jc w:val="left"/>
        <w:rPr>
          <w:rFonts w:ascii="宋体" w:hAnsi="宋体" w:cs="宋体" w:eastAsia="宋体" w:hint="default"/>
          <w:sz w:val="21"/>
          <w:szCs w:val="21"/>
        </w:rPr>
      </w:pPr>
      <w:r>
        <w:rPr>
          <w:rFonts w:ascii="宋体" w:hAnsi="宋体" w:cs="宋体" w:eastAsia="宋体" w:hint="default"/>
          <w:sz w:val="21"/>
          <w:szCs w:val="21"/>
        </w:rPr>
        <w:t>期末无因金融资产转移而终止确认的应收账款。</w:t>
      </w:r>
    </w:p>
    <w:p>
      <w:pPr>
        <w:spacing w:line="240" w:lineRule="auto" w:before="0"/>
        <w:rPr>
          <w:rFonts w:ascii="宋体" w:hAnsi="宋体" w:cs="宋体" w:eastAsia="宋体" w:hint="default"/>
          <w:sz w:val="20"/>
          <w:szCs w:val="20"/>
        </w:rPr>
      </w:pPr>
    </w:p>
    <w:p>
      <w:pPr>
        <w:spacing w:line="321" w:lineRule="auto" w:before="153"/>
        <w:ind w:left="114" w:right="55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转移应收账款且继续涉入形成的资产、负债金额</w:t>
      </w:r>
      <w:r>
        <w:rPr>
          <w:rFonts w:ascii="宋体" w:hAnsi="宋体" w:cs="宋体" w:eastAsia="宋体" w:hint="default"/>
          <w:w w:val="99"/>
          <w:sz w:val="18"/>
          <w:szCs w:val="18"/>
        </w:rPr>
        <w:t> </w:t>
      </w:r>
      <w:r>
        <w:rPr>
          <w:rFonts w:ascii="宋体" w:hAnsi="宋体" w:cs="宋体" w:eastAsia="宋体" w:hint="default"/>
          <w:sz w:val="21"/>
          <w:szCs w:val="21"/>
        </w:rPr>
        <w:t>期末无转移应收账款且继续涉入形成的资产、负债金额。</w:t>
      </w:r>
      <w:r>
        <w:rPr>
          <w:rFonts w:ascii="宋体" w:hAnsi="宋体" w:cs="宋体" w:eastAsia="宋体" w:hint="default"/>
          <w:w w:val="99"/>
          <w:sz w:val="21"/>
          <w:szCs w:val="21"/>
        </w:rPr>
        <w:t> </w:t>
      </w:r>
      <w:r>
        <w:rPr>
          <w:rFonts w:ascii="宋体" w:hAnsi="宋体" w:cs="宋体" w:eastAsia="宋体" w:hint="default"/>
          <w:sz w:val="18"/>
          <w:szCs w:val="18"/>
        </w:rPr>
        <w:t>其他说明：</w:t>
      </w:r>
    </w:p>
    <w:p>
      <w:pPr>
        <w:spacing w:line="240" w:lineRule="auto" w:before="2"/>
        <w:rPr>
          <w:rFonts w:ascii="宋体" w:hAnsi="宋体" w:cs="宋体" w:eastAsia="宋体" w:hint="default"/>
          <w:sz w:val="22"/>
          <w:szCs w:val="22"/>
        </w:rPr>
      </w:pPr>
    </w:p>
    <w:p>
      <w:pPr>
        <w:spacing w:before="0"/>
        <w:ind w:left="114" w:right="0" w:firstLine="0"/>
        <w:jc w:val="left"/>
        <w:rPr>
          <w:rFonts w:ascii="宋体" w:hAnsi="宋体" w:cs="宋体" w:eastAsia="宋体" w:hint="default"/>
          <w:sz w:val="21"/>
          <w:szCs w:val="21"/>
        </w:rPr>
      </w:pPr>
      <w:bookmarkStart w:name="5、预付款项" w:id="233"/>
      <w:bookmarkEnd w:id="233"/>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、预付款项</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预付款项按账龄列示" w:id="234"/>
      <w:bookmarkEnd w:id="23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）预付款项按账龄列示</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12"/>
        <w:gridCol w:w="1916"/>
        <w:gridCol w:w="1914"/>
        <w:gridCol w:w="1914"/>
        <w:gridCol w:w="1915"/>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比例</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11,347,486.94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93.17%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2,223,658.63</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79.65%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264,315.12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2.17%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265,927.47</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9.53%</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265,927.47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2.18%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84,185.75</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3.02%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301,860.83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2.48%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217,675.08</w:t>
            </w:r>
          </w:p>
        </w:tc>
        <w:tc>
          <w:tcPr>
            <w:tcW w:w="19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7.80%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12,179,590.36</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2,791,446.93</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账龄超过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年且金额重要的预付款项未及时结算原因的说明：</w:t>
      </w:r>
    </w:p>
    <w:p>
      <w:pPr>
        <w:spacing w:before="77"/>
        <w:ind w:left="114" w:right="0" w:firstLine="0"/>
        <w:jc w:val="left"/>
        <w:rPr>
          <w:rFonts w:ascii="宋体" w:hAnsi="宋体" w:cs="宋体" w:eastAsia="宋体" w:hint="default"/>
          <w:sz w:val="21"/>
          <w:szCs w:val="21"/>
        </w:rPr>
      </w:pPr>
      <w:r>
        <w:rPr>
          <w:rFonts w:ascii="宋体" w:hAnsi="宋体" w:cs="宋体" w:eastAsia="宋体" w:hint="default"/>
          <w:sz w:val="21"/>
          <w:szCs w:val="21"/>
        </w:rPr>
        <w:t>本报告期末无账龄超过一年的重要预付款项。</w:t>
      </w:r>
    </w:p>
    <w:p>
      <w:pPr>
        <w:spacing w:line="240" w:lineRule="auto" w:before="12"/>
        <w:rPr>
          <w:rFonts w:ascii="宋体" w:hAnsi="宋体" w:cs="宋体" w:eastAsia="宋体" w:hint="default"/>
          <w:sz w:val="25"/>
          <w:szCs w:val="25"/>
        </w:rPr>
      </w:pPr>
    </w:p>
    <w:p>
      <w:pPr>
        <w:spacing w:before="0"/>
        <w:ind w:left="114" w:right="0" w:firstLine="0"/>
        <w:jc w:val="left"/>
        <w:rPr>
          <w:rFonts w:ascii="宋体" w:hAnsi="宋体" w:cs="宋体" w:eastAsia="宋体" w:hint="default"/>
          <w:sz w:val="21"/>
          <w:szCs w:val="21"/>
        </w:rPr>
      </w:pPr>
      <w:bookmarkStart w:name="（2）按预付对象归集的期末余额前五名的预付款情况" w:id="235"/>
      <w:bookmarkEnd w:id="23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）按预付对象归集的期末余额前五名的预付款情况</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713" w:type="dxa"/>
        <w:tblLayout w:type="fixed"/>
        <w:tblCellMar>
          <w:top w:w="0" w:type="dxa"/>
          <w:left w:w="0" w:type="dxa"/>
          <w:bottom w:w="0" w:type="dxa"/>
          <w:right w:w="0" w:type="dxa"/>
        </w:tblCellMar>
        <w:tblLook w:val="01E0"/>
      </w:tblPr>
      <w:tblGrid>
        <w:gridCol w:w="3506"/>
        <w:gridCol w:w="2126"/>
        <w:gridCol w:w="2127"/>
      </w:tblGrid>
      <w:tr>
        <w:trPr>
          <w:trHeight w:val="667" w:hRule="exact"/>
        </w:trPr>
        <w:tc>
          <w:tcPr>
            <w:tcW w:w="3506"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预付对象</w:t>
            </w:r>
          </w:p>
        </w:tc>
        <w:tc>
          <w:tcPr>
            <w:tcW w:w="2126"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left="634" w:right="0"/>
              <w:jc w:val="left"/>
              <w:rPr>
                <w:rFonts w:ascii="宋体" w:hAnsi="宋体" w:cs="宋体" w:eastAsia="宋体" w:hint="default"/>
                <w:sz w:val="21"/>
                <w:szCs w:val="21"/>
              </w:rPr>
            </w:pPr>
            <w:r>
              <w:rPr>
                <w:rFonts w:ascii="宋体" w:hAnsi="宋体" w:cs="宋体" w:eastAsia="宋体" w:hint="default"/>
                <w:sz w:val="21"/>
                <w:szCs w:val="21"/>
              </w:rPr>
              <w:t>期末余额</w:t>
            </w:r>
          </w:p>
        </w:tc>
        <w:tc>
          <w:tcPr>
            <w:tcW w:w="2127" w:type="dxa"/>
            <w:tcBorders>
              <w:top w:val="single" w:sz="6" w:space="0" w:color="000000"/>
              <w:left w:val="single" w:sz="6" w:space="0" w:color="000000"/>
              <w:bottom w:val="single" w:sz="12" w:space="0" w:color="000000"/>
              <w:right w:val="nil" w:sz="6" w:space="0" w:color="auto"/>
            </w:tcBorders>
          </w:tcPr>
          <w:p>
            <w:pPr>
              <w:pStyle w:val="TableParagraph"/>
              <w:spacing w:line="273" w:lineRule="auto"/>
              <w:ind w:left="268" w:right="11" w:hanging="263"/>
              <w:jc w:val="left"/>
              <w:rPr>
                <w:rFonts w:ascii="宋体" w:hAnsi="宋体" w:cs="宋体" w:eastAsia="宋体" w:hint="default"/>
                <w:sz w:val="21"/>
                <w:szCs w:val="21"/>
              </w:rPr>
            </w:pPr>
            <w:r>
              <w:rPr>
                <w:rFonts w:ascii="宋体" w:hAnsi="宋体" w:cs="宋体" w:eastAsia="宋体" w:hint="default"/>
                <w:sz w:val="21"/>
                <w:szCs w:val="21"/>
              </w:rPr>
              <w:t>占预付款项期末余额合 计数的比例（</w:t>
            </w:r>
            <w:r>
              <w:rPr>
                <w:rFonts w:ascii="宋体" w:hAnsi="宋体" w:cs="宋体" w:eastAsia="宋体" w:hint="default"/>
                <w:sz w:val="21"/>
                <w:szCs w:val="21"/>
              </w:rPr>
              <w:t>%</w:t>
            </w:r>
            <w:r>
              <w:rPr>
                <w:rFonts w:ascii="宋体" w:hAnsi="宋体" w:cs="宋体" w:eastAsia="宋体" w:hint="default"/>
                <w:sz w:val="21"/>
                <w:szCs w:val="21"/>
              </w:rPr>
              <w:t>）</w:t>
            </w:r>
          </w:p>
        </w:tc>
      </w:tr>
    </w:tbl>
    <w:p>
      <w:pPr>
        <w:spacing w:after="0" w:line="273"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9"/>
        <w:rPr>
          <w:rFonts w:ascii="宋体" w:hAnsi="宋体" w:cs="宋体" w:eastAsia="宋体" w:hint="default"/>
          <w:b/>
          <w:bCs/>
          <w:sz w:val="22"/>
          <w:szCs w:val="22"/>
        </w:rPr>
      </w:pPr>
    </w:p>
    <w:tbl>
      <w:tblPr>
        <w:tblW w:w="0" w:type="auto"/>
        <w:jc w:val="left"/>
        <w:tblInd w:w="713" w:type="dxa"/>
        <w:tblLayout w:type="fixed"/>
        <w:tblCellMar>
          <w:top w:w="0" w:type="dxa"/>
          <w:left w:w="0" w:type="dxa"/>
          <w:bottom w:w="0" w:type="dxa"/>
          <w:right w:w="0" w:type="dxa"/>
        </w:tblCellMar>
        <w:tblLook w:val="01E0"/>
      </w:tblPr>
      <w:tblGrid>
        <w:gridCol w:w="3506"/>
        <w:gridCol w:w="2126"/>
        <w:gridCol w:w="2127"/>
      </w:tblGrid>
      <w:tr>
        <w:trPr>
          <w:trHeight w:val="355" w:hRule="exact"/>
        </w:trPr>
        <w:tc>
          <w:tcPr>
            <w:tcW w:w="3506"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2126"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right="0"/>
              <w:jc w:val="right"/>
              <w:rPr>
                <w:rFonts w:ascii="宋体" w:hAnsi="宋体" w:cs="宋体" w:eastAsia="宋体" w:hint="default"/>
                <w:sz w:val="21"/>
                <w:szCs w:val="21"/>
              </w:rPr>
            </w:pPr>
            <w:r>
              <w:rPr>
                <w:rFonts w:ascii="宋体"/>
                <w:sz w:val="21"/>
              </w:rPr>
              <w:t>4,800,000.00</w:t>
            </w:r>
          </w:p>
        </w:tc>
        <w:tc>
          <w:tcPr>
            <w:tcW w:w="2127" w:type="dxa"/>
            <w:tcBorders>
              <w:top w:val="single" w:sz="6" w:space="0" w:color="000000"/>
              <w:left w:val="single" w:sz="6" w:space="0" w:color="000000"/>
              <w:bottom w:val="single" w:sz="12" w:space="0" w:color="000000"/>
              <w:right w:val="nil" w:sz="6" w:space="0" w:color="auto"/>
            </w:tcBorders>
          </w:tcPr>
          <w:p>
            <w:pPr>
              <w:pStyle w:val="TableParagraph"/>
              <w:spacing w:line="271" w:lineRule="exact"/>
              <w:ind w:right="8"/>
              <w:jc w:val="right"/>
              <w:rPr>
                <w:rFonts w:ascii="宋体" w:hAnsi="宋体" w:cs="宋体" w:eastAsia="宋体" w:hint="default"/>
                <w:sz w:val="21"/>
                <w:szCs w:val="21"/>
              </w:rPr>
            </w:pPr>
            <w:r>
              <w:rPr>
                <w:rFonts w:ascii="宋体"/>
                <w:sz w:val="21"/>
              </w:rPr>
              <w:t>39.41</w:t>
            </w:r>
          </w:p>
        </w:tc>
      </w:tr>
      <w:tr>
        <w:trPr>
          <w:trHeight w:val="352" w:hRule="exact"/>
        </w:trPr>
        <w:tc>
          <w:tcPr>
            <w:tcW w:w="3506"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2126"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437,600.00</w:t>
            </w:r>
          </w:p>
        </w:tc>
        <w:tc>
          <w:tcPr>
            <w:tcW w:w="2127"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7"/>
              <w:jc w:val="right"/>
              <w:rPr>
                <w:rFonts w:ascii="宋体" w:hAnsi="宋体" w:cs="宋体" w:eastAsia="宋体" w:hint="default"/>
                <w:sz w:val="21"/>
                <w:szCs w:val="21"/>
              </w:rPr>
            </w:pPr>
            <w:r>
              <w:rPr>
                <w:rFonts w:ascii="宋体"/>
                <w:sz w:val="21"/>
              </w:rPr>
              <w:t>3.59</w:t>
            </w:r>
          </w:p>
        </w:tc>
      </w:tr>
      <w:tr>
        <w:trPr>
          <w:trHeight w:val="353" w:hRule="exact"/>
        </w:trPr>
        <w:tc>
          <w:tcPr>
            <w:tcW w:w="3506"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2126"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434,750.00</w:t>
            </w:r>
          </w:p>
        </w:tc>
        <w:tc>
          <w:tcPr>
            <w:tcW w:w="2127"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7"/>
              <w:jc w:val="right"/>
              <w:rPr>
                <w:rFonts w:ascii="宋体" w:hAnsi="宋体" w:cs="宋体" w:eastAsia="宋体" w:hint="default"/>
                <w:sz w:val="21"/>
                <w:szCs w:val="21"/>
              </w:rPr>
            </w:pPr>
            <w:r>
              <w:rPr>
                <w:rFonts w:ascii="宋体"/>
                <w:sz w:val="21"/>
              </w:rPr>
              <w:t>3.57</w:t>
            </w:r>
          </w:p>
        </w:tc>
      </w:tr>
      <w:tr>
        <w:trPr>
          <w:trHeight w:val="352" w:hRule="exact"/>
        </w:trPr>
        <w:tc>
          <w:tcPr>
            <w:tcW w:w="3506"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2126"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345,500.00</w:t>
            </w:r>
          </w:p>
        </w:tc>
        <w:tc>
          <w:tcPr>
            <w:tcW w:w="2127"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7"/>
              <w:jc w:val="right"/>
              <w:rPr>
                <w:rFonts w:ascii="宋体" w:hAnsi="宋体" w:cs="宋体" w:eastAsia="宋体" w:hint="default"/>
                <w:sz w:val="21"/>
                <w:szCs w:val="21"/>
              </w:rPr>
            </w:pPr>
            <w:r>
              <w:rPr>
                <w:rFonts w:ascii="宋体"/>
                <w:sz w:val="21"/>
              </w:rPr>
              <w:t>2.84</w:t>
            </w:r>
          </w:p>
        </w:tc>
      </w:tr>
      <w:tr>
        <w:trPr>
          <w:trHeight w:val="352" w:hRule="exact"/>
        </w:trPr>
        <w:tc>
          <w:tcPr>
            <w:tcW w:w="3506"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2126"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275,000.00</w:t>
            </w:r>
          </w:p>
        </w:tc>
        <w:tc>
          <w:tcPr>
            <w:tcW w:w="2127"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7"/>
              <w:jc w:val="right"/>
              <w:rPr>
                <w:rFonts w:ascii="宋体" w:hAnsi="宋体" w:cs="宋体" w:eastAsia="宋体" w:hint="default"/>
                <w:sz w:val="21"/>
                <w:szCs w:val="21"/>
              </w:rPr>
            </w:pPr>
            <w:r>
              <w:rPr>
                <w:rFonts w:ascii="宋体"/>
                <w:sz w:val="21"/>
              </w:rPr>
              <w:t>2.26</w:t>
            </w:r>
          </w:p>
        </w:tc>
      </w:tr>
      <w:tr>
        <w:trPr>
          <w:trHeight w:val="353" w:hRule="exact"/>
        </w:trPr>
        <w:tc>
          <w:tcPr>
            <w:tcW w:w="3506"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合计</w:t>
            </w:r>
          </w:p>
        </w:tc>
        <w:tc>
          <w:tcPr>
            <w:tcW w:w="2126"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right"/>
              <w:rPr>
                <w:rFonts w:ascii="宋体" w:hAnsi="宋体" w:cs="宋体" w:eastAsia="宋体" w:hint="default"/>
                <w:sz w:val="21"/>
                <w:szCs w:val="21"/>
              </w:rPr>
            </w:pPr>
            <w:r>
              <w:rPr>
                <w:rFonts w:ascii="宋体"/>
                <w:sz w:val="21"/>
              </w:rPr>
              <w:t>6,292,850.00</w:t>
            </w:r>
          </w:p>
        </w:tc>
        <w:tc>
          <w:tcPr>
            <w:tcW w:w="2127"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8"/>
              <w:jc w:val="right"/>
              <w:rPr>
                <w:rFonts w:ascii="宋体" w:hAnsi="宋体" w:cs="宋体" w:eastAsia="宋体" w:hint="default"/>
                <w:sz w:val="21"/>
                <w:szCs w:val="21"/>
              </w:rPr>
            </w:pPr>
            <w:r>
              <w:rPr>
                <w:rFonts w:ascii="宋体"/>
                <w:sz w:val="21"/>
              </w:rPr>
              <w:t>51.67</w:t>
            </w:r>
          </w:p>
        </w:tc>
      </w:tr>
    </w:tbl>
    <w:p>
      <w:pPr>
        <w:spacing w:line="240" w:lineRule="auto" w:before="5"/>
        <w:rPr>
          <w:rFonts w:ascii="宋体" w:hAnsi="宋体" w:cs="宋体" w:eastAsia="宋体" w:hint="default"/>
          <w:b/>
          <w:bCs/>
          <w:sz w:val="24"/>
          <w:szCs w:val="24"/>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6、其他应收款" w:id="236"/>
      <w:bookmarkEnd w:id="236"/>
      <w:r>
        <w:rPr/>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52,280,954.83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52,464,942.46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52,280,954.83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52,464,942.46</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1）应收利息" w:id="237"/>
      <w:bookmarkEnd w:id="23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）应收利息</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应收利息分类</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1"/>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1"/>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重要逾期利息</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681" w:right="140"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应收股利" w:id="238"/>
      <w:bookmarkEnd w:id="23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）应收股利</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应收股利</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1"/>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1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重要的账龄超过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年的应收股利</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1"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81" w:right="140"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3）其他应收款" w:id="239"/>
      <w:bookmarkEnd w:id="23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其他应收款分类披露</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3"/>
        <w:gridCol w:w="932"/>
        <w:gridCol w:w="932"/>
      </w:tblGrid>
      <w:tr>
        <w:trPr>
          <w:trHeight w:val="398"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7"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9"/>
                <w:szCs w:val="19"/>
              </w:rPr>
            </w:pPr>
          </w:p>
          <w:p>
            <w:pPr>
              <w:pStyle w:val="TableParagraph"/>
              <w:spacing w:line="316" w:lineRule="auto"/>
              <w:ind w:left="298" w:right="119"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0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9"/>
                <w:szCs w:val="19"/>
              </w:rPr>
            </w:pPr>
          </w:p>
          <w:p>
            <w:pPr>
              <w:pStyle w:val="TableParagraph"/>
              <w:spacing w:line="316" w:lineRule="auto"/>
              <w:ind w:left="370" w:right="191"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70" w:right="191"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261"/>
              <w:jc w:val="both"/>
              <w:rPr>
                <w:rFonts w:ascii="宋体" w:hAnsi="宋体" w:cs="宋体" w:eastAsia="宋体" w:hint="default"/>
                <w:sz w:val="18"/>
                <w:szCs w:val="18"/>
              </w:rPr>
            </w:pPr>
            <w:r>
              <w:rPr>
                <w:rFonts w:ascii="宋体" w:hAnsi="宋体" w:cs="宋体" w:eastAsia="宋体" w:hint="default"/>
                <w:sz w:val="18"/>
                <w:szCs w:val="18"/>
              </w:rPr>
              <w:t>按信用风险特征 组合计提坏账准 备的其他应收款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66,826,</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345.86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14,545,</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391.03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21.77</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5" w:right="0"/>
              <w:jc w:val="left"/>
              <w:rPr>
                <w:rFonts w:ascii="Times New Roman" w:hAnsi="Times New Roman" w:cs="Times New Roman" w:eastAsia="Times New Roman" w:hint="default"/>
                <w:sz w:val="18"/>
                <w:szCs w:val="18"/>
              </w:rPr>
            </w:pPr>
            <w:r>
              <w:rPr>
                <w:rFonts w:ascii="Times New Roman"/>
                <w:sz w:val="18"/>
              </w:rPr>
              <w:t>52,280,</w:t>
            </w:r>
          </w:p>
          <w:p>
            <w:pPr>
              <w:pStyle w:val="TableParagraph"/>
              <w:spacing w:line="240" w:lineRule="auto" w:before="105"/>
              <w:ind w:left="181" w:right="0"/>
              <w:jc w:val="left"/>
              <w:rPr>
                <w:rFonts w:ascii="Times New Roman" w:hAnsi="Times New Roman" w:cs="Times New Roman" w:eastAsia="Times New Roman" w:hint="default"/>
                <w:sz w:val="18"/>
                <w:szCs w:val="18"/>
              </w:rPr>
            </w:pPr>
            <w:r>
              <w:rPr>
                <w:rFonts w:ascii="Times New Roman"/>
                <w:sz w:val="18"/>
              </w:rPr>
              <w:t>954.83</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4" w:right="0"/>
              <w:jc w:val="center"/>
              <w:rPr>
                <w:rFonts w:ascii="Times New Roman" w:hAnsi="Times New Roman" w:cs="Times New Roman" w:eastAsia="Times New Roman" w:hint="default"/>
                <w:sz w:val="18"/>
                <w:szCs w:val="18"/>
              </w:rPr>
            </w:pPr>
            <w:r>
              <w:rPr>
                <w:rFonts w:ascii="Times New Roman"/>
                <w:sz w:val="18"/>
              </w:rPr>
              <w:t>62,50</w:t>
            </w:r>
          </w:p>
          <w:p>
            <w:pPr>
              <w:pStyle w:val="TableParagraph"/>
              <w:spacing w:line="240" w:lineRule="auto" w:before="104"/>
              <w:ind w:left="34" w:right="0"/>
              <w:jc w:val="center"/>
              <w:rPr>
                <w:rFonts w:ascii="Times New Roman" w:hAnsi="Times New Roman" w:cs="Times New Roman" w:eastAsia="Times New Roman" w:hint="default"/>
                <w:sz w:val="18"/>
                <w:szCs w:val="18"/>
              </w:rPr>
            </w:pPr>
            <w:r>
              <w:rPr>
                <w:rFonts w:ascii="Times New Roman"/>
                <w:sz w:val="18"/>
              </w:rPr>
              <w:t>1,131</w:t>
            </w:r>
          </w:p>
          <w:p>
            <w:pPr>
              <w:pStyle w:val="TableParagraph"/>
              <w:spacing w:line="240" w:lineRule="auto" w:before="106"/>
              <w:ind w:left="214" w:right="0"/>
              <w:jc w:val="center"/>
              <w:rPr>
                <w:rFonts w:ascii="Times New Roman" w:hAnsi="Times New Roman" w:cs="Times New Roman" w:eastAsia="Times New Roman" w:hint="default"/>
                <w:sz w:val="18"/>
                <w:szCs w:val="18"/>
              </w:rPr>
            </w:pPr>
            <w:r>
              <w:rPr>
                <w:rFonts w:ascii="Times New Roman"/>
                <w:sz w:val="18"/>
              </w:rPr>
              <w:t>.42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10,036,</w:t>
            </w:r>
          </w:p>
          <w:p>
            <w:pPr>
              <w:pStyle w:val="TableParagraph"/>
              <w:spacing w:line="240" w:lineRule="auto" w:before="105"/>
              <w:ind w:left="206" w:right="0"/>
              <w:jc w:val="left"/>
              <w:rPr>
                <w:rFonts w:ascii="Times New Roman" w:hAnsi="Times New Roman" w:cs="Times New Roman" w:eastAsia="Times New Roman" w:hint="default"/>
                <w:sz w:val="18"/>
                <w:szCs w:val="18"/>
              </w:rPr>
            </w:pPr>
            <w:r>
              <w:rPr>
                <w:rFonts w:ascii="Times New Roman"/>
                <w:sz w:val="18"/>
              </w:rPr>
              <w:t>188.96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16.06%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9" w:right="0"/>
              <w:jc w:val="left"/>
              <w:rPr>
                <w:rFonts w:ascii="Times New Roman" w:hAnsi="Times New Roman" w:cs="Times New Roman" w:eastAsia="Times New Roman" w:hint="default"/>
                <w:sz w:val="18"/>
                <w:szCs w:val="18"/>
              </w:rPr>
            </w:pPr>
            <w:r>
              <w:rPr>
                <w:rFonts w:ascii="Times New Roman"/>
                <w:sz w:val="18"/>
              </w:rPr>
              <w:t>52,464,9</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42.46</w:t>
            </w: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0" w:right="0"/>
              <w:jc w:val="left"/>
              <w:rPr>
                <w:rFonts w:ascii="Times New Roman" w:hAnsi="Times New Roman" w:cs="Times New Roman" w:eastAsia="Times New Roman" w:hint="default"/>
                <w:sz w:val="18"/>
                <w:szCs w:val="18"/>
              </w:rPr>
            </w:pPr>
            <w:r>
              <w:rPr>
                <w:rFonts w:ascii="Times New Roman"/>
                <w:sz w:val="18"/>
              </w:rPr>
              <w:t>66,826,</w:t>
            </w:r>
          </w:p>
          <w:p>
            <w:pPr>
              <w:pStyle w:val="TableParagraph"/>
              <w:spacing w:line="240" w:lineRule="auto" w:before="105"/>
              <w:ind w:left="155" w:right="0"/>
              <w:jc w:val="left"/>
              <w:rPr>
                <w:rFonts w:ascii="Times New Roman" w:hAnsi="Times New Roman" w:cs="Times New Roman" w:eastAsia="Times New Roman" w:hint="default"/>
                <w:sz w:val="18"/>
                <w:szCs w:val="18"/>
              </w:rPr>
            </w:pPr>
            <w:r>
              <w:rPr>
                <w:rFonts w:ascii="Times New Roman"/>
                <w:sz w:val="18"/>
              </w:rPr>
              <w:t>345.86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14,545,</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391.03</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21.77</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5" w:right="0"/>
              <w:jc w:val="left"/>
              <w:rPr>
                <w:rFonts w:ascii="Times New Roman" w:hAnsi="Times New Roman" w:cs="Times New Roman" w:eastAsia="Times New Roman" w:hint="default"/>
                <w:sz w:val="18"/>
                <w:szCs w:val="18"/>
              </w:rPr>
            </w:pPr>
            <w:r>
              <w:rPr>
                <w:rFonts w:ascii="Times New Roman"/>
                <w:sz w:val="18"/>
              </w:rPr>
              <w:t>52,280,</w:t>
            </w:r>
          </w:p>
          <w:p>
            <w:pPr>
              <w:pStyle w:val="TableParagraph"/>
              <w:spacing w:line="240" w:lineRule="auto" w:before="105"/>
              <w:ind w:left="181" w:right="0"/>
              <w:jc w:val="left"/>
              <w:rPr>
                <w:rFonts w:ascii="Times New Roman" w:hAnsi="Times New Roman" w:cs="Times New Roman" w:eastAsia="Times New Roman" w:hint="default"/>
                <w:sz w:val="18"/>
                <w:szCs w:val="18"/>
              </w:rPr>
            </w:pPr>
            <w:r>
              <w:rPr>
                <w:rFonts w:ascii="Times New Roman"/>
                <w:sz w:val="18"/>
              </w:rPr>
              <w:t>954.83</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4" w:right="0"/>
              <w:jc w:val="center"/>
              <w:rPr>
                <w:rFonts w:ascii="Times New Roman" w:hAnsi="Times New Roman" w:cs="Times New Roman" w:eastAsia="Times New Roman" w:hint="default"/>
                <w:sz w:val="18"/>
                <w:szCs w:val="18"/>
              </w:rPr>
            </w:pPr>
            <w:r>
              <w:rPr>
                <w:rFonts w:ascii="Times New Roman"/>
                <w:sz w:val="18"/>
              </w:rPr>
              <w:t>62,50</w:t>
            </w:r>
          </w:p>
          <w:p>
            <w:pPr>
              <w:pStyle w:val="TableParagraph"/>
              <w:spacing w:line="240" w:lineRule="auto" w:before="104"/>
              <w:ind w:left="34" w:right="0"/>
              <w:jc w:val="center"/>
              <w:rPr>
                <w:rFonts w:ascii="Times New Roman" w:hAnsi="Times New Roman" w:cs="Times New Roman" w:eastAsia="Times New Roman" w:hint="default"/>
                <w:sz w:val="18"/>
                <w:szCs w:val="18"/>
              </w:rPr>
            </w:pPr>
            <w:r>
              <w:rPr>
                <w:rFonts w:ascii="Times New Roman"/>
                <w:sz w:val="18"/>
              </w:rPr>
              <w:t>1,131</w:t>
            </w:r>
          </w:p>
          <w:p>
            <w:pPr>
              <w:pStyle w:val="TableParagraph"/>
              <w:spacing w:line="240" w:lineRule="auto" w:before="106"/>
              <w:ind w:left="214" w:right="0"/>
              <w:jc w:val="center"/>
              <w:rPr>
                <w:rFonts w:ascii="Times New Roman" w:hAnsi="Times New Roman" w:cs="Times New Roman" w:eastAsia="Times New Roman" w:hint="default"/>
                <w:sz w:val="18"/>
                <w:szCs w:val="18"/>
              </w:rPr>
            </w:pPr>
            <w:r>
              <w:rPr>
                <w:rFonts w:ascii="Times New Roman"/>
                <w:sz w:val="18"/>
              </w:rPr>
              <w:t>.42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10,036,</w:t>
            </w:r>
          </w:p>
          <w:p>
            <w:pPr>
              <w:pStyle w:val="TableParagraph"/>
              <w:spacing w:line="240" w:lineRule="auto" w:before="105"/>
              <w:ind w:left="206" w:right="0"/>
              <w:jc w:val="left"/>
              <w:rPr>
                <w:rFonts w:ascii="Times New Roman" w:hAnsi="Times New Roman" w:cs="Times New Roman" w:eastAsia="Times New Roman" w:hint="default"/>
                <w:sz w:val="18"/>
                <w:szCs w:val="18"/>
              </w:rPr>
            </w:pPr>
            <w:r>
              <w:rPr>
                <w:rFonts w:ascii="Times New Roman"/>
                <w:sz w:val="18"/>
              </w:rPr>
              <w:t>188.96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16.06%</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9" w:right="0"/>
              <w:jc w:val="left"/>
              <w:rPr>
                <w:rFonts w:ascii="Times New Roman" w:hAnsi="Times New Roman" w:cs="Times New Roman" w:eastAsia="Times New Roman" w:hint="default"/>
                <w:sz w:val="18"/>
                <w:szCs w:val="18"/>
              </w:rPr>
            </w:pPr>
            <w:r>
              <w:rPr>
                <w:rFonts w:ascii="Times New Roman"/>
                <w:sz w:val="18"/>
              </w:rPr>
              <w:t>52,464,9</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42.46</w:t>
            </w:r>
          </w:p>
        </w:tc>
      </w:tr>
    </w:tbl>
    <w:p>
      <w:pPr>
        <w:spacing w:after="0" w:line="240" w:lineRule="auto"/>
        <w:jc w:val="left"/>
        <w:rPr>
          <w:rFonts w:ascii="Times New Roman" w:hAnsi="Times New Roman" w:cs="Times New Roman" w:eastAsia="Times New Roman" w:hint="default"/>
          <w:sz w:val="18"/>
          <w:szCs w:val="18"/>
        </w:rPr>
        <w:sectPr>
          <w:pgSz w:w="11910" w:h="16840"/>
          <w:pgMar w:header="889" w:footer="1019" w:top="1140" w:bottom="1200" w:left="1020" w:right="0"/>
        </w:sectPr>
      </w:pPr>
    </w:p>
    <w:p>
      <w:pPr>
        <w:spacing w:before="51"/>
        <w:ind w:left="114"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期末单项金额重大并单项计提坏账准备的其他应收款：</w:t>
      </w:r>
    </w:p>
    <w:p>
      <w:pPr>
        <w:spacing w:line="357" w:lineRule="auto" w:before="117"/>
        <w:ind w:left="114" w:right="160" w:firstLine="0"/>
        <w:jc w:val="left"/>
        <w:rPr>
          <w:rFonts w:ascii="宋体" w:hAnsi="宋体" w:cs="宋体" w:eastAsia="宋体" w:hint="default"/>
          <w:sz w:val="18"/>
          <w:szCs w:val="18"/>
        </w:rPr>
      </w:pPr>
      <w:r>
        <w:rPr>
          <w:rFonts w:ascii="宋体" w:hAnsi="宋体" w:cs="宋体" w:eastAsia="宋体" w:hint="default"/>
          <w:sz w:val="18"/>
          <w:szCs w:val="18"/>
        </w:rPr>
        <w:t>□ 适用 √ 不适用 组合中，按账龄分析法计提坏账准备的其他应收款：</w:t>
      </w:r>
    </w:p>
    <w:p>
      <w:pPr>
        <w:spacing w:before="28"/>
        <w:ind w:left="114" w:right="-2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spacing w:before="0"/>
        <w:ind w:left="11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140" w:bottom="1200" w:left="1020" w:right="0"/>
          <w:cols w:num="2" w:equalWidth="0">
            <w:col w:w="4435" w:space="4395"/>
            <w:col w:w="2060"/>
          </w:cols>
        </w:sectPr>
      </w:pP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17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392" w:type="dxa"/>
            <w:vMerge/>
            <w:tcBorders>
              <w:left w:val="single" w:sz="4" w:space="0" w:color="000000"/>
              <w:bottom w:val="single" w:sz="4" w:space="0" w:color="000000"/>
              <w:right w:val="single" w:sz="4" w:space="0" w:color="000000"/>
            </w:tcBorders>
            <w:shd w:val="clear" w:color="auto" w:fill="D2D2D2"/>
          </w:tcPr>
          <w:p>
            <w:pP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27,297,041.74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1,364,852.09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12,544,433.70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1,254,443.37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15,093,082.07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4,527,924.62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7,510,394.60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3,755,197.30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2,461,400.35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1,722,980.25</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1,919,993.40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1,919,993.40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66,826,345.86</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14,545,391.03</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after="0"/>
        <w:sectPr>
          <w:type w:val="continuous"/>
          <w:pgSz w:w="11910" w:h="16840"/>
          <w:pgMar w:top="1140" w:bottom="1200" w:left="1020" w:right="0"/>
        </w:sectPr>
      </w:pPr>
    </w:p>
    <w:p>
      <w:pPr>
        <w:spacing w:line="360" w:lineRule="auto" w:before="51"/>
        <w:ind w:left="114" w:right="1374"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组合中，采用余额百分比法计提坏账准备的其他应收款：</w:t>
      </w:r>
    </w:p>
    <w:p>
      <w:pPr>
        <w:spacing w:line="360" w:lineRule="auto" w:before="26"/>
        <w:ind w:left="114" w:right="1734" w:firstLine="0"/>
        <w:jc w:val="left"/>
        <w:rPr>
          <w:rFonts w:ascii="宋体" w:hAnsi="宋体" w:cs="宋体" w:eastAsia="宋体" w:hint="default"/>
          <w:sz w:val="18"/>
          <w:szCs w:val="18"/>
        </w:rPr>
      </w:pPr>
      <w:r>
        <w:rPr>
          <w:rFonts w:ascii="宋体" w:hAnsi="宋体" w:cs="宋体" w:eastAsia="宋体" w:hint="default"/>
          <w:sz w:val="18"/>
          <w:szCs w:val="18"/>
        </w:rPr>
        <w:t>□ 适用 √ 不适用 组合中，采用其他方法计提坏账准备的其他应收款：</w:t>
      </w:r>
    </w:p>
    <w:p>
      <w:pPr>
        <w:spacing w:before="26"/>
        <w:ind w:left="114" w:right="1374"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114" w:right="13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本期计提、收回或转回的坏账准备情况</w:t>
      </w:r>
    </w:p>
    <w:p>
      <w:pPr>
        <w:spacing w:line="338" w:lineRule="auto" w:before="103"/>
        <w:ind w:left="114" w:right="-17"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4,509,202.07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元；本期收回或转回坏账准备金额元。 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2"/>
        <w:rPr>
          <w:rFonts w:ascii="宋体" w:hAnsi="宋体" w:cs="宋体" w:eastAsia="宋体" w:hint="default"/>
          <w:sz w:val="21"/>
          <w:szCs w:val="21"/>
        </w:rPr>
      </w:pPr>
    </w:p>
    <w:p>
      <w:pPr>
        <w:spacing w:before="0"/>
        <w:ind w:left="11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140" w:bottom="1200" w:left="1020" w:right="0"/>
          <w:cols w:num="2" w:equalWidth="0">
            <w:col w:w="6009" w:space="2820"/>
            <w:col w:w="2061"/>
          </w:cols>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0"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before="51"/>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本期实际核销的其他应收款情况</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其中重要的其他应收款核销情况：</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5"/>
        <w:gridCol w:w="1594"/>
        <w:gridCol w:w="1594"/>
        <w:gridCol w:w="1596"/>
        <w:gridCol w:w="1595"/>
      </w:tblGrid>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2"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1"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62"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430" w:right="162" w:hanging="270"/>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spacing w:after="0" w:line="316" w:lineRule="auto"/>
        <w:jc w:val="left"/>
        <w:rPr>
          <w:rFonts w:ascii="宋体" w:hAnsi="宋体" w:cs="宋体" w:eastAsia="宋体" w:hint="default"/>
          <w:sz w:val="18"/>
          <w:szCs w:val="18"/>
        </w:rPr>
        <w:sectPr>
          <w:pgSz w:w="11910" w:h="16840"/>
          <w:pgMar w:header="889" w:footer="1019" w:top="1140" w:bottom="1200" w:left="1020" w:right="0"/>
        </w:sectPr>
      </w:pPr>
    </w:p>
    <w:p>
      <w:pPr>
        <w:spacing w:before="51"/>
        <w:ind w:left="114" w:right="-20" w:firstLine="0"/>
        <w:jc w:val="left"/>
        <w:rPr>
          <w:rFonts w:ascii="宋体" w:hAnsi="宋体" w:cs="宋体" w:eastAsia="宋体" w:hint="default"/>
          <w:sz w:val="18"/>
          <w:szCs w:val="18"/>
        </w:rPr>
      </w:pPr>
      <w:r>
        <w:rPr>
          <w:rFonts w:ascii="宋体" w:hAnsi="宋体" w:cs="宋体" w:eastAsia="宋体" w:hint="default"/>
          <w:sz w:val="18"/>
          <w:szCs w:val="18"/>
        </w:rPr>
        <w:t>其他应收款核销说明：</w:t>
      </w:r>
    </w:p>
    <w:p>
      <w:pPr>
        <w:spacing w:before="117"/>
        <w:ind w:left="11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其他应收款按款项性质分类情况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0"/>
        <w:rPr>
          <w:rFonts w:ascii="宋体" w:hAnsi="宋体" w:cs="宋体" w:eastAsia="宋体" w:hint="default"/>
          <w:sz w:val="21"/>
          <w:szCs w:val="21"/>
        </w:rPr>
      </w:pPr>
    </w:p>
    <w:p>
      <w:pPr>
        <w:spacing w:before="0"/>
        <w:ind w:left="11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140" w:bottom="1200" w:left="1020" w:right="0"/>
          <w:cols w:num="2" w:equalWidth="0">
            <w:col w:w="2785" w:space="6045"/>
            <w:col w:w="2060"/>
          </w:cols>
        </w:sectPr>
      </w:pP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1"/>
        <w:gridCol w:w="3191"/>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保证金及押金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55,288,218.35</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55,750,018.97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4,899,185.23</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4,822,167.17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6,638,942.28</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1,928,945.28</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66,826,345.86</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62,501,131.42</w:t>
            </w:r>
          </w:p>
        </w:tc>
      </w:tr>
    </w:tbl>
    <w:p>
      <w:pPr>
        <w:spacing w:before="51"/>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按欠款方归集的期末余额前五名的其他应收款情况</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5"/>
        <w:gridCol w:w="1594"/>
        <w:gridCol w:w="1594"/>
        <w:gridCol w:w="1596"/>
        <w:gridCol w:w="1595"/>
      </w:tblGrid>
      <w:tr>
        <w:trPr>
          <w:trHeight w:val="1026"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32"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42"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62" w:right="162"/>
              <w:jc w:val="center"/>
              <w:rPr>
                <w:rFonts w:ascii="宋体" w:hAnsi="宋体" w:cs="宋体" w:eastAsia="宋体" w:hint="default"/>
                <w:sz w:val="18"/>
                <w:szCs w:val="18"/>
              </w:rPr>
            </w:pPr>
            <w:r>
              <w:rPr>
                <w:rFonts w:ascii="宋体" w:hAnsi="宋体" w:cs="宋体" w:eastAsia="宋体" w:hint="default"/>
                <w:sz w:val="18"/>
                <w:szCs w:val="18"/>
              </w:rPr>
              <w:t>占其他应收款期 末余额合计数的 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700" w:right="162" w:hanging="540"/>
              <w:jc w:val="left"/>
              <w:rPr>
                <w:rFonts w:ascii="宋体" w:hAnsi="宋体" w:cs="宋体" w:eastAsia="宋体" w:hint="default"/>
                <w:sz w:val="18"/>
                <w:szCs w:val="18"/>
              </w:rPr>
            </w:pPr>
            <w:r>
              <w:rPr>
                <w:rFonts w:ascii="宋体" w:hAnsi="宋体" w:cs="宋体" w:eastAsia="宋体" w:hint="default"/>
                <w:sz w:val="18"/>
                <w:szCs w:val="18"/>
              </w:rPr>
              <w:t>坏账准备期末余 额</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5,500,000.00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8.23%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2,750,000.00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5,000,000.00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7.48%</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1,500,000.00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2,131,997.00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3.19%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206,699.70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2,094,320.00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3.13%</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202,657.50</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2,046,383.00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3.06%</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183,244.15</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16,772,700.00</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25.09%</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4,842,601.35</w:t>
            </w:r>
          </w:p>
        </w:tc>
      </w:tr>
    </w:tbl>
    <w:p>
      <w:pPr>
        <w:spacing w:before="51"/>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涉及政府补助的应收款项</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12"/>
        <w:gridCol w:w="1914"/>
        <w:gridCol w:w="1914"/>
        <w:gridCol w:w="1914"/>
        <w:gridCol w:w="1916"/>
      </w:tblGrid>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0"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592" w:right="143" w:hanging="450"/>
              <w:jc w:val="left"/>
              <w:rPr>
                <w:rFonts w:ascii="宋体" w:hAnsi="宋体" w:cs="宋体" w:eastAsia="宋体" w:hint="default"/>
                <w:sz w:val="18"/>
                <w:szCs w:val="18"/>
              </w:rPr>
            </w:pPr>
            <w:r>
              <w:rPr>
                <w:rFonts w:ascii="宋体" w:hAnsi="宋体" w:cs="宋体" w:eastAsia="宋体" w:hint="default"/>
                <w:sz w:val="18"/>
                <w:szCs w:val="18"/>
              </w:rPr>
              <w:t>预计收取的时间、金 额及依据</w:t>
            </w:r>
          </w:p>
        </w:tc>
      </w:tr>
    </w:tbl>
    <w:p>
      <w:pPr>
        <w:spacing w:line="321" w:lineRule="auto" w:before="51"/>
        <w:ind w:left="114" w:right="508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7)</w:t>
      </w:r>
      <w:r>
        <w:rPr>
          <w:rFonts w:ascii="宋体" w:hAnsi="宋体" w:cs="宋体" w:eastAsia="宋体" w:hint="default"/>
          <w:sz w:val="18"/>
          <w:szCs w:val="18"/>
        </w:rPr>
        <w:t>因金融资产转移而终止确认的其他应收款</w:t>
      </w:r>
      <w:r>
        <w:rPr>
          <w:rFonts w:ascii="宋体" w:hAnsi="宋体" w:cs="宋体" w:eastAsia="宋体" w:hint="default"/>
          <w:w w:val="99"/>
          <w:sz w:val="18"/>
          <w:szCs w:val="18"/>
        </w:rPr>
        <w:t> </w:t>
      </w:r>
      <w:r>
        <w:rPr>
          <w:rFonts w:ascii="宋体" w:hAnsi="宋体" w:cs="宋体" w:eastAsia="宋体" w:hint="default"/>
          <w:sz w:val="21"/>
          <w:szCs w:val="21"/>
        </w:rPr>
        <w:t>期末无因金融资产转移而终止确认的其他应收款。</w:t>
      </w:r>
      <w:r>
        <w:rPr>
          <w:rFonts w:ascii="宋体" w:hAnsi="宋体" w:cs="宋体" w:eastAsia="宋体" w:hint="default"/>
          <w:w w:val="99"/>
          <w:sz w:val="21"/>
          <w:szCs w:val="21"/>
        </w:rPr>
        <w:t> </w:t>
      </w:r>
      <w:r>
        <w:rPr>
          <w:rFonts w:ascii="Times New Roman" w:hAnsi="Times New Roman" w:cs="Times New Roman" w:eastAsia="Times New Roman" w:hint="default"/>
          <w:sz w:val="18"/>
          <w:szCs w:val="18"/>
        </w:rPr>
        <w:t>8)</w:t>
      </w:r>
      <w:r>
        <w:rPr>
          <w:rFonts w:ascii="宋体" w:hAnsi="宋体" w:cs="宋体" w:eastAsia="宋体" w:hint="default"/>
          <w:sz w:val="18"/>
          <w:szCs w:val="18"/>
        </w:rPr>
        <w:t>转移其他应收款且继续涉入形成的资产、负债金额</w:t>
      </w:r>
      <w:r>
        <w:rPr>
          <w:rFonts w:ascii="宋体" w:hAnsi="宋体" w:cs="宋体" w:eastAsia="宋体" w:hint="default"/>
          <w:w w:val="99"/>
          <w:sz w:val="18"/>
          <w:szCs w:val="18"/>
        </w:rPr>
        <w:t> </w:t>
      </w:r>
      <w:r>
        <w:rPr>
          <w:rFonts w:ascii="宋体" w:hAnsi="宋体" w:cs="宋体" w:eastAsia="宋体" w:hint="default"/>
          <w:sz w:val="21"/>
          <w:szCs w:val="21"/>
        </w:rPr>
        <w:t>期末无转移其他应收款且继续涉入形成的资产、负债的金额。</w:t>
      </w:r>
      <w:r>
        <w:rPr>
          <w:rFonts w:ascii="宋体" w:hAnsi="宋体" w:cs="宋体" w:eastAsia="宋体" w:hint="default"/>
          <w:w w:val="99"/>
          <w:sz w:val="21"/>
          <w:szCs w:val="21"/>
        </w:rPr>
        <w:t> </w:t>
      </w:r>
      <w:r>
        <w:rPr>
          <w:rFonts w:ascii="宋体" w:hAnsi="宋体" w:cs="宋体" w:eastAsia="宋体" w:hint="default"/>
          <w:sz w:val="18"/>
          <w:szCs w:val="18"/>
        </w:rPr>
        <w:t>其他说明：</w:t>
      </w:r>
    </w:p>
    <w:p>
      <w:pPr>
        <w:spacing w:after="0" w:line="321" w:lineRule="auto"/>
        <w:jc w:val="left"/>
        <w:rPr>
          <w:rFonts w:ascii="宋体" w:hAnsi="宋体" w:cs="宋体" w:eastAsia="宋体" w:hint="default"/>
          <w:sz w:val="18"/>
          <w:szCs w:val="18"/>
        </w:rPr>
        <w:sectPr>
          <w:type w:val="continuous"/>
          <w:pgSz w:w="11910" w:h="16840"/>
          <w:pgMar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7、存货" w:id="240"/>
      <w:bookmarkEnd w:id="240"/>
      <w:r>
        <w:rPr/>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、存货</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line="357" w:lineRule="auto" w:before="0"/>
        <w:ind w:left="114" w:right="7512" w:firstLine="0"/>
        <w:jc w:val="left"/>
        <w:rPr>
          <w:rFonts w:ascii="宋体" w:hAnsi="宋体" w:cs="宋体" w:eastAsia="宋体" w:hint="default"/>
          <w:sz w:val="18"/>
          <w:szCs w:val="18"/>
        </w:rPr>
      </w:pPr>
      <w:r>
        <w:rPr>
          <w:rFonts w:ascii="宋体" w:hAnsi="宋体" w:cs="宋体" w:eastAsia="宋体" w:hint="default"/>
          <w:sz w:val="18"/>
          <w:szCs w:val="18"/>
        </w:rPr>
        <w:t>公司是否需要遵守房地产行业的披露要求 否</w:t>
      </w:r>
    </w:p>
    <w:p>
      <w:pPr>
        <w:spacing w:line="240" w:lineRule="auto" w:before="1"/>
        <w:rPr>
          <w:rFonts w:ascii="宋体" w:hAnsi="宋体" w:cs="宋体" w:eastAsia="宋体" w:hint="default"/>
          <w:sz w:val="20"/>
          <w:szCs w:val="20"/>
        </w:rPr>
      </w:pPr>
    </w:p>
    <w:p>
      <w:pPr>
        <w:spacing w:before="0"/>
        <w:ind w:left="114" w:right="0" w:firstLine="0"/>
        <w:jc w:val="left"/>
        <w:rPr>
          <w:rFonts w:ascii="宋体" w:hAnsi="宋体" w:cs="宋体" w:eastAsia="宋体" w:hint="default"/>
          <w:sz w:val="21"/>
          <w:szCs w:val="21"/>
        </w:rPr>
      </w:pPr>
      <w:bookmarkStart w:name="（1）存货分类" w:id="241"/>
      <w:bookmarkEnd w:id="24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）存货分类</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401,139.20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401,139.20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252,805.91</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252,805.91</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3"/>
              <w:jc w:val="left"/>
              <w:rPr>
                <w:rFonts w:ascii="宋体" w:hAnsi="宋体" w:cs="宋体" w:eastAsia="宋体" w:hint="default"/>
                <w:sz w:val="18"/>
                <w:szCs w:val="18"/>
              </w:rPr>
            </w:pPr>
            <w:r>
              <w:rPr>
                <w:rFonts w:ascii="宋体" w:hAnsi="宋体" w:cs="宋体" w:eastAsia="宋体" w:hint="default"/>
                <w:sz w:val="18"/>
                <w:szCs w:val="18"/>
              </w:rPr>
              <w:t>未完工项目成 本</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348,596,866.26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348,596,866.26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290,290,396.55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290,290,396.55</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348,998,005.46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348,998,005.46</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290,543,202.46</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290,543,202.46</w:t>
            </w:r>
          </w:p>
        </w:tc>
      </w:tr>
    </w:tbl>
    <w:p>
      <w:pPr>
        <w:spacing w:line="340" w:lineRule="auto" w:before="51"/>
        <w:ind w:left="114" w:right="2473"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号—上市公司从事种业、种植业务》的披露要求 否</w:t>
      </w:r>
    </w:p>
    <w:p>
      <w:pPr>
        <w:spacing w:line="338" w:lineRule="auto" w:before="40"/>
        <w:ind w:left="114" w:right="1573"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号——上市公司从事广播电影电视业务》的披露要求 否</w:t>
      </w:r>
    </w:p>
    <w:p>
      <w:pPr>
        <w:spacing w:line="338" w:lineRule="auto" w:before="43"/>
        <w:ind w:left="114" w:right="1753"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号——上市公司从事互联网游戏业务》的披露要求 否</w:t>
      </w:r>
    </w:p>
    <w:p>
      <w:pPr>
        <w:spacing w:line="340" w:lineRule="auto" w:before="42"/>
        <w:ind w:left="114" w:right="2751" w:firstLine="0"/>
        <w:jc w:val="left"/>
        <w:rPr>
          <w:rFonts w:ascii="宋体" w:hAnsi="宋体" w:cs="宋体" w:eastAsia="宋体" w:hint="default"/>
          <w:sz w:val="18"/>
          <w:szCs w:val="18"/>
        </w:rPr>
      </w:pPr>
      <w:r>
        <w:rPr>
          <w:rFonts w:ascii="宋体" w:hAnsi="宋体" w:cs="宋体" w:eastAsia="宋体" w:hint="default"/>
          <w:sz w:val="18"/>
          <w:szCs w:val="18"/>
        </w:rPr>
        <w:t>公司需遵守《深圳证券交易所行业信息披露指引第</w:t>
      </w:r>
      <w:r>
        <w:rPr>
          <w:rFonts w:ascii="宋体" w:hAnsi="宋体" w:cs="宋体" w:eastAsia="宋体" w:hint="default"/>
          <w:spacing w:val="-45"/>
          <w:sz w:val="18"/>
          <w:szCs w:val="18"/>
        </w:rPr>
        <w:t> </w:t>
      </w:r>
      <w:r>
        <w:rPr>
          <w:rFonts w:ascii="Times New Roman" w:hAnsi="Times New Roman" w:cs="Times New Roman" w:eastAsia="Times New Roman" w:hint="default"/>
          <w:spacing w:val="-4"/>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号——上市公司从事珠宝相关业务》的披露要求 否</w:t>
      </w:r>
    </w:p>
    <w:p>
      <w:pPr>
        <w:spacing w:line="240" w:lineRule="auto" w:before="12"/>
        <w:rPr>
          <w:rFonts w:ascii="宋体" w:hAnsi="宋体" w:cs="宋体" w:eastAsia="宋体" w:hint="default"/>
          <w:sz w:val="20"/>
          <w:szCs w:val="20"/>
        </w:rPr>
      </w:pPr>
    </w:p>
    <w:p>
      <w:pPr>
        <w:spacing w:before="0"/>
        <w:ind w:left="114" w:right="0" w:firstLine="0"/>
        <w:jc w:val="left"/>
        <w:rPr>
          <w:rFonts w:ascii="宋体" w:hAnsi="宋体" w:cs="宋体" w:eastAsia="宋体" w:hint="default"/>
          <w:sz w:val="21"/>
          <w:szCs w:val="21"/>
        </w:rPr>
      </w:pPr>
      <w:bookmarkStart w:name="（2）存货跌价准备" w:id="242"/>
      <w:bookmarkEnd w:id="24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）存货跌价准备</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22"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21"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计提</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27" w:right="0"/>
              <w:jc w:val="left"/>
              <w:rPr>
                <w:rFonts w:ascii="宋体" w:hAnsi="宋体" w:cs="宋体" w:eastAsia="宋体" w:hint="default"/>
                <w:sz w:val="18"/>
                <w:szCs w:val="18"/>
              </w:rPr>
            </w:pPr>
            <w:r>
              <w:rPr>
                <w:rFonts w:ascii="宋体" w:hAnsi="宋体" w:cs="宋体" w:eastAsia="宋体" w:hint="default"/>
                <w:sz w:val="18"/>
                <w:szCs w:val="18"/>
              </w:rPr>
              <w:t>转回或转销</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367" w:type="dxa"/>
            <w:vMerge/>
            <w:tcBorders>
              <w:left w:val="single" w:sz="4" w:space="0" w:color="000000"/>
              <w:bottom w:val="single" w:sz="4" w:space="0" w:color="000000"/>
              <w:right w:val="single" w:sz="4" w:space="0" w:color="000000"/>
            </w:tcBorders>
            <w:shd w:val="clear" w:color="auto" w:fill="D2D2D2"/>
          </w:tcPr>
          <w:p>
            <w:pPr/>
          </w:p>
        </w:tc>
      </w:tr>
    </w:tbl>
    <w:p>
      <w:pPr>
        <w:spacing w:line="240" w:lineRule="auto" w:before="3"/>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3）存货期末余额含有借款费用资本化金额的说明" w:id="243"/>
      <w:bookmarkEnd w:id="24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）存货期末余额含有借款费用资本化金额的说明</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4）期末建造合同形成的已完工未结算资产情况" w:id="244"/>
      <w:bookmarkEnd w:id="24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）期末建造合同形成的已完工未结算资产情况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4784"/>
        <w:gridCol w:w="4785"/>
      </w:tblGrid>
      <w:tr>
        <w:trPr>
          <w:trHeight w:val="402" w:hRule="exact"/>
        </w:trPr>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8、持有待售资产" w:id="245"/>
      <w:bookmarkEnd w:id="245"/>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、持有待售资产</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after="0"/>
        <w:jc w:val="right"/>
        <w:rPr>
          <w:rFonts w:ascii="宋体" w:hAnsi="宋体" w:cs="宋体" w:eastAsia="宋体" w:hint="default"/>
          <w:sz w:val="18"/>
          <w:szCs w:val="18"/>
        </w:rPr>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1912"/>
        <w:gridCol w:w="1914"/>
        <w:gridCol w:w="1914"/>
        <w:gridCol w:w="1914"/>
        <w:gridCol w:w="1916"/>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1"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公允价值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1" w:right="0"/>
              <w:jc w:val="left"/>
              <w:rPr>
                <w:rFonts w:ascii="宋体" w:hAnsi="宋体" w:cs="宋体" w:eastAsia="宋体" w:hint="default"/>
                <w:sz w:val="18"/>
                <w:szCs w:val="18"/>
              </w:rPr>
            </w:pPr>
            <w:r>
              <w:rPr>
                <w:rFonts w:ascii="宋体" w:hAnsi="宋体" w:cs="宋体" w:eastAsia="宋体" w:hint="default"/>
                <w:sz w:val="18"/>
                <w:szCs w:val="18"/>
              </w:rPr>
              <w:t>预计处置费用</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2" w:right="0"/>
              <w:jc w:val="left"/>
              <w:rPr>
                <w:rFonts w:ascii="宋体" w:hAnsi="宋体" w:cs="宋体" w:eastAsia="宋体" w:hint="default"/>
                <w:sz w:val="18"/>
                <w:szCs w:val="18"/>
              </w:rPr>
            </w:pPr>
            <w:r>
              <w:rPr>
                <w:rFonts w:ascii="宋体" w:hAnsi="宋体" w:cs="宋体" w:eastAsia="宋体" w:hint="default"/>
                <w:sz w:val="18"/>
                <w:szCs w:val="18"/>
              </w:rPr>
              <w:t>预计处置时间</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9、一年内到期的非流动资产" w:id="246"/>
      <w:bookmarkEnd w:id="246"/>
      <w:r>
        <w:rPr/>
      </w: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、一年内到期的非流动资产</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一年内到期的长期应收款</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6,986,539.26</w:t>
            </w:r>
          </w:p>
        </w:tc>
        <w:tc>
          <w:tcPr>
            <w:tcW w:w="3191"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6,986,539.26</w:t>
            </w:r>
          </w:p>
        </w:tc>
        <w:tc>
          <w:tcPr>
            <w:tcW w:w="3191" w:type="dxa"/>
            <w:tcBorders>
              <w:top w:val="single" w:sz="4" w:space="0" w:color="000000"/>
              <w:left w:val="single" w:sz="4" w:space="0" w:color="000000"/>
              <w:bottom w:val="single" w:sz="4" w:space="0" w:color="000000"/>
              <w:right w:val="single" w:sz="4" w:space="0" w:color="000000"/>
            </w:tcBorders>
          </w:tcPr>
          <w:p>
            <w:pP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56" w:lineRule="auto" w:before="90"/>
        <w:ind w:left="828" w:right="2110" w:firstLine="0"/>
        <w:jc w:val="left"/>
        <w:rPr>
          <w:rFonts w:ascii="宋体" w:hAnsi="宋体" w:cs="宋体" w:eastAsia="宋体" w:hint="default"/>
          <w:sz w:val="21"/>
          <w:szCs w:val="21"/>
        </w:rPr>
      </w:pPr>
      <w:r>
        <w:rPr>
          <w:rFonts w:ascii="宋体" w:hAnsi="宋体" w:cs="宋体" w:eastAsia="宋体" w:hint="default"/>
          <w:sz w:val="21"/>
          <w:szCs w:val="21"/>
        </w:rPr>
        <w:t>本期计提坏账准备金额</w:t>
      </w:r>
      <w:r>
        <w:rPr>
          <w:rFonts w:ascii="Times New Roman" w:hAnsi="Times New Roman" w:cs="Times New Roman" w:eastAsia="Times New Roman" w:hint="default"/>
          <w:sz w:val="21"/>
          <w:szCs w:val="21"/>
        </w:rPr>
        <w:t>367,712.59</w:t>
      </w:r>
      <w:r>
        <w:rPr>
          <w:rFonts w:ascii="宋体" w:hAnsi="宋体" w:cs="宋体" w:eastAsia="宋体" w:hint="default"/>
          <w:sz w:val="21"/>
          <w:szCs w:val="21"/>
        </w:rPr>
        <w:t>元；本期收回或转回坏账准备金额</w:t>
      </w:r>
      <w:r>
        <w:rPr>
          <w:rFonts w:ascii="Times New Roman" w:hAnsi="Times New Roman" w:cs="Times New Roman" w:eastAsia="Times New Roman" w:hint="default"/>
          <w:sz w:val="21"/>
          <w:szCs w:val="21"/>
        </w:rPr>
        <w:t>0</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期末余额中，一年内到期的长期应收款原值为</w:t>
      </w:r>
      <w:r>
        <w:rPr>
          <w:rFonts w:ascii="Times New Roman" w:hAnsi="Times New Roman" w:cs="Times New Roman" w:eastAsia="Times New Roman" w:hint="default"/>
          <w:sz w:val="21"/>
          <w:szCs w:val="21"/>
        </w:rPr>
        <w:t>7,354,251.85</w:t>
      </w:r>
      <w:r>
        <w:rPr>
          <w:rFonts w:ascii="宋体" w:hAnsi="宋体" w:cs="宋体" w:eastAsia="宋体" w:hint="default"/>
          <w:sz w:val="21"/>
          <w:szCs w:val="21"/>
        </w:rPr>
        <w:t>，坏账准备为</w:t>
      </w:r>
      <w:r>
        <w:rPr>
          <w:rFonts w:ascii="Times New Roman" w:hAnsi="Times New Roman" w:cs="Times New Roman" w:eastAsia="Times New Roman" w:hint="default"/>
          <w:sz w:val="21"/>
          <w:szCs w:val="21"/>
        </w:rPr>
        <w:t>367,712.59</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25"/>
          <w:szCs w:val="25"/>
        </w:rPr>
      </w:pPr>
    </w:p>
    <w:p>
      <w:pPr>
        <w:spacing w:before="0"/>
        <w:ind w:left="114" w:right="0" w:firstLine="0"/>
        <w:jc w:val="left"/>
        <w:rPr>
          <w:rFonts w:ascii="宋体" w:hAnsi="宋体" w:cs="宋体" w:eastAsia="宋体" w:hint="default"/>
          <w:sz w:val="21"/>
          <w:szCs w:val="21"/>
        </w:rPr>
      </w:pPr>
      <w:bookmarkStart w:name="10、其他流动资产" w:id="247"/>
      <w:bookmarkEnd w:id="247"/>
      <w:r>
        <w:rPr/>
      </w:r>
      <w:r>
        <w:rPr>
          <w:rFonts w:ascii="Times New Roman" w:hAnsi="Times New Roman" w:cs="Times New Roman" w:eastAsia="Times New Roman" w:hint="default"/>
          <w:b/>
          <w:bCs/>
          <w:sz w:val="21"/>
          <w:szCs w:val="21"/>
        </w:rPr>
        <w:t>10</w:t>
      </w:r>
      <w:r>
        <w:rPr>
          <w:rFonts w:ascii="宋体" w:hAnsi="宋体" w:cs="宋体" w:eastAsia="宋体" w:hint="default"/>
          <w:b/>
          <w:bCs/>
          <w:sz w:val="21"/>
          <w:szCs w:val="21"/>
        </w:rPr>
        <w:t>、其他流动资产</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11、可供出售金融资产" w:id="248"/>
      <w:bookmarkEnd w:id="248"/>
      <w:r>
        <w:rPr/>
      </w:r>
      <w:r>
        <w:rPr>
          <w:rFonts w:ascii="Times New Roman" w:hAnsi="Times New Roman" w:cs="Times New Roman" w:eastAsia="Times New Roman" w:hint="default"/>
          <w:b/>
          <w:bCs/>
          <w:sz w:val="21"/>
          <w:szCs w:val="21"/>
        </w:rPr>
        <w:t>11</w:t>
      </w:r>
      <w:r>
        <w:rPr>
          <w:rFonts w:ascii="宋体" w:hAnsi="宋体" w:cs="宋体" w:eastAsia="宋体" w:hint="default"/>
          <w:b/>
          <w:bCs/>
          <w:sz w:val="21"/>
          <w:szCs w:val="21"/>
        </w:rPr>
        <w:t>、可供出售金融资产</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可供出售金融资产情况" w:id="249"/>
      <w:bookmarkEnd w:id="24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）可供出售金融资产情况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001"/>
        <w:gridCol w:w="1195"/>
        <w:gridCol w:w="1196"/>
        <w:gridCol w:w="1196"/>
        <w:gridCol w:w="1248"/>
        <w:gridCol w:w="1367"/>
        <w:gridCol w:w="1367"/>
      </w:tblGrid>
      <w:tr>
        <w:trPr>
          <w:trHeight w:val="402" w:hRule="exact"/>
        </w:trPr>
        <w:tc>
          <w:tcPr>
            <w:tcW w:w="200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87"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98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001" w:type="dxa"/>
            <w:vMerge/>
            <w:tcBorders>
              <w:left w:val="single" w:sz="4" w:space="0" w:color="000000"/>
              <w:bottom w:val="single" w:sz="4" w:space="0" w:color="000000"/>
              <w:right w:val="single" w:sz="4" w:space="0" w:color="000000"/>
            </w:tcBorders>
            <w:shd w:val="clear" w:color="auto" w:fill="D2D2D2"/>
          </w:tcPr>
          <w:p>
            <w:pP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2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714"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17,500,000.0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6" w:right="0"/>
              <w:jc w:val="center"/>
              <w:rPr>
                <w:rFonts w:ascii="Times New Roman" w:hAnsi="Times New Roman" w:cs="Times New Roman" w:eastAsia="Times New Roman" w:hint="default"/>
                <w:sz w:val="18"/>
                <w:szCs w:val="18"/>
              </w:rPr>
            </w:pPr>
            <w:r>
              <w:rPr>
                <w:rFonts w:ascii="Times New Roman"/>
                <w:sz w:val="18"/>
              </w:rPr>
              <w:t>17,500,000.00</w:t>
            </w:r>
          </w:p>
        </w:tc>
      </w:tr>
      <w:tr>
        <w:trPr>
          <w:trHeight w:val="714"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63" w:right="0"/>
              <w:jc w:val="left"/>
              <w:rPr>
                <w:rFonts w:ascii="宋体" w:hAnsi="宋体" w:cs="宋体" w:eastAsia="宋体" w:hint="default"/>
                <w:sz w:val="18"/>
                <w:szCs w:val="18"/>
              </w:rPr>
            </w:pPr>
            <w:r>
              <w:rPr>
                <w:rFonts w:ascii="宋体" w:hAnsi="宋体" w:cs="宋体" w:eastAsia="宋体" w:hint="default"/>
                <w:sz w:val="18"/>
                <w:szCs w:val="18"/>
              </w:rPr>
              <w:t>按成本计量的</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17,500,000.0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6" w:right="0"/>
              <w:jc w:val="center"/>
              <w:rPr>
                <w:rFonts w:ascii="Times New Roman" w:hAnsi="Times New Roman" w:cs="Times New Roman" w:eastAsia="Times New Roman" w:hint="default"/>
                <w:sz w:val="18"/>
                <w:szCs w:val="18"/>
              </w:rPr>
            </w:pPr>
            <w:r>
              <w:rPr>
                <w:rFonts w:ascii="Times New Roman"/>
                <w:sz w:val="18"/>
              </w:rPr>
              <w:t>17,500,000.00</w:t>
            </w:r>
          </w:p>
        </w:tc>
      </w:tr>
      <w:tr>
        <w:trPr>
          <w:trHeight w:val="714" w:hRule="exact"/>
        </w:trPr>
        <w:tc>
          <w:tcPr>
            <w:tcW w:w="200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23,000,000.0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24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17,500,000.0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16" w:right="0"/>
              <w:jc w:val="center"/>
              <w:rPr>
                <w:rFonts w:ascii="Times New Roman" w:hAnsi="Times New Roman" w:cs="Times New Roman" w:eastAsia="Times New Roman" w:hint="default"/>
                <w:sz w:val="18"/>
                <w:szCs w:val="18"/>
              </w:rPr>
            </w:pPr>
            <w:r>
              <w:rPr>
                <w:rFonts w:ascii="Times New Roman"/>
                <w:sz w:val="18"/>
              </w:rPr>
              <w:t>17,500,000.00</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期末按公允价值计量的可供出售金融资产" w:id="250"/>
      <w:bookmarkEnd w:id="25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）期末按公允价值计量的可供出售金融资产</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5"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62" w:right="141" w:hanging="721"/>
              <w:jc w:val="left"/>
              <w:rPr>
                <w:rFonts w:ascii="宋体" w:hAnsi="宋体" w:cs="宋体" w:eastAsia="宋体" w:hint="default"/>
                <w:sz w:val="18"/>
                <w:szCs w:val="18"/>
              </w:rPr>
            </w:pPr>
            <w:r>
              <w:rPr>
                <w:rFonts w:ascii="宋体" w:hAnsi="宋体" w:cs="宋体" w:eastAsia="宋体" w:hint="default"/>
                <w:sz w:val="18"/>
                <w:szCs w:val="18"/>
              </w:rPr>
              <w:t>可供出售金融资产分 类</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after="0" w:line="240" w:lineRule="auto"/>
        <w:jc w:val="center"/>
        <w:rPr>
          <w:rFonts w:ascii="宋体" w:hAnsi="宋体" w:cs="宋体" w:eastAsia="宋体" w:hint="default"/>
          <w:sz w:val="18"/>
          <w:szCs w:val="18"/>
        </w:rPr>
        <w:sectPr>
          <w:pgSz w:w="11910" w:h="16840"/>
          <w:pgMar w:header="889" w:footer="1019" w:top="1140" w:bottom="1200" w:left="1020" w:right="0"/>
        </w:sectPr>
      </w:pPr>
    </w:p>
    <w:p>
      <w:pPr>
        <w:spacing w:line="240" w:lineRule="auto" w:before="13"/>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3）期末按成本计量的可供出售金融资产" w:id="251"/>
      <w:bookmarkEnd w:id="25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）期末按成本计量的可供出售金融资产</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863"/>
        <w:gridCol w:w="870"/>
        <w:gridCol w:w="870"/>
        <w:gridCol w:w="870"/>
        <w:gridCol w:w="870"/>
        <w:gridCol w:w="870"/>
        <w:gridCol w:w="870"/>
        <w:gridCol w:w="870"/>
        <w:gridCol w:w="870"/>
        <w:gridCol w:w="870"/>
        <w:gridCol w:w="870"/>
      </w:tblGrid>
      <w:tr>
        <w:trPr>
          <w:trHeight w:val="402" w:hRule="exact"/>
        </w:trPr>
        <w:tc>
          <w:tcPr>
            <w:tcW w:w="86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245" w:right="155" w:hanging="90"/>
              <w:jc w:val="left"/>
              <w:rPr>
                <w:rFonts w:ascii="宋体" w:hAnsi="宋体" w:cs="宋体" w:eastAsia="宋体" w:hint="default"/>
                <w:sz w:val="18"/>
                <w:szCs w:val="18"/>
              </w:rPr>
            </w:pPr>
            <w:r>
              <w:rPr>
                <w:rFonts w:ascii="宋体" w:hAnsi="宋体" w:cs="宋体" w:eastAsia="宋体" w:hint="default"/>
                <w:sz w:val="18"/>
                <w:szCs w:val="18"/>
              </w:rPr>
              <w:t>被投资 单位</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3480"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减值准备</w:t>
            </w:r>
          </w:p>
        </w:tc>
        <w:tc>
          <w:tcPr>
            <w:tcW w:w="870"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2"/>
              <w:ind w:left="159" w:right="158"/>
              <w:jc w:val="center"/>
              <w:rPr>
                <w:rFonts w:ascii="宋体" w:hAnsi="宋体" w:cs="宋体" w:eastAsia="宋体" w:hint="default"/>
                <w:sz w:val="18"/>
                <w:szCs w:val="18"/>
              </w:rPr>
            </w:pPr>
            <w:r>
              <w:rPr>
                <w:rFonts w:ascii="宋体" w:hAnsi="宋体" w:cs="宋体" w:eastAsia="宋体" w:hint="default"/>
                <w:sz w:val="18"/>
                <w:szCs w:val="18"/>
              </w:rPr>
              <w:t>在被投 资单位 持股比 例</w:t>
            </w:r>
          </w:p>
        </w:tc>
        <w:tc>
          <w:tcPr>
            <w:tcW w:w="8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59" w:right="158"/>
              <w:jc w:val="left"/>
              <w:rPr>
                <w:rFonts w:ascii="宋体" w:hAnsi="宋体" w:cs="宋体" w:eastAsia="宋体" w:hint="default"/>
                <w:sz w:val="18"/>
                <w:szCs w:val="18"/>
              </w:rPr>
            </w:pPr>
            <w:r>
              <w:rPr>
                <w:rFonts w:ascii="宋体" w:hAnsi="宋体" w:cs="宋体" w:eastAsia="宋体" w:hint="default"/>
                <w:sz w:val="18"/>
                <w:szCs w:val="18"/>
              </w:rPr>
              <w:t>本期现 金红利</w:t>
            </w:r>
          </w:p>
        </w:tc>
      </w:tr>
      <w:tr>
        <w:trPr>
          <w:trHeight w:val="936" w:hRule="exact"/>
        </w:trPr>
        <w:tc>
          <w:tcPr>
            <w:tcW w:w="863" w:type="dxa"/>
            <w:vMerge/>
            <w:tcBorders>
              <w:left w:val="single" w:sz="4" w:space="0" w:color="000000"/>
              <w:bottom w:val="single" w:sz="4" w:space="0" w:color="000000"/>
              <w:right w:val="single" w:sz="4" w:space="0" w:color="000000"/>
            </w:tcBorders>
            <w:shd w:val="clear" w:color="auto" w:fill="D2D2D2"/>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319" w:lineRule="auto"/>
              <w:ind w:left="339" w:right="158" w:hanging="180"/>
              <w:jc w:val="left"/>
              <w:rPr>
                <w:rFonts w:ascii="宋体" w:hAnsi="宋体" w:cs="宋体" w:eastAsia="宋体" w:hint="default"/>
                <w:sz w:val="18"/>
                <w:szCs w:val="18"/>
              </w:rPr>
            </w:pPr>
            <w:r>
              <w:rPr>
                <w:rFonts w:ascii="宋体" w:hAnsi="宋体" w:cs="宋体" w:eastAsia="宋体" w:hint="default"/>
                <w:sz w:val="18"/>
                <w:szCs w:val="18"/>
              </w:rPr>
              <w:t>本期增 加</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319" w:lineRule="auto"/>
              <w:ind w:left="339" w:right="158" w:hanging="180"/>
              <w:jc w:val="left"/>
              <w:rPr>
                <w:rFonts w:ascii="宋体" w:hAnsi="宋体" w:cs="宋体" w:eastAsia="宋体" w:hint="default"/>
                <w:sz w:val="18"/>
                <w:szCs w:val="18"/>
              </w:rPr>
            </w:pPr>
            <w:r>
              <w:rPr>
                <w:rFonts w:ascii="宋体" w:hAnsi="宋体" w:cs="宋体" w:eastAsia="宋体" w:hint="default"/>
                <w:sz w:val="18"/>
                <w:szCs w:val="18"/>
              </w:rPr>
              <w:t>本期减 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期初</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319" w:lineRule="auto"/>
              <w:ind w:left="339" w:right="158" w:hanging="180"/>
              <w:jc w:val="left"/>
              <w:rPr>
                <w:rFonts w:ascii="宋体" w:hAnsi="宋体" w:cs="宋体" w:eastAsia="宋体" w:hint="default"/>
                <w:sz w:val="18"/>
                <w:szCs w:val="18"/>
              </w:rPr>
            </w:pPr>
            <w:r>
              <w:rPr>
                <w:rFonts w:ascii="宋体" w:hAnsi="宋体" w:cs="宋体" w:eastAsia="宋体" w:hint="default"/>
                <w:sz w:val="18"/>
                <w:szCs w:val="18"/>
              </w:rPr>
              <w:t>本期增 加</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319" w:lineRule="auto"/>
              <w:ind w:left="339" w:right="158" w:hanging="180"/>
              <w:jc w:val="left"/>
              <w:rPr>
                <w:rFonts w:ascii="宋体" w:hAnsi="宋体" w:cs="宋体" w:eastAsia="宋体" w:hint="default"/>
                <w:sz w:val="18"/>
                <w:szCs w:val="18"/>
              </w:rPr>
            </w:pPr>
            <w:r>
              <w:rPr>
                <w:rFonts w:ascii="宋体" w:hAnsi="宋体" w:cs="宋体" w:eastAsia="宋体" w:hint="default"/>
                <w:sz w:val="18"/>
                <w:szCs w:val="18"/>
              </w:rPr>
              <w:t>本期减 少</w:t>
            </w: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24"/>
                <w:szCs w:val="24"/>
              </w:rPr>
            </w:pPr>
          </w:p>
          <w:p>
            <w:pPr>
              <w:pStyle w:val="TableParagraph"/>
              <w:spacing w:line="240" w:lineRule="auto"/>
              <w:ind w:left="249" w:right="0"/>
              <w:jc w:val="left"/>
              <w:rPr>
                <w:rFonts w:ascii="宋体" w:hAnsi="宋体" w:cs="宋体" w:eastAsia="宋体" w:hint="default"/>
                <w:sz w:val="18"/>
                <w:szCs w:val="18"/>
              </w:rPr>
            </w:pPr>
            <w:r>
              <w:rPr>
                <w:rFonts w:ascii="宋体" w:hAnsi="宋体" w:cs="宋体" w:eastAsia="宋体" w:hint="default"/>
                <w:sz w:val="18"/>
                <w:szCs w:val="18"/>
              </w:rPr>
              <w:t>期末</w:t>
            </w:r>
          </w:p>
        </w:tc>
        <w:tc>
          <w:tcPr>
            <w:tcW w:w="870" w:type="dxa"/>
            <w:vMerge/>
            <w:tcBorders>
              <w:left w:val="single" w:sz="4" w:space="0" w:color="000000"/>
              <w:bottom w:val="single" w:sz="4" w:space="0" w:color="000000"/>
              <w:right w:val="single" w:sz="4" w:space="0" w:color="000000"/>
            </w:tcBorders>
            <w:shd w:val="clear" w:color="auto" w:fill="D2D2D2"/>
          </w:tcPr>
          <w:p>
            <w:pPr/>
          </w:p>
        </w:tc>
        <w:tc>
          <w:tcPr>
            <w:tcW w:w="870" w:type="dxa"/>
            <w:vMerge/>
            <w:tcBorders>
              <w:left w:val="single" w:sz="4" w:space="0" w:color="000000"/>
              <w:bottom w:val="single" w:sz="4" w:space="0" w:color="000000"/>
              <w:right w:val="single" w:sz="4" w:space="0" w:color="000000"/>
            </w:tcBorders>
            <w:shd w:val="clear" w:color="auto" w:fill="D2D2D2"/>
          </w:tcPr>
          <w:p>
            <w:pPr/>
          </w:p>
        </w:tc>
      </w:tr>
      <w:tr>
        <w:trPr>
          <w:trHeight w:val="1650"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08"/>
              <w:jc w:val="both"/>
              <w:rPr>
                <w:rFonts w:ascii="宋体" w:hAnsi="宋体" w:cs="宋体" w:eastAsia="宋体" w:hint="default"/>
                <w:sz w:val="18"/>
                <w:szCs w:val="18"/>
              </w:rPr>
            </w:pPr>
            <w:r>
              <w:rPr>
                <w:rFonts w:ascii="宋体" w:hAnsi="宋体" w:cs="宋体" w:eastAsia="宋体" w:hint="default"/>
                <w:sz w:val="18"/>
                <w:szCs w:val="18"/>
              </w:rPr>
              <w:t>淘菜猫 信息发 展股份 有限公 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10,000,0</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10,000,0</w:t>
            </w:r>
          </w:p>
          <w:p>
            <w:pPr>
              <w:pStyle w:val="TableParagraph"/>
              <w:spacing w:line="240" w:lineRule="auto" w:before="105"/>
              <w:ind w:left="353" w:right="0"/>
              <w:jc w:val="left"/>
              <w:rPr>
                <w:rFonts w:ascii="Times New Roman" w:hAnsi="Times New Roman" w:cs="Times New Roman" w:eastAsia="Times New Roman" w:hint="default"/>
                <w:sz w:val="18"/>
                <w:szCs w:val="18"/>
              </w:rPr>
            </w:pPr>
            <w:r>
              <w:rPr>
                <w:rFonts w:ascii="Times New Roman"/>
                <w:sz w:val="18"/>
              </w:rPr>
              <w:t>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12.50%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338"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08"/>
              <w:jc w:val="both"/>
              <w:rPr>
                <w:rFonts w:ascii="宋体" w:hAnsi="宋体" w:cs="宋体" w:eastAsia="宋体" w:hint="default"/>
                <w:sz w:val="18"/>
                <w:szCs w:val="18"/>
              </w:rPr>
            </w:pPr>
            <w:r>
              <w:rPr>
                <w:rFonts w:ascii="宋体" w:hAnsi="宋体" w:cs="宋体" w:eastAsia="宋体" w:hint="default"/>
                <w:sz w:val="18"/>
                <w:szCs w:val="18"/>
              </w:rPr>
              <w:t>杭州华 亭科技 有限公 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3,000,00</w:t>
            </w:r>
          </w:p>
          <w:p>
            <w:pPr>
              <w:pStyle w:val="TableParagraph"/>
              <w:spacing w:line="240" w:lineRule="auto" w:before="105"/>
              <w:ind w:left="443"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1650" w:hRule="exact"/>
        </w:trPr>
        <w:tc>
          <w:tcPr>
            <w:tcW w:w="8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08"/>
              <w:jc w:val="both"/>
              <w:rPr>
                <w:rFonts w:ascii="宋体" w:hAnsi="宋体" w:cs="宋体" w:eastAsia="宋体" w:hint="default"/>
                <w:sz w:val="18"/>
                <w:szCs w:val="18"/>
              </w:rPr>
            </w:pPr>
            <w:r>
              <w:rPr>
                <w:rFonts w:ascii="宋体" w:hAnsi="宋体" w:cs="宋体" w:eastAsia="宋体" w:hint="default"/>
                <w:sz w:val="18"/>
                <w:szCs w:val="18"/>
              </w:rPr>
              <w:t>易批生 鲜信息 发展股 份有限 公司</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4,500,00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5,500,00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10,000,0</w:t>
            </w:r>
          </w:p>
          <w:p>
            <w:pPr>
              <w:pStyle w:val="TableParagraph"/>
              <w:spacing w:line="240" w:lineRule="auto" w:before="105"/>
              <w:ind w:left="353" w:right="0"/>
              <w:jc w:val="left"/>
              <w:rPr>
                <w:rFonts w:ascii="Times New Roman" w:hAnsi="Times New Roman" w:cs="Times New Roman" w:eastAsia="Times New Roman" w:hint="default"/>
                <w:sz w:val="18"/>
                <w:szCs w:val="18"/>
              </w:rPr>
            </w:pPr>
            <w:r>
              <w:rPr>
                <w:rFonts w:ascii="Times New Roman"/>
                <w:sz w:val="18"/>
              </w:rPr>
              <w:t>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16.67%</w:t>
            </w:r>
          </w:p>
        </w:tc>
        <w:tc>
          <w:tcPr>
            <w:tcW w:w="870" w:type="dxa"/>
            <w:tcBorders>
              <w:top w:val="single" w:sz="4" w:space="0" w:color="000000"/>
              <w:left w:val="single" w:sz="4" w:space="0" w:color="000000"/>
              <w:bottom w:val="single" w:sz="4" w:space="0" w:color="000000"/>
              <w:right w:val="single" w:sz="4" w:space="0" w:color="000000"/>
            </w:tcBorders>
          </w:tcPr>
          <w:p>
            <w:pPr/>
          </w:p>
        </w:tc>
      </w:tr>
      <w:tr>
        <w:trPr>
          <w:trHeight w:val="716" w:hRule="exact"/>
        </w:trPr>
        <w:tc>
          <w:tcPr>
            <w:tcW w:w="8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7" w:right="0"/>
              <w:jc w:val="left"/>
              <w:rPr>
                <w:rFonts w:ascii="Times New Roman" w:hAnsi="Times New Roman" w:cs="Times New Roman" w:eastAsia="Times New Roman" w:hint="default"/>
                <w:sz w:val="18"/>
                <w:szCs w:val="18"/>
              </w:rPr>
            </w:pPr>
            <w:r>
              <w:rPr>
                <w:rFonts w:ascii="Times New Roman"/>
                <w:sz w:val="18"/>
              </w:rPr>
              <w:t>17,500,0</w:t>
            </w:r>
          </w:p>
          <w:p>
            <w:pPr>
              <w:pStyle w:val="TableParagraph"/>
              <w:spacing w:line="240" w:lineRule="auto" w:before="105"/>
              <w:ind w:left="352" w:right="0"/>
              <w:jc w:val="left"/>
              <w:rPr>
                <w:rFonts w:ascii="Times New Roman" w:hAnsi="Times New Roman" w:cs="Times New Roman" w:eastAsia="Times New Roman" w:hint="default"/>
                <w:sz w:val="18"/>
                <w:szCs w:val="18"/>
              </w:rPr>
            </w:pPr>
            <w:r>
              <w:rPr>
                <w:rFonts w:ascii="Times New Roman"/>
                <w:sz w:val="18"/>
              </w:rPr>
              <w:t>00.00</w:t>
            </w: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7" w:right="0"/>
              <w:jc w:val="left"/>
              <w:rPr>
                <w:rFonts w:ascii="Times New Roman" w:hAnsi="Times New Roman" w:cs="Times New Roman" w:eastAsia="Times New Roman" w:hint="default"/>
                <w:sz w:val="18"/>
                <w:szCs w:val="18"/>
              </w:rPr>
            </w:pPr>
            <w:r>
              <w:rPr>
                <w:rFonts w:ascii="Times New Roman"/>
                <w:sz w:val="18"/>
              </w:rPr>
              <w:t>5,500,00</w:t>
            </w:r>
          </w:p>
          <w:p>
            <w:pPr>
              <w:pStyle w:val="TableParagraph"/>
              <w:spacing w:line="240" w:lineRule="auto" w:before="105"/>
              <w:ind w:left="442" w:right="0"/>
              <w:jc w:val="left"/>
              <w:rPr>
                <w:rFonts w:ascii="Times New Roman" w:hAnsi="Times New Roman" w:cs="Times New Roman" w:eastAsia="Times New Roman" w:hint="default"/>
                <w:sz w:val="18"/>
                <w:szCs w:val="18"/>
              </w:rPr>
            </w:pPr>
            <w:r>
              <w:rPr>
                <w:rFonts w:ascii="Times New Roman"/>
                <w:sz w:val="18"/>
              </w:rPr>
              <w:t>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7" w:right="0"/>
              <w:jc w:val="left"/>
              <w:rPr>
                <w:rFonts w:ascii="Times New Roman" w:hAnsi="Times New Roman" w:cs="Times New Roman" w:eastAsia="Times New Roman" w:hint="default"/>
                <w:sz w:val="18"/>
                <w:szCs w:val="18"/>
              </w:rPr>
            </w:pPr>
            <w:r>
              <w:rPr>
                <w:rFonts w:ascii="Times New Roman"/>
                <w:sz w:val="18"/>
              </w:rPr>
              <w:t>23,000,0</w:t>
            </w:r>
          </w:p>
          <w:p>
            <w:pPr>
              <w:pStyle w:val="TableParagraph"/>
              <w:spacing w:line="240" w:lineRule="auto" w:before="105"/>
              <w:ind w:left="353" w:right="0"/>
              <w:jc w:val="left"/>
              <w:rPr>
                <w:rFonts w:ascii="Times New Roman" w:hAnsi="Times New Roman" w:cs="Times New Roman" w:eastAsia="Times New Roman" w:hint="default"/>
                <w:sz w:val="18"/>
                <w:szCs w:val="18"/>
              </w:rPr>
            </w:pPr>
            <w:r>
              <w:rPr>
                <w:rFonts w:ascii="Times New Roman"/>
                <w:sz w:val="18"/>
              </w:rPr>
              <w:t>00.00</w:t>
            </w: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tcPr>
          <w:p>
            <w:pPr/>
          </w:p>
        </w:tc>
        <w:tc>
          <w:tcPr>
            <w:tcW w:w="87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87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4）报告期内可供出售金融资产减值的变动情况" w:id="252"/>
      <w:bookmarkEnd w:id="25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）报告期内可供出售金融资产减值的变动情况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862" w:right="141" w:hanging="721"/>
              <w:jc w:val="left"/>
              <w:rPr>
                <w:rFonts w:ascii="宋体" w:hAnsi="宋体" w:cs="宋体" w:eastAsia="宋体" w:hint="default"/>
                <w:sz w:val="18"/>
                <w:szCs w:val="18"/>
              </w:rPr>
            </w:pPr>
            <w:r>
              <w:rPr>
                <w:rFonts w:ascii="宋体" w:hAnsi="宋体" w:cs="宋体" w:eastAsia="宋体" w:hint="default"/>
                <w:sz w:val="18"/>
                <w:szCs w:val="18"/>
              </w:rPr>
              <w:t>可供出售金融资产分 类</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可供出售权益工具</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可供出售债务工具</w:t>
            </w:r>
          </w:p>
        </w:tc>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5）可供出售权益工具期末公允价值严重下跌或非暂时性下跌但未计提减值准备的相关说" w:id="253"/>
      <w:bookmarkEnd w:id="25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）可供出售权益工具期末公允价值严重下跌或非暂时性下跌但未计提减值准备的相关说明</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102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19" w:right="137" w:hanging="180"/>
              <w:jc w:val="left"/>
              <w:rPr>
                <w:rFonts w:ascii="宋体" w:hAnsi="宋体" w:cs="宋体" w:eastAsia="宋体" w:hint="default"/>
                <w:sz w:val="18"/>
                <w:szCs w:val="18"/>
              </w:rPr>
            </w:pPr>
            <w:r>
              <w:rPr>
                <w:rFonts w:ascii="宋体" w:hAnsi="宋体" w:cs="宋体" w:eastAsia="宋体" w:hint="default"/>
                <w:sz w:val="18"/>
                <w:szCs w:val="18"/>
              </w:rPr>
              <w:t>可供出售权益 工具项目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9"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38" w:right="0"/>
              <w:jc w:val="left"/>
              <w:rPr>
                <w:rFonts w:ascii="宋体" w:hAnsi="宋体" w:cs="宋体" w:eastAsia="宋体" w:hint="default"/>
                <w:sz w:val="18"/>
                <w:szCs w:val="18"/>
              </w:rPr>
            </w:pPr>
            <w:r>
              <w:rPr>
                <w:rFonts w:ascii="宋体" w:hAnsi="宋体" w:cs="宋体" w:eastAsia="宋体" w:hint="default"/>
                <w:sz w:val="18"/>
                <w:szCs w:val="18"/>
              </w:rPr>
              <w:t>期末公允价值</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37" w:right="137"/>
              <w:jc w:val="center"/>
              <w:rPr>
                <w:rFonts w:ascii="宋体" w:hAnsi="宋体" w:cs="宋体" w:eastAsia="宋体" w:hint="default"/>
                <w:sz w:val="18"/>
                <w:szCs w:val="18"/>
              </w:rPr>
            </w:pPr>
            <w:r>
              <w:rPr>
                <w:rFonts w:ascii="宋体" w:hAnsi="宋体" w:cs="宋体" w:eastAsia="宋体" w:hint="default"/>
                <w:sz w:val="18"/>
                <w:szCs w:val="18"/>
              </w:rPr>
              <w:t>公允价值相对 于成本的下跌 幅度</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持续下跌时间</w:t>
            </w:r>
          </w:p>
          <w:p>
            <w:pPr>
              <w:pStyle w:val="TableParagraph"/>
              <w:spacing w:line="240" w:lineRule="auto" w:before="77"/>
              <w:ind w:right="0"/>
              <w:jc w:val="center"/>
              <w:rPr>
                <w:rFonts w:ascii="宋体" w:hAnsi="宋体" w:cs="宋体" w:eastAsia="宋体" w:hint="default"/>
                <w:sz w:val="18"/>
                <w:szCs w:val="18"/>
              </w:rPr>
            </w:pPr>
            <w:r>
              <w:rPr>
                <w:rFonts w:ascii="宋体" w:hAnsi="宋体" w:cs="宋体" w:eastAsia="宋体" w:hint="default"/>
                <w:sz w:val="18"/>
                <w:szCs w:val="18"/>
              </w:rPr>
              <w:t>（个月）</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587" w:right="138" w:hanging="451"/>
              <w:jc w:val="left"/>
              <w:rPr>
                <w:rFonts w:ascii="宋体" w:hAnsi="宋体" w:cs="宋体" w:eastAsia="宋体" w:hint="default"/>
                <w:sz w:val="18"/>
                <w:szCs w:val="18"/>
              </w:rPr>
            </w:pPr>
            <w:r>
              <w:rPr>
                <w:rFonts w:ascii="宋体" w:hAnsi="宋体" w:cs="宋体" w:eastAsia="宋体" w:hint="default"/>
                <w:sz w:val="18"/>
                <w:szCs w:val="18"/>
              </w:rPr>
              <w:t>已计提减值金 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587" w:right="137" w:hanging="450"/>
              <w:jc w:val="left"/>
              <w:rPr>
                <w:rFonts w:ascii="宋体" w:hAnsi="宋体" w:cs="宋体" w:eastAsia="宋体" w:hint="default"/>
                <w:sz w:val="18"/>
                <w:szCs w:val="18"/>
              </w:rPr>
            </w:pPr>
            <w:r>
              <w:rPr>
                <w:rFonts w:ascii="宋体" w:hAnsi="宋体" w:cs="宋体" w:eastAsia="宋体" w:hint="default"/>
                <w:sz w:val="18"/>
                <w:szCs w:val="18"/>
              </w:rPr>
              <w:t>未计提减值原 因</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12、持有至到期投资" w:id="254"/>
      <w:bookmarkEnd w:id="254"/>
      <w:r>
        <w:rPr/>
      </w:r>
      <w:r>
        <w:rPr>
          <w:rFonts w:ascii="Times New Roman" w:hAnsi="Times New Roman" w:cs="Times New Roman" w:eastAsia="Times New Roman" w:hint="default"/>
          <w:b/>
          <w:bCs/>
          <w:sz w:val="21"/>
          <w:szCs w:val="21"/>
        </w:rPr>
        <w:t>12</w:t>
      </w:r>
      <w:r>
        <w:rPr>
          <w:rFonts w:ascii="宋体" w:hAnsi="宋体" w:cs="宋体" w:eastAsia="宋体" w:hint="default"/>
          <w:b/>
          <w:bCs/>
          <w:sz w:val="21"/>
          <w:szCs w:val="21"/>
        </w:rPr>
        <w:t>、持有至到期投资</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持有至到期投资情况" w:id="255"/>
      <w:bookmarkEnd w:id="25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）持有至到期投资情况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240" w:lineRule="auto" w:before="3"/>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期末重要的持有至到期投资" w:id="256"/>
      <w:bookmarkEnd w:id="25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）期末重要的持有至到期投资</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0" w:right="0"/>
              <w:jc w:val="left"/>
              <w:rPr>
                <w:rFonts w:ascii="宋体" w:hAnsi="宋体" w:cs="宋体" w:eastAsia="宋体" w:hint="default"/>
                <w:sz w:val="18"/>
                <w:szCs w:val="18"/>
              </w:rPr>
            </w:pPr>
            <w:r>
              <w:rPr>
                <w:rFonts w:ascii="宋体" w:hAnsi="宋体" w:cs="宋体" w:eastAsia="宋体" w:hint="default"/>
                <w:sz w:val="18"/>
                <w:szCs w:val="18"/>
              </w:rPr>
              <w:t>债券项目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面值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票面利率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实际利率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到期日</w:t>
            </w:r>
          </w:p>
        </w:tc>
      </w:tr>
    </w:tbl>
    <w:p>
      <w:pPr>
        <w:spacing w:line="240" w:lineRule="auto" w:before="3"/>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3）本期重分类的持有至到期投资" w:id="257"/>
      <w:bookmarkEnd w:id="25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）本期重分类的持有至到期投资</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13、长期应收款" w:id="258"/>
      <w:bookmarkEnd w:id="258"/>
      <w:r>
        <w:rPr/>
      </w:r>
      <w:r>
        <w:rPr>
          <w:rFonts w:ascii="Times New Roman" w:hAnsi="Times New Roman" w:cs="Times New Roman" w:eastAsia="Times New Roman" w:hint="default"/>
          <w:b/>
          <w:bCs/>
          <w:sz w:val="21"/>
          <w:szCs w:val="21"/>
        </w:rPr>
        <w:t>13</w:t>
      </w:r>
      <w:r>
        <w:rPr>
          <w:rFonts w:ascii="宋体" w:hAnsi="宋体" w:cs="宋体" w:eastAsia="宋体" w:hint="default"/>
          <w:b/>
          <w:bCs/>
          <w:sz w:val="21"/>
          <w:szCs w:val="21"/>
        </w:rPr>
        <w:t>、长期应收款</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长期应收款情况" w:id="259"/>
      <w:bookmarkEnd w:id="25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）长期应收款情况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403"/>
        <w:gridCol w:w="1168"/>
        <w:gridCol w:w="1167"/>
        <w:gridCol w:w="1168"/>
        <w:gridCol w:w="1166"/>
        <w:gridCol w:w="1169"/>
        <w:gridCol w:w="1164"/>
        <w:gridCol w:w="1165"/>
      </w:tblGrid>
      <w:tr>
        <w:trPr>
          <w:trHeight w:val="402" w:hRule="exact"/>
        </w:trPr>
        <w:tc>
          <w:tcPr>
            <w:tcW w:w="140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5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00"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16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27" w:right="0"/>
              <w:jc w:val="left"/>
              <w:rPr>
                <w:rFonts w:ascii="宋体" w:hAnsi="宋体" w:cs="宋体" w:eastAsia="宋体" w:hint="default"/>
                <w:sz w:val="18"/>
                <w:szCs w:val="18"/>
              </w:rPr>
            </w:pPr>
            <w:r>
              <w:rPr>
                <w:rFonts w:ascii="宋体" w:hAnsi="宋体" w:cs="宋体" w:eastAsia="宋体" w:hint="default"/>
                <w:sz w:val="18"/>
                <w:szCs w:val="18"/>
              </w:rPr>
              <w:t>折现率区间</w:t>
            </w:r>
          </w:p>
        </w:tc>
      </w:tr>
      <w:tr>
        <w:trPr>
          <w:trHeight w:val="402" w:hRule="exact"/>
        </w:trPr>
        <w:tc>
          <w:tcPr>
            <w:tcW w:w="1403" w:type="dxa"/>
            <w:vMerge/>
            <w:tcBorders>
              <w:left w:val="single" w:sz="4" w:space="0" w:color="000000"/>
              <w:bottom w:val="single" w:sz="4" w:space="0" w:color="000000"/>
              <w:right w:val="single" w:sz="4" w:space="0" w:color="000000"/>
            </w:tcBorders>
            <w:shd w:val="clear" w:color="auto" w:fill="D2D2D2"/>
          </w:tcPr>
          <w:p>
            <w:pPr/>
          </w:p>
        </w:tc>
        <w:tc>
          <w:tcPr>
            <w:tcW w:w="1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1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65"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03" w:right="208"/>
              <w:jc w:val="left"/>
              <w:rPr>
                <w:rFonts w:ascii="宋体" w:hAnsi="宋体" w:cs="宋体" w:eastAsia="宋体" w:hint="default"/>
                <w:sz w:val="18"/>
                <w:szCs w:val="18"/>
              </w:rPr>
            </w:pPr>
            <w:r>
              <w:rPr>
                <w:rFonts w:ascii="宋体" w:hAnsi="宋体" w:cs="宋体" w:eastAsia="宋体" w:hint="default"/>
                <w:sz w:val="18"/>
                <w:szCs w:val="18"/>
              </w:rPr>
              <w:t>分期收款销售 商品</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15,773,077.6</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788,653.88</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14,984,423.7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4</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0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15,773,077.6</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2</w:t>
            </w:r>
          </w:p>
        </w:tc>
        <w:tc>
          <w:tcPr>
            <w:tcW w:w="11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788,653.88</w:t>
            </w:r>
          </w:p>
        </w:tc>
        <w:tc>
          <w:tcPr>
            <w:tcW w:w="11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14,984,423.7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4</w:t>
            </w:r>
          </w:p>
        </w:tc>
        <w:tc>
          <w:tcPr>
            <w:tcW w:w="1166" w:type="dxa"/>
            <w:tcBorders>
              <w:top w:val="single" w:sz="4" w:space="0" w:color="000000"/>
              <w:left w:val="single" w:sz="4" w:space="0" w:color="000000"/>
              <w:bottom w:val="single" w:sz="4" w:space="0" w:color="000000"/>
              <w:right w:val="single" w:sz="4" w:space="0" w:color="000000"/>
            </w:tcBorders>
          </w:tcPr>
          <w:p>
            <w:pPr/>
          </w:p>
        </w:tc>
        <w:tc>
          <w:tcPr>
            <w:tcW w:w="1169" w:type="dxa"/>
            <w:tcBorders>
              <w:top w:val="single" w:sz="4" w:space="0" w:color="000000"/>
              <w:left w:val="single" w:sz="4" w:space="0" w:color="000000"/>
              <w:bottom w:val="single" w:sz="4" w:space="0" w:color="000000"/>
              <w:right w:val="single" w:sz="4" w:space="0" w:color="000000"/>
            </w:tcBorders>
          </w:tcPr>
          <w:p>
            <w:pPr/>
          </w:p>
        </w:tc>
        <w:tc>
          <w:tcPr>
            <w:tcW w:w="1164" w:type="dxa"/>
            <w:tcBorders>
              <w:top w:val="single" w:sz="4" w:space="0" w:color="000000"/>
              <w:left w:val="single" w:sz="4" w:space="0" w:color="000000"/>
              <w:bottom w:val="single" w:sz="4" w:space="0" w:color="000000"/>
              <w:right w:val="single" w:sz="4" w:space="0" w:color="000000"/>
            </w:tcBorders>
          </w:tcPr>
          <w:p>
            <w:pPr/>
          </w:p>
        </w:tc>
        <w:tc>
          <w:tcPr>
            <w:tcW w:w="11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因金融资产转移而终止确认的长期应收款" w:id="260"/>
      <w:bookmarkEnd w:id="26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）因金融资产转移而终止确认的长期应收款</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3）转移长期应收款且继续涉入形成的资产、负债金额" w:id="261"/>
      <w:bookmarkEnd w:id="26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）转移长期应收款且继续涉入形成的资产、负债金额</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14、长期股权投资" w:id="262"/>
      <w:bookmarkEnd w:id="262"/>
      <w:r>
        <w:rPr/>
      </w:r>
      <w:r>
        <w:rPr>
          <w:rFonts w:ascii="Times New Roman" w:hAnsi="Times New Roman" w:cs="Times New Roman" w:eastAsia="Times New Roman" w:hint="default"/>
          <w:b/>
          <w:bCs/>
          <w:sz w:val="21"/>
          <w:szCs w:val="21"/>
        </w:rPr>
        <w:t>14</w:t>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7"/>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316" w:lineRule="auto"/>
              <w:ind w:left="212" w:right="123" w:hanging="90"/>
              <w:jc w:val="left"/>
              <w:rPr>
                <w:rFonts w:ascii="宋体" w:hAnsi="宋体" w:cs="宋体" w:eastAsia="宋体" w:hint="default"/>
                <w:sz w:val="18"/>
                <w:szCs w:val="18"/>
              </w:rPr>
            </w:pPr>
            <w:r>
              <w:rPr>
                <w:rFonts w:ascii="宋体" w:hAnsi="宋体" w:cs="宋体" w:eastAsia="宋体" w:hint="default"/>
                <w:sz w:val="18"/>
                <w:szCs w:val="18"/>
              </w:rPr>
              <w:t>被投资 单位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4"/>
              <w:ind w:right="0"/>
              <w:jc w:val="left"/>
              <w:rPr>
                <w:rFonts w:ascii="宋体" w:hAnsi="宋体" w:cs="宋体" w:eastAsia="宋体" w:hint="default"/>
                <w:sz w:val="13"/>
                <w:szCs w:val="13"/>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9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123" w:right="122"/>
              <w:jc w:val="both"/>
              <w:rPr>
                <w:rFonts w:ascii="宋体" w:hAnsi="宋体" w:cs="宋体" w:eastAsia="宋体" w:hint="default"/>
                <w:sz w:val="18"/>
                <w:szCs w:val="18"/>
              </w:rPr>
            </w:pPr>
            <w:r>
              <w:rPr>
                <w:rFonts w:ascii="宋体" w:hAnsi="宋体" w:cs="宋体" w:eastAsia="宋体" w:hint="default"/>
                <w:sz w:val="18"/>
                <w:szCs w:val="18"/>
              </w:rPr>
              <w:t>减值准 备期末 余额</w:t>
            </w:r>
          </w:p>
        </w:tc>
      </w:tr>
      <w:tr>
        <w:trPr>
          <w:trHeight w:val="1026"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02" w:right="122" w:hanging="180"/>
              <w:jc w:val="left"/>
              <w:rPr>
                <w:rFonts w:ascii="宋体" w:hAnsi="宋体" w:cs="宋体" w:eastAsia="宋体" w:hint="default"/>
                <w:sz w:val="18"/>
                <w:szCs w:val="18"/>
              </w:rPr>
            </w:pPr>
            <w:r>
              <w:rPr>
                <w:rFonts w:ascii="宋体" w:hAnsi="宋体" w:cs="宋体" w:eastAsia="宋体" w:hint="default"/>
                <w:sz w:val="18"/>
                <w:szCs w:val="18"/>
              </w:rPr>
              <w:t>追加投 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减少投 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1"/>
              <w:ind w:left="123" w:right="123"/>
              <w:jc w:val="both"/>
              <w:rPr>
                <w:rFonts w:ascii="宋体" w:hAnsi="宋体" w:cs="宋体" w:eastAsia="宋体" w:hint="default"/>
                <w:sz w:val="18"/>
                <w:szCs w:val="18"/>
              </w:rPr>
            </w:pPr>
            <w:r>
              <w:rPr>
                <w:rFonts w:ascii="宋体" w:hAnsi="宋体" w:cs="宋体" w:eastAsia="宋体" w:hint="default"/>
                <w:sz w:val="18"/>
                <w:szCs w:val="18"/>
              </w:rPr>
              <w:t>权益法 下确认 的投资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23" w:right="122"/>
              <w:jc w:val="both"/>
              <w:rPr>
                <w:rFonts w:ascii="宋体" w:hAnsi="宋体" w:cs="宋体" w:eastAsia="宋体" w:hint="default"/>
                <w:sz w:val="18"/>
                <w:szCs w:val="18"/>
              </w:rPr>
            </w:pPr>
            <w:r>
              <w:rPr>
                <w:rFonts w:ascii="宋体" w:hAnsi="宋体" w:cs="宋体" w:eastAsia="宋体" w:hint="default"/>
                <w:sz w:val="18"/>
                <w:szCs w:val="18"/>
              </w:rPr>
              <w:t>其他综 合收益 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23" w:right="122"/>
              <w:jc w:val="left"/>
              <w:rPr>
                <w:rFonts w:ascii="宋体" w:hAnsi="宋体" w:cs="宋体" w:eastAsia="宋体" w:hint="default"/>
                <w:sz w:val="18"/>
                <w:szCs w:val="18"/>
              </w:rPr>
            </w:pPr>
            <w:r>
              <w:rPr>
                <w:rFonts w:ascii="宋体" w:hAnsi="宋体" w:cs="宋体" w:eastAsia="宋体" w:hint="default"/>
                <w:sz w:val="18"/>
                <w:szCs w:val="18"/>
              </w:rPr>
              <w:t>其他权 益变动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1"/>
              <w:ind w:left="123" w:right="122"/>
              <w:jc w:val="both"/>
              <w:rPr>
                <w:rFonts w:ascii="宋体" w:hAnsi="宋体" w:cs="宋体" w:eastAsia="宋体" w:hint="default"/>
                <w:sz w:val="18"/>
                <w:szCs w:val="18"/>
              </w:rPr>
            </w:pPr>
            <w:r>
              <w:rPr>
                <w:rFonts w:ascii="宋体" w:hAnsi="宋体" w:cs="宋体" w:eastAsia="宋体" w:hint="default"/>
                <w:sz w:val="18"/>
                <w:szCs w:val="18"/>
              </w:rPr>
              <w:t>宣告发 放现金 股利或</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23" w:right="123"/>
              <w:jc w:val="left"/>
              <w:rPr>
                <w:rFonts w:ascii="宋体" w:hAnsi="宋体" w:cs="宋体" w:eastAsia="宋体" w:hint="default"/>
                <w:sz w:val="18"/>
                <w:szCs w:val="18"/>
              </w:rPr>
            </w:pPr>
            <w:r>
              <w:rPr>
                <w:rFonts w:ascii="宋体" w:hAnsi="宋体" w:cs="宋体" w:eastAsia="宋体" w:hint="default"/>
                <w:sz w:val="18"/>
                <w:szCs w:val="18"/>
              </w:rPr>
              <w:t>计提减 值准备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vMerge/>
            <w:tcBorders>
              <w:left w:val="single" w:sz="4" w:space="0" w:color="000000"/>
              <w:bottom w:val="single" w:sz="4" w:space="0" w:color="000000"/>
              <w:right w:val="single" w:sz="4" w:space="0" w:color="000000"/>
            </w:tcBorders>
            <w:shd w:val="clear" w:color="auto" w:fill="D2D2D2"/>
          </w:tcPr>
          <w:p>
            <w:pPr/>
          </w:p>
        </w:tc>
      </w:tr>
    </w:tbl>
    <w:p>
      <w:pPr>
        <w:spacing w:after="0"/>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362" w:hRule="exact"/>
        </w:trPr>
        <w:tc>
          <w:tcPr>
            <w:tcW w:w="796"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13" w:right="0"/>
              <w:jc w:val="left"/>
              <w:rPr>
                <w:rFonts w:ascii="宋体" w:hAnsi="宋体" w:cs="宋体" w:eastAsia="宋体" w:hint="default"/>
                <w:sz w:val="18"/>
                <w:szCs w:val="18"/>
              </w:rPr>
            </w:pPr>
            <w:r>
              <w:rPr>
                <w:rFonts w:ascii="宋体" w:hAnsi="宋体" w:cs="宋体" w:eastAsia="宋体" w:hint="default"/>
                <w:sz w:val="18"/>
                <w:szCs w:val="18"/>
              </w:rPr>
              <w:t>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213" w:right="0"/>
              <w:jc w:val="left"/>
              <w:rPr>
                <w:rFonts w:ascii="宋体" w:hAnsi="宋体" w:cs="宋体" w:eastAsia="宋体" w:hint="default"/>
                <w:sz w:val="18"/>
                <w:szCs w:val="18"/>
              </w:rPr>
            </w:pPr>
            <w:r>
              <w:rPr>
                <w:rFonts w:ascii="宋体" w:hAnsi="宋体" w:cs="宋体" w:eastAsia="宋体" w:hint="default"/>
                <w:sz w:val="18"/>
                <w:szCs w:val="18"/>
              </w:rPr>
              <w:t>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15、投资性房地产" w:id="263"/>
      <w:bookmarkEnd w:id="263"/>
      <w:r>
        <w:rPr/>
      </w:r>
      <w:r>
        <w:rPr>
          <w:rFonts w:ascii="Times New Roman" w:hAnsi="Times New Roman" w:cs="Times New Roman" w:eastAsia="Times New Roman" w:hint="default"/>
          <w:b/>
          <w:bCs/>
          <w:sz w:val="21"/>
          <w:szCs w:val="21"/>
        </w:rPr>
        <w:t>15</w:t>
      </w:r>
      <w:r>
        <w:rPr>
          <w:rFonts w:ascii="宋体" w:hAnsi="宋体" w:cs="宋体" w:eastAsia="宋体" w:hint="default"/>
          <w:b/>
          <w:bCs/>
          <w:sz w:val="21"/>
          <w:szCs w:val="21"/>
        </w:rPr>
        <w:t>、投资性房地产</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采用成本计量模式的投资性房地产" w:id="264"/>
      <w:bookmarkEnd w:id="26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）采用成本计量模式的投资性房地产</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采用公允价值计量模式的投资性房地产" w:id="265"/>
      <w:bookmarkEnd w:id="26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）采用公允价值计量模式的投资性房地产</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未办妥产权证书的投资性房地产情况" w:id="266"/>
      <w:bookmarkEnd w:id="26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）未办妥产权证书的投资性房地产情况</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88"/>
        <w:gridCol w:w="3191"/>
        <w:gridCol w:w="3191"/>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未办妥产权证书原因</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16、固定资产" w:id="267"/>
      <w:bookmarkEnd w:id="267"/>
      <w:r>
        <w:rPr/>
      </w:r>
      <w:r>
        <w:rPr>
          <w:rFonts w:ascii="Times New Roman" w:hAnsi="Times New Roman" w:cs="Times New Roman" w:eastAsia="Times New Roman" w:hint="default"/>
          <w:b/>
          <w:bCs/>
          <w:sz w:val="21"/>
          <w:szCs w:val="21"/>
        </w:rPr>
        <w:t>16</w:t>
      </w:r>
      <w:r>
        <w:rPr>
          <w:rFonts w:ascii="宋体" w:hAnsi="宋体" w:cs="宋体" w:eastAsia="宋体" w:hint="default"/>
          <w:b/>
          <w:bCs/>
          <w:sz w:val="21"/>
          <w:szCs w:val="21"/>
        </w:rPr>
        <w:t>、固定资产</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95"/>
        <w:gridCol w:w="3188"/>
        <w:gridCol w:w="3188"/>
      </w:tblGrid>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16,417,086.39</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20,469,389.83</w:t>
            </w:r>
          </w:p>
        </w:tc>
      </w:tr>
      <w:tr>
        <w:trPr>
          <w:trHeight w:val="402" w:hRule="exact"/>
        </w:trPr>
        <w:tc>
          <w:tcPr>
            <w:tcW w:w="3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16,417,086.39</w:t>
            </w:r>
          </w:p>
        </w:tc>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20,469,389.83</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1）固定资产情况" w:id="268"/>
      <w:bookmarkEnd w:id="26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）固定资产情况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411"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5,482,602.13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41,034,603.54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46,517,205.67</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3,307,146.69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43,500.00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1,532,687.81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4,883,334.50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43,500.00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1,532,687.81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1,576,187.81</w:t>
            </w:r>
          </w:p>
        </w:tc>
      </w:tr>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5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）在建工程转</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3,307,146.69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3,307,146.69</w:t>
            </w:r>
          </w:p>
        </w:tc>
      </w:tr>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57"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）企业合并增</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加</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1,595,887.05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1,595,887.05</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1"/>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）处置或报废</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1,595,887.05</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1,595,887.05</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3,307,146.69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3,930,215.08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42,567,291.35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49,804,653.12</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3,404,308.45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22,643,507.39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26,047,815.84</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618,437.44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8,230,992.15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8,849,429.59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618,437.44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8,230,992.15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8,849,429.59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1,509,678.70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1,509,678.70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1"/>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）处置或报废</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1,509,678.70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1,509,678.70</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2,513,067.19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30,874,499.54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33,387,566.73</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本期增加金额</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本期减少金额</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01"/>
              <w:jc w:val="right"/>
              <w:rPr>
                <w:rFonts w:ascii="宋体" w:hAnsi="宋体" w:cs="宋体" w:eastAsia="宋体"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1</w:t>
            </w:r>
            <w:r>
              <w:rPr>
                <w:rFonts w:ascii="宋体" w:hAnsi="宋体" w:cs="宋体" w:eastAsia="宋体" w:hint="default"/>
                <w:spacing w:val="-1"/>
                <w:sz w:val="18"/>
                <w:szCs w:val="18"/>
              </w:rPr>
              <w:t>）处置或报废</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期末账面价值</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3,307,146.69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1,417,147.89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11,692,791.81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16,417,086.39</w:t>
            </w:r>
          </w:p>
        </w:tc>
      </w:tr>
      <w:tr>
        <w:trPr>
          <w:trHeight w:val="402"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8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期初账面价值</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2,078,293.68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18,391,096.15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20,469,389.83</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暂时闲置的固定资产情况" w:id="269"/>
      <w:bookmarkEnd w:id="26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）暂时闲置的固定资产情况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备注</w:t>
            </w:r>
          </w:p>
        </w:tc>
      </w:tr>
    </w:tbl>
    <w:p>
      <w:pPr>
        <w:spacing w:line="240" w:lineRule="auto" w:before="3"/>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3）通过融资租赁租入的固定资产情况" w:id="270"/>
      <w:bookmarkEnd w:id="27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）通过融资租赁租入的固定资产情况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账面原值</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累计折旧</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after="0" w:line="240" w:lineRule="auto"/>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3"/>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4）通过经营租赁租出的固定资产" w:id="271"/>
      <w:bookmarkEnd w:id="27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）通过经营租赁租出的固定资产</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期末账面价值</w:t>
            </w:r>
          </w:p>
        </w:tc>
      </w:tr>
    </w:tbl>
    <w:p>
      <w:pPr>
        <w:spacing w:line="240" w:lineRule="auto" w:before="3"/>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5）未办妥产权证书的固定资产情况" w:id="272"/>
      <w:bookmarkEnd w:id="27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）未办妥产权证书的固定资产情况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9"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6）固定资产清理" w:id="273"/>
      <w:bookmarkEnd w:id="27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）固定资产清理</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56" w:lineRule="auto" w:before="89"/>
        <w:ind w:left="114" w:right="1144" w:firstLine="0"/>
        <w:jc w:val="left"/>
        <w:rPr>
          <w:rFonts w:ascii="宋体" w:hAnsi="宋体" w:cs="宋体" w:eastAsia="宋体" w:hint="default"/>
          <w:sz w:val="21"/>
          <w:szCs w:val="21"/>
        </w:rPr>
      </w:pPr>
      <w:r>
        <w:rPr>
          <w:rFonts w:ascii="宋体" w:hAnsi="宋体" w:cs="宋体" w:eastAsia="宋体" w:hint="default"/>
          <w:sz w:val="21"/>
          <w:szCs w:val="21"/>
        </w:rPr>
        <w:t>期末用于抵押或担保的固定资产账面价值为</w:t>
      </w:r>
      <w:r>
        <w:rPr>
          <w:rFonts w:ascii="Times New Roman" w:hAnsi="Times New Roman" w:cs="Times New Roman" w:eastAsia="Times New Roman" w:hint="default"/>
          <w:sz w:val="21"/>
          <w:szCs w:val="21"/>
        </w:rPr>
        <w:t>3,307,146.69</w:t>
      </w:r>
      <w:r>
        <w:rPr>
          <w:rFonts w:ascii="宋体" w:hAnsi="宋体" w:cs="宋体" w:eastAsia="宋体" w:hint="default"/>
          <w:sz w:val="21"/>
          <w:szCs w:val="21"/>
        </w:rPr>
        <w:t>元，详见“附注十四、承诺及或有事项”</w:t>
      </w:r>
      <w:r>
        <w:rPr>
          <w:rFonts w:ascii="Times New Roman" w:hAnsi="Times New Roman" w:cs="Times New Roman" w:eastAsia="Times New Roman" w:hint="default"/>
          <w:sz w:val="21"/>
          <w:szCs w:val="21"/>
        </w:rPr>
        <w:t>1</w:t>
      </w:r>
      <w:r>
        <w:rPr>
          <w:rFonts w:ascii="宋体" w:hAnsi="宋体" w:cs="宋体" w:eastAsia="宋体" w:hint="default"/>
          <w:sz w:val="21"/>
          <w:szCs w:val="21"/>
        </w:rPr>
        <w:t>、重要 承诺事项。</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spacing w:before="0"/>
        <w:ind w:left="114" w:right="0" w:firstLine="0"/>
        <w:jc w:val="left"/>
        <w:rPr>
          <w:rFonts w:ascii="宋体" w:hAnsi="宋体" w:cs="宋体" w:eastAsia="宋体" w:hint="default"/>
          <w:sz w:val="21"/>
          <w:szCs w:val="21"/>
        </w:rPr>
      </w:pPr>
      <w:bookmarkStart w:name="17、在建工程" w:id="274"/>
      <w:bookmarkEnd w:id="274"/>
      <w:r>
        <w:rPr/>
      </w:r>
      <w:r>
        <w:rPr>
          <w:rFonts w:ascii="Times New Roman" w:hAnsi="Times New Roman" w:cs="Times New Roman" w:eastAsia="Times New Roman" w:hint="default"/>
          <w:b/>
          <w:bCs/>
          <w:sz w:val="21"/>
          <w:szCs w:val="21"/>
        </w:rPr>
        <w:t>17</w:t>
      </w:r>
      <w:r>
        <w:rPr>
          <w:rFonts w:ascii="宋体" w:hAnsi="宋体" w:cs="宋体" w:eastAsia="宋体" w:hint="default"/>
          <w:b/>
          <w:bCs/>
          <w:sz w:val="21"/>
          <w:szCs w:val="21"/>
        </w:rPr>
        <w:t>、在建工程</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895"/>
        <w:gridCol w:w="3815"/>
        <w:gridCol w:w="3858"/>
      </w:tblGrid>
      <w:tr>
        <w:trPr>
          <w:trHeight w:val="402" w:hRule="exact"/>
        </w:trPr>
        <w:tc>
          <w:tcPr>
            <w:tcW w:w="18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5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8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274,414,892.58</w:t>
            </w:r>
          </w:p>
        </w:tc>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230,643,116.75</w:t>
            </w:r>
          </w:p>
        </w:tc>
      </w:tr>
      <w:tr>
        <w:trPr>
          <w:trHeight w:val="402" w:hRule="exact"/>
        </w:trPr>
        <w:tc>
          <w:tcPr>
            <w:tcW w:w="18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8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274,414,892.58</w:t>
            </w:r>
          </w:p>
        </w:tc>
        <w:tc>
          <w:tcPr>
            <w:tcW w:w="385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230,643,116.75</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1）在建工程情况" w:id="275"/>
      <w:bookmarkEnd w:id="27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）在建工程情况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1" w:hRule="exact"/>
        </w:trPr>
        <w:tc>
          <w:tcPr>
            <w:tcW w:w="1368" w:type="dxa"/>
            <w:vMerge/>
            <w:tcBorders>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17"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光典厂房</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264,264,548.88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6" w:right="0"/>
              <w:jc w:val="center"/>
              <w:rPr>
                <w:rFonts w:ascii="Times New Roman" w:hAnsi="Times New Roman" w:cs="Times New Roman" w:eastAsia="Times New Roman" w:hint="default"/>
                <w:sz w:val="18"/>
                <w:szCs w:val="18"/>
              </w:rPr>
            </w:pPr>
            <w:r>
              <w:rPr>
                <w:rFonts w:ascii="Times New Roman"/>
                <w:sz w:val="18"/>
              </w:rPr>
              <w:t>264,264,548.88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230,603,387.02</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230,603,387.02</w:t>
            </w:r>
          </w:p>
        </w:tc>
      </w:tr>
      <w:tr>
        <w:trPr>
          <w:trHeight w:val="714"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73"/>
              <w:jc w:val="left"/>
              <w:rPr>
                <w:rFonts w:ascii="宋体" w:hAnsi="宋体" w:cs="宋体" w:eastAsia="宋体" w:hint="default"/>
                <w:sz w:val="18"/>
                <w:szCs w:val="18"/>
              </w:rPr>
            </w:pPr>
            <w:r>
              <w:rPr>
                <w:rFonts w:ascii="宋体" w:hAnsi="宋体" w:cs="宋体" w:eastAsia="宋体" w:hint="default"/>
                <w:sz w:val="18"/>
                <w:szCs w:val="18"/>
              </w:rPr>
              <w:t>消控中心装修 费</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39,729.73</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39,729.73</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厂房装修费</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10,150,343.70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6" w:right="0"/>
              <w:jc w:val="center"/>
              <w:rPr>
                <w:rFonts w:ascii="Times New Roman" w:hAnsi="Times New Roman" w:cs="Times New Roman" w:eastAsia="Times New Roman" w:hint="default"/>
                <w:sz w:val="18"/>
                <w:szCs w:val="18"/>
              </w:rPr>
            </w:pPr>
            <w:r>
              <w:rPr>
                <w:rFonts w:ascii="Times New Roman"/>
                <w:sz w:val="18"/>
              </w:rPr>
              <w:t>10,150,343.70</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274,414,892.58</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26" w:right="0"/>
              <w:jc w:val="center"/>
              <w:rPr>
                <w:rFonts w:ascii="Times New Roman" w:hAnsi="Times New Roman" w:cs="Times New Roman" w:eastAsia="Times New Roman" w:hint="default"/>
                <w:sz w:val="18"/>
                <w:szCs w:val="18"/>
              </w:rPr>
            </w:pPr>
            <w:r>
              <w:rPr>
                <w:rFonts w:ascii="Times New Roman"/>
                <w:sz w:val="18"/>
              </w:rPr>
              <w:t>274,414,892.58</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230,643,116.75</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230,643,116.75</w:t>
            </w:r>
          </w:p>
        </w:tc>
      </w:tr>
    </w:tbl>
    <w:p>
      <w:pPr>
        <w:spacing w:after="0" w:line="240" w:lineRule="auto"/>
        <w:jc w:val="right"/>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13"/>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2）重要在建工程项目本期变动情况" w:id="276"/>
      <w:bookmarkEnd w:id="27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）重要在建工程项目本期变动情况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32"/>
        <w:gridCol w:w="736"/>
        <w:gridCol w:w="737"/>
        <w:gridCol w:w="736"/>
        <w:gridCol w:w="736"/>
        <w:gridCol w:w="737"/>
        <w:gridCol w:w="736"/>
        <w:gridCol w:w="736"/>
        <w:gridCol w:w="737"/>
        <w:gridCol w:w="736"/>
        <w:gridCol w:w="736"/>
        <w:gridCol w:w="737"/>
        <w:gridCol w:w="736"/>
      </w:tblGrid>
      <w:tr>
        <w:trPr>
          <w:trHeight w:val="1962"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1" w:right="179"/>
              <w:jc w:val="left"/>
              <w:rPr>
                <w:rFonts w:ascii="宋体" w:hAnsi="宋体" w:cs="宋体" w:eastAsia="宋体" w:hint="default"/>
                <w:sz w:val="18"/>
                <w:szCs w:val="18"/>
              </w:rPr>
            </w:pPr>
            <w:r>
              <w:rPr>
                <w:rFonts w:ascii="宋体" w:hAnsi="宋体" w:cs="宋体" w:eastAsia="宋体" w:hint="default"/>
                <w:sz w:val="18"/>
                <w:szCs w:val="18"/>
              </w:rPr>
              <w:t>项目 名称</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272" w:right="181" w:hanging="90"/>
              <w:jc w:val="left"/>
              <w:rPr>
                <w:rFonts w:ascii="宋体" w:hAnsi="宋体" w:cs="宋体" w:eastAsia="宋体" w:hint="default"/>
                <w:sz w:val="18"/>
                <w:szCs w:val="18"/>
              </w:rPr>
            </w:pPr>
            <w:r>
              <w:rPr>
                <w:rFonts w:ascii="宋体" w:hAnsi="宋体" w:cs="宋体" w:eastAsia="宋体" w:hint="default"/>
                <w:sz w:val="18"/>
                <w:szCs w:val="18"/>
              </w:rPr>
              <w:t>预算 数</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2"/>
              <w:jc w:val="left"/>
              <w:rPr>
                <w:rFonts w:ascii="宋体" w:hAnsi="宋体" w:cs="宋体" w:eastAsia="宋体" w:hint="default"/>
                <w:sz w:val="18"/>
                <w:szCs w:val="18"/>
              </w:rPr>
            </w:pPr>
            <w:r>
              <w:rPr>
                <w:rFonts w:ascii="宋体" w:hAnsi="宋体" w:cs="宋体" w:eastAsia="宋体" w:hint="default"/>
                <w:sz w:val="18"/>
                <w:szCs w:val="18"/>
              </w:rPr>
              <w:t>期初 余额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182" w:right="181"/>
              <w:jc w:val="both"/>
              <w:rPr>
                <w:rFonts w:ascii="宋体" w:hAnsi="宋体" w:cs="宋体" w:eastAsia="宋体" w:hint="default"/>
                <w:sz w:val="18"/>
                <w:szCs w:val="18"/>
              </w:rPr>
            </w:pPr>
            <w:r>
              <w:rPr>
                <w:rFonts w:ascii="宋体" w:hAnsi="宋体" w:cs="宋体" w:eastAsia="宋体" w:hint="default"/>
                <w:sz w:val="18"/>
                <w:szCs w:val="18"/>
              </w:rPr>
              <w:t>本期 增加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82" w:right="181"/>
              <w:jc w:val="both"/>
              <w:rPr>
                <w:rFonts w:ascii="宋体" w:hAnsi="宋体" w:cs="宋体" w:eastAsia="宋体" w:hint="default"/>
                <w:sz w:val="18"/>
                <w:szCs w:val="18"/>
              </w:rPr>
            </w:pPr>
            <w:r>
              <w:rPr>
                <w:rFonts w:ascii="宋体" w:hAnsi="宋体" w:cs="宋体" w:eastAsia="宋体" w:hint="default"/>
                <w:sz w:val="18"/>
                <w:szCs w:val="18"/>
              </w:rPr>
              <w:t>本期 转入 固定 资产 金额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82" w:right="182"/>
              <w:jc w:val="both"/>
              <w:rPr>
                <w:rFonts w:ascii="宋体" w:hAnsi="宋体" w:cs="宋体" w:eastAsia="宋体" w:hint="default"/>
                <w:sz w:val="18"/>
                <w:szCs w:val="18"/>
              </w:rPr>
            </w:pPr>
            <w:r>
              <w:rPr>
                <w:rFonts w:ascii="宋体" w:hAnsi="宋体" w:cs="宋体" w:eastAsia="宋体" w:hint="default"/>
                <w:sz w:val="18"/>
                <w:szCs w:val="18"/>
              </w:rPr>
              <w:t>本期 其他 减少 金额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1"/>
              <w:jc w:val="left"/>
              <w:rPr>
                <w:rFonts w:ascii="宋体" w:hAnsi="宋体" w:cs="宋体" w:eastAsia="宋体" w:hint="default"/>
                <w:sz w:val="18"/>
                <w:szCs w:val="18"/>
              </w:rPr>
            </w:pPr>
            <w:r>
              <w:rPr>
                <w:rFonts w:ascii="宋体" w:hAnsi="宋体" w:cs="宋体" w:eastAsia="宋体" w:hint="default"/>
                <w:sz w:val="18"/>
                <w:szCs w:val="18"/>
              </w:rPr>
              <w:t>期末 余额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82" w:right="181"/>
              <w:jc w:val="both"/>
              <w:rPr>
                <w:rFonts w:ascii="宋体" w:hAnsi="宋体" w:cs="宋体" w:eastAsia="宋体" w:hint="default"/>
                <w:sz w:val="18"/>
                <w:szCs w:val="18"/>
              </w:rPr>
            </w:pPr>
            <w:r>
              <w:rPr>
                <w:rFonts w:ascii="宋体" w:hAnsi="宋体" w:cs="宋体" w:eastAsia="宋体" w:hint="default"/>
                <w:sz w:val="18"/>
                <w:szCs w:val="18"/>
              </w:rPr>
              <w:t>工程 累计 投入 占预 算比 例</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2"/>
              <w:jc w:val="left"/>
              <w:rPr>
                <w:rFonts w:ascii="宋体" w:hAnsi="宋体" w:cs="宋体" w:eastAsia="宋体" w:hint="default"/>
                <w:sz w:val="18"/>
                <w:szCs w:val="18"/>
              </w:rPr>
            </w:pPr>
            <w:r>
              <w:rPr>
                <w:rFonts w:ascii="宋体" w:hAnsi="宋体" w:cs="宋体" w:eastAsia="宋体" w:hint="default"/>
                <w:sz w:val="18"/>
                <w:szCs w:val="18"/>
              </w:rPr>
              <w:t>工程 进度</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82" w:right="183"/>
              <w:jc w:val="both"/>
              <w:rPr>
                <w:rFonts w:ascii="宋体" w:hAnsi="宋体" w:cs="宋体" w:eastAsia="宋体" w:hint="default"/>
                <w:sz w:val="18"/>
                <w:szCs w:val="18"/>
              </w:rPr>
            </w:pPr>
            <w:r>
              <w:rPr>
                <w:rFonts w:ascii="宋体" w:hAnsi="宋体" w:cs="宋体" w:eastAsia="宋体" w:hint="default"/>
                <w:sz w:val="18"/>
                <w:szCs w:val="18"/>
              </w:rPr>
              <w:t>利息 资本 化累 计金 额</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82" w:right="80" w:hanging="80"/>
              <w:jc w:val="left"/>
              <w:rPr>
                <w:rFonts w:ascii="宋体" w:hAnsi="宋体" w:cs="宋体" w:eastAsia="宋体" w:hint="default"/>
                <w:sz w:val="18"/>
                <w:szCs w:val="18"/>
              </w:rPr>
            </w:pPr>
            <w:r>
              <w:rPr>
                <w:rFonts w:ascii="宋体" w:hAnsi="宋体" w:cs="宋体" w:eastAsia="宋体" w:hint="default"/>
                <w:sz w:val="18"/>
                <w:szCs w:val="18"/>
              </w:rPr>
              <w:t>其中： 本期 利息 资本 化金 额</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9"/>
              <w:ind w:left="182" w:right="182"/>
              <w:jc w:val="both"/>
              <w:rPr>
                <w:rFonts w:ascii="宋体" w:hAnsi="宋体" w:cs="宋体" w:eastAsia="宋体" w:hint="default"/>
                <w:sz w:val="18"/>
                <w:szCs w:val="18"/>
              </w:rPr>
            </w:pPr>
            <w:r>
              <w:rPr>
                <w:rFonts w:ascii="宋体" w:hAnsi="宋体" w:cs="宋体" w:eastAsia="宋体" w:hint="default"/>
                <w:sz w:val="18"/>
                <w:szCs w:val="18"/>
              </w:rPr>
              <w:t>本期 利息 资本 化率</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82" w:right="181"/>
              <w:jc w:val="left"/>
              <w:rPr>
                <w:rFonts w:ascii="宋体" w:hAnsi="宋体" w:cs="宋体" w:eastAsia="宋体" w:hint="default"/>
                <w:sz w:val="18"/>
                <w:szCs w:val="18"/>
              </w:rPr>
            </w:pPr>
            <w:r>
              <w:rPr>
                <w:rFonts w:ascii="宋体" w:hAnsi="宋体" w:cs="宋体" w:eastAsia="宋体" w:hint="default"/>
                <w:sz w:val="18"/>
                <w:szCs w:val="18"/>
              </w:rPr>
              <w:t>资金 来源</w:t>
            </w:r>
          </w:p>
        </w:tc>
      </w:tr>
      <w:tr>
        <w:trPr>
          <w:trHeight w:val="1650"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103" w:right="257"/>
              <w:jc w:val="left"/>
              <w:rPr>
                <w:rFonts w:ascii="宋体" w:hAnsi="宋体" w:cs="宋体" w:eastAsia="宋体" w:hint="default"/>
                <w:sz w:val="18"/>
                <w:szCs w:val="18"/>
              </w:rPr>
            </w:pPr>
            <w:r>
              <w:rPr>
                <w:rFonts w:ascii="宋体" w:hAnsi="宋体" w:cs="宋体" w:eastAsia="宋体" w:hint="default"/>
                <w:sz w:val="18"/>
                <w:szCs w:val="18"/>
              </w:rPr>
              <w:t>光典 厂房</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28" w:right="0"/>
              <w:jc w:val="left"/>
              <w:rPr>
                <w:rFonts w:ascii="Times New Roman" w:hAnsi="Times New Roman" w:cs="Times New Roman" w:eastAsia="Times New Roman" w:hint="default"/>
                <w:sz w:val="18"/>
                <w:szCs w:val="18"/>
              </w:rPr>
            </w:pPr>
            <w:r>
              <w:rPr>
                <w:rFonts w:ascii="Times New Roman"/>
                <w:sz w:val="18"/>
              </w:rPr>
              <w:t>300,00</w:t>
            </w:r>
          </w:p>
          <w:p>
            <w:pPr>
              <w:pStyle w:val="TableParagraph"/>
              <w:spacing w:line="240" w:lineRule="auto" w:before="104"/>
              <w:ind w:left="172"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28" w:right="0"/>
              <w:jc w:val="left"/>
              <w:rPr>
                <w:rFonts w:ascii="Times New Roman" w:hAnsi="Times New Roman" w:cs="Times New Roman" w:eastAsia="Times New Roman" w:hint="default"/>
                <w:sz w:val="18"/>
                <w:szCs w:val="18"/>
              </w:rPr>
            </w:pPr>
            <w:r>
              <w:rPr>
                <w:rFonts w:ascii="Times New Roman"/>
                <w:sz w:val="18"/>
              </w:rPr>
              <w:t>230,60</w:t>
            </w:r>
          </w:p>
          <w:p>
            <w:pPr>
              <w:pStyle w:val="TableParagraph"/>
              <w:spacing w:line="240" w:lineRule="auto" w:before="104"/>
              <w:ind w:left="172" w:right="0"/>
              <w:jc w:val="left"/>
              <w:rPr>
                <w:rFonts w:ascii="Times New Roman" w:hAnsi="Times New Roman" w:cs="Times New Roman" w:eastAsia="Times New Roman" w:hint="default"/>
                <w:sz w:val="18"/>
                <w:szCs w:val="18"/>
              </w:rPr>
            </w:pPr>
            <w:r>
              <w:rPr>
                <w:rFonts w:ascii="Times New Roman"/>
                <w:sz w:val="18"/>
              </w:rPr>
              <w:t>3,387.</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02</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36,968</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,308.5</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5</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3,307,</w:t>
            </w:r>
          </w:p>
          <w:p>
            <w:pPr>
              <w:pStyle w:val="TableParagraph"/>
              <w:spacing w:line="240" w:lineRule="auto" w:before="105"/>
              <w:ind w:left="128" w:right="0"/>
              <w:jc w:val="left"/>
              <w:rPr>
                <w:rFonts w:ascii="Times New Roman" w:hAnsi="Times New Roman" w:cs="Times New Roman" w:eastAsia="Times New Roman" w:hint="default"/>
                <w:sz w:val="18"/>
                <w:szCs w:val="18"/>
              </w:rPr>
            </w:pPr>
            <w:r>
              <w:rPr>
                <w:rFonts w:ascii="Times New Roman"/>
                <w:sz w:val="18"/>
              </w:rPr>
              <w:t>146.69</w:t>
            </w: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128" w:right="0"/>
              <w:jc w:val="left"/>
              <w:rPr>
                <w:rFonts w:ascii="Times New Roman" w:hAnsi="Times New Roman" w:cs="Times New Roman" w:eastAsia="Times New Roman" w:hint="default"/>
                <w:sz w:val="18"/>
                <w:szCs w:val="18"/>
              </w:rPr>
            </w:pPr>
            <w:r>
              <w:rPr>
                <w:rFonts w:ascii="Times New Roman"/>
                <w:sz w:val="18"/>
              </w:rPr>
              <w:t>264,26</w:t>
            </w:r>
          </w:p>
          <w:p>
            <w:pPr>
              <w:pStyle w:val="TableParagraph"/>
              <w:spacing w:line="240" w:lineRule="auto" w:before="104"/>
              <w:ind w:left="172" w:right="0"/>
              <w:jc w:val="left"/>
              <w:rPr>
                <w:rFonts w:ascii="Times New Roman" w:hAnsi="Times New Roman" w:cs="Times New Roman" w:eastAsia="Times New Roman" w:hint="default"/>
                <w:sz w:val="18"/>
                <w:szCs w:val="18"/>
              </w:rPr>
            </w:pPr>
            <w:r>
              <w:rPr>
                <w:rFonts w:ascii="Times New Roman"/>
                <w:sz w:val="18"/>
              </w:rPr>
              <w:t>4,548.</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88</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218" w:right="0"/>
              <w:jc w:val="left"/>
              <w:rPr>
                <w:rFonts w:ascii="Times New Roman" w:hAnsi="Times New Roman" w:cs="Times New Roman" w:eastAsia="Times New Roman" w:hint="default"/>
                <w:sz w:val="18"/>
                <w:szCs w:val="18"/>
              </w:rPr>
            </w:pPr>
            <w:r>
              <w:rPr>
                <w:rFonts w:ascii="Times New Roman"/>
                <w:sz w:val="18"/>
              </w:rPr>
              <w:t>88.09</w:t>
            </w:r>
          </w:p>
          <w:p>
            <w:pPr>
              <w:pStyle w:val="TableParagraph"/>
              <w:spacing w:line="240" w:lineRule="auto" w:before="105"/>
              <w:ind w:left="47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63"/>
              <w:jc w:val="both"/>
              <w:rPr>
                <w:rFonts w:ascii="宋体" w:hAnsi="宋体" w:cs="宋体" w:eastAsia="宋体" w:hint="default"/>
                <w:sz w:val="18"/>
                <w:szCs w:val="18"/>
              </w:rPr>
            </w:pPr>
            <w:r>
              <w:rPr>
                <w:rFonts w:ascii="宋体" w:hAnsi="宋体" w:cs="宋体" w:eastAsia="宋体" w:hint="default"/>
                <w:sz w:val="18"/>
                <w:szCs w:val="18"/>
              </w:rPr>
              <w:t>主体 建房 工程 已完 成</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10,683</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,376.3</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7,508,</w:t>
            </w:r>
          </w:p>
          <w:p>
            <w:pPr>
              <w:pStyle w:val="TableParagraph"/>
              <w:spacing w:line="240" w:lineRule="auto" w:before="105"/>
              <w:ind w:left="128" w:right="0"/>
              <w:jc w:val="left"/>
              <w:rPr>
                <w:rFonts w:ascii="Times New Roman" w:hAnsi="Times New Roman" w:cs="Times New Roman" w:eastAsia="Times New Roman" w:hint="default"/>
                <w:sz w:val="18"/>
                <w:szCs w:val="18"/>
              </w:rPr>
            </w:pPr>
            <w:r>
              <w:rPr>
                <w:rFonts w:ascii="Times New Roman"/>
                <w:sz w:val="18"/>
              </w:rPr>
              <w:t>724.52</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58" w:right="0"/>
              <w:jc w:val="left"/>
              <w:rPr>
                <w:rFonts w:ascii="Times New Roman" w:hAnsi="Times New Roman" w:cs="Times New Roman" w:eastAsia="Times New Roman" w:hint="default"/>
                <w:sz w:val="18"/>
                <w:szCs w:val="18"/>
              </w:rPr>
            </w:pPr>
            <w:r>
              <w:rPr>
                <w:rFonts w:ascii="Times New Roman"/>
                <w:sz w:val="18"/>
              </w:rPr>
              <w:t>4.75%</w:t>
            </w:r>
          </w:p>
        </w:tc>
        <w:tc>
          <w:tcPr>
            <w:tcW w:w="73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7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3" w:right="257"/>
              <w:jc w:val="left"/>
              <w:rPr>
                <w:rFonts w:ascii="宋体" w:hAnsi="宋体" w:cs="宋体" w:eastAsia="宋体" w:hint="default"/>
                <w:sz w:val="18"/>
                <w:szCs w:val="18"/>
              </w:rPr>
            </w:pPr>
            <w:r>
              <w:rPr>
                <w:rFonts w:ascii="宋体" w:hAnsi="宋体" w:cs="宋体" w:eastAsia="宋体" w:hint="default"/>
                <w:sz w:val="18"/>
                <w:szCs w:val="18"/>
              </w:rPr>
              <w:t>厂房 装修</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8"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4"/>
              <w:ind w:left="172"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00</w:t>
            </w: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10,150</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,343.7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w:t>
            </w: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10,150</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,343.7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18" w:right="0"/>
              <w:jc w:val="left"/>
              <w:rPr>
                <w:rFonts w:ascii="Times New Roman" w:hAnsi="Times New Roman" w:cs="Times New Roman" w:eastAsia="Times New Roman" w:hint="default"/>
                <w:sz w:val="18"/>
                <w:szCs w:val="18"/>
              </w:rPr>
            </w:pPr>
            <w:r>
              <w:rPr>
                <w:rFonts w:ascii="Times New Roman"/>
                <w:sz w:val="18"/>
              </w:rPr>
              <w:t>10.15</w:t>
            </w:r>
          </w:p>
          <w:p>
            <w:pPr>
              <w:pStyle w:val="TableParagraph"/>
              <w:spacing w:line="240" w:lineRule="auto" w:before="105"/>
              <w:ind w:left="472"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03" w:right="263"/>
              <w:jc w:val="left"/>
              <w:rPr>
                <w:rFonts w:ascii="宋体" w:hAnsi="宋体" w:cs="宋体" w:eastAsia="宋体" w:hint="default"/>
                <w:sz w:val="18"/>
                <w:szCs w:val="18"/>
              </w:rPr>
            </w:pPr>
            <w:r>
              <w:rPr>
                <w:rFonts w:ascii="宋体" w:hAnsi="宋体" w:cs="宋体" w:eastAsia="宋体" w:hint="default"/>
                <w:sz w:val="18"/>
                <w:szCs w:val="18"/>
              </w:rPr>
              <w:t>装修 中</w:t>
            </w:r>
          </w:p>
        </w:tc>
        <w:tc>
          <w:tcPr>
            <w:tcW w:w="736"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
        </w:tc>
      </w:tr>
      <w:tr>
        <w:trPr>
          <w:trHeight w:val="1027" w:hRule="exact"/>
        </w:trPr>
        <w:tc>
          <w:tcPr>
            <w:tcW w:w="7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9"/>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8" w:right="0"/>
              <w:jc w:val="left"/>
              <w:rPr>
                <w:rFonts w:ascii="Times New Roman" w:hAnsi="Times New Roman" w:cs="Times New Roman" w:eastAsia="Times New Roman" w:hint="default"/>
                <w:sz w:val="18"/>
                <w:szCs w:val="18"/>
              </w:rPr>
            </w:pPr>
            <w:r>
              <w:rPr>
                <w:rFonts w:ascii="Times New Roman"/>
                <w:sz w:val="18"/>
              </w:rPr>
              <w:t>400,00</w:t>
            </w:r>
          </w:p>
          <w:p>
            <w:pPr>
              <w:pStyle w:val="TableParagraph"/>
              <w:spacing w:line="240" w:lineRule="auto" w:before="104"/>
              <w:ind w:left="172" w:right="0"/>
              <w:jc w:val="left"/>
              <w:rPr>
                <w:rFonts w:ascii="Times New Roman" w:hAnsi="Times New Roman" w:cs="Times New Roman" w:eastAsia="Times New Roman" w:hint="default"/>
                <w:sz w:val="18"/>
                <w:szCs w:val="18"/>
              </w:rPr>
            </w:pPr>
            <w:r>
              <w:rPr>
                <w:rFonts w:ascii="Times New Roman"/>
                <w:sz w:val="18"/>
              </w:rPr>
              <w:t>0,000.</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00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8" w:right="0"/>
              <w:jc w:val="left"/>
              <w:rPr>
                <w:rFonts w:ascii="Times New Roman" w:hAnsi="Times New Roman" w:cs="Times New Roman" w:eastAsia="Times New Roman" w:hint="default"/>
                <w:sz w:val="18"/>
                <w:szCs w:val="18"/>
              </w:rPr>
            </w:pPr>
            <w:r>
              <w:rPr>
                <w:rFonts w:ascii="Times New Roman"/>
                <w:sz w:val="18"/>
              </w:rPr>
              <w:t>230,60</w:t>
            </w:r>
          </w:p>
          <w:p>
            <w:pPr>
              <w:pStyle w:val="TableParagraph"/>
              <w:spacing w:line="240" w:lineRule="auto" w:before="104"/>
              <w:ind w:left="172" w:right="0"/>
              <w:jc w:val="left"/>
              <w:rPr>
                <w:rFonts w:ascii="Times New Roman" w:hAnsi="Times New Roman" w:cs="Times New Roman" w:eastAsia="Times New Roman" w:hint="default"/>
                <w:sz w:val="18"/>
                <w:szCs w:val="18"/>
              </w:rPr>
            </w:pPr>
            <w:r>
              <w:rPr>
                <w:rFonts w:ascii="Times New Roman"/>
                <w:sz w:val="18"/>
              </w:rPr>
              <w:t>3,387.</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02</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2"/>
                <w:sz w:val="18"/>
              </w:rPr>
              <w:t>47,118</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,652.2</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5</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3,307,</w:t>
            </w:r>
          </w:p>
          <w:p>
            <w:pPr>
              <w:pStyle w:val="TableParagraph"/>
              <w:spacing w:line="240" w:lineRule="auto" w:before="105"/>
              <w:ind w:left="128" w:right="0"/>
              <w:jc w:val="left"/>
              <w:rPr>
                <w:rFonts w:ascii="Times New Roman" w:hAnsi="Times New Roman" w:cs="Times New Roman" w:eastAsia="Times New Roman" w:hint="default"/>
                <w:sz w:val="18"/>
                <w:szCs w:val="18"/>
              </w:rPr>
            </w:pPr>
            <w:r>
              <w:rPr>
                <w:rFonts w:ascii="Times New Roman"/>
                <w:sz w:val="18"/>
              </w:rPr>
              <w:t>146.69</w:t>
            </w: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28" w:right="0"/>
              <w:jc w:val="left"/>
              <w:rPr>
                <w:rFonts w:ascii="Times New Roman" w:hAnsi="Times New Roman" w:cs="Times New Roman" w:eastAsia="Times New Roman" w:hint="default"/>
                <w:sz w:val="18"/>
                <w:szCs w:val="18"/>
              </w:rPr>
            </w:pPr>
            <w:r>
              <w:rPr>
                <w:rFonts w:ascii="Times New Roman"/>
                <w:sz w:val="18"/>
              </w:rPr>
              <w:t>274,41</w:t>
            </w:r>
          </w:p>
          <w:p>
            <w:pPr>
              <w:pStyle w:val="TableParagraph"/>
              <w:spacing w:line="240" w:lineRule="auto" w:before="104"/>
              <w:ind w:left="172" w:right="0"/>
              <w:jc w:val="left"/>
              <w:rPr>
                <w:rFonts w:ascii="Times New Roman" w:hAnsi="Times New Roman" w:cs="Times New Roman" w:eastAsia="Times New Roman" w:hint="default"/>
                <w:sz w:val="18"/>
                <w:szCs w:val="18"/>
              </w:rPr>
            </w:pPr>
            <w:r>
              <w:rPr>
                <w:rFonts w:ascii="Times New Roman"/>
                <w:sz w:val="18"/>
              </w:rPr>
              <w:t>4,892.</w:t>
            </w:r>
          </w:p>
          <w:p>
            <w:pPr>
              <w:pStyle w:val="TableParagraph"/>
              <w:spacing w:line="240" w:lineRule="auto" w:before="106"/>
              <w:ind w:left="442" w:right="0"/>
              <w:jc w:val="left"/>
              <w:rPr>
                <w:rFonts w:ascii="Times New Roman" w:hAnsi="Times New Roman" w:cs="Times New Roman" w:eastAsia="Times New Roman" w:hint="default"/>
                <w:sz w:val="18"/>
                <w:szCs w:val="18"/>
              </w:rPr>
            </w:pPr>
            <w:r>
              <w:rPr>
                <w:rFonts w:ascii="Times New Roman"/>
                <w:sz w:val="18"/>
              </w:rPr>
              <w:t>58</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10,683</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,376.3</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7,508,</w:t>
            </w:r>
          </w:p>
          <w:p>
            <w:pPr>
              <w:pStyle w:val="TableParagraph"/>
              <w:spacing w:line="240" w:lineRule="auto" w:before="105"/>
              <w:ind w:left="128" w:right="0"/>
              <w:jc w:val="left"/>
              <w:rPr>
                <w:rFonts w:ascii="Times New Roman" w:hAnsi="Times New Roman" w:cs="Times New Roman" w:eastAsia="Times New Roman" w:hint="default"/>
                <w:sz w:val="18"/>
                <w:szCs w:val="18"/>
              </w:rPr>
            </w:pPr>
            <w:r>
              <w:rPr>
                <w:rFonts w:ascii="Times New Roman"/>
                <w:sz w:val="18"/>
              </w:rPr>
              <w:t>724.52</w:t>
            </w: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3）本期计提在建工程减值准备情况" w:id="277"/>
      <w:bookmarkEnd w:id="27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）本期计提在建工程减值准备情况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50" w:right="0"/>
              <w:jc w:val="left"/>
              <w:rPr>
                <w:rFonts w:ascii="宋体" w:hAnsi="宋体" w:cs="宋体" w:eastAsia="宋体" w:hint="default"/>
                <w:sz w:val="18"/>
                <w:szCs w:val="18"/>
              </w:rPr>
            </w:pPr>
            <w:r>
              <w:rPr>
                <w:rFonts w:ascii="宋体" w:hAnsi="宋体" w:cs="宋体" w:eastAsia="宋体" w:hint="default"/>
                <w:sz w:val="18"/>
                <w:szCs w:val="18"/>
              </w:rPr>
              <w:t>本期计提金额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计提原因</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56" w:lineRule="auto" w:before="90"/>
        <w:ind w:left="114" w:right="1144" w:firstLine="0"/>
        <w:jc w:val="left"/>
        <w:rPr>
          <w:rFonts w:ascii="宋体" w:hAnsi="宋体" w:cs="宋体" w:eastAsia="宋体" w:hint="default"/>
          <w:sz w:val="21"/>
          <w:szCs w:val="21"/>
        </w:rPr>
      </w:pPr>
      <w:r>
        <w:rPr>
          <w:rFonts w:ascii="宋体" w:hAnsi="宋体" w:cs="宋体" w:eastAsia="宋体" w:hint="default"/>
          <w:sz w:val="21"/>
          <w:szCs w:val="21"/>
        </w:rPr>
        <w:t>期末用于抵押或担保的在建工程账面价值为</w:t>
      </w:r>
      <w:r>
        <w:rPr>
          <w:rFonts w:ascii="Times New Roman" w:hAnsi="Times New Roman" w:cs="Times New Roman" w:eastAsia="Times New Roman" w:hint="default"/>
          <w:sz w:val="21"/>
          <w:szCs w:val="21"/>
        </w:rPr>
        <w:t>264,264,548.88</w:t>
      </w:r>
      <w:r>
        <w:rPr>
          <w:rFonts w:ascii="宋体" w:hAnsi="宋体" w:cs="宋体" w:eastAsia="宋体" w:hint="default"/>
          <w:sz w:val="21"/>
          <w:szCs w:val="21"/>
        </w:rPr>
        <w:t>元，详见“附注十四、承诺及或有事项”</w:t>
      </w:r>
      <w:r>
        <w:rPr>
          <w:rFonts w:ascii="Times New Roman" w:hAnsi="Times New Roman" w:cs="Times New Roman" w:eastAsia="Times New Roman" w:hint="default"/>
          <w:sz w:val="21"/>
          <w:szCs w:val="21"/>
        </w:rPr>
        <w:t>1</w:t>
      </w:r>
      <w:r>
        <w:rPr>
          <w:rFonts w:ascii="宋体" w:hAnsi="宋体" w:cs="宋体" w:eastAsia="宋体" w:hint="default"/>
          <w:sz w:val="21"/>
          <w:szCs w:val="21"/>
        </w:rPr>
        <w:t>、重 要承诺事项。</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spacing w:before="0"/>
        <w:ind w:left="114" w:right="0" w:firstLine="0"/>
        <w:jc w:val="left"/>
        <w:rPr>
          <w:rFonts w:ascii="宋体" w:hAnsi="宋体" w:cs="宋体" w:eastAsia="宋体" w:hint="default"/>
          <w:sz w:val="21"/>
          <w:szCs w:val="21"/>
        </w:rPr>
      </w:pPr>
      <w:bookmarkStart w:name="（4）工程物资" w:id="278"/>
      <w:bookmarkEnd w:id="27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）工程物资</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133"/>
        <w:gridCol w:w="1328"/>
        <w:gridCol w:w="1329"/>
        <w:gridCol w:w="1196"/>
        <w:gridCol w:w="1196"/>
        <w:gridCol w:w="1196"/>
        <w:gridCol w:w="1193"/>
      </w:tblGrid>
      <w:tr>
        <w:trPr>
          <w:trHeight w:val="402" w:hRule="exact"/>
        </w:trPr>
        <w:tc>
          <w:tcPr>
            <w:tcW w:w="2133"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54"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58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2133" w:type="dxa"/>
            <w:vMerge/>
            <w:tcBorders>
              <w:left w:val="single" w:sz="4" w:space="0" w:color="000000"/>
              <w:bottom w:val="single" w:sz="4" w:space="0" w:color="000000"/>
              <w:right w:val="single" w:sz="4" w:space="0" w:color="000000"/>
            </w:tcBorders>
            <w:shd w:val="clear" w:color="auto" w:fill="D2D2D2"/>
          </w:tcPr>
          <w:p>
            <w:pPr/>
          </w:p>
        </w:tc>
        <w:tc>
          <w:tcPr>
            <w:tcW w:w="1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98"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2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9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0"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18、生产性生物资产" w:id="279"/>
      <w:bookmarkEnd w:id="279"/>
      <w:r>
        <w:rPr/>
      </w:r>
      <w:r>
        <w:rPr>
          <w:rFonts w:ascii="Times New Roman" w:hAnsi="Times New Roman" w:cs="Times New Roman" w:eastAsia="Times New Roman" w:hint="default"/>
          <w:b/>
          <w:bCs/>
          <w:sz w:val="21"/>
          <w:szCs w:val="21"/>
        </w:rPr>
        <w:t>18</w:t>
      </w:r>
      <w:r>
        <w:rPr>
          <w:rFonts w:ascii="宋体" w:hAnsi="宋体" w:cs="宋体" w:eastAsia="宋体" w:hint="default"/>
          <w:b/>
          <w:bCs/>
          <w:sz w:val="21"/>
          <w:szCs w:val="21"/>
        </w:rPr>
        <w:t>、生产性生物资产</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采用成本计量模式的生产性生物资产" w:id="280"/>
      <w:bookmarkEnd w:id="28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）采用成本计量模式的生产性生物资产</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2）采用公允价值计量模式的生产性生物资产" w:id="281"/>
      <w:bookmarkEnd w:id="28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）采用公允价值计量模式的生产性生物资产</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19、油气资产" w:id="282"/>
      <w:bookmarkEnd w:id="282"/>
      <w:r>
        <w:rPr/>
      </w:r>
      <w:r>
        <w:rPr>
          <w:rFonts w:ascii="Times New Roman" w:hAnsi="Times New Roman" w:cs="Times New Roman" w:eastAsia="Times New Roman" w:hint="default"/>
          <w:b/>
          <w:bCs/>
          <w:sz w:val="21"/>
          <w:szCs w:val="21"/>
        </w:rPr>
        <w:t>19</w:t>
      </w:r>
      <w:r>
        <w:rPr>
          <w:rFonts w:ascii="宋体" w:hAnsi="宋体" w:cs="宋体" w:eastAsia="宋体" w:hint="default"/>
          <w:b/>
          <w:bCs/>
          <w:sz w:val="21"/>
          <w:szCs w:val="21"/>
        </w:rPr>
        <w:t>、油气资产</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0、无形资产" w:id="283"/>
      <w:bookmarkEnd w:id="283"/>
      <w:r>
        <w:rPr/>
      </w:r>
      <w:r>
        <w:rPr>
          <w:rFonts w:ascii="Times New Roman" w:hAnsi="Times New Roman" w:cs="Times New Roman" w:eastAsia="Times New Roman" w:hint="default"/>
          <w:b/>
          <w:bCs/>
          <w:sz w:val="21"/>
          <w:szCs w:val="21"/>
        </w:rPr>
        <w:t>20</w:t>
      </w:r>
      <w:r>
        <w:rPr>
          <w:rFonts w:ascii="宋体" w:hAnsi="宋体" w:cs="宋体" w:eastAsia="宋体" w:hint="default"/>
          <w:b/>
          <w:bCs/>
          <w:sz w:val="21"/>
          <w:szCs w:val="21"/>
        </w:rPr>
        <w:t>、无形资产</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无形资产情况" w:id="284"/>
      <w:bookmarkEnd w:id="28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）无形资产情况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40" w:lineRule="auto" w:before="0"/>
        <w:ind w:left="114" w:right="1754" w:firstLine="0"/>
        <w:jc w:val="left"/>
        <w:rPr>
          <w:rFonts w:ascii="宋体" w:hAnsi="宋体" w:cs="宋体" w:eastAsia="宋体" w:hint="default"/>
          <w:sz w:val="18"/>
          <w:szCs w:val="18"/>
        </w:rPr>
      </w:pPr>
      <w:r>
        <w:rPr>
          <w:rFonts w:ascii="宋体" w:hAnsi="宋体" w:cs="宋体" w:eastAsia="宋体" w:hint="default"/>
          <w:sz w:val="18"/>
          <w:szCs w:val="18"/>
        </w:rPr>
        <w:t>公司是否需遵守《深圳证券交易所创业板行业信息披露指引第</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号——上市公司从事互联网游戏业务》的披露要求 否</w:t>
      </w:r>
    </w:p>
    <w:p>
      <w:pPr>
        <w:spacing w:before="4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4"/>
        <w:gridCol w:w="1595"/>
        <w:gridCol w:w="1594"/>
        <w:gridCol w:w="1594"/>
        <w:gridCol w:w="1595"/>
        <w:gridCol w:w="1594"/>
      </w:tblGrid>
      <w:tr>
        <w:trPr>
          <w:trHeight w:val="401"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2"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21" w:right="0"/>
              <w:jc w:val="left"/>
              <w:rPr>
                <w:rFonts w:ascii="宋体" w:hAnsi="宋体" w:cs="宋体" w:eastAsia="宋体" w:hint="default"/>
                <w:sz w:val="18"/>
                <w:szCs w:val="18"/>
              </w:rPr>
            </w:pPr>
            <w:r>
              <w:rPr>
                <w:rFonts w:ascii="宋体" w:hAnsi="宋体" w:cs="宋体" w:eastAsia="宋体" w:hint="default"/>
                <w:sz w:val="18"/>
                <w:szCs w:val="18"/>
              </w:rPr>
              <w:t>专利权</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2" w:right="0"/>
              <w:jc w:val="left"/>
              <w:rPr>
                <w:rFonts w:ascii="宋体" w:hAnsi="宋体" w:cs="宋体" w:eastAsia="宋体" w:hint="default"/>
                <w:sz w:val="18"/>
                <w:szCs w:val="18"/>
              </w:rPr>
            </w:pPr>
            <w:r>
              <w:rPr>
                <w:rFonts w:ascii="宋体" w:hAnsi="宋体" w:cs="宋体" w:eastAsia="宋体" w:hint="default"/>
                <w:sz w:val="18"/>
                <w:szCs w:val="18"/>
              </w:rPr>
              <w:t>非专利技术</w:t>
            </w:r>
          </w:p>
        </w:tc>
        <w:tc>
          <w:tcPr>
            <w:tcW w:w="1595"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软件</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一、账面原值</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32,388,620.00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4,067,948.48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36,456,568.48</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3"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28"/>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）购置</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4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2</w:t>
            </w:r>
            <w:r>
              <w:rPr>
                <w:rFonts w:ascii="宋体" w:hAnsi="宋体" w:cs="宋体" w:eastAsia="宋体" w:hint="default"/>
                <w:sz w:val="18"/>
                <w:szCs w:val="18"/>
              </w:rPr>
              <w:t>）内部</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研发</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3" w:right="128" w:firstLine="54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3</w:t>
            </w:r>
            <w:r>
              <w:rPr>
                <w:rFonts w:ascii="宋体" w:hAnsi="宋体" w:cs="宋体" w:eastAsia="宋体" w:hint="default"/>
                <w:sz w:val="18"/>
                <w:szCs w:val="18"/>
              </w:rPr>
              <w:t>）企业 合并增加</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3" w:right="263" w:firstLine="18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本期减少金 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28"/>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32,388,620.00</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4,067,948.48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36,456,568.48</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二、累计摊销</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2,591,089.63</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2"/>
              <w:jc w:val="right"/>
              <w:rPr>
                <w:rFonts w:ascii="Times New Roman" w:hAnsi="Times New Roman" w:cs="Times New Roman" w:eastAsia="Times New Roman" w:hint="default"/>
                <w:sz w:val="18"/>
                <w:szCs w:val="18"/>
              </w:rPr>
            </w:pPr>
            <w:r>
              <w:rPr>
                <w:rFonts w:ascii="Times New Roman"/>
                <w:spacing w:val="-1"/>
                <w:sz w:val="18"/>
              </w:rPr>
              <w:t>1,811,986.53</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4,403,076.16</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3"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647,772.36</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606,814.85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1,254,587.21</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right="128"/>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647,772.36</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606,814.85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1,254,587.21</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3"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1594"/>
        <w:gridCol w:w="1595"/>
        <w:gridCol w:w="1594"/>
        <w:gridCol w:w="1594"/>
        <w:gridCol w:w="1595"/>
        <w:gridCol w:w="1594"/>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28"/>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3,238,861.99</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2,418,801.38</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5,657,663.37</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三、减值准备</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本期增加 金额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28"/>
              <w:jc w:val="righ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）计提</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本期减少 金额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）处置</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四、账面价值</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期末账面 价值</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29,149,758.01</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1,649,147.10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30,798,905.11</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263" w:firstLine="36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期初账面 价值</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29,797,530.37</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2,255,961.95</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32,053,492.32</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本期末通过公司内部研发形成的无形资产占无形资产余额的比例。</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未办妥产权证书的土地使用权情况" w:id="285"/>
      <w:bookmarkEnd w:id="28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）未办妥产权证书的土地使用权情况</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9" w:right="0"/>
              <w:jc w:val="left"/>
              <w:rPr>
                <w:rFonts w:ascii="宋体" w:hAnsi="宋体" w:cs="宋体" w:eastAsia="宋体" w:hint="default"/>
                <w:sz w:val="18"/>
                <w:szCs w:val="18"/>
              </w:rPr>
            </w:pPr>
            <w:r>
              <w:rPr>
                <w:rFonts w:ascii="宋体" w:hAnsi="宋体" w:cs="宋体" w:eastAsia="宋体" w:hint="default"/>
                <w:sz w:val="18"/>
                <w:szCs w:val="18"/>
              </w:rPr>
              <w:t>未办妥产权证书的原因</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56" w:lineRule="auto" w:before="90"/>
        <w:ind w:left="189" w:right="1122" w:firstLine="0"/>
        <w:jc w:val="left"/>
        <w:rPr>
          <w:rFonts w:ascii="宋体" w:hAnsi="宋体" w:cs="宋体" w:eastAsia="宋体" w:hint="default"/>
          <w:sz w:val="21"/>
          <w:szCs w:val="21"/>
        </w:rPr>
      </w:pPr>
      <w:r>
        <w:rPr>
          <w:rFonts w:ascii="宋体" w:hAnsi="宋体" w:cs="宋体" w:eastAsia="宋体" w:hint="default"/>
          <w:sz w:val="21"/>
          <w:szCs w:val="21"/>
        </w:rPr>
        <w:t>期末用于抵押或担保的无形资产的原值人民币</w:t>
      </w:r>
      <w:r>
        <w:rPr>
          <w:rFonts w:ascii="Times New Roman" w:hAnsi="Times New Roman" w:cs="Times New Roman" w:eastAsia="Times New Roman" w:hint="default"/>
          <w:sz w:val="21"/>
          <w:szCs w:val="21"/>
        </w:rPr>
        <w:t>32,388,620.00</w:t>
      </w:r>
      <w:r>
        <w:rPr>
          <w:rFonts w:ascii="宋体" w:hAnsi="宋体" w:cs="宋体" w:eastAsia="宋体" w:hint="default"/>
          <w:sz w:val="21"/>
          <w:szCs w:val="21"/>
        </w:rPr>
        <w:t>元、净值人民币</w:t>
      </w:r>
      <w:r>
        <w:rPr>
          <w:rFonts w:ascii="Times New Roman" w:hAnsi="Times New Roman" w:cs="Times New Roman" w:eastAsia="Times New Roman" w:hint="default"/>
          <w:sz w:val="21"/>
          <w:szCs w:val="21"/>
        </w:rPr>
        <w:t>29,149,758.01</w:t>
      </w:r>
      <w:r>
        <w:rPr>
          <w:rFonts w:ascii="宋体" w:hAnsi="宋体" w:cs="宋体" w:eastAsia="宋体" w:hint="default"/>
          <w:sz w:val="21"/>
          <w:szCs w:val="21"/>
        </w:rPr>
        <w:t>元，详见“附注 十四、承诺及或有事项”</w:t>
      </w:r>
      <w:r>
        <w:rPr>
          <w:rFonts w:ascii="Times New Roman" w:hAnsi="Times New Roman" w:cs="Times New Roman" w:eastAsia="Times New Roman" w:hint="default"/>
          <w:sz w:val="21"/>
          <w:szCs w:val="21"/>
        </w:rPr>
        <w:t>1</w:t>
      </w:r>
      <w:r>
        <w:rPr>
          <w:rFonts w:ascii="宋体" w:hAnsi="宋体" w:cs="宋体" w:eastAsia="宋体" w:hint="default"/>
          <w:sz w:val="21"/>
          <w:szCs w:val="21"/>
        </w:rPr>
        <w:t>、重要承诺事项。</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25"/>
          <w:szCs w:val="25"/>
        </w:rPr>
      </w:pPr>
    </w:p>
    <w:p>
      <w:pPr>
        <w:spacing w:before="0"/>
        <w:ind w:left="114" w:right="0" w:firstLine="0"/>
        <w:jc w:val="left"/>
        <w:rPr>
          <w:rFonts w:ascii="宋体" w:hAnsi="宋体" w:cs="宋体" w:eastAsia="宋体" w:hint="default"/>
          <w:sz w:val="21"/>
          <w:szCs w:val="21"/>
        </w:rPr>
      </w:pPr>
      <w:bookmarkStart w:name="21、开发支出" w:id="286"/>
      <w:bookmarkEnd w:id="286"/>
      <w:r>
        <w:rPr/>
      </w:r>
      <w:r>
        <w:rPr>
          <w:rFonts w:ascii="Times New Roman" w:hAnsi="Times New Roman" w:cs="Times New Roman" w:eastAsia="Times New Roman" w:hint="default"/>
          <w:b/>
          <w:bCs/>
          <w:sz w:val="21"/>
          <w:szCs w:val="21"/>
        </w:rPr>
        <w:t>21</w:t>
      </w:r>
      <w:r>
        <w:rPr>
          <w:rFonts w:ascii="宋体" w:hAnsi="宋体" w:cs="宋体" w:eastAsia="宋体" w:hint="default"/>
          <w:b/>
          <w:bCs/>
          <w:sz w:val="21"/>
          <w:szCs w:val="21"/>
        </w:rPr>
        <w:t>、开发支出</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4"/>
        <w:gridCol w:w="1063"/>
        <w:gridCol w:w="3189"/>
        <w:gridCol w:w="3190"/>
        <w:gridCol w:w="1063"/>
      </w:tblGrid>
      <w:tr>
        <w:trPr>
          <w:trHeight w:val="402"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46" w:right="0"/>
              <w:jc w:val="left"/>
              <w:rPr>
                <w:rFonts w:ascii="宋体" w:hAnsi="宋体" w:cs="宋体" w:eastAsia="宋体" w:hint="default"/>
                <w:sz w:val="18"/>
                <w:szCs w:val="18"/>
              </w:rPr>
            </w:pPr>
            <w:r>
              <w:rPr>
                <w:rFonts w:ascii="宋体" w:hAnsi="宋体" w:cs="宋体" w:eastAsia="宋体" w:hint="default"/>
                <w:sz w:val="18"/>
                <w:szCs w:val="18"/>
              </w:rPr>
              <w:t>项目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48"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48" w:right="0"/>
              <w:jc w:val="left"/>
              <w:rPr>
                <w:rFonts w:ascii="宋体" w:hAnsi="宋体" w:cs="宋体" w:eastAsia="宋体" w:hint="default"/>
                <w:sz w:val="18"/>
                <w:szCs w:val="18"/>
              </w:rPr>
            </w:pPr>
            <w:r>
              <w:rPr>
                <w:rFonts w:ascii="宋体" w:hAnsi="宋体" w:cs="宋体" w:eastAsia="宋体" w:hint="default"/>
                <w:sz w:val="18"/>
                <w:szCs w:val="18"/>
              </w:rPr>
              <w:t>本期减少金额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66"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22、商誉" w:id="287"/>
      <w:bookmarkEnd w:id="287"/>
      <w:r>
        <w:rPr/>
      </w:r>
      <w:r>
        <w:rPr>
          <w:rFonts w:ascii="Times New Roman" w:hAnsi="Times New Roman" w:cs="Times New Roman" w:eastAsia="Times New Roman" w:hint="default"/>
          <w:b/>
          <w:bCs/>
          <w:sz w:val="21"/>
          <w:szCs w:val="21"/>
        </w:rPr>
        <w:t>22</w:t>
      </w:r>
      <w:r>
        <w:rPr>
          <w:rFonts w:ascii="宋体" w:hAnsi="宋体" w:cs="宋体" w:eastAsia="宋体" w:hint="default"/>
          <w:b/>
          <w:bCs/>
          <w:sz w:val="21"/>
          <w:szCs w:val="21"/>
        </w:rPr>
        <w:t>、商誉</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商誉账面原值" w:id="288"/>
      <w:bookmarkEnd w:id="28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）商誉账面原值</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7"/>
        <w:gridCol w:w="1367"/>
        <w:gridCol w:w="1368"/>
        <w:gridCol w:w="1367"/>
        <w:gridCol w:w="1367"/>
        <w:gridCol w:w="1367"/>
        <w:gridCol w:w="1367"/>
      </w:tblGrid>
      <w:tr>
        <w:trPr>
          <w:trHeight w:val="1025"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38" w:right="137"/>
              <w:jc w:val="center"/>
              <w:rPr>
                <w:rFonts w:ascii="宋体" w:hAnsi="宋体" w:cs="宋体" w:eastAsia="宋体" w:hint="default"/>
                <w:sz w:val="18"/>
                <w:szCs w:val="18"/>
              </w:rPr>
            </w:pPr>
            <w:r>
              <w:rPr>
                <w:rFonts w:ascii="宋体" w:hAnsi="宋体" w:cs="宋体" w:eastAsia="宋体" w:hint="default"/>
                <w:sz w:val="18"/>
                <w:szCs w:val="18"/>
              </w:rPr>
              <w:t>被投资单位名 称或形成商誉 的事项</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367" w:type="dxa"/>
            <w:tcBorders>
              <w:top w:val="single" w:sz="4" w:space="0" w:color="000000"/>
              <w:left w:val="single" w:sz="4" w:space="0" w:color="000000"/>
              <w:bottom w:val="single" w:sz="4" w:space="0" w:color="000000"/>
              <w:right w:val="single" w:sz="4" w:space="0" w:color="000000"/>
            </w:tcBorders>
            <w:shd w:val="clear" w:color="auto" w:fill="E0FFFF"/>
          </w:tcPr>
          <w:p>
            <w:pPr>
              <w:pStyle w:val="TableParagraph"/>
              <w:spacing w:line="316" w:lineRule="auto" w:before="52"/>
              <w:ind w:left="103" w:right="172"/>
              <w:jc w:val="left"/>
              <w:rPr>
                <w:rFonts w:ascii="宋体" w:hAnsi="宋体" w:cs="宋体" w:eastAsia="宋体" w:hint="default"/>
                <w:sz w:val="18"/>
                <w:szCs w:val="18"/>
              </w:rPr>
            </w:pPr>
            <w:r>
              <w:rPr>
                <w:rFonts w:ascii="宋体" w:hAnsi="宋体" w:cs="宋体" w:eastAsia="宋体" w:hint="default"/>
                <w:sz w:val="18"/>
                <w:szCs w:val="18"/>
              </w:rPr>
              <w:t>上海追索信息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10,737,367.68</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116" w:right="0"/>
              <w:jc w:val="center"/>
              <w:rPr>
                <w:rFonts w:ascii="Times New Roman" w:hAnsi="Times New Roman" w:cs="Times New Roman" w:eastAsia="Times New Roman" w:hint="default"/>
                <w:sz w:val="18"/>
                <w:szCs w:val="18"/>
              </w:rPr>
            </w:pPr>
            <w:r>
              <w:rPr>
                <w:rFonts w:ascii="Times New Roman"/>
                <w:sz w:val="18"/>
              </w:rPr>
              <w:t>10,737,367.68</w:t>
            </w:r>
          </w:p>
        </w:tc>
      </w:tr>
      <w:tr>
        <w:trPr>
          <w:trHeight w:val="403"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10,737,367.68</w:t>
            </w:r>
          </w:p>
        </w:tc>
        <w:tc>
          <w:tcPr>
            <w:tcW w:w="1368"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116" w:right="0"/>
              <w:jc w:val="center"/>
              <w:rPr>
                <w:rFonts w:ascii="Times New Roman" w:hAnsi="Times New Roman" w:cs="Times New Roman" w:eastAsia="Times New Roman" w:hint="default"/>
                <w:sz w:val="18"/>
                <w:szCs w:val="18"/>
              </w:rPr>
            </w:pPr>
            <w:r>
              <w:rPr>
                <w:rFonts w:ascii="Times New Roman"/>
                <w:sz w:val="18"/>
              </w:rPr>
              <w:t>10,737,367.68</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商誉减值准备" w:id="289"/>
      <w:bookmarkEnd w:id="28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）商誉减值准备</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7"/>
        <w:gridCol w:w="1367"/>
        <w:gridCol w:w="2735"/>
        <w:gridCol w:w="2734"/>
        <w:gridCol w:w="1367"/>
      </w:tblGrid>
      <w:tr>
        <w:trPr>
          <w:trHeight w:val="1026" w:hRule="exact"/>
        </w:trPr>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38" w:right="137"/>
              <w:jc w:val="center"/>
              <w:rPr>
                <w:rFonts w:ascii="宋体" w:hAnsi="宋体" w:cs="宋体" w:eastAsia="宋体" w:hint="default"/>
                <w:sz w:val="18"/>
                <w:szCs w:val="18"/>
              </w:rPr>
            </w:pPr>
            <w:r>
              <w:rPr>
                <w:rFonts w:ascii="宋体" w:hAnsi="宋体" w:cs="宋体" w:eastAsia="宋体" w:hint="default"/>
                <w:sz w:val="18"/>
                <w:szCs w:val="18"/>
              </w:rPr>
              <w:t>被投资单位名 称或形成商誉 的事项</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2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本期增加</w:t>
            </w:r>
          </w:p>
        </w:tc>
        <w:tc>
          <w:tcPr>
            <w:tcW w:w="2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本期减少</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8"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商誉所在资产组或资产组组合的相关信息</w:t>
      </w:r>
    </w:p>
    <w:p>
      <w:pPr>
        <w:spacing w:line="273" w:lineRule="auto" w:before="89"/>
        <w:ind w:left="1248" w:right="1218" w:firstLine="0"/>
        <w:jc w:val="left"/>
        <w:rPr>
          <w:rFonts w:ascii="宋体" w:hAnsi="宋体" w:cs="宋体" w:eastAsia="宋体" w:hint="default"/>
          <w:sz w:val="21"/>
          <w:szCs w:val="21"/>
        </w:rPr>
      </w:pPr>
      <w:r>
        <w:rPr>
          <w:rFonts w:ascii="宋体" w:hAnsi="宋体" w:cs="宋体" w:eastAsia="宋体" w:hint="default"/>
          <w:sz w:val="21"/>
          <w:szCs w:val="21"/>
        </w:rPr>
        <w:t>上海追索信息科技有限公司于评估基准日的评估范围是公司形成商誉的资产组涉及的资产， 该资产组与购买日及以前年度商誉减值测试时所确定的资产组一致。</w:t>
      </w:r>
    </w:p>
    <w:p>
      <w:pPr>
        <w:spacing w:line="240" w:lineRule="auto" w:before="6"/>
        <w:rPr>
          <w:rFonts w:ascii="宋体" w:hAnsi="宋体" w:cs="宋体" w:eastAsia="宋体" w:hint="default"/>
          <w:sz w:val="24"/>
          <w:szCs w:val="24"/>
        </w:rPr>
      </w:pPr>
    </w:p>
    <w:p>
      <w:pPr>
        <w:spacing w:line="266" w:lineRule="auto" w:before="0"/>
        <w:ind w:left="1248" w:right="1183" w:firstLine="0"/>
        <w:jc w:val="left"/>
        <w:rPr>
          <w:rFonts w:ascii="宋体" w:hAnsi="宋体" w:cs="宋体" w:eastAsia="宋体" w:hint="default"/>
          <w:sz w:val="21"/>
          <w:szCs w:val="21"/>
        </w:rPr>
      </w:pPr>
      <w:r>
        <w:rPr>
          <w:rFonts w:ascii="宋体" w:hAnsi="宋体" w:cs="宋体" w:eastAsia="宋体" w:hint="default"/>
          <w:sz w:val="21"/>
          <w:szCs w:val="21"/>
        </w:rPr>
        <w:t>该资产组预计未来现金流量的现值（可收回金额）利用了江苏中企华中天资产评估有限公司 于</w:t>
      </w:r>
      <w:r>
        <w:rPr>
          <w:rFonts w:ascii="Times New Roman" w:hAnsi="Times New Roman" w:cs="Times New Roman" w:eastAsia="Times New Roman" w:hint="default"/>
          <w:sz w:val="21"/>
          <w:szCs w:val="21"/>
        </w:rPr>
        <w:t>2019</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29</w:t>
      </w:r>
      <w:r>
        <w:rPr>
          <w:rFonts w:ascii="宋体" w:hAnsi="宋体" w:cs="宋体" w:eastAsia="宋体" w:hint="default"/>
          <w:sz w:val="21"/>
          <w:szCs w:val="21"/>
        </w:rPr>
        <w:t>日出具的苏中资评报字</w:t>
      </w:r>
      <w:r>
        <w:rPr>
          <w:rFonts w:ascii="Times New Roman" w:hAnsi="Times New Roman" w:cs="Times New Roman" w:eastAsia="Times New Roman" w:hint="default"/>
          <w:sz w:val="21"/>
          <w:szCs w:val="21"/>
        </w:rPr>
        <w:t>(2019)</w:t>
      </w:r>
      <w:r>
        <w:rPr>
          <w:rFonts w:ascii="宋体" w:hAnsi="宋体" w:cs="宋体" w:eastAsia="宋体" w:hint="default"/>
          <w:sz w:val="21"/>
          <w:szCs w:val="21"/>
        </w:rPr>
        <w:t>第</w:t>
      </w:r>
      <w:r>
        <w:rPr>
          <w:rFonts w:ascii="Times New Roman" w:hAnsi="Times New Roman" w:cs="Times New Roman" w:eastAsia="Times New Roman" w:hint="default"/>
          <w:sz w:val="21"/>
          <w:szCs w:val="21"/>
        </w:rPr>
        <w:t>1010</w:t>
      </w:r>
      <w:r>
        <w:rPr>
          <w:rFonts w:ascii="宋体" w:hAnsi="宋体" w:cs="宋体" w:eastAsia="宋体" w:hint="default"/>
          <w:sz w:val="21"/>
          <w:szCs w:val="21"/>
        </w:rPr>
        <w:t>号《上海中信信息发展股份有限公司拟进 行减值测试所涉及上海追索信息科技有限公司商誉和相关资产组合可回收价值资产评估报 </w:t>
      </w:r>
      <w:r>
        <w:rPr>
          <w:rFonts w:ascii="宋体" w:hAnsi="宋体" w:cs="宋体" w:eastAsia="宋体" w:hint="default"/>
          <w:spacing w:val="-35"/>
          <w:sz w:val="21"/>
          <w:szCs w:val="21"/>
        </w:rPr>
        <w:t>告》。</w:t>
      </w:r>
    </w:p>
    <w:p>
      <w:pPr>
        <w:spacing w:line="240" w:lineRule="auto" w:before="13"/>
        <w:rPr>
          <w:rFonts w:ascii="宋体" w:hAnsi="宋体" w:cs="宋体" w:eastAsia="宋体" w:hint="default"/>
          <w:sz w:val="29"/>
          <w:szCs w:val="29"/>
        </w:rPr>
      </w:pPr>
    </w:p>
    <w:p>
      <w:pPr>
        <w:spacing w:line="319" w:lineRule="auto" w:before="0"/>
        <w:ind w:left="114" w:right="0" w:firstLine="0"/>
        <w:jc w:val="left"/>
        <w:rPr>
          <w:rFonts w:ascii="宋体" w:hAnsi="宋体" w:cs="宋体" w:eastAsia="宋体" w:hint="default"/>
          <w:sz w:val="18"/>
          <w:szCs w:val="18"/>
        </w:rPr>
      </w:pPr>
      <w:r>
        <w:rPr>
          <w:rFonts w:ascii="宋体" w:hAnsi="宋体" w:cs="宋体" w:eastAsia="宋体" w:hint="default"/>
          <w:spacing w:val="-2"/>
          <w:sz w:val="18"/>
          <w:szCs w:val="18"/>
        </w:rPr>
        <w:t>说明商誉减值测试过程、关键参数（如预计未来现金流量现值时的预测期增长率、稳定期增长率、利润率、折现率、预测期</w:t>
      </w:r>
      <w:r>
        <w:rPr>
          <w:rFonts w:ascii="宋体" w:hAnsi="宋体" w:cs="宋体" w:eastAsia="宋体" w:hint="default"/>
          <w:spacing w:val="-68"/>
          <w:sz w:val="18"/>
          <w:szCs w:val="18"/>
        </w:rPr>
        <w:t> </w:t>
      </w:r>
      <w:r>
        <w:rPr>
          <w:rFonts w:ascii="宋体" w:hAnsi="宋体" w:cs="宋体" w:eastAsia="宋体" w:hint="default"/>
          <w:spacing w:val="-68"/>
          <w:sz w:val="18"/>
          <w:szCs w:val="18"/>
        </w:rPr>
      </w:r>
      <w:r>
        <w:rPr>
          <w:rFonts w:ascii="宋体" w:hAnsi="宋体" w:cs="宋体" w:eastAsia="宋体" w:hint="default"/>
          <w:sz w:val="18"/>
          <w:szCs w:val="18"/>
        </w:rPr>
        <w:t>等）及商誉减值损失的确认方法：</w:t>
      </w:r>
    </w:p>
    <w:p>
      <w:pPr>
        <w:spacing w:line="273" w:lineRule="auto" w:before="30"/>
        <w:ind w:left="1390" w:right="1286" w:firstLine="360"/>
        <w:jc w:val="left"/>
        <w:rPr>
          <w:rFonts w:ascii="宋体" w:hAnsi="宋体" w:cs="宋体" w:eastAsia="宋体" w:hint="default"/>
          <w:sz w:val="21"/>
          <w:szCs w:val="21"/>
        </w:rPr>
      </w:pPr>
      <w:r>
        <w:rPr>
          <w:rFonts w:ascii="宋体" w:hAnsi="宋体" w:cs="宋体" w:eastAsia="宋体" w:hint="default"/>
          <w:sz w:val="21"/>
          <w:szCs w:val="21"/>
        </w:rPr>
        <w:t>上述评估报告中的重要假设依据： 假设评估基准日后上海追索信息科技有限公司采用的会计政策和编写此次资产评估报告时</w:t>
      </w:r>
    </w:p>
    <w:p>
      <w:pPr>
        <w:spacing w:line="273" w:lineRule="auto" w:before="7"/>
        <w:ind w:left="1390" w:right="1116" w:firstLine="360"/>
        <w:jc w:val="left"/>
        <w:rPr>
          <w:rFonts w:ascii="宋体" w:hAnsi="宋体" w:cs="宋体" w:eastAsia="宋体" w:hint="default"/>
          <w:sz w:val="21"/>
          <w:szCs w:val="21"/>
        </w:rPr>
      </w:pPr>
      <w:r>
        <w:rPr>
          <w:rFonts w:ascii="宋体" w:hAnsi="宋体" w:cs="宋体" w:eastAsia="宋体" w:hint="default"/>
          <w:sz w:val="21"/>
          <w:szCs w:val="21"/>
        </w:rPr>
        <w:t>所采用的会计政策在重要方面保持一致； </w:t>
      </w:r>
      <w:r>
        <w:rPr>
          <w:rFonts w:ascii="宋体" w:hAnsi="宋体" w:cs="宋体" w:eastAsia="宋体" w:hint="default"/>
          <w:spacing w:val="-1"/>
          <w:sz w:val="21"/>
          <w:szCs w:val="21"/>
        </w:rPr>
        <w:t>假设评估基准日后上海追索信息科技有限公司在现有管理方式和管理水平的基础上，经营范</w:t>
      </w:r>
    </w:p>
    <w:p>
      <w:pPr>
        <w:spacing w:line="273" w:lineRule="auto" w:before="7"/>
        <w:ind w:left="1390" w:right="1496" w:firstLine="360"/>
        <w:jc w:val="left"/>
        <w:rPr>
          <w:rFonts w:ascii="宋体" w:hAnsi="宋体" w:cs="宋体" w:eastAsia="宋体" w:hint="default"/>
          <w:sz w:val="21"/>
          <w:szCs w:val="21"/>
        </w:rPr>
      </w:pPr>
      <w:r>
        <w:rPr>
          <w:rFonts w:ascii="宋体" w:hAnsi="宋体" w:cs="宋体" w:eastAsia="宋体" w:hint="default"/>
          <w:sz w:val="21"/>
          <w:szCs w:val="21"/>
        </w:rPr>
        <w:t>围、方式与目前保持一致； 假设评估基准日后上海追索信息科技有限公司营运能力水平与评估基准日保持一致； 假设评估基准日后上海追索信息科技有限公司资本结构与行业平均资本结构保持一致； 假设评估基准日后上海追索信息科技有限公司的现金流保持目前基本均匀发生的状况。</w:t>
      </w:r>
    </w:p>
    <w:p>
      <w:pPr>
        <w:spacing w:line="240" w:lineRule="auto" w:before="6"/>
        <w:rPr>
          <w:rFonts w:ascii="宋体" w:hAnsi="宋体" w:cs="宋体" w:eastAsia="宋体" w:hint="default"/>
          <w:sz w:val="24"/>
          <w:szCs w:val="24"/>
        </w:rPr>
      </w:pPr>
    </w:p>
    <w:p>
      <w:pPr>
        <w:spacing w:before="0"/>
        <w:ind w:left="1898" w:right="0" w:firstLine="0"/>
        <w:jc w:val="left"/>
        <w:rPr>
          <w:rFonts w:ascii="宋体" w:hAnsi="宋体" w:cs="宋体" w:eastAsia="宋体" w:hint="default"/>
          <w:sz w:val="21"/>
          <w:szCs w:val="21"/>
        </w:rPr>
      </w:pPr>
      <w:r>
        <w:rPr>
          <w:rFonts w:ascii="宋体" w:hAnsi="宋体" w:cs="宋体" w:eastAsia="宋体" w:hint="default"/>
          <w:sz w:val="21"/>
          <w:szCs w:val="21"/>
        </w:rPr>
        <w:t>2.</w:t>
      </w:r>
      <w:r>
        <w:rPr>
          <w:rFonts w:ascii="宋体" w:hAnsi="宋体" w:cs="宋体" w:eastAsia="宋体" w:hint="default"/>
          <w:sz w:val="21"/>
          <w:szCs w:val="21"/>
        </w:rPr>
        <w:t>关键参数</w:t>
      </w:r>
    </w:p>
    <w:p>
      <w:pPr>
        <w:spacing w:line="240" w:lineRule="auto" w:before="13"/>
        <w:rPr>
          <w:rFonts w:ascii="宋体" w:hAnsi="宋体" w:cs="宋体" w:eastAsia="宋体" w:hint="default"/>
          <w:sz w:val="3"/>
          <w:szCs w:val="3"/>
        </w:rPr>
      </w:pPr>
    </w:p>
    <w:tbl>
      <w:tblPr>
        <w:tblW w:w="0" w:type="auto"/>
        <w:jc w:val="left"/>
        <w:tblInd w:w="713" w:type="dxa"/>
        <w:tblLayout w:type="fixed"/>
        <w:tblCellMar>
          <w:top w:w="0" w:type="dxa"/>
          <w:left w:w="0" w:type="dxa"/>
          <w:bottom w:w="0" w:type="dxa"/>
          <w:right w:w="0" w:type="dxa"/>
        </w:tblCellMar>
        <w:tblLook w:val="01E0"/>
      </w:tblPr>
      <w:tblGrid>
        <w:gridCol w:w="1429"/>
        <w:gridCol w:w="1824"/>
        <w:gridCol w:w="1296"/>
        <w:gridCol w:w="1394"/>
        <w:gridCol w:w="1078"/>
        <w:gridCol w:w="1140"/>
      </w:tblGrid>
      <w:tr>
        <w:trPr>
          <w:trHeight w:val="355" w:hRule="exact"/>
        </w:trPr>
        <w:tc>
          <w:tcPr>
            <w:tcW w:w="1429" w:type="dxa"/>
            <w:vMerge w:val="restart"/>
            <w:tcBorders>
              <w:top w:val="single" w:sz="6" w:space="0" w:color="000000"/>
              <w:left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单位</w:t>
            </w:r>
          </w:p>
        </w:tc>
        <w:tc>
          <w:tcPr>
            <w:tcW w:w="6733" w:type="dxa"/>
            <w:gridSpan w:val="5"/>
            <w:tcBorders>
              <w:top w:val="single" w:sz="6" w:space="0" w:color="000000"/>
              <w:left w:val="single" w:sz="6" w:space="0" w:color="000000"/>
              <w:bottom w:val="single" w:sz="12" w:space="0" w:color="000000"/>
              <w:right w:val="nil" w:sz="6" w:space="0" w:color="auto"/>
            </w:tcBorders>
          </w:tcPr>
          <w:p>
            <w:pPr>
              <w:pStyle w:val="TableParagraph"/>
              <w:spacing w:line="271" w:lineRule="exact"/>
              <w:ind w:right="7"/>
              <w:jc w:val="center"/>
              <w:rPr>
                <w:rFonts w:ascii="宋体" w:hAnsi="宋体" w:cs="宋体" w:eastAsia="宋体" w:hint="default"/>
                <w:sz w:val="21"/>
                <w:szCs w:val="21"/>
              </w:rPr>
            </w:pPr>
            <w:r>
              <w:rPr>
                <w:rFonts w:ascii="宋体" w:hAnsi="宋体" w:cs="宋体" w:eastAsia="宋体" w:hint="default"/>
                <w:sz w:val="21"/>
                <w:szCs w:val="21"/>
              </w:rPr>
              <w:t>关键参数</w:t>
            </w:r>
          </w:p>
        </w:tc>
      </w:tr>
      <w:tr>
        <w:trPr>
          <w:trHeight w:val="664" w:hRule="exact"/>
        </w:trPr>
        <w:tc>
          <w:tcPr>
            <w:tcW w:w="1429" w:type="dxa"/>
            <w:vMerge/>
            <w:tcBorders>
              <w:left w:val="single" w:sz="6" w:space="0" w:color="000000"/>
              <w:bottom w:val="single" w:sz="12" w:space="0" w:color="000000"/>
              <w:right w:val="single" w:sz="6" w:space="0" w:color="000000"/>
            </w:tcBorders>
          </w:tcPr>
          <w:p>
            <w:pPr/>
          </w:p>
        </w:tc>
        <w:tc>
          <w:tcPr>
            <w:tcW w:w="182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589" w:right="0"/>
              <w:jc w:val="left"/>
              <w:rPr>
                <w:rFonts w:ascii="宋体" w:hAnsi="宋体" w:cs="宋体" w:eastAsia="宋体" w:hint="default"/>
                <w:sz w:val="21"/>
                <w:szCs w:val="21"/>
              </w:rPr>
            </w:pPr>
            <w:r>
              <w:rPr>
                <w:rFonts w:ascii="宋体" w:hAnsi="宋体" w:cs="宋体" w:eastAsia="宋体" w:hint="default"/>
                <w:sz w:val="21"/>
                <w:szCs w:val="21"/>
              </w:rPr>
              <w:t>预测期</w:t>
            </w:r>
          </w:p>
        </w:tc>
        <w:tc>
          <w:tcPr>
            <w:tcW w:w="1296"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9" w:right="0"/>
              <w:jc w:val="left"/>
              <w:rPr>
                <w:rFonts w:ascii="宋体" w:hAnsi="宋体" w:cs="宋体" w:eastAsia="宋体" w:hint="default"/>
                <w:sz w:val="21"/>
                <w:szCs w:val="21"/>
              </w:rPr>
            </w:pPr>
            <w:r>
              <w:rPr>
                <w:rFonts w:ascii="宋体" w:hAnsi="宋体" w:cs="宋体" w:eastAsia="宋体" w:hint="default"/>
                <w:sz w:val="21"/>
                <w:szCs w:val="21"/>
              </w:rPr>
              <w:t>预测期增长率</w:t>
            </w:r>
          </w:p>
        </w:tc>
        <w:tc>
          <w:tcPr>
            <w:tcW w:w="139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60" w:right="0"/>
              <w:jc w:val="left"/>
              <w:rPr>
                <w:rFonts w:ascii="宋体" w:hAnsi="宋体" w:cs="宋体" w:eastAsia="宋体" w:hint="default"/>
                <w:sz w:val="21"/>
                <w:szCs w:val="21"/>
              </w:rPr>
            </w:pPr>
            <w:r>
              <w:rPr>
                <w:rFonts w:ascii="宋体" w:hAnsi="宋体" w:cs="宋体" w:eastAsia="宋体" w:hint="default"/>
                <w:sz w:val="21"/>
                <w:szCs w:val="21"/>
              </w:rPr>
              <w:t>稳定期增长率</w:t>
            </w:r>
          </w:p>
        </w:tc>
        <w:tc>
          <w:tcPr>
            <w:tcW w:w="107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17" w:right="0"/>
              <w:jc w:val="left"/>
              <w:rPr>
                <w:rFonts w:ascii="宋体" w:hAnsi="宋体" w:cs="宋体" w:eastAsia="宋体" w:hint="default"/>
                <w:sz w:val="21"/>
                <w:szCs w:val="21"/>
              </w:rPr>
            </w:pPr>
            <w:r>
              <w:rPr>
                <w:rFonts w:ascii="宋体" w:hAnsi="宋体" w:cs="宋体" w:eastAsia="宋体" w:hint="default"/>
                <w:sz w:val="21"/>
                <w:szCs w:val="21"/>
              </w:rPr>
              <w:t>利润率</w:t>
            </w:r>
          </w:p>
        </w:tc>
        <w:tc>
          <w:tcPr>
            <w:tcW w:w="1140"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37" w:right="0"/>
              <w:jc w:val="left"/>
              <w:rPr>
                <w:rFonts w:ascii="宋体" w:hAnsi="宋体" w:cs="宋体" w:eastAsia="宋体" w:hint="default"/>
                <w:sz w:val="21"/>
                <w:szCs w:val="21"/>
              </w:rPr>
            </w:pPr>
            <w:r>
              <w:rPr>
                <w:rFonts w:ascii="宋体" w:hAnsi="宋体" w:cs="宋体" w:eastAsia="宋体" w:hint="default"/>
                <w:sz w:val="21"/>
                <w:szCs w:val="21"/>
              </w:rPr>
              <w:t>折现率（加</w:t>
            </w:r>
          </w:p>
          <w:p>
            <w:pPr>
              <w:pStyle w:val="TableParagraph"/>
              <w:spacing w:line="240" w:lineRule="auto" w:before="37"/>
              <w:ind w:left="37" w:right="0"/>
              <w:jc w:val="left"/>
              <w:rPr>
                <w:rFonts w:ascii="宋体" w:hAnsi="宋体" w:cs="宋体" w:eastAsia="宋体" w:hint="default"/>
                <w:sz w:val="21"/>
                <w:szCs w:val="21"/>
              </w:rPr>
            </w:pPr>
            <w:r>
              <w:rPr>
                <w:rFonts w:ascii="宋体" w:hAnsi="宋体" w:cs="宋体" w:eastAsia="宋体" w:hint="default"/>
                <w:sz w:val="21"/>
                <w:szCs w:val="21"/>
              </w:rPr>
              <w:t>权平均资本</w:t>
            </w:r>
          </w:p>
        </w:tc>
      </w:tr>
    </w:tbl>
    <w:p>
      <w:pPr>
        <w:spacing w:after="0" w:line="240"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713" w:type="dxa"/>
        <w:tblLayout w:type="fixed"/>
        <w:tblCellMar>
          <w:top w:w="0" w:type="dxa"/>
          <w:left w:w="0" w:type="dxa"/>
          <w:bottom w:w="0" w:type="dxa"/>
          <w:right w:w="0" w:type="dxa"/>
        </w:tblCellMar>
        <w:tblLook w:val="01E0"/>
      </w:tblPr>
      <w:tblGrid>
        <w:gridCol w:w="1429"/>
        <w:gridCol w:w="1824"/>
        <w:gridCol w:w="1296"/>
        <w:gridCol w:w="1394"/>
        <w:gridCol w:w="1078"/>
        <w:gridCol w:w="297"/>
        <w:gridCol w:w="843"/>
      </w:tblGrid>
      <w:tr>
        <w:trPr>
          <w:trHeight w:val="355" w:hRule="exact"/>
        </w:trPr>
        <w:tc>
          <w:tcPr>
            <w:tcW w:w="1429" w:type="dxa"/>
            <w:tcBorders>
              <w:top w:val="single" w:sz="6" w:space="0" w:color="000000"/>
              <w:left w:val="single" w:sz="6" w:space="0" w:color="000000"/>
              <w:bottom w:val="single" w:sz="12" w:space="0" w:color="000000"/>
              <w:right w:val="single" w:sz="6" w:space="0" w:color="000000"/>
            </w:tcBorders>
          </w:tcPr>
          <w:p>
            <w:pPr/>
          </w:p>
        </w:tc>
        <w:tc>
          <w:tcPr>
            <w:tcW w:w="1824" w:type="dxa"/>
            <w:tcBorders>
              <w:top w:val="single" w:sz="6" w:space="0" w:color="000000"/>
              <w:left w:val="single" w:sz="6" w:space="0" w:color="000000"/>
              <w:bottom w:val="single" w:sz="12" w:space="0" w:color="000000"/>
              <w:right w:val="single" w:sz="6" w:space="0" w:color="000000"/>
            </w:tcBorders>
          </w:tcPr>
          <w:p>
            <w:pPr/>
          </w:p>
        </w:tc>
        <w:tc>
          <w:tcPr>
            <w:tcW w:w="1296" w:type="dxa"/>
            <w:tcBorders>
              <w:top w:val="single" w:sz="6" w:space="0" w:color="000000"/>
              <w:left w:val="single" w:sz="6" w:space="0" w:color="000000"/>
              <w:bottom w:val="single" w:sz="12" w:space="0" w:color="000000"/>
              <w:right w:val="single" w:sz="6" w:space="0" w:color="000000"/>
            </w:tcBorders>
          </w:tcPr>
          <w:p>
            <w:pPr/>
          </w:p>
        </w:tc>
        <w:tc>
          <w:tcPr>
            <w:tcW w:w="1394" w:type="dxa"/>
            <w:tcBorders>
              <w:top w:val="single" w:sz="6" w:space="0" w:color="000000"/>
              <w:left w:val="single" w:sz="6" w:space="0" w:color="000000"/>
              <w:bottom w:val="single" w:sz="12" w:space="0" w:color="000000"/>
              <w:right w:val="single" w:sz="6" w:space="0" w:color="000000"/>
            </w:tcBorders>
          </w:tcPr>
          <w:p>
            <w:pPr/>
          </w:p>
        </w:tc>
        <w:tc>
          <w:tcPr>
            <w:tcW w:w="1078" w:type="dxa"/>
            <w:tcBorders>
              <w:top w:val="single" w:sz="6" w:space="0" w:color="000000"/>
              <w:left w:val="single" w:sz="6" w:space="0" w:color="000000"/>
              <w:bottom w:val="single" w:sz="12" w:space="0" w:color="000000"/>
              <w:right w:val="single" w:sz="6" w:space="0" w:color="000000"/>
            </w:tcBorders>
          </w:tcPr>
          <w:p>
            <w:pPr/>
          </w:p>
        </w:tc>
        <w:tc>
          <w:tcPr>
            <w:tcW w:w="1140" w:type="dxa"/>
            <w:gridSpan w:val="2"/>
            <w:tcBorders>
              <w:top w:val="single" w:sz="6" w:space="0" w:color="000000"/>
              <w:left w:val="single" w:sz="6" w:space="0" w:color="000000"/>
              <w:bottom w:val="single" w:sz="12" w:space="0" w:color="000000"/>
              <w:right w:val="nil" w:sz="6" w:space="0" w:color="auto"/>
            </w:tcBorders>
          </w:tcPr>
          <w:p>
            <w:pPr>
              <w:pStyle w:val="TableParagraph"/>
              <w:spacing w:line="271" w:lineRule="exact"/>
              <w:ind w:left="90" w:right="0"/>
              <w:jc w:val="left"/>
              <w:rPr>
                <w:rFonts w:ascii="宋体" w:hAnsi="宋体" w:cs="宋体" w:eastAsia="宋体" w:hint="default"/>
                <w:sz w:val="21"/>
                <w:szCs w:val="21"/>
              </w:rPr>
            </w:pPr>
            <w:r>
              <w:rPr>
                <w:rFonts w:ascii="宋体" w:hAnsi="宋体" w:cs="宋体" w:eastAsia="宋体" w:hint="default"/>
                <w:sz w:val="21"/>
                <w:szCs w:val="21"/>
              </w:rPr>
              <w:t>成本</w:t>
            </w:r>
            <w:r>
              <w:rPr>
                <w:rFonts w:ascii="宋体" w:hAnsi="宋体" w:cs="宋体" w:eastAsia="宋体" w:hint="default"/>
                <w:sz w:val="21"/>
                <w:szCs w:val="21"/>
              </w:rPr>
              <w:t>WACC)</w:t>
            </w:r>
          </w:p>
        </w:tc>
      </w:tr>
      <w:tr>
        <w:trPr>
          <w:trHeight w:val="976" w:hRule="exact"/>
        </w:trPr>
        <w:tc>
          <w:tcPr>
            <w:tcW w:w="142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上海追索信息</w:t>
            </w:r>
          </w:p>
          <w:p>
            <w:pPr>
              <w:pStyle w:val="TableParagraph"/>
              <w:spacing w:line="240" w:lineRule="auto" w:before="37"/>
              <w:ind w:left="2" w:right="0"/>
              <w:jc w:val="left"/>
              <w:rPr>
                <w:rFonts w:ascii="宋体" w:hAnsi="宋体" w:cs="宋体" w:eastAsia="宋体" w:hint="default"/>
                <w:sz w:val="21"/>
                <w:szCs w:val="21"/>
              </w:rPr>
            </w:pPr>
            <w:r>
              <w:rPr>
                <w:rFonts w:ascii="宋体" w:hAnsi="宋体" w:cs="宋体" w:eastAsia="宋体" w:hint="default"/>
                <w:sz w:val="21"/>
                <w:szCs w:val="21"/>
              </w:rPr>
              <w:t>科技有限公司</w:t>
            </w:r>
          </w:p>
        </w:tc>
        <w:tc>
          <w:tcPr>
            <w:tcW w:w="182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2019</w:t>
            </w:r>
            <w:r>
              <w:rPr>
                <w:rFonts w:ascii="宋体" w:hAnsi="宋体" w:cs="宋体" w:eastAsia="宋体" w:hint="default"/>
                <w:sz w:val="21"/>
                <w:szCs w:val="21"/>
              </w:rPr>
              <w:t>年</w:t>
            </w:r>
            <w:r>
              <w:rPr>
                <w:rFonts w:ascii="宋体" w:hAnsi="宋体" w:cs="宋体" w:eastAsia="宋体" w:hint="default"/>
                <w:sz w:val="21"/>
                <w:szCs w:val="21"/>
              </w:rPr>
              <w:t>-2023</w:t>
            </w:r>
            <w:r>
              <w:rPr>
                <w:rFonts w:ascii="宋体" w:hAnsi="宋体" w:cs="宋体" w:eastAsia="宋体" w:hint="default"/>
                <w:sz w:val="21"/>
                <w:szCs w:val="21"/>
              </w:rPr>
              <w:t>年（后</w:t>
            </w:r>
          </w:p>
          <w:p>
            <w:pPr>
              <w:pStyle w:val="TableParagraph"/>
              <w:spacing w:line="240" w:lineRule="auto" w:before="37"/>
              <w:ind w:left="2" w:right="0"/>
              <w:jc w:val="left"/>
              <w:rPr>
                <w:rFonts w:ascii="宋体" w:hAnsi="宋体" w:cs="宋体" w:eastAsia="宋体" w:hint="default"/>
                <w:sz w:val="21"/>
                <w:szCs w:val="21"/>
              </w:rPr>
            </w:pPr>
            <w:r>
              <w:rPr>
                <w:rFonts w:ascii="宋体" w:hAnsi="宋体" w:cs="宋体" w:eastAsia="宋体" w:hint="default"/>
                <w:sz w:val="21"/>
                <w:szCs w:val="21"/>
              </w:rPr>
              <w:t>续为稳定期）</w:t>
            </w:r>
          </w:p>
        </w:tc>
        <w:tc>
          <w:tcPr>
            <w:tcW w:w="1296"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sz w:val="21"/>
              </w:rPr>
              <w:t>5%</w:t>
            </w:r>
          </w:p>
        </w:tc>
        <w:tc>
          <w:tcPr>
            <w:tcW w:w="1394"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sz w:val="21"/>
              </w:rPr>
              <w:t>5%</w:t>
            </w:r>
          </w:p>
        </w:tc>
        <w:tc>
          <w:tcPr>
            <w:tcW w:w="107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3" w:right="0"/>
              <w:jc w:val="left"/>
              <w:rPr>
                <w:rFonts w:ascii="宋体" w:hAnsi="宋体" w:cs="宋体" w:eastAsia="宋体" w:hint="default"/>
                <w:sz w:val="21"/>
                <w:szCs w:val="21"/>
              </w:rPr>
            </w:pPr>
            <w:r>
              <w:rPr>
                <w:rFonts w:ascii="宋体" w:hAnsi="宋体" w:cs="宋体" w:eastAsia="宋体" w:hint="default"/>
                <w:sz w:val="21"/>
                <w:szCs w:val="21"/>
              </w:rPr>
              <w:t>根据预测的</w:t>
            </w:r>
          </w:p>
          <w:p>
            <w:pPr>
              <w:pStyle w:val="TableParagraph"/>
              <w:spacing w:line="273" w:lineRule="auto" w:before="37"/>
              <w:ind w:left="3" w:right="9"/>
              <w:jc w:val="left"/>
              <w:rPr>
                <w:rFonts w:ascii="宋体" w:hAnsi="宋体" w:cs="宋体" w:eastAsia="宋体" w:hint="default"/>
                <w:sz w:val="21"/>
                <w:szCs w:val="21"/>
              </w:rPr>
            </w:pPr>
            <w:r>
              <w:rPr>
                <w:rFonts w:ascii="宋体" w:hAnsi="宋体" w:cs="宋体" w:eastAsia="宋体" w:hint="default"/>
                <w:spacing w:val="-20"/>
                <w:sz w:val="21"/>
                <w:szCs w:val="21"/>
              </w:rPr>
              <w:t>收入、成本</w:t>
            </w:r>
            <w:r>
              <w:rPr>
                <w:rFonts w:ascii="宋体" w:hAnsi="宋体" w:cs="宋体" w:eastAsia="宋体" w:hint="default"/>
                <w:sz w:val="21"/>
                <w:szCs w:val="21"/>
              </w:rPr>
              <w:t> 费用等计算</w:t>
            </w:r>
          </w:p>
        </w:tc>
        <w:tc>
          <w:tcPr>
            <w:tcW w:w="297" w:type="dxa"/>
            <w:tcBorders>
              <w:top w:val="single" w:sz="12" w:space="0" w:color="000000"/>
              <w:left w:val="single" w:sz="6"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22"/>
                <w:szCs w:val="22"/>
              </w:rPr>
            </w:pPr>
          </w:p>
          <w:p>
            <w:pPr>
              <w:pStyle w:val="TableParagraph"/>
              <w:spacing w:line="240" w:lineRule="auto"/>
              <w:ind w:left="-123" w:right="0"/>
              <w:jc w:val="left"/>
              <w:rPr>
                <w:rFonts w:ascii="宋体" w:hAnsi="宋体" w:cs="宋体" w:eastAsia="宋体" w:hint="default"/>
                <w:sz w:val="21"/>
                <w:szCs w:val="21"/>
              </w:rPr>
            </w:pPr>
            <w:r>
              <w:rPr>
                <w:rFonts w:ascii="宋体" w:hAnsi="宋体" w:cs="宋体" w:eastAsia="宋体" w:hint="default"/>
                <w:sz w:val="21"/>
                <w:szCs w:val="21"/>
              </w:rPr>
              <w:t>、</w:t>
            </w:r>
          </w:p>
        </w:tc>
        <w:tc>
          <w:tcPr>
            <w:tcW w:w="843" w:type="dxa"/>
            <w:tcBorders>
              <w:top w:val="single" w:sz="12" w:space="0" w:color="000000"/>
              <w:left w:val="nil" w:sz="6" w:space="0" w:color="auto"/>
              <w:bottom w:val="single" w:sz="12" w:space="0" w:color="000000"/>
              <w:right w:val="nil" w:sz="6" w:space="0" w:color="auto"/>
            </w:tcBorders>
          </w:tcPr>
          <w:p>
            <w:pPr>
              <w:pStyle w:val="TableParagraph"/>
              <w:spacing w:line="260" w:lineRule="exact"/>
              <w:ind w:left="202" w:right="0"/>
              <w:jc w:val="left"/>
              <w:rPr>
                <w:rFonts w:ascii="宋体" w:hAnsi="宋体" w:cs="宋体" w:eastAsia="宋体" w:hint="default"/>
                <w:sz w:val="21"/>
                <w:szCs w:val="21"/>
              </w:rPr>
            </w:pPr>
            <w:r>
              <w:rPr>
                <w:rFonts w:ascii="宋体"/>
                <w:sz w:val="21"/>
              </w:rPr>
              <w:t>12.33%</w:t>
            </w:r>
          </w:p>
        </w:tc>
      </w:tr>
    </w:tbl>
    <w:p>
      <w:pPr>
        <w:spacing w:line="260" w:lineRule="exact" w:before="0"/>
        <w:ind w:left="1248" w:right="0" w:firstLine="0"/>
        <w:jc w:val="left"/>
        <w:rPr>
          <w:rFonts w:ascii="宋体" w:hAnsi="宋体" w:cs="宋体" w:eastAsia="宋体" w:hint="default"/>
          <w:sz w:val="21"/>
          <w:szCs w:val="21"/>
        </w:rPr>
      </w:pPr>
      <w:r>
        <w:rPr>
          <w:rFonts w:ascii="宋体" w:hAnsi="宋体" w:cs="宋体" w:eastAsia="宋体" w:hint="default"/>
          <w:sz w:val="21"/>
          <w:szCs w:val="21"/>
        </w:rPr>
        <w:t>注：公司根据历史年度的经营状况、未来的战略规划、市场营销计划及对预测期经营业绩的</w:t>
      </w:r>
    </w:p>
    <w:p>
      <w:pPr>
        <w:spacing w:line="264" w:lineRule="auto" w:before="37"/>
        <w:ind w:left="1248" w:right="1235" w:firstLine="0"/>
        <w:jc w:val="both"/>
        <w:rPr>
          <w:rFonts w:ascii="宋体" w:hAnsi="宋体" w:cs="宋体" w:eastAsia="宋体" w:hint="default"/>
          <w:sz w:val="21"/>
          <w:szCs w:val="21"/>
        </w:rPr>
      </w:pPr>
      <w:r>
        <w:rPr>
          <w:rFonts w:ascii="宋体" w:hAnsi="宋体" w:cs="宋体" w:eastAsia="宋体" w:hint="default"/>
          <w:sz w:val="21"/>
          <w:szCs w:val="21"/>
        </w:rPr>
        <w:t>预算等资料对上海追索信息科技有限公司预测期内的各类收入进行了预测，综合考虑商誉涉 及的资产组综合产能及对未来市场的整体分析，预计</w:t>
      </w:r>
      <w:r>
        <w:rPr>
          <w:rFonts w:ascii="Times New Roman" w:hAnsi="Times New Roman" w:cs="Times New Roman" w:eastAsia="Times New Roman" w:hint="default"/>
          <w:sz w:val="21"/>
          <w:szCs w:val="21"/>
        </w:rPr>
        <w:t>2019</w:t>
      </w:r>
      <w:r>
        <w:rPr>
          <w:rFonts w:ascii="宋体" w:hAnsi="宋体" w:cs="宋体" w:eastAsia="宋体" w:hint="default"/>
          <w:sz w:val="21"/>
          <w:szCs w:val="21"/>
        </w:rPr>
        <w:t>年至</w:t>
      </w:r>
      <w:r>
        <w:rPr>
          <w:rFonts w:ascii="Times New Roman" w:hAnsi="Times New Roman" w:cs="Times New Roman" w:eastAsia="Times New Roman" w:hint="default"/>
          <w:sz w:val="21"/>
          <w:szCs w:val="21"/>
        </w:rPr>
        <w:t>2023</w:t>
      </w:r>
      <w:r>
        <w:rPr>
          <w:rFonts w:ascii="宋体" w:hAnsi="宋体" w:cs="宋体" w:eastAsia="宋体" w:hint="default"/>
          <w:sz w:val="21"/>
          <w:szCs w:val="21"/>
        </w:rPr>
        <w:t>年之间，上海追索信息科 技有限公司销售收入增长率均为</w:t>
      </w:r>
      <w:r>
        <w:rPr>
          <w:rFonts w:ascii="Times New Roman" w:hAnsi="Times New Roman" w:cs="Times New Roman" w:eastAsia="Times New Roman" w:hint="default"/>
          <w:sz w:val="21"/>
          <w:szCs w:val="21"/>
        </w:rPr>
        <w:t>5%</w:t>
      </w:r>
      <w:r>
        <w:rPr>
          <w:rFonts w:ascii="宋体" w:hAnsi="宋体" w:cs="宋体" w:eastAsia="宋体" w:hint="default"/>
          <w:sz w:val="21"/>
          <w:szCs w:val="21"/>
        </w:rPr>
        <w:t>，稳定期增长率为</w:t>
      </w:r>
      <w:r>
        <w:rPr>
          <w:rFonts w:ascii="宋体" w:hAnsi="宋体" w:cs="宋体" w:eastAsia="宋体" w:hint="default"/>
          <w:sz w:val="21"/>
          <w:szCs w:val="21"/>
        </w:rPr>
        <w:t>5%</w:t>
      </w:r>
      <w:r>
        <w:rPr>
          <w:rFonts w:ascii="宋体" w:hAnsi="宋体" w:cs="宋体" w:eastAsia="宋体" w:hint="default"/>
          <w:sz w:val="21"/>
          <w:szCs w:val="21"/>
        </w:rPr>
        <w:t>。</w:t>
      </w:r>
    </w:p>
    <w:p>
      <w:pPr>
        <w:spacing w:line="240" w:lineRule="auto" w:before="10"/>
        <w:rPr>
          <w:rFonts w:ascii="宋体" w:hAnsi="宋体" w:cs="宋体" w:eastAsia="宋体" w:hint="default"/>
          <w:sz w:val="28"/>
          <w:szCs w:val="28"/>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商誉减值测试的影响</w:t>
      </w:r>
    </w:p>
    <w:p>
      <w:pPr>
        <w:spacing w:line="259" w:lineRule="auto" w:before="90"/>
        <w:ind w:left="1248" w:right="1113" w:firstLine="0"/>
        <w:jc w:val="left"/>
        <w:rPr>
          <w:rFonts w:ascii="宋体" w:hAnsi="宋体" w:cs="宋体" w:eastAsia="宋体" w:hint="default"/>
          <w:sz w:val="21"/>
          <w:szCs w:val="21"/>
        </w:rPr>
      </w:pPr>
      <w:r>
        <w:rPr>
          <w:rFonts w:ascii="宋体" w:hAnsi="宋体" w:cs="宋体" w:eastAsia="宋体" w:hint="default"/>
          <w:sz w:val="21"/>
          <w:szCs w:val="21"/>
        </w:rPr>
        <w:t>通过上海追索信息科技有限公司管理层对未来可预测期间的市场行情、经营情况以及未来上 下游客户与购销价格情况等综合分析，同时根据江苏中企华中天资产评估有限公司于</w:t>
      </w:r>
      <w:r>
        <w:rPr>
          <w:rFonts w:ascii="Times New Roman" w:hAnsi="Times New Roman" w:cs="Times New Roman" w:eastAsia="Times New Roman" w:hint="default"/>
          <w:sz w:val="21"/>
          <w:szCs w:val="21"/>
        </w:rPr>
        <w:t>2019</w:t>
      </w:r>
      <w:r>
        <w:rPr>
          <w:rFonts w:ascii="宋体" w:hAnsi="宋体" w:cs="宋体" w:eastAsia="宋体" w:hint="default"/>
          <w:sz w:val="21"/>
          <w:szCs w:val="21"/>
        </w:rPr>
        <w:t>年</w:t>
      </w:r>
      <w:r>
        <w:rPr>
          <w:rFonts w:ascii="Times New Roman" w:hAnsi="Times New Roman" w:cs="Times New Roman" w:eastAsia="Times New Roman" w:hint="default"/>
          <w:sz w:val="21"/>
          <w:szCs w:val="21"/>
        </w:rPr>
        <w:t>3 </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29</w:t>
      </w:r>
      <w:r>
        <w:rPr>
          <w:rFonts w:ascii="宋体" w:hAnsi="宋体" w:cs="宋体" w:eastAsia="宋体" w:hint="default"/>
          <w:spacing w:val="-1"/>
          <w:sz w:val="21"/>
          <w:szCs w:val="21"/>
        </w:rPr>
        <w:t>日出具的以</w:t>
      </w:r>
      <w:r>
        <w:rPr>
          <w:rFonts w:ascii="Times New Roman" w:hAnsi="Times New Roman" w:cs="Times New Roman" w:eastAsia="Times New Roman" w:hint="default"/>
          <w:spacing w:val="-1"/>
          <w:sz w:val="21"/>
          <w:szCs w:val="21"/>
        </w:rPr>
        <w:t>2018</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12</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31</w:t>
      </w:r>
      <w:r>
        <w:rPr>
          <w:rFonts w:ascii="宋体" w:hAnsi="宋体" w:cs="宋体" w:eastAsia="宋体" w:hint="default"/>
          <w:spacing w:val="-1"/>
          <w:sz w:val="21"/>
          <w:szCs w:val="21"/>
        </w:rPr>
        <w:t>日为基准日的苏中资评报字</w:t>
      </w:r>
      <w:r>
        <w:rPr>
          <w:rFonts w:ascii="Times New Roman" w:hAnsi="Times New Roman" w:cs="Times New Roman" w:eastAsia="Times New Roman" w:hint="default"/>
          <w:spacing w:val="-1"/>
          <w:sz w:val="21"/>
          <w:szCs w:val="21"/>
        </w:rPr>
        <w:t>(2019)</w:t>
      </w:r>
      <w:r>
        <w:rPr>
          <w:rFonts w:ascii="宋体" w:hAnsi="宋体" w:cs="宋体" w:eastAsia="宋体" w:hint="default"/>
          <w:spacing w:val="-1"/>
          <w:sz w:val="21"/>
          <w:szCs w:val="21"/>
        </w:rPr>
        <w:t>第</w:t>
      </w:r>
      <w:r>
        <w:rPr>
          <w:rFonts w:ascii="Times New Roman" w:hAnsi="Times New Roman" w:cs="Times New Roman" w:eastAsia="Times New Roman" w:hint="default"/>
          <w:spacing w:val="-1"/>
          <w:sz w:val="21"/>
          <w:szCs w:val="21"/>
        </w:rPr>
        <w:t>1010</w:t>
      </w:r>
      <w:r>
        <w:rPr>
          <w:rFonts w:ascii="宋体" w:hAnsi="宋体" w:cs="宋体" w:eastAsia="宋体" w:hint="default"/>
          <w:spacing w:val="-1"/>
          <w:sz w:val="21"/>
          <w:szCs w:val="21"/>
        </w:rPr>
        <w:t>号评估报告结果，截至</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日，上海追索信息科技有限公司与商誉相关的资产组的账面价值为</w:t>
      </w:r>
      <w:r>
        <w:rPr>
          <w:rFonts w:ascii="Times New Roman" w:hAnsi="Times New Roman" w:cs="Times New Roman" w:eastAsia="Times New Roman" w:hint="default"/>
          <w:sz w:val="21"/>
          <w:szCs w:val="21"/>
        </w:rPr>
        <w:t>633,333.57 </w:t>
      </w:r>
      <w:r>
        <w:rPr>
          <w:rFonts w:ascii="宋体" w:hAnsi="宋体" w:cs="宋体" w:eastAsia="宋体" w:hint="default"/>
          <w:sz w:val="21"/>
          <w:szCs w:val="21"/>
        </w:rPr>
        <w:t>元，包含未确认归属于少数股东权益的商誉价值为</w:t>
      </w:r>
      <w:r>
        <w:rPr>
          <w:rFonts w:ascii="Times New Roman" w:hAnsi="Times New Roman" w:cs="Times New Roman" w:eastAsia="Times New Roman" w:hint="default"/>
          <w:sz w:val="21"/>
          <w:szCs w:val="21"/>
        </w:rPr>
        <w:t>21,053,662.12</w:t>
      </w:r>
      <w:r>
        <w:rPr>
          <w:rFonts w:ascii="宋体" w:hAnsi="宋体" w:cs="宋体" w:eastAsia="宋体" w:hint="default"/>
          <w:sz w:val="21"/>
          <w:szCs w:val="21"/>
        </w:rPr>
        <w:t>元，合计</w:t>
      </w:r>
      <w:r>
        <w:rPr>
          <w:rFonts w:ascii="Times New Roman" w:hAnsi="Times New Roman" w:cs="Times New Roman" w:eastAsia="Times New Roman" w:hint="default"/>
          <w:sz w:val="21"/>
          <w:szCs w:val="21"/>
        </w:rPr>
        <w:t>21,686,995.69</w:t>
      </w:r>
      <w:r>
        <w:rPr>
          <w:rFonts w:ascii="宋体" w:hAnsi="宋体" w:cs="宋体" w:eastAsia="宋体" w:hint="default"/>
          <w:sz w:val="21"/>
          <w:szCs w:val="21"/>
        </w:rPr>
        <w:t>元，商 誉资产组可收回金额为</w:t>
      </w:r>
      <w:r>
        <w:rPr>
          <w:rFonts w:ascii="Times New Roman" w:hAnsi="Times New Roman" w:cs="Times New Roman" w:eastAsia="Times New Roman" w:hint="default"/>
          <w:sz w:val="21"/>
          <w:szCs w:val="21"/>
        </w:rPr>
        <w:t>22,000,000.00</w:t>
      </w:r>
      <w:r>
        <w:rPr>
          <w:rFonts w:ascii="宋体" w:hAnsi="宋体" w:cs="宋体" w:eastAsia="宋体" w:hint="default"/>
          <w:sz w:val="21"/>
          <w:szCs w:val="21"/>
        </w:rPr>
        <w:t>元。 经测试，公司收购上海追索信息科技有限公司形成的商誉本期不存在减值。</w:t>
      </w:r>
    </w:p>
    <w:p>
      <w:pPr>
        <w:spacing w:line="240" w:lineRule="auto" w:before="0"/>
        <w:rPr>
          <w:rFonts w:ascii="宋体" w:hAnsi="宋体" w:cs="宋体" w:eastAsia="宋体" w:hint="default"/>
          <w:sz w:val="20"/>
          <w:szCs w:val="20"/>
        </w:rPr>
      </w:pPr>
    </w:p>
    <w:p>
      <w:pPr>
        <w:spacing w:before="137"/>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3、长期待摊费用" w:id="290"/>
      <w:bookmarkEnd w:id="290"/>
      <w:r>
        <w:rPr/>
      </w:r>
      <w:r>
        <w:rPr>
          <w:rFonts w:ascii="Times New Roman" w:hAnsi="Times New Roman" w:cs="Times New Roman" w:eastAsia="Times New Roman" w:hint="default"/>
          <w:b/>
          <w:bCs/>
          <w:sz w:val="21"/>
          <w:szCs w:val="21"/>
        </w:rPr>
        <w:t>23</w:t>
      </w:r>
      <w:r>
        <w:rPr>
          <w:rFonts w:ascii="宋体" w:hAnsi="宋体" w:cs="宋体" w:eastAsia="宋体" w:hint="default"/>
          <w:b/>
          <w:bCs/>
          <w:sz w:val="21"/>
          <w:szCs w:val="21"/>
        </w:rPr>
        <w:t>、长期待摊费用</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1" w:right="0"/>
              <w:jc w:val="left"/>
              <w:rPr>
                <w:rFonts w:ascii="宋体" w:hAnsi="宋体" w:cs="宋体" w:eastAsia="宋体" w:hint="default"/>
                <w:sz w:val="18"/>
                <w:szCs w:val="18"/>
              </w:rPr>
            </w:pPr>
            <w:r>
              <w:rPr>
                <w:rFonts w:ascii="宋体" w:hAnsi="宋体" w:cs="宋体" w:eastAsia="宋体" w:hint="default"/>
                <w:sz w:val="18"/>
                <w:szCs w:val="18"/>
              </w:rPr>
              <w:t>本期增加金额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2" w:right="0"/>
              <w:jc w:val="left"/>
              <w:rPr>
                <w:rFonts w:ascii="宋体" w:hAnsi="宋体" w:cs="宋体" w:eastAsia="宋体" w:hint="default"/>
                <w:sz w:val="18"/>
                <w:szCs w:val="18"/>
              </w:rPr>
            </w:pPr>
            <w:r>
              <w:rPr>
                <w:rFonts w:ascii="宋体" w:hAnsi="宋体" w:cs="宋体" w:eastAsia="宋体" w:hint="default"/>
                <w:sz w:val="18"/>
                <w:szCs w:val="18"/>
              </w:rPr>
              <w:t>本期摊销金额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51" w:right="0"/>
              <w:jc w:val="left"/>
              <w:rPr>
                <w:rFonts w:ascii="宋体" w:hAnsi="宋体" w:cs="宋体" w:eastAsia="宋体" w:hint="default"/>
                <w:sz w:val="18"/>
                <w:szCs w:val="18"/>
              </w:rPr>
            </w:pPr>
            <w:r>
              <w:rPr>
                <w:rFonts w:ascii="宋体" w:hAnsi="宋体" w:cs="宋体" w:eastAsia="宋体" w:hint="default"/>
                <w:sz w:val="18"/>
                <w:szCs w:val="18"/>
              </w:rPr>
              <w:t>其他减少金额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19"/>
              <w:jc w:val="left"/>
              <w:rPr>
                <w:rFonts w:ascii="宋体" w:hAnsi="宋体" w:cs="宋体" w:eastAsia="宋体" w:hint="default"/>
                <w:sz w:val="18"/>
                <w:szCs w:val="18"/>
              </w:rPr>
            </w:pPr>
            <w:r>
              <w:rPr>
                <w:rFonts w:ascii="宋体" w:hAnsi="宋体" w:cs="宋体" w:eastAsia="宋体" w:hint="default"/>
                <w:sz w:val="18"/>
                <w:szCs w:val="18"/>
              </w:rPr>
              <w:t>经营租入固定资 产改良支出</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83,308.23</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83,308.23</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83,308.23</w:t>
            </w:r>
          </w:p>
        </w:tc>
        <w:tc>
          <w:tcPr>
            <w:tcW w:w="1595" w:type="dxa"/>
            <w:tcBorders>
              <w:top w:val="single" w:sz="4" w:space="0" w:color="000000"/>
              <w:left w:val="single" w:sz="4" w:space="0" w:color="000000"/>
              <w:bottom w:val="single" w:sz="4" w:space="0" w:color="000000"/>
              <w:right w:val="single" w:sz="4" w:space="0" w:color="000000"/>
            </w:tcBorders>
          </w:tcPr>
          <w:p>
            <w:pP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83,308.23</w:t>
            </w:r>
          </w:p>
        </w:tc>
        <w:tc>
          <w:tcPr>
            <w:tcW w:w="1594" w:type="dxa"/>
            <w:tcBorders>
              <w:top w:val="single" w:sz="4" w:space="0" w:color="000000"/>
              <w:left w:val="single" w:sz="4" w:space="0" w:color="000000"/>
              <w:bottom w:val="single" w:sz="4" w:space="0" w:color="000000"/>
              <w:right w:val="single" w:sz="4" w:space="0" w:color="000000"/>
            </w:tcBorders>
          </w:tcPr>
          <w:p>
            <w:pPr/>
          </w:p>
        </w:tc>
        <w:tc>
          <w:tcPr>
            <w:tcW w:w="1595" w:type="dxa"/>
            <w:tcBorders>
              <w:top w:val="single" w:sz="4" w:space="0" w:color="000000"/>
              <w:left w:val="single" w:sz="4" w:space="0" w:color="000000"/>
              <w:bottom w:val="single" w:sz="4" w:space="0" w:color="000000"/>
              <w:right w:val="single" w:sz="4" w:space="0" w:color="000000"/>
            </w:tcBorders>
          </w:tcPr>
          <w:p>
            <w:pP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4、递延所得税资产/递延所得税负债" w:id="291"/>
      <w:bookmarkEnd w:id="291"/>
      <w:r>
        <w:rPr/>
      </w:r>
      <w:r>
        <w:rPr>
          <w:rFonts w:ascii="Times New Roman" w:hAnsi="Times New Roman" w:cs="Times New Roman" w:eastAsia="Times New Roman" w:hint="default"/>
          <w:b/>
          <w:bCs/>
          <w:sz w:val="21"/>
          <w:szCs w:val="21"/>
        </w:rPr>
        <w:t>24</w:t>
      </w:r>
      <w:r>
        <w:rPr>
          <w:rFonts w:ascii="宋体" w:hAnsi="宋体" w:cs="宋体" w:eastAsia="宋体" w:hint="default"/>
          <w:b/>
          <w:bCs/>
          <w:sz w:val="21"/>
          <w:szCs w:val="21"/>
        </w:rPr>
        <w:t>、递延所得税资产</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递延所得税负债</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未经抵销的递延所得税资产" w:id="292"/>
      <w:bookmarkEnd w:id="29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）未经抵销的递延所得税资产</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72,605,436.26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10,890,815.45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51,049,364.95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7,662,890.22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内部交易未实现利润</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10,168,553.70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1,525,283.05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45,567,032.45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6,835,054.86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3,068,886.42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460,332.97</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77"/>
              <w:jc w:val="left"/>
              <w:rPr>
                <w:rFonts w:ascii="宋体" w:hAnsi="宋体" w:cs="宋体" w:eastAsia="宋体" w:hint="default"/>
                <w:sz w:val="18"/>
                <w:szCs w:val="18"/>
              </w:rPr>
            </w:pPr>
            <w:r>
              <w:rPr>
                <w:rFonts w:ascii="宋体" w:hAnsi="宋体" w:cs="宋体" w:eastAsia="宋体" w:hint="default"/>
                <w:sz w:val="18"/>
                <w:szCs w:val="18"/>
              </w:rPr>
              <w:t>原资本化开发支出摊 销年限差异</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1,037,268.59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155,590.29</w:t>
            </w:r>
          </w:p>
        </w:tc>
      </w:tr>
    </w:tbl>
    <w:p>
      <w:pPr>
        <w:spacing w:after="0" w:line="240" w:lineRule="auto"/>
        <w:jc w:val="right"/>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17,072,000.00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2,560,800.00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14,740,000.00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2,211,000.00</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无形资产摊销调整</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2,451,378.15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367,706.72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1,268,954.54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190,343.18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105,366,254.53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15,804,938.19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113,662,620.53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17,054,878.55</w:t>
            </w:r>
          </w:p>
        </w:tc>
      </w:tr>
    </w:tbl>
    <w:p>
      <w:pPr>
        <w:spacing w:line="240" w:lineRule="auto" w:before="3"/>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未经抵销的递延所得税负债" w:id="293"/>
      <w:bookmarkEnd w:id="29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）未经抵销的递延所得税负债</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2"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31" w:right="0"/>
              <w:jc w:val="left"/>
              <w:rPr>
                <w:rFonts w:ascii="宋体" w:hAnsi="宋体" w:cs="宋体" w:eastAsia="宋体" w:hint="default"/>
                <w:sz w:val="18"/>
                <w:szCs w:val="18"/>
              </w:rPr>
            </w:pPr>
            <w:r>
              <w:rPr>
                <w:rFonts w:ascii="宋体" w:hAnsi="宋体" w:cs="宋体" w:eastAsia="宋体" w:hint="default"/>
                <w:sz w:val="18"/>
                <w:szCs w:val="18"/>
              </w:rPr>
              <w:t>应纳税暂时性差异</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21"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177"/>
              <w:jc w:val="left"/>
              <w:rPr>
                <w:rFonts w:ascii="宋体" w:hAnsi="宋体" w:cs="宋体" w:eastAsia="宋体" w:hint="default"/>
                <w:sz w:val="18"/>
                <w:szCs w:val="18"/>
              </w:rPr>
            </w:pPr>
            <w:r>
              <w:rPr>
                <w:rFonts w:ascii="宋体" w:hAnsi="宋体" w:cs="宋体" w:eastAsia="宋体" w:hint="default"/>
                <w:sz w:val="18"/>
                <w:szCs w:val="18"/>
              </w:rPr>
              <w:t>非同一控制企业合并 资产评估增值</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633,333.57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95,000.02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823,333.53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123,500.02</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633,333.57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95,000.02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823,333.53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123,500.02</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3）以抵销后净额列示的递延所得税资产或负债" w:id="294"/>
      <w:bookmarkEnd w:id="29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）以抵销后净额列示的递延所得税资产或负债</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71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22" w:right="142" w:hanging="180"/>
              <w:jc w:val="left"/>
              <w:rPr>
                <w:rFonts w:ascii="宋体" w:hAnsi="宋体" w:cs="宋体" w:eastAsia="宋体" w:hint="default"/>
                <w:sz w:val="18"/>
                <w:szCs w:val="18"/>
              </w:rPr>
            </w:pPr>
            <w:r>
              <w:rPr>
                <w:rFonts w:ascii="宋体" w:hAnsi="宋体" w:cs="宋体" w:eastAsia="宋体" w:hint="default"/>
                <w:sz w:val="18"/>
                <w:szCs w:val="18"/>
              </w:rPr>
              <w:t>递延所得税资产和负 债期末互抵金额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31" w:right="140" w:hanging="90"/>
              <w:jc w:val="left"/>
              <w:rPr>
                <w:rFonts w:ascii="宋体" w:hAnsi="宋体" w:cs="宋体" w:eastAsia="宋体" w:hint="default"/>
                <w:sz w:val="18"/>
                <w:szCs w:val="18"/>
              </w:rPr>
            </w:pPr>
            <w:r>
              <w:rPr>
                <w:rFonts w:ascii="宋体" w:hAnsi="宋体" w:cs="宋体" w:eastAsia="宋体" w:hint="default"/>
                <w:sz w:val="18"/>
                <w:szCs w:val="18"/>
              </w:rPr>
              <w:t>抵销后递延所得税资 产或负债期末余额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321" w:right="141" w:hanging="180"/>
              <w:jc w:val="left"/>
              <w:rPr>
                <w:rFonts w:ascii="宋体" w:hAnsi="宋体" w:cs="宋体" w:eastAsia="宋体" w:hint="default"/>
                <w:sz w:val="18"/>
                <w:szCs w:val="18"/>
              </w:rPr>
            </w:pPr>
            <w:r>
              <w:rPr>
                <w:rFonts w:ascii="宋体" w:hAnsi="宋体" w:cs="宋体" w:eastAsia="宋体" w:hint="default"/>
                <w:sz w:val="18"/>
                <w:szCs w:val="18"/>
              </w:rPr>
              <w:t>递延所得税资产和负 债期初互抵金额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231" w:right="140" w:hanging="90"/>
              <w:jc w:val="left"/>
              <w:rPr>
                <w:rFonts w:ascii="宋体" w:hAnsi="宋体" w:cs="宋体" w:eastAsia="宋体" w:hint="default"/>
                <w:sz w:val="18"/>
                <w:szCs w:val="18"/>
              </w:rPr>
            </w:pPr>
            <w:r>
              <w:rPr>
                <w:rFonts w:ascii="宋体" w:hAnsi="宋体" w:cs="宋体" w:eastAsia="宋体" w:hint="default"/>
                <w:sz w:val="18"/>
                <w:szCs w:val="18"/>
              </w:rPr>
              <w:t>抵销后递延所得税资 产或负债期初余额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15,804,938.19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17,054,878.55</w:t>
            </w:r>
          </w:p>
        </w:tc>
      </w:tr>
      <w:tr>
        <w:trPr>
          <w:trHeight w:val="40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95,000.02</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123,500.02</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4）未确认递延所得税资产明细" w:id="295"/>
      <w:bookmarkEnd w:id="29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）未确认递延所得税资产明细</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504,841.03</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240,000.00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25,532.36</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770,373.39</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5）未确认递延所得税资产的可抵扣亏损将于以下年度到期" w:id="296"/>
      <w:bookmarkEnd w:id="29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）未确认递延所得税资产的可抵扣亏损将于以下年度到期</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2390"/>
        <w:gridCol w:w="2396"/>
        <w:gridCol w:w="2392"/>
        <w:gridCol w:w="2392"/>
      </w:tblGrid>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年份</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备注</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504,841.03</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504,841.03</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25、其他非流动资产" w:id="297"/>
      <w:bookmarkEnd w:id="297"/>
      <w:r>
        <w:rPr/>
      </w:r>
      <w:r>
        <w:rPr>
          <w:rFonts w:ascii="Times New Roman" w:hAnsi="Times New Roman" w:cs="Times New Roman" w:eastAsia="Times New Roman" w:hint="default"/>
          <w:b/>
          <w:bCs/>
          <w:sz w:val="21"/>
          <w:szCs w:val="21"/>
        </w:rPr>
        <w:t>25</w:t>
      </w:r>
      <w:r>
        <w:rPr>
          <w:rFonts w:ascii="宋体" w:hAnsi="宋体" w:cs="宋体" w:eastAsia="宋体" w:hint="default"/>
          <w:b/>
          <w:bCs/>
          <w:sz w:val="21"/>
          <w:szCs w:val="21"/>
        </w:rPr>
        <w:t>、其他非流动资产</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6、短期借款" w:id="298"/>
      <w:bookmarkEnd w:id="298"/>
      <w:r>
        <w:rPr/>
      </w:r>
      <w:r>
        <w:rPr>
          <w:rFonts w:ascii="Times New Roman" w:hAnsi="Times New Roman" w:cs="Times New Roman" w:eastAsia="Times New Roman" w:hint="default"/>
          <w:b/>
          <w:bCs/>
          <w:sz w:val="21"/>
          <w:szCs w:val="21"/>
        </w:rPr>
        <w:t>26</w:t>
      </w:r>
      <w:r>
        <w:rPr>
          <w:rFonts w:ascii="宋体" w:hAnsi="宋体" w:cs="宋体" w:eastAsia="宋体" w:hint="default"/>
          <w:b/>
          <w:bCs/>
          <w:sz w:val="21"/>
          <w:szCs w:val="21"/>
        </w:rPr>
        <w:t>、短期借款</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短期借款分类" w:id="299"/>
      <w:bookmarkEnd w:id="29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）短期借款分类</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保证借款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212,500,000.00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157,500,000.00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银行承兑汇票贴现</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222,500,000.00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157,500,000.00</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短期借款分类的说明：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已逾期未偿还的短期借款情况" w:id="300"/>
      <w:bookmarkEnd w:id="30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）已逾期未偿还的短期借款情况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本期末已逾期未偿还的短期借款总额为元，其中重要的已逾期未偿还的短期借款情况如下：</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0"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借款利率</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逾期利率</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7、以公允价值计量且其变动计入当期损益的金融负债" w:id="301"/>
      <w:bookmarkEnd w:id="301"/>
      <w:r>
        <w:rPr/>
      </w:r>
      <w:r>
        <w:rPr>
          <w:rFonts w:ascii="Times New Roman" w:hAnsi="Times New Roman" w:cs="Times New Roman" w:eastAsia="Times New Roman" w:hint="default"/>
          <w:b/>
          <w:bCs/>
          <w:sz w:val="21"/>
          <w:szCs w:val="21"/>
        </w:rPr>
        <w:t>27</w:t>
      </w:r>
      <w:r>
        <w:rPr>
          <w:rFonts w:ascii="宋体" w:hAnsi="宋体" w:cs="宋体" w:eastAsia="宋体" w:hint="default"/>
          <w:b/>
          <w:bCs/>
          <w:sz w:val="21"/>
          <w:szCs w:val="21"/>
        </w:rPr>
        <w:t>、以公允价值计量且其变动计入当期损益的金融负债</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8、衍生金融负债" w:id="302"/>
      <w:bookmarkEnd w:id="302"/>
      <w:r>
        <w:rPr/>
      </w:r>
      <w:r>
        <w:rPr>
          <w:rFonts w:ascii="Times New Roman" w:hAnsi="Times New Roman" w:cs="Times New Roman" w:eastAsia="Times New Roman" w:hint="default"/>
          <w:b/>
          <w:bCs/>
          <w:sz w:val="21"/>
          <w:szCs w:val="21"/>
        </w:rPr>
        <w:t>28</w:t>
      </w:r>
      <w:r>
        <w:rPr>
          <w:rFonts w:ascii="宋体" w:hAnsi="宋体" w:cs="宋体" w:eastAsia="宋体" w:hint="default"/>
          <w:b/>
          <w:bCs/>
          <w:sz w:val="21"/>
          <w:szCs w:val="21"/>
        </w:rPr>
        <w:t>、衍生金融负债</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9、应付票据及应付账款" w:id="303"/>
      <w:bookmarkEnd w:id="303"/>
      <w:r>
        <w:rPr/>
      </w:r>
      <w:r>
        <w:rPr>
          <w:rFonts w:ascii="Times New Roman" w:hAnsi="Times New Roman" w:cs="Times New Roman" w:eastAsia="Times New Roman" w:hint="default"/>
          <w:b/>
          <w:bCs/>
          <w:sz w:val="21"/>
          <w:szCs w:val="21"/>
        </w:rPr>
        <w:t>29</w:t>
      </w:r>
      <w:r>
        <w:rPr>
          <w:rFonts w:ascii="宋体" w:hAnsi="宋体" w:cs="宋体" w:eastAsia="宋体" w:hint="default"/>
          <w:b/>
          <w:bCs/>
          <w:sz w:val="21"/>
          <w:szCs w:val="21"/>
        </w:rPr>
        <w:t>、应付票据及应付账款</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49,375,341.80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42,200,377.60</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178,913,005.63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212,692,323.87</w:t>
            </w:r>
          </w:p>
        </w:tc>
      </w:tr>
    </w:tbl>
    <w:p>
      <w:pPr>
        <w:spacing w:after="0" w:line="240" w:lineRule="auto"/>
        <w:jc w:val="right"/>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3189"/>
        <w:gridCol w:w="3191"/>
        <w:gridCol w:w="3190"/>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52" w:right="0"/>
              <w:jc w:val="left"/>
              <w:rPr>
                <w:rFonts w:ascii="Times New Roman" w:hAnsi="Times New Roman" w:cs="Times New Roman" w:eastAsia="Times New Roman" w:hint="default"/>
                <w:sz w:val="18"/>
                <w:szCs w:val="18"/>
              </w:rPr>
            </w:pPr>
            <w:r>
              <w:rPr>
                <w:rFonts w:ascii="Times New Roman"/>
                <w:sz w:val="18"/>
              </w:rPr>
              <w:t>228,288,347.43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52" w:right="0"/>
              <w:jc w:val="left"/>
              <w:rPr>
                <w:rFonts w:ascii="Times New Roman" w:hAnsi="Times New Roman" w:cs="Times New Roman" w:eastAsia="Times New Roman" w:hint="default"/>
                <w:sz w:val="18"/>
                <w:szCs w:val="18"/>
              </w:rPr>
            </w:pPr>
            <w:r>
              <w:rPr>
                <w:rFonts w:ascii="Times New Roman"/>
                <w:sz w:val="18"/>
              </w:rPr>
              <w:t>254,892,701.47</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1）应付票据分类列示" w:id="304"/>
      <w:bookmarkEnd w:id="30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）应付票据分类列示</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49,375,341.80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42,200,377.60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49,375,341.80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42,200,377.60</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本期末已到期未支付的应付票据总额为元。</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应付账款列示" w:id="305"/>
      <w:bookmarkEnd w:id="30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）应付账款列示</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应付材料费用款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107,555,881.92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127,534,794.97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应付工程设备款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71,357,123.71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85,157,528.90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178,913,005.63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212,692,323.87</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3）账龄超过1年的重要应付账款" w:id="306"/>
      <w:bookmarkEnd w:id="30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）账龄超过</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年的重要应付账款</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0、预收款项" w:id="307"/>
      <w:bookmarkEnd w:id="307"/>
      <w:r>
        <w:rPr/>
      </w:r>
      <w:r>
        <w:rPr>
          <w:rFonts w:ascii="Times New Roman" w:hAnsi="Times New Roman" w:cs="Times New Roman" w:eastAsia="Times New Roman" w:hint="default"/>
          <w:b/>
          <w:bCs/>
          <w:sz w:val="21"/>
          <w:szCs w:val="21"/>
        </w:rPr>
        <w:t>30</w:t>
      </w:r>
      <w:r>
        <w:rPr>
          <w:rFonts w:ascii="宋体" w:hAnsi="宋体" w:cs="宋体" w:eastAsia="宋体" w:hint="default"/>
          <w:b/>
          <w:bCs/>
          <w:sz w:val="21"/>
          <w:szCs w:val="21"/>
        </w:rPr>
        <w:t>、预收款项</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预收款项列示" w:id="308"/>
      <w:bookmarkEnd w:id="30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）预收款项列示</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预收项目进度款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139,240,861.02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79,325,527.27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139,240,861.02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79,325,527.27</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账龄超过1年的重要预收款项" w:id="309"/>
      <w:bookmarkEnd w:id="30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）账龄超过</w:t>
      </w:r>
      <w:r>
        <w:rPr>
          <w:rFonts w:ascii="宋体" w:hAnsi="宋体" w:cs="宋体" w:eastAsia="宋体" w:hint="default"/>
          <w:b/>
          <w:bCs/>
          <w:spacing w:val="-55"/>
          <w:sz w:val="21"/>
          <w:szCs w:val="21"/>
        </w:rPr>
        <w:t> </w:t>
      </w:r>
      <w:r>
        <w:rPr>
          <w:rFonts w:ascii="Times New Roman" w:hAnsi="Times New Roman" w:cs="Times New Roman" w:eastAsia="Times New Roman" w:hint="default"/>
          <w:b/>
          <w:bCs/>
          <w:sz w:val="21"/>
          <w:szCs w:val="21"/>
        </w:rPr>
        <w:t>1</w:t>
      </w:r>
      <w:r>
        <w:rPr>
          <w:rFonts w:ascii="Times New Roman" w:hAnsi="Times New Roman" w:cs="Times New Roman" w:eastAsia="Times New Roman" w:hint="default"/>
          <w:b/>
          <w:bCs/>
          <w:spacing w:val="-3"/>
          <w:sz w:val="21"/>
          <w:szCs w:val="21"/>
        </w:rPr>
        <w:t> </w:t>
      </w:r>
      <w:r>
        <w:rPr>
          <w:rFonts w:ascii="宋体" w:hAnsi="宋体" w:cs="宋体" w:eastAsia="宋体" w:hint="default"/>
          <w:b/>
          <w:bCs/>
          <w:sz w:val="21"/>
          <w:szCs w:val="21"/>
        </w:rPr>
        <w:t>年的重要预收款项</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spacing w:after="0" w:line="240" w:lineRule="auto"/>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3"/>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3）期末建造合同形成的已结算未完工项目情况" w:id="310"/>
      <w:bookmarkEnd w:id="31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）期末建造合同形成的已结算未完工项目情况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7"/>
        <w:rPr>
          <w:rFonts w:ascii="宋体" w:hAnsi="宋体" w:cs="宋体" w:eastAsia="宋体" w:hint="default"/>
          <w:sz w:val="23"/>
          <w:szCs w:val="23"/>
        </w:rPr>
      </w:pPr>
    </w:p>
    <w:p>
      <w:pPr>
        <w:spacing w:before="0"/>
        <w:ind w:left="114" w:right="0" w:firstLine="0"/>
        <w:jc w:val="left"/>
        <w:rPr>
          <w:rFonts w:ascii="宋体" w:hAnsi="宋体" w:cs="宋体" w:eastAsia="宋体" w:hint="default"/>
          <w:sz w:val="21"/>
          <w:szCs w:val="21"/>
        </w:rPr>
      </w:pPr>
      <w:bookmarkStart w:name="31、应付职工薪酬" w:id="311"/>
      <w:bookmarkEnd w:id="311"/>
      <w:r>
        <w:rPr/>
      </w:r>
      <w:r>
        <w:rPr>
          <w:rFonts w:ascii="Times New Roman" w:hAnsi="Times New Roman" w:cs="Times New Roman" w:eastAsia="Times New Roman" w:hint="default"/>
          <w:b/>
          <w:bCs/>
          <w:sz w:val="21"/>
          <w:szCs w:val="21"/>
        </w:rPr>
        <w:t>31</w:t>
      </w:r>
      <w:r>
        <w:rPr>
          <w:rFonts w:ascii="宋体" w:hAnsi="宋体" w:cs="宋体" w:eastAsia="宋体" w:hint="default"/>
          <w:b/>
          <w:bCs/>
          <w:sz w:val="21"/>
          <w:szCs w:val="21"/>
        </w:rPr>
        <w:t>、应付职工薪酬</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应付职工薪酬列示" w:id="312"/>
      <w:bookmarkEnd w:id="31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）应付职工薪酬列示</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一、短期薪酬</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14,840,979.69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290,894,925.24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285,761,500.86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19,974,404.07</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103" w:right="116"/>
              <w:jc w:val="left"/>
              <w:rPr>
                <w:rFonts w:ascii="宋体" w:hAnsi="宋体" w:cs="宋体" w:eastAsia="宋体" w:hint="default"/>
                <w:sz w:val="18"/>
                <w:szCs w:val="18"/>
              </w:rPr>
            </w:pPr>
            <w:r>
              <w:rPr>
                <w:rFonts w:ascii="宋体" w:hAnsi="宋体" w:cs="宋体" w:eastAsia="宋体" w:hint="default"/>
                <w:sz w:val="18"/>
                <w:szCs w:val="18"/>
              </w:rPr>
              <w:t>二、离职后福利</w:t>
            </w:r>
            <w:r>
              <w:rPr>
                <w:rFonts w:ascii="Times New Roman" w:hAnsi="Times New Roman" w:cs="Times New Roman" w:eastAsia="Times New Roman" w:hint="default"/>
                <w:sz w:val="18"/>
                <w:szCs w:val="18"/>
              </w:rPr>
              <w:t>-</w:t>
            </w:r>
            <w:r>
              <w:rPr>
                <w:rFonts w:ascii="宋体" w:hAnsi="宋体" w:cs="宋体" w:eastAsia="宋体" w:hint="default"/>
                <w:sz w:val="18"/>
                <w:szCs w:val="18"/>
              </w:rPr>
              <w:t>设定 提存计划</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2,949,021.97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33,503,343.62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33,028,169.54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3,424,196.05</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三、辞退福利</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132,697.00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132,697.00</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17,790,001.66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324,530,965.86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318,922,367.40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23,398,600.12</w:t>
            </w:r>
          </w:p>
        </w:tc>
      </w:tr>
    </w:tbl>
    <w:p>
      <w:pPr>
        <w:spacing w:line="240" w:lineRule="auto" w:before="3"/>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短期薪酬列示" w:id="313"/>
      <w:bookmarkEnd w:id="31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）短期薪酬列示</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1</w:t>
            </w:r>
            <w:r>
              <w:rPr>
                <w:rFonts w:ascii="宋体" w:hAnsi="宋体" w:cs="宋体" w:eastAsia="宋体" w:hint="default"/>
                <w:spacing w:val="-2"/>
                <w:sz w:val="18"/>
                <w:szCs w:val="18"/>
              </w:rPr>
              <w:t>、工资、奖金、津贴</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和补贴</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12,320,253.96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245,422,130.88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241,001,436.81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16,740,948.03</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、职工福利费</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12,710,628.44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12,710,628.44</w:t>
            </w:r>
          </w:p>
        </w:tc>
        <w:tc>
          <w:tcPr>
            <w:tcW w:w="191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、社会保险费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846,128.32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17,148,858.80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16,762,722.49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1,232,264.63</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63" w:right="0"/>
              <w:jc w:val="left"/>
              <w:rPr>
                <w:rFonts w:ascii="宋体" w:hAnsi="宋体" w:cs="宋体" w:eastAsia="宋体" w:hint="default"/>
                <w:sz w:val="18"/>
                <w:szCs w:val="18"/>
              </w:rPr>
            </w:pPr>
            <w:r>
              <w:rPr>
                <w:rFonts w:ascii="宋体" w:hAnsi="宋体" w:cs="宋体" w:eastAsia="宋体" w:hint="default"/>
                <w:sz w:val="18"/>
                <w:szCs w:val="18"/>
              </w:rPr>
              <w:t>其中：医疗保险</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753,775.74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15,309,763.35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14,951,413.06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1,112,126.03</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宋体" w:hAnsi="宋体" w:cs="宋体" w:eastAsia="宋体" w:hint="default"/>
                <w:sz w:val="18"/>
                <w:szCs w:val="18"/>
              </w:rPr>
              <w:t>工伤保险</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31,466.91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362,581.98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378,642.16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15,406.73</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3" w:right="0"/>
              <w:jc w:val="left"/>
              <w:rPr>
                <w:rFonts w:ascii="宋体" w:hAnsi="宋体" w:cs="宋体" w:eastAsia="宋体" w:hint="default"/>
                <w:sz w:val="18"/>
                <w:szCs w:val="18"/>
              </w:rPr>
            </w:pPr>
            <w:r>
              <w:rPr>
                <w:rFonts w:ascii="宋体" w:hAnsi="宋体" w:cs="宋体" w:eastAsia="宋体" w:hint="default"/>
                <w:sz w:val="18"/>
                <w:szCs w:val="18"/>
              </w:rPr>
              <w:t>生育保险</w:t>
            </w:r>
          </w:p>
          <w:p>
            <w:pPr>
              <w:pStyle w:val="TableParagraph"/>
              <w:spacing w:line="240" w:lineRule="auto" w:before="76"/>
              <w:ind w:left="103" w:right="0"/>
              <w:jc w:val="left"/>
              <w:rPr>
                <w:rFonts w:ascii="宋体" w:hAnsi="宋体" w:cs="宋体" w:eastAsia="宋体" w:hint="default"/>
                <w:sz w:val="18"/>
                <w:szCs w:val="18"/>
              </w:rPr>
            </w:pPr>
            <w:r>
              <w:rPr>
                <w:rFonts w:ascii="宋体" w:hAnsi="宋体" w:cs="宋体" w:eastAsia="宋体" w:hint="default"/>
                <w:sz w:val="18"/>
                <w:szCs w:val="18"/>
              </w:rPr>
              <w:t>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60,885.67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1,476,513.47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1,432,667.27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104,731.87</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、住房公积金</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1,250,274.00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15,613,047.12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15,286,453.12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1,576,868.00</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1"/>
              <w:ind w:left="103" w:right="101"/>
              <w:jc w:val="left"/>
              <w:rPr>
                <w:rFonts w:ascii="宋体" w:hAnsi="宋体" w:cs="宋体" w:eastAsia="宋体" w:hint="default"/>
                <w:sz w:val="18"/>
                <w:szCs w:val="18"/>
              </w:rPr>
            </w:pPr>
            <w:r>
              <w:rPr>
                <w:rFonts w:ascii="Times New Roman" w:hAnsi="Times New Roman" w:cs="Times New Roman" w:eastAsia="Times New Roman" w:hint="default"/>
                <w:spacing w:val="-2"/>
                <w:sz w:val="18"/>
                <w:szCs w:val="18"/>
              </w:rPr>
              <w:t>5</w:t>
            </w:r>
            <w:r>
              <w:rPr>
                <w:rFonts w:ascii="宋体" w:hAnsi="宋体" w:cs="宋体" w:eastAsia="宋体" w:hint="default"/>
                <w:spacing w:val="-2"/>
                <w:sz w:val="18"/>
                <w:szCs w:val="18"/>
              </w:rPr>
              <w:t>、工会经费和职工教</w:t>
            </w:r>
            <w:r>
              <w:rPr>
                <w:rFonts w:ascii="宋体" w:hAnsi="宋体" w:cs="宋体" w:eastAsia="宋体" w:hint="default"/>
                <w:spacing w:val="-85"/>
                <w:sz w:val="18"/>
                <w:szCs w:val="18"/>
              </w:rPr>
              <w:t> </w:t>
            </w:r>
            <w:r>
              <w:rPr>
                <w:rFonts w:ascii="宋体" w:hAnsi="宋体" w:cs="宋体" w:eastAsia="宋体" w:hint="default"/>
                <w:spacing w:val="-85"/>
                <w:sz w:val="18"/>
                <w:szCs w:val="18"/>
              </w:rPr>
            </w:r>
            <w:r>
              <w:rPr>
                <w:rFonts w:ascii="宋体" w:hAnsi="宋体" w:cs="宋体" w:eastAsia="宋体" w:hint="default"/>
                <w:sz w:val="18"/>
                <w:szCs w:val="18"/>
              </w:rPr>
              <w:t>育经费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424,323.41</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260.00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260.00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424,323.41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14,840,979.69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290,894,925.24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285,761,500.86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19,974,404.07</w:t>
            </w:r>
          </w:p>
        </w:tc>
      </w:tr>
    </w:tbl>
    <w:p>
      <w:pPr>
        <w:spacing w:after="0" w:line="240" w:lineRule="auto"/>
        <w:jc w:val="right"/>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13"/>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3）设定提存计划列示" w:id="314"/>
      <w:bookmarkEnd w:id="31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）设定提存计划列示</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、基本养老保险</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2,904,620.42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32,578,735.03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32,136,109.24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3,347,246.21</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、失业保险费</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44,401.55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924,608.59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892,060.30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76,949.84</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2,949,021.97</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33,503,343.62</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33,028,169.54</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3,424,196.05</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2、应交税费" w:id="315"/>
      <w:bookmarkEnd w:id="315"/>
      <w:r>
        <w:rPr/>
      </w:r>
      <w:r>
        <w:rPr>
          <w:rFonts w:ascii="Times New Roman" w:hAnsi="Times New Roman" w:cs="Times New Roman" w:eastAsia="Times New Roman" w:hint="default"/>
          <w:b/>
          <w:bCs/>
          <w:sz w:val="21"/>
          <w:szCs w:val="21"/>
        </w:rPr>
        <w:t>32</w:t>
      </w:r>
      <w:r>
        <w:rPr>
          <w:rFonts w:ascii="宋体" w:hAnsi="宋体" w:cs="宋体" w:eastAsia="宋体" w:hint="default"/>
          <w:b/>
          <w:bCs/>
          <w:sz w:val="21"/>
          <w:szCs w:val="21"/>
        </w:rPr>
        <w:t>、应交税费</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53,701,441.45</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47,005,819.02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882,746.21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8,389,699.38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1,368,363.06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1,678,671.52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1,243,970.92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1,811,264.17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752,400.06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779,809.31</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其他税费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221,917.73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548,565.52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58,170,839.43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60,213,828.92</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3、其他应付款" w:id="316"/>
      <w:bookmarkEnd w:id="316"/>
      <w:r>
        <w:rPr/>
      </w:r>
      <w:r>
        <w:rPr>
          <w:rFonts w:ascii="Times New Roman" w:hAnsi="Times New Roman" w:cs="Times New Roman" w:eastAsia="Times New Roman" w:hint="default"/>
          <w:b/>
          <w:bCs/>
          <w:sz w:val="21"/>
          <w:szCs w:val="21"/>
        </w:rPr>
        <w:t>33</w:t>
      </w:r>
      <w:r>
        <w:rPr>
          <w:rFonts w:ascii="宋体" w:hAnsi="宋体" w:cs="宋体" w:eastAsia="宋体" w:hint="default"/>
          <w:b/>
          <w:bCs/>
          <w:sz w:val="21"/>
          <w:szCs w:val="21"/>
        </w:rPr>
        <w:t>、其他应付款</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516,104.23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686,201.38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38,741,119.34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66,984,045.28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39,257,223.57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67,670,246.66</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1）应付利息" w:id="317"/>
      <w:bookmarkEnd w:id="31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）应付利息</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分期付息到期还本的长期借款利息</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217,708.33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188,680.56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短期借款应付利息</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298,395.90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497,520.82</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516,104.23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686,201.38</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重要的已逾期未支付的利息情况：</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3"/>
        <w:rPr>
          <w:rFonts w:ascii="宋体" w:hAnsi="宋体" w:cs="宋体" w:eastAsia="宋体" w:hint="default"/>
          <w:sz w:val="20"/>
          <w:szCs w:val="20"/>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借款单位</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逾期金额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逾期原因</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应付股利" w:id="318"/>
      <w:bookmarkEnd w:id="31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）应付股利</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其他说明，包括重要的超过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年未支付的应付股利，应披露未支付原因：</w:t>
      </w:r>
    </w:p>
    <w:p>
      <w:pPr>
        <w:spacing w:line="240" w:lineRule="auto" w:before="9"/>
        <w:rPr>
          <w:rFonts w:ascii="宋体" w:hAnsi="宋体" w:cs="宋体" w:eastAsia="宋体" w:hint="default"/>
          <w:sz w:val="25"/>
          <w:szCs w:val="25"/>
        </w:rPr>
      </w:pPr>
    </w:p>
    <w:p>
      <w:pPr>
        <w:spacing w:before="0"/>
        <w:ind w:left="114" w:right="0" w:firstLine="0"/>
        <w:jc w:val="left"/>
        <w:rPr>
          <w:rFonts w:ascii="宋体" w:hAnsi="宋体" w:cs="宋体" w:eastAsia="宋体" w:hint="default"/>
          <w:sz w:val="21"/>
          <w:szCs w:val="21"/>
        </w:rPr>
      </w:pPr>
      <w:bookmarkStart w:name="（3）其他应付款" w:id="319"/>
      <w:bookmarkEnd w:id="31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）其他应付款</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按款项性质列示其他应付款</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1,998,094.98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2,459,155.16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5,796,058.09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4,256,858.12</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限制性股票回购义务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30,946,966.27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60,268,032.00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38,741,119.34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66,984,045.28</w:t>
            </w:r>
          </w:p>
        </w:tc>
      </w:tr>
    </w:tbl>
    <w:p>
      <w:pPr>
        <w:spacing w:before="51"/>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账龄超过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年的重要其他应付款</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未偿还或结转的原因</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4、持有待售负债" w:id="320"/>
      <w:bookmarkEnd w:id="320"/>
      <w:r>
        <w:rPr/>
      </w:r>
      <w:r>
        <w:rPr>
          <w:rFonts w:ascii="Times New Roman" w:hAnsi="Times New Roman" w:cs="Times New Roman" w:eastAsia="Times New Roman" w:hint="default"/>
          <w:b/>
          <w:bCs/>
          <w:sz w:val="21"/>
          <w:szCs w:val="21"/>
        </w:rPr>
        <w:t>34</w:t>
      </w:r>
      <w:r>
        <w:rPr>
          <w:rFonts w:ascii="宋体" w:hAnsi="宋体" w:cs="宋体" w:eastAsia="宋体" w:hint="default"/>
          <w:b/>
          <w:bCs/>
          <w:sz w:val="21"/>
          <w:szCs w:val="21"/>
        </w:rPr>
        <w:t>、持有待售负债</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5、一年内到期的非流动负债" w:id="321"/>
      <w:bookmarkEnd w:id="321"/>
      <w:r>
        <w:rPr/>
      </w:r>
      <w:r>
        <w:rPr>
          <w:rFonts w:ascii="Times New Roman" w:hAnsi="Times New Roman" w:cs="Times New Roman" w:eastAsia="Times New Roman" w:hint="default"/>
          <w:b/>
          <w:bCs/>
          <w:sz w:val="21"/>
          <w:szCs w:val="21"/>
        </w:rPr>
        <w:t>35</w:t>
      </w:r>
      <w:r>
        <w:rPr>
          <w:rFonts w:ascii="宋体" w:hAnsi="宋体" w:cs="宋体" w:eastAsia="宋体" w:hint="default"/>
          <w:b/>
          <w:bCs/>
          <w:sz w:val="21"/>
          <w:szCs w:val="21"/>
        </w:rPr>
        <w:t>、一年内到期的非流动负债</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一年内到期的长期借款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36、其他流动负债" w:id="322"/>
      <w:bookmarkEnd w:id="322"/>
      <w:r>
        <w:rPr/>
      </w:r>
      <w:r>
        <w:rPr>
          <w:rFonts w:ascii="Times New Roman" w:hAnsi="Times New Roman" w:cs="Times New Roman" w:eastAsia="Times New Roman" w:hint="default"/>
          <w:b/>
          <w:bCs/>
          <w:sz w:val="21"/>
          <w:szCs w:val="21"/>
        </w:rPr>
        <w:t>36</w:t>
      </w:r>
      <w:r>
        <w:rPr>
          <w:rFonts w:ascii="宋体" w:hAnsi="宋体" w:cs="宋体" w:eastAsia="宋体" w:hint="default"/>
          <w:b/>
          <w:bCs/>
          <w:sz w:val="21"/>
          <w:szCs w:val="21"/>
        </w:rPr>
        <w:t>、其他流动负债</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短期应付债券的增减变动：</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98"/>
        <w:gridCol w:w="798"/>
        <w:gridCol w:w="798"/>
        <w:gridCol w:w="798"/>
        <w:gridCol w:w="798"/>
        <w:gridCol w:w="798"/>
        <w:gridCol w:w="798"/>
        <w:gridCol w:w="798"/>
        <w:gridCol w:w="798"/>
        <w:gridCol w:w="798"/>
        <w:gridCol w:w="798"/>
        <w:gridCol w:w="798"/>
      </w:tblGrid>
      <w:tr>
        <w:trPr>
          <w:trHeight w:val="1026" w:hRule="exact"/>
        </w:trPr>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03" w:right="123" w:hanging="180"/>
              <w:jc w:val="left"/>
              <w:rPr>
                <w:rFonts w:ascii="宋体" w:hAnsi="宋体" w:cs="宋体" w:eastAsia="宋体" w:hint="default"/>
                <w:sz w:val="18"/>
                <w:szCs w:val="18"/>
              </w:rPr>
            </w:pPr>
            <w:r>
              <w:rPr>
                <w:rFonts w:ascii="宋体" w:hAnsi="宋体" w:cs="宋体" w:eastAsia="宋体" w:hint="default"/>
                <w:sz w:val="18"/>
                <w:szCs w:val="18"/>
              </w:rPr>
              <w:t>债券名 称</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13" w:right="0"/>
              <w:jc w:val="left"/>
              <w:rPr>
                <w:rFonts w:ascii="宋体" w:hAnsi="宋体" w:cs="宋体" w:eastAsia="宋体" w:hint="default"/>
                <w:sz w:val="18"/>
                <w:szCs w:val="18"/>
              </w:rPr>
            </w:pPr>
            <w:r>
              <w:rPr>
                <w:rFonts w:ascii="宋体" w:hAnsi="宋体" w:cs="宋体" w:eastAsia="宋体" w:hint="default"/>
                <w:sz w:val="18"/>
                <w:szCs w:val="18"/>
              </w:rPr>
              <w:t>面值</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发行日 期</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债券期 限</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03" w:right="123" w:hanging="180"/>
              <w:jc w:val="left"/>
              <w:rPr>
                <w:rFonts w:ascii="宋体" w:hAnsi="宋体" w:cs="宋体" w:eastAsia="宋体" w:hint="default"/>
                <w:sz w:val="18"/>
                <w:szCs w:val="18"/>
              </w:rPr>
            </w:pPr>
            <w:r>
              <w:rPr>
                <w:rFonts w:ascii="宋体" w:hAnsi="宋体" w:cs="宋体" w:eastAsia="宋体" w:hint="default"/>
                <w:sz w:val="18"/>
                <w:szCs w:val="18"/>
              </w:rPr>
              <w:t>发行金 额</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本期发 行</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3" w:right="122"/>
              <w:jc w:val="center"/>
              <w:rPr>
                <w:rFonts w:ascii="宋体" w:hAnsi="宋体" w:cs="宋体" w:eastAsia="宋体" w:hint="default"/>
                <w:sz w:val="18"/>
                <w:szCs w:val="18"/>
              </w:rPr>
            </w:pPr>
            <w:r>
              <w:rPr>
                <w:rFonts w:ascii="宋体" w:hAnsi="宋体" w:cs="宋体" w:eastAsia="宋体" w:hint="default"/>
                <w:sz w:val="18"/>
                <w:szCs w:val="18"/>
              </w:rPr>
              <w:t>按面值 计提利 息</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213" w:right="123" w:hanging="90"/>
              <w:jc w:val="left"/>
              <w:rPr>
                <w:rFonts w:ascii="宋体" w:hAnsi="宋体" w:cs="宋体" w:eastAsia="宋体" w:hint="default"/>
                <w:sz w:val="18"/>
                <w:szCs w:val="18"/>
              </w:rPr>
            </w:pPr>
            <w:r>
              <w:rPr>
                <w:rFonts w:ascii="宋体" w:hAnsi="宋体" w:cs="宋体" w:eastAsia="宋体" w:hint="default"/>
                <w:sz w:val="18"/>
                <w:szCs w:val="18"/>
              </w:rPr>
              <w:t>溢折价 摊销</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本期偿 还</w:t>
            </w:r>
          </w:p>
        </w:tc>
        <w:tc>
          <w:tcPr>
            <w:tcW w:w="798"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期末余 额</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7、长期借款" w:id="323"/>
      <w:bookmarkEnd w:id="323"/>
      <w:r>
        <w:rPr/>
      </w:r>
      <w:r>
        <w:rPr>
          <w:rFonts w:ascii="Times New Roman" w:hAnsi="Times New Roman" w:cs="Times New Roman" w:eastAsia="Times New Roman" w:hint="default"/>
          <w:b/>
          <w:bCs/>
          <w:sz w:val="21"/>
          <w:szCs w:val="21"/>
        </w:rPr>
        <w:t>37</w:t>
      </w:r>
      <w:r>
        <w:rPr>
          <w:rFonts w:ascii="宋体" w:hAnsi="宋体" w:cs="宋体" w:eastAsia="宋体" w:hint="default"/>
          <w:b/>
          <w:bCs/>
          <w:sz w:val="21"/>
          <w:szCs w:val="21"/>
        </w:rPr>
        <w:t>、长期借款</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长期借款分类" w:id="324"/>
      <w:bookmarkEnd w:id="32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）长期借款分类</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抵押借款</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162,000,000.00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130,000,000.00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162,000,000.00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130,000,000.00</w:t>
            </w:r>
          </w:p>
        </w:tc>
      </w:tr>
    </w:tbl>
    <w:p>
      <w:pPr>
        <w:spacing w:line="360" w:lineRule="auto" w:before="51"/>
        <w:ind w:left="114" w:right="8592" w:firstLine="0"/>
        <w:jc w:val="left"/>
        <w:rPr>
          <w:rFonts w:ascii="宋体" w:hAnsi="宋体" w:cs="宋体" w:eastAsia="宋体" w:hint="default"/>
          <w:sz w:val="18"/>
          <w:szCs w:val="18"/>
        </w:rPr>
      </w:pPr>
      <w:r>
        <w:rPr>
          <w:rFonts w:ascii="宋体" w:hAnsi="宋体" w:cs="宋体" w:eastAsia="宋体" w:hint="default"/>
          <w:sz w:val="18"/>
          <w:szCs w:val="18"/>
        </w:rPr>
        <w:t>长期借款分类的说明： 其他说明，包括利率区间：</w:t>
      </w:r>
    </w:p>
    <w:p>
      <w:pPr>
        <w:spacing w:line="240" w:lineRule="auto" w:before="11"/>
        <w:rPr>
          <w:rFonts w:ascii="宋体" w:hAnsi="宋体" w:cs="宋体" w:eastAsia="宋体" w:hint="default"/>
          <w:sz w:val="19"/>
          <w:szCs w:val="19"/>
        </w:rPr>
      </w:pPr>
    </w:p>
    <w:p>
      <w:pPr>
        <w:spacing w:before="0"/>
        <w:ind w:left="114" w:right="0" w:firstLine="0"/>
        <w:jc w:val="left"/>
        <w:rPr>
          <w:rFonts w:ascii="宋体" w:hAnsi="宋体" w:cs="宋体" w:eastAsia="宋体" w:hint="default"/>
          <w:sz w:val="21"/>
          <w:szCs w:val="21"/>
        </w:rPr>
      </w:pPr>
      <w:bookmarkStart w:name="38、应付债券" w:id="325"/>
      <w:bookmarkEnd w:id="325"/>
      <w:r>
        <w:rPr/>
      </w:r>
      <w:r>
        <w:rPr>
          <w:rFonts w:ascii="Times New Roman" w:hAnsi="Times New Roman" w:cs="Times New Roman" w:eastAsia="Times New Roman" w:hint="default"/>
          <w:b/>
          <w:bCs/>
          <w:sz w:val="21"/>
          <w:szCs w:val="21"/>
        </w:rPr>
        <w:t>38</w:t>
      </w:r>
      <w:r>
        <w:rPr>
          <w:rFonts w:ascii="宋体" w:hAnsi="宋体" w:cs="宋体" w:eastAsia="宋体" w:hint="default"/>
          <w:b/>
          <w:bCs/>
          <w:sz w:val="21"/>
          <w:szCs w:val="21"/>
        </w:rPr>
        <w:t>、应付债券</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应付债券" w:id="326"/>
      <w:bookmarkEnd w:id="32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）应付债券</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3"/>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应付债券的增减变动（不包括划分为金融负债的优先股、永续债等其他金融工具）" w:id="327"/>
      <w:bookmarkEnd w:id="32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）应付债券的增减变动（不包括划分为金融负债的优先股、永续债等其他金融工具）</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24"/>
          <w:szCs w:val="24"/>
        </w:rPr>
      </w:pPr>
    </w:p>
    <w:p>
      <w:pPr>
        <w:spacing w:before="35"/>
        <w:ind w:left="114" w:right="0" w:firstLine="0"/>
        <w:jc w:val="left"/>
        <w:rPr>
          <w:rFonts w:ascii="宋体" w:hAnsi="宋体" w:cs="宋体" w:eastAsia="宋体" w:hint="default"/>
          <w:sz w:val="21"/>
          <w:szCs w:val="21"/>
        </w:rPr>
      </w:pPr>
      <w:bookmarkStart w:name="（3）可转换公司债券的转股条件、转股时间说明" w:id="328"/>
      <w:bookmarkEnd w:id="32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）可转换公司债券的转股条件、转股时间说明</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4）划分为金融负债的其他金融工具说明" w:id="329"/>
      <w:bookmarkEnd w:id="32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）划分为金融负债的其他金融工具说明</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after="0" w:line="240" w:lineRule="auto"/>
        <w:rPr>
          <w:rFonts w:ascii="宋体" w:hAnsi="宋体" w:cs="宋体" w:eastAsia="宋体" w:hint="default"/>
          <w:sz w:val="23"/>
          <w:szCs w:val="23"/>
        </w:rPr>
        <w:sectPr>
          <w:pgSz w:w="11910" w:h="16840"/>
          <w:pgMar w:header="889" w:footer="1019" w:top="1140" w:bottom="1200" w:left="1020" w:right="0"/>
        </w:sectPr>
      </w:pPr>
    </w:p>
    <w:p>
      <w:pPr>
        <w:spacing w:line="357" w:lineRule="auto" w:before="44"/>
        <w:ind w:left="114" w:right="-20" w:firstLine="0"/>
        <w:jc w:val="left"/>
        <w:rPr>
          <w:rFonts w:ascii="宋体" w:hAnsi="宋体" w:cs="宋体" w:eastAsia="宋体" w:hint="default"/>
          <w:sz w:val="18"/>
          <w:szCs w:val="18"/>
        </w:rPr>
      </w:pPr>
      <w:r>
        <w:rPr>
          <w:rFonts w:ascii="宋体" w:hAnsi="宋体" w:cs="宋体" w:eastAsia="宋体" w:hint="default"/>
          <w:sz w:val="18"/>
          <w:szCs w:val="18"/>
        </w:rPr>
        <w:t>期末发行在外的优先股、永续债等其他金融工具基本情况 期末发行在外的优先股、永续债等金融工具变动情况表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1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140" w:bottom="1200" w:left="1020" w:right="0"/>
          <w:cols w:num="2" w:equalWidth="0">
            <w:col w:w="4615" w:space="4215"/>
            <w:col w:w="2060"/>
          </w:cols>
        </w:sectPr>
      </w:pP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066"/>
        <w:gridCol w:w="2130"/>
        <w:gridCol w:w="2126"/>
        <w:gridCol w:w="2124"/>
        <w:gridCol w:w="2124"/>
      </w:tblGrid>
      <w:tr>
        <w:trPr>
          <w:trHeight w:val="402"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71"/>
              <w:ind w:left="166" w:right="0"/>
              <w:jc w:val="left"/>
              <w:rPr>
                <w:rFonts w:ascii="宋体" w:hAnsi="宋体" w:cs="宋体" w:eastAsia="宋体" w:hint="default"/>
                <w:sz w:val="18"/>
                <w:szCs w:val="18"/>
              </w:rPr>
            </w:pPr>
            <w:r>
              <w:rPr>
                <w:rFonts w:ascii="宋体" w:hAnsi="宋体" w:cs="宋体" w:eastAsia="宋体" w:hint="default"/>
                <w:sz w:val="18"/>
                <w:szCs w:val="18"/>
              </w:rPr>
              <w:t>发行在外</w:t>
            </w:r>
          </w:p>
        </w:tc>
        <w:tc>
          <w:tcPr>
            <w:tcW w:w="213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21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w:t>
            </w:r>
          </w:p>
        </w:tc>
      </w:tr>
    </w:tbl>
    <w:p>
      <w:pPr>
        <w:spacing w:after="0" w:line="240" w:lineRule="auto"/>
        <w:jc w:val="center"/>
        <w:rPr>
          <w:rFonts w:ascii="宋体" w:hAnsi="宋体" w:cs="宋体" w:eastAsia="宋体" w:hint="default"/>
          <w:sz w:val="18"/>
          <w:szCs w:val="18"/>
        </w:rPr>
        <w:sectPr>
          <w:type w:val="continuous"/>
          <w:pgSz w:w="11910" w:h="16840"/>
          <w:pgMar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1066"/>
        <w:gridCol w:w="1067"/>
        <w:gridCol w:w="1063"/>
        <w:gridCol w:w="1062"/>
        <w:gridCol w:w="1063"/>
        <w:gridCol w:w="1062"/>
        <w:gridCol w:w="1062"/>
        <w:gridCol w:w="1062"/>
        <w:gridCol w:w="1062"/>
      </w:tblGrid>
      <w:tr>
        <w:trPr>
          <w:trHeight w:val="674"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10"/>
              <w:ind w:left="436" w:right="167" w:hanging="270"/>
              <w:jc w:val="left"/>
              <w:rPr>
                <w:rFonts w:ascii="宋体" w:hAnsi="宋体" w:cs="宋体" w:eastAsia="宋体" w:hint="default"/>
                <w:sz w:val="18"/>
                <w:szCs w:val="18"/>
              </w:rPr>
            </w:pPr>
            <w:r>
              <w:rPr>
                <w:rFonts w:ascii="宋体" w:hAnsi="宋体" w:cs="宋体" w:eastAsia="宋体" w:hint="default"/>
                <w:sz w:val="18"/>
                <w:szCs w:val="18"/>
              </w:rPr>
              <w:t>的金融工 具</w:t>
            </w:r>
          </w:p>
        </w:tc>
        <w:tc>
          <w:tcPr>
            <w:tcW w:w="1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46"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360" w:lineRule="auto" w:before="51"/>
        <w:ind w:left="114" w:right="7512" w:firstLine="0"/>
        <w:jc w:val="left"/>
        <w:rPr>
          <w:rFonts w:ascii="宋体" w:hAnsi="宋体" w:cs="宋体" w:eastAsia="宋体" w:hint="default"/>
          <w:sz w:val="18"/>
          <w:szCs w:val="18"/>
        </w:rPr>
      </w:pPr>
      <w:r>
        <w:rPr>
          <w:rFonts w:ascii="宋体" w:hAnsi="宋体" w:cs="宋体" w:eastAsia="宋体" w:hint="default"/>
          <w:sz w:val="18"/>
          <w:szCs w:val="18"/>
        </w:rPr>
        <w:t>其他金融工具划分为金融负债的依据说明 其他说明</w:t>
      </w:r>
    </w:p>
    <w:p>
      <w:pPr>
        <w:spacing w:line="240" w:lineRule="auto" w:before="12"/>
        <w:rPr>
          <w:rFonts w:ascii="宋体" w:hAnsi="宋体" w:cs="宋体" w:eastAsia="宋体" w:hint="default"/>
          <w:sz w:val="19"/>
          <w:szCs w:val="19"/>
        </w:rPr>
      </w:pPr>
    </w:p>
    <w:p>
      <w:pPr>
        <w:spacing w:before="0"/>
        <w:ind w:left="114" w:right="0" w:firstLine="0"/>
        <w:jc w:val="left"/>
        <w:rPr>
          <w:rFonts w:ascii="宋体" w:hAnsi="宋体" w:cs="宋体" w:eastAsia="宋体" w:hint="default"/>
          <w:sz w:val="21"/>
          <w:szCs w:val="21"/>
        </w:rPr>
      </w:pPr>
      <w:bookmarkStart w:name="39、长期应付款" w:id="330"/>
      <w:bookmarkEnd w:id="330"/>
      <w:r>
        <w:rPr/>
      </w:r>
      <w:r>
        <w:rPr>
          <w:rFonts w:ascii="Times New Roman" w:hAnsi="Times New Roman" w:cs="Times New Roman" w:eastAsia="Times New Roman" w:hint="default"/>
          <w:b/>
          <w:bCs/>
          <w:sz w:val="21"/>
          <w:szCs w:val="21"/>
        </w:rPr>
        <w:t>39</w:t>
      </w:r>
      <w:r>
        <w:rPr>
          <w:rFonts w:ascii="宋体" w:hAnsi="宋体" w:cs="宋体" w:eastAsia="宋体" w:hint="default"/>
          <w:b/>
          <w:bCs/>
          <w:sz w:val="21"/>
          <w:szCs w:val="21"/>
        </w:rPr>
        <w:t>、长期应付款</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1）按款项性质列示长期应付款" w:id="331"/>
      <w:bookmarkEnd w:id="33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）按款项性质列示长期应付款</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专项应付款" w:id="332"/>
      <w:bookmarkEnd w:id="33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）专项应付款</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形成原因</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0、长期应付职工薪酬" w:id="333"/>
      <w:bookmarkEnd w:id="333"/>
      <w:r>
        <w:rPr/>
      </w:r>
      <w:r>
        <w:rPr>
          <w:rFonts w:ascii="Times New Roman" w:hAnsi="Times New Roman" w:cs="Times New Roman" w:eastAsia="Times New Roman" w:hint="default"/>
          <w:b/>
          <w:bCs/>
          <w:sz w:val="21"/>
          <w:szCs w:val="21"/>
        </w:rPr>
        <w:t>40</w:t>
      </w:r>
      <w:r>
        <w:rPr>
          <w:rFonts w:ascii="宋体" w:hAnsi="宋体" w:cs="宋体" w:eastAsia="宋体" w:hint="default"/>
          <w:b/>
          <w:bCs/>
          <w:sz w:val="21"/>
          <w:szCs w:val="21"/>
        </w:rPr>
        <w:t>、长期应付职工薪酬</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长期应付职工薪酬表" w:id="334"/>
      <w:bookmarkEnd w:id="33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）长期应付职工薪酬表</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设定受益计划变动情况" w:id="335"/>
      <w:bookmarkEnd w:id="33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）设定受益计划变动情况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设定受益计划义务现值：</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计划资产：</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设定受益计划净负债（净资产）</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889" w:footer="1019" w:top="1140" w:bottom="1200" w:left="1020" w:right="0"/>
        </w:sectPr>
      </w:pPr>
    </w:p>
    <w:p>
      <w:pPr>
        <w:spacing w:line="240" w:lineRule="auto" w:before="3"/>
        <w:rPr>
          <w:rFonts w:ascii="宋体" w:hAnsi="宋体" w:cs="宋体" w:eastAsia="宋体" w:hint="default"/>
          <w:sz w:val="20"/>
          <w:szCs w:val="20"/>
        </w:rPr>
      </w:pPr>
    </w:p>
    <w:p>
      <w:pPr>
        <w:spacing w:line="357" w:lineRule="auto" w:before="44"/>
        <w:ind w:left="114" w:right="3552" w:firstLine="0"/>
        <w:jc w:val="left"/>
        <w:rPr>
          <w:rFonts w:ascii="宋体" w:hAnsi="宋体" w:cs="宋体" w:eastAsia="宋体" w:hint="default"/>
          <w:sz w:val="18"/>
          <w:szCs w:val="18"/>
        </w:rPr>
      </w:pPr>
      <w:r>
        <w:rPr>
          <w:rFonts w:ascii="宋体" w:hAnsi="宋体" w:cs="宋体" w:eastAsia="宋体" w:hint="default"/>
          <w:sz w:val="18"/>
          <w:szCs w:val="18"/>
        </w:rPr>
        <w:t>设定受益计划的内容及与之相关风险、对公司未来现金流量、时间和不确定性的影响说明： 设定受益计划重大精算假设及敏感性分析结果说明：</w:t>
      </w:r>
    </w:p>
    <w:p>
      <w:pPr>
        <w:spacing w:before="29"/>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1、预计负债" w:id="336"/>
      <w:bookmarkEnd w:id="336"/>
      <w:r>
        <w:rPr/>
      </w:r>
      <w:r>
        <w:rPr>
          <w:rFonts w:ascii="Times New Roman" w:hAnsi="Times New Roman" w:cs="Times New Roman" w:eastAsia="Times New Roman" w:hint="default"/>
          <w:b/>
          <w:bCs/>
          <w:sz w:val="21"/>
          <w:szCs w:val="21"/>
        </w:rPr>
        <w:t>41</w:t>
      </w:r>
      <w:r>
        <w:rPr>
          <w:rFonts w:ascii="宋体" w:hAnsi="宋体" w:cs="宋体" w:eastAsia="宋体" w:hint="default"/>
          <w:b/>
          <w:bCs/>
          <w:sz w:val="21"/>
          <w:szCs w:val="21"/>
        </w:rPr>
        <w:t>、预计负债</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2390"/>
        <w:gridCol w:w="2396"/>
        <w:gridCol w:w="2392"/>
        <w:gridCol w:w="2392"/>
      </w:tblGrid>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形成原因</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其他说明，包括重要预计负债的相关重要假设、估计说明：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2、递延收益" w:id="337"/>
      <w:bookmarkEnd w:id="337"/>
      <w:r>
        <w:rPr/>
      </w:r>
      <w:r>
        <w:rPr>
          <w:rFonts w:ascii="Times New Roman" w:hAnsi="Times New Roman" w:cs="Times New Roman" w:eastAsia="Times New Roman" w:hint="default"/>
          <w:b/>
          <w:bCs/>
          <w:sz w:val="21"/>
          <w:szCs w:val="21"/>
        </w:rPr>
        <w:t>42</w:t>
      </w:r>
      <w:r>
        <w:rPr>
          <w:rFonts w:ascii="宋体" w:hAnsi="宋体" w:cs="宋体" w:eastAsia="宋体" w:hint="default"/>
          <w:b/>
          <w:bCs/>
          <w:sz w:val="21"/>
          <w:szCs w:val="21"/>
        </w:rPr>
        <w:t>、递延收益</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594"/>
        <w:gridCol w:w="1596"/>
        <w:gridCol w:w="1595"/>
        <w:gridCol w:w="1594"/>
        <w:gridCol w:w="1594"/>
        <w:gridCol w:w="1595"/>
      </w:tblGrid>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5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形成原因</w:t>
            </w: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8" w:right="0"/>
              <w:jc w:val="left"/>
              <w:rPr>
                <w:rFonts w:ascii="Times New Roman" w:hAnsi="Times New Roman" w:cs="Times New Roman" w:eastAsia="Times New Roman" w:hint="default"/>
                <w:sz w:val="18"/>
                <w:szCs w:val="18"/>
              </w:rPr>
            </w:pPr>
            <w:r>
              <w:rPr>
                <w:rFonts w:ascii="Times New Roman"/>
                <w:sz w:val="18"/>
              </w:rPr>
              <w:t>14,740,000.00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9,372,000.00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6,800,000.00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6" w:right="0"/>
              <w:jc w:val="left"/>
              <w:rPr>
                <w:rFonts w:ascii="Times New Roman" w:hAnsi="Times New Roman" w:cs="Times New Roman" w:eastAsia="Times New Roman" w:hint="default"/>
                <w:sz w:val="18"/>
                <w:szCs w:val="18"/>
              </w:rPr>
            </w:pPr>
            <w:r>
              <w:rPr>
                <w:rFonts w:ascii="Times New Roman"/>
                <w:sz w:val="18"/>
              </w:rPr>
              <w:t>17,312,000.00</w:t>
            </w:r>
          </w:p>
        </w:tc>
        <w:tc>
          <w:tcPr>
            <w:tcW w:w="159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8" w:right="0"/>
              <w:jc w:val="left"/>
              <w:rPr>
                <w:rFonts w:ascii="Times New Roman" w:hAnsi="Times New Roman" w:cs="Times New Roman" w:eastAsia="Times New Roman" w:hint="default"/>
                <w:sz w:val="18"/>
                <w:szCs w:val="18"/>
              </w:rPr>
            </w:pPr>
            <w:r>
              <w:rPr>
                <w:rFonts w:ascii="Times New Roman"/>
                <w:sz w:val="18"/>
              </w:rPr>
              <w:t>14,740,000.00</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9,372,000.00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6,800,000.00</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446" w:right="0"/>
              <w:jc w:val="left"/>
              <w:rPr>
                <w:rFonts w:ascii="Times New Roman" w:hAnsi="Times New Roman" w:cs="Times New Roman" w:eastAsia="Times New Roman" w:hint="default"/>
                <w:sz w:val="18"/>
                <w:szCs w:val="18"/>
              </w:rPr>
            </w:pPr>
            <w:r>
              <w:rPr>
                <w:rFonts w:ascii="Times New Roman"/>
                <w:sz w:val="18"/>
              </w:rPr>
              <w:t>17,312,000.00</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涉及政府补助的项目：</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4"/>
        <w:gridCol w:w="1064"/>
        <w:gridCol w:w="1063"/>
        <w:gridCol w:w="1064"/>
        <w:gridCol w:w="1063"/>
        <w:gridCol w:w="1063"/>
        <w:gridCol w:w="1064"/>
        <w:gridCol w:w="1062"/>
        <w:gridCol w:w="1063"/>
      </w:tblGrid>
      <w:tr>
        <w:trPr>
          <w:trHeight w:val="1026"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负债项目</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166" w:right="164"/>
              <w:jc w:val="left"/>
              <w:rPr>
                <w:rFonts w:ascii="宋体" w:hAnsi="宋体" w:cs="宋体" w:eastAsia="宋体" w:hint="default"/>
                <w:sz w:val="18"/>
                <w:szCs w:val="18"/>
              </w:rPr>
            </w:pPr>
            <w:r>
              <w:rPr>
                <w:rFonts w:ascii="宋体" w:hAnsi="宋体" w:cs="宋体" w:eastAsia="宋体" w:hint="default"/>
                <w:sz w:val="18"/>
                <w:szCs w:val="18"/>
              </w:rPr>
              <w:t>本期新增 补助金额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66" w:right="164"/>
              <w:jc w:val="both"/>
              <w:rPr>
                <w:rFonts w:ascii="宋体" w:hAnsi="宋体" w:cs="宋体" w:eastAsia="宋体" w:hint="default"/>
                <w:sz w:val="18"/>
                <w:szCs w:val="18"/>
              </w:rPr>
            </w:pPr>
            <w:r>
              <w:rPr>
                <w:rFonts w:ascii="宋体" w:hAnsi="宋体" w:cs="宋体" w:eastAsia="宋体" w:hint="default"/>
                <w:sz w:val="18"/>
                <w:szCs w:val="18"/>
              </w:rPr>
              <w:t>本期计入 营业外收 入金额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66" w:right="164"/>
              <w:jc w:val="center"/>
              <w:rPr>
                <w:rFonts w:ascii="宋体" w:hAnsi="宋体" w:cs="宋体" w:eastAsia="宋体" w:hint="default"/>
                <w:sz w:val="18"/>
                <w:szCs w:val="18"/>
              </w:rPr>
            </w:pPr>
            <w:r>
              <w:rPr>
                <w:rFonts w:ascii="宋体" w:hAnsi="宋体" w:cs="宋体" w:eastAsia="宋体" w:hint="default"/>
                <w:sz w:val="18"/>
                <w:szCs w:val="18"/>
              </w:rPr>
              <w:t>本期计入 其他收益 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66" w:right="164"/>
              <w:jc w:val="center"/>
              <w:rPr>
                <w:rFonts w:ascii="宋体" w:hAnsi="宋体" w:cs="宋体" w:eastAsia="宋体" w:hint="default"/>
                <w:sz w:val="18"/>
                <w:szCs w:val="18"/>
              </w:rPr>
            </w:pPr>
            <w:r>
              <w:rPr>
                <w:rFonts w:ascii="宋体" w:hAnsi="宋体" w:cs="宋体" w:eastAsia="宋体" w:hint="default"/>
                <w:sz w:val="18"/>
                <w:szCs w:val="18"/>
              </w:rPr>
              <w:t>本期冲减 成本费用 金额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其他变动</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2"/>
              <w:ind w:left="141" w:right="139"/>
              <w:jc w:val="center"/>
              <w:rPr>
                <w:rFonts w:ascii="宋体" w:hAnsi="宋体" w:cs="宋体" w:eastAsia="宋体" w:hint="default"/>
                <w:sz w:val="18"/>
                <w:szCs w:val="18"/>
              </w:rPr>
            </w:pPr>
            <w:r>
              <w:rPr>
                <w:rFonts w:ascii="宋体" w:hAnsi="宋体" w:cs="宋体" w:eastAsia="宋体" w:hint="default"/>
                <w:sz w:val="18"/>
                <w:szCs w:val="18"/>
              </w:rPr>
              <w:t>与资产相 关</w:t>
            </w:r>
            <w:r>
              <w:rPr>
                <w:rFonts w:ascii="Times New Roman" w:hAnsi="Times New Roman" w:cs="Times New Roman" w:eastAsia="Times New Roman" w:hint="default"/>
                <w:sz w:val="18"/>
                <w:szCs w:val="18"/>
              </w:rPr>
              <w:t>/</w:t>
            </w:r>
            <w:r>
              <w:rPr>
                <w:rFonts w:ascii="宋体" w:hAnsi="宋体" w:cs="宋体" w:eastAsia="宋体" w:hint="default"/>
                <w:sz w:val="18"/>
                <w:szCs w:val="18"/>
              </w:rPr>
              <w:t>与收益 相关</w:t>
            </w:r>
          </w:p>
        </w:tc>
      </w:tr>
      <w:tr>
        <w:trPr>
          <w:trHeight w:val="196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28"/>
              <w:jc w:val="both"/>
              <w:rPr>
                <w:rFonts w:ascii="宋体" w:hAnsi="宋体" w:cs="宋体" w:eastAsia="宋体" w:hint="default"/>
                <w:sz w:val="18"/>
                <w:szCs w:val="18"/>
              </w:rPr>
            </w:pPr>
            <w:r>
              <w:rPr>
                <w:rFonts w:ascii="宋体" w:hAnsi="宋体" w:cs="宋体" w:eastAsia="宋体" w:hint="default"/>
                <w:sz w:val="18"/>
                <w:szCs w:val="18"/>
              </w:rPr>
              <w:t>基于物联 网技术的 智能冷链 物流云平 台专项资 金</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1650"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103" w:right="228"/>
              <w:jc w:val="both"/>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特惠淘</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在线比价 及尾货抢 购平台项 目补助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2,800,000.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2900"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2"/>
              <w:ind w:left="103" w:right="154"/>
              <w:jc w:val="left"/>
              <w:rPr>
                <w:rFonts w:ascii="宋体" w:hAnsi="宋体" w:cs="宋体" w:eastAsia="宋体" w:hint="default"/>
                <w:sz w:val="18"/>
                <w:szCs w:val="18"/>
              </w:rPr>
            </w:pPr>
            <w:r>
              <w:rPr>
                <w:rFonts w:ascii="宋体" w:hAnsi="宋体" w:cs="宋体" w:eastAsia="宋体" w:hint="default"/>
                <w:sz w:val="18"/>
                <w:szCs w:val="18"/>
              </w:rPr>
              <w:t>上海市软 件和集成 电路发展 专项资金 项目</w:t>
            </w:r>
            <w:r>
              <w:rPr>
                <w:rFonts w:ascii="Times New Roman" w:hAnsi="Times New Roman" w:cs="Times New Roman" w:eastAsia="Times New Roman" w:hint="default"/>
                <w:sz w:val="18"/>
                <w:szCs w:val="18"/>
              </w:rPr>
              <w:t>"</w:t>
            </w:r>
            <w:r>
              <w:rPr>
                <w:rFonts w:ascii="宋体" w:hAnsi="宋体" w:cs="宋体" w:eastAsia="宋体" w:hint="default"/>
                <w:sz w:val="18"/>
                <w:szCs w:val="18"/>
              </w:rPr>
              <w:t>上海 市软社区 智慧菜场 服务平台</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2,075,000.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2,075,000.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15"/>
                <w:szCs w:val="15"/>
              </w:rPr>
            </w:pPr>
          </w:p>
          <w:p>
            <w:pPr>
              <w:pStyle w:val="TableParagraph"/>
              <w:spacing w:line="319"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bl>
    <w:p>
      <w:pPr>
        <w:spacing w:after="0" w:line="319" w:lineRule="auto"/>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064"/>
        <w:gridCol w:w="1064"/>
        <w:gridCol w:w="1063"/>
        <w:gridCol w:w="1064"/>
        <w:gridCol w:w="1063"/>
        <w:gridCol w:w="1063"/>
        <w:gridCol w:w="1064"/>
        <w:gridCol w:w="1062"/>
        <w:gridCol w:w="1063"/>
      </w:tblGrid>
      <w:tr>
        <w:trPr>
          <w:trHeight w:val="1650"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28"/>
              <w:jc w:val="both"/>
              <w:rPr>
                <w:rFonts w:ascii="宋体" w:hAnsi="宋体" w:cs="宋体" w:eastAsia="宋体" w:hint="default"/>
                <w:sz w:val="18"/>
                <w:szCs w:val="18"/>
              </w:rPr>
            </w:pPr>
            <w:r>
              <w:rPr>
                <w:rFonts w:ascii="宋体" w:hAnsi="宋体" w:cs="宋体" w:eastAsia="宋体" w:hint="default"/>
                <w:sz w:val="18"/>
                <w:szCs w:val="18"/>
              </w:rPr>
              <w:t>都市农业 文化休闲 旅游资源 集成云平 台补助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pacing w:val="-1"/>
                <w:sz w:val="18"/>
              </w:rPr>
              <w:t>1,400,000.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700,000.00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pacing w:val="-1"/>
                <w:sz w:val="18"/>
              </w:rPr>
              <w:t>2,100,000.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28"/>
              <w:jc w:val="left"/>
              <w:rPr>
                <w:rFonts w:ascii="宋体" w:hAnsi="宋体" w:cs="宋体" w:eastAsia="宋体" w:hint="default"/>
                <w:sz w:val="18"/>
                <w:szCs w:val="18"/>
              </w:rPr>
            </w:pPr>
            <w:r>
              <w:rPr>
                <w:rFonts w:ascii="宋体" w:hAnsi="宋体" w:cs="宋体" w:eastAsia="宋体" w:hint="default"/>
                <w:sz w:val="18"/>
                <w:szCs w:val="18"/>
              </w:rPr>
              <w:t>光典厂房 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1,000,000.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28"/>
              <w:jc w:val="left"/>
              <w:rPr>
                <w:rFonts w:ascii="宋体" w:hAnsi="宋体" w:cs="宋体" w:eastAsia="宋体" w:hint="default"/>
                <w:sz w:val="18"/>
                <w:szCs w:val="18"/>
              </w:rPr>
            </w:pPr>
            <w:r>
              <w:rPr>
                <w:rFonts w:ascii="宋体" w:hAnsi="宋体" w:cs="宋体" w:eastAsia="宋体" w:hint="default"/>
                <w:sz w:val="18"/>
                <w:szCs w:val="18"/>
              </w:rPr>
              <w:t>与资产相 关</w:t>
            </w:r>
          </w:p>
        </w:tc>
      </w:tr>
      <w:tr>
        <w:trPr>
          <w:trHeight w:val="1338"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28"/>
              <w:jc w:val="both"/>
              <w:rPr>
                <w:rFonts w:ascii="宋体" w:hAnsi="宋体" w:cs="宋体" w:eastAsia="宋体" w:hint="default"/>
                <w:sz w:val="18"/>
                <w:szCs w:val="18"/>
              </w:rPr>
            </w:pPr>
            <w:r>
              <w:rPr>
                <w:rFonts w:ascii="宋体" w:hAnsi="宋体" w:cs="宋体" w:eastAsia="宋体" w:hint="default"/>
                <w:sz w:val="18"/>
                <w:szCs w:val="18"/>
              </w:rPr>
              <w:t>葡萄自适 应生产管 理系统研 究补助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39" w:right="0"/>
              <w:jc w:val="center"/>
              <w:rPr>
                <w:rFonts w:ascii="Times New Roman" w:hAnsi="Times New Roman" w:cs="Times New Roman" w:eastAsia="Times New Roman" w:hint="default"/>
                <w:sz w:val="18"/>
                <w:szCs w:val="18"/>
              </w:rPr>
            </w:pPr>
            <w:r>
              <w:rPr>
                <w:rFonts w:ascii="Times New Roman"/>
                <w:sz w:val="18"/>
              </w:rPr>
              <w:t>960,000.00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36" w:right="0"/>
              <w:jc w:val="center"/>
              <w:rPr>
                <w:rFonts w:ascii="Times New Roman" w:hAnsi="Times New Roman" w:cs="Times New Roman" w:eastAsia="Times New Roman" w:hint="default"/>
                <w:sz w:val="18"/>
                <w:szCs w:val="18"/>
              </w:rPr>
            </w:pPr>
            <w:r>
              <w:rPr>
                <w:rFonts w:ascii="Times New Roman"/>
                <w:sz w:val="18"/>
              </w:rPr>
              <w:t>960,000.00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1650"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28"/>
              <w:jc w:val="both"/>
              <w:rPr>
                <w:rFonts w:ascii="宋体" w:hAnsi="宋体" w:cs="宋体" w:eastAsia="宋体" w:hint="default"/>
                <w:sz w:val="18"/>
                <w:szCs w:val="18"/>
              </w:rPr>
            </w:pPr>
            <w:r>
              <w:rPr>
                <w:rFonts w:ascii="宋体" w:hAnsi="宋体" w:cs="宋体" w:eastAsia="宋体" w:hint="default"/>
                <w:sz w:val="18"/>
                <w:szCs w:val="18"/>
              </w:rPr>
              <w:t>基于互联 网模式的 追索品牌 推广项目 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910,000.00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390,000.00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right="101"/>
              <w:jc w:val="right"/>
              <w:rPr>
                <w:rFonts w:ascii="Times New Roman" w:hAnsi="Times New Roman" w:cs="Times New Roman" w:eastAsia="Times New Roman" w:hint="default"/>
                <w:sz w:val="18"/>
                <w:szCs w:val="18"/>
              </w:rPr>
            </w:pPr>
            <w:r>
              <w:rPr>
                <w:rFonts w:ascii="Times New Roman"/>
                <w:spacing w:val="-1"/>
                <w:sz w:val="18"/>
              </w:rPr>
              <w:t>1,300,000.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1650"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28"/>
              <w:jc w:val="both"/>
              <w:rPr>
                <w:rFonts w:ascii="宋体" w:hAnsi="宋体" w:cs="宋体" w:eastAsia="宋体" w:hint="default"/>
                <w:sz w:val="18"/>
                <w:szCs w:val="18"/>
              </w:rPr>
            </w:pPr>
            <w:r>
              <w:rPr>
                <w:rFonts w:ascii="宋体" w:hAnsi="宋体" w:cs="宋体" w:eastAsia="宋体" w:hint="default"/>
                <w:sz w:val="18"/>
                <w:szCs w:val="18"/>
              </w:rPr>
              <w:t>普陀区认 定企业技 术中心项 目建设项 目补助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500,000.00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2"/>
              <w:ind w:right="0"/>
              <w:jc w:val="left"/>
              <w:rPr>
                <w:rFonts w:ascii="Times New Roman" w:hAnsi="Times New Roman" w:cs="Times New Roman" w:eastAsia="Times New Roman" w:hint="default"/>
                <w:sz w:val="26"/>
                <w:szCs w:val="26"/>
              </w:rPr>
            </w:pPr>
          </w:p>
          <w:p>
            <w:pPr>
              <w:pStyle w:val="TableParagraph"/>
              <w:spacing w:line="240" w:lineRule="auto"/>
              <w:ind w:left="140" w:right="0"/>
              <w:jc w:val="left"/>
              <w:rPr>
                <w:rFonts w:ascii="Times New Roman" w:hAnsi="Times New Roman" w:cs="Times New Roman" w:eastAsia="Times New Roman" w:hint="default"/>
                <w:sz w:val="18"/>
                <w:szCs w:val="18"/>
              </w:rPr>
            </w:pPr>
            <w:r>
              <w:rPr>
                <w:rFonts w:ascii="Times New Roman"/>
                <w:sz w:val="18"/>
              </w:rPr>
              <w:t>500,000.00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05"/>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1338"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28"/>
              <w:jc w:val="both"/>
              <w:rPr>
                <w:rFonts w:ascii="宋体" w:hAnsi="宋体" w:cs="宋体" w:eastAsia="宋体" w:hint="default"/>
                <w:sz w:val="18"/>
                <w:szCs w:val="18"/>
              </w:rPr>
            </w:pPr>
            <w:r>
              <w:rPr>
                <w:rFonts w:ascii="宋体" w:hAnsi="宋体" w:cs="宋体" w:eastAsia="宋体" w:hint="default"/>
                <w:sz w:val="18"/>
                <w:szCs w:val="18"/>
              </w:rPr>
              <w:t>普陀区科 技小巨人 企业项目 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39" w:right="0"/>
              <w:jc w:val="center"/>
              <w:rPr>
                <w:rFonts w:ascii="Times New Roman" w:hAnsi="Times New Roman" w:cs="Times New Roman" w:eastAsia="Times New Roman" w:hint="default"/>
                <w:sz w:val="18"/>
                <w:szCs w:val="18"/>
              </w:rPr>
            </w:pPr>
            <w:r>
              <w:rPr>
                <w:rFonts w:ascii="Times New Roman"/>
                <w:sz w:val="18"/>
              </w:rPr>
              <w:t>350,000.00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5"/>
              <w:ind w:left="36" w:right="0"/>
              <w:jc w:val="center"/>
              <w:rPr>
                <w:rFonts w:ascii="Times New Roman" w:hAnsi="Times New Roman" w:cs="Times New Roman" w:eastAsia="Times New Roman" w:hint="default"/>
                <w:sz w:val="18"/>
                <w:szCs w:val="18"/>
              </w:rPr>
            </w:pPr>
            <w:r>
              <w:rPr>
                <w:rFonts w:ascii="Times New Roman"/>
                <w:sz w:val="18"/>
              </w:rPr>
              <w:t>350,000.00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9" w:lineRule="auto" w:before="156"/>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227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07" w:lineRule="auto" w:before="51"/>
              <w:ind w:left="103" w:right="126"/>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 科技兴农 项目</w:t>
            </w:r>
            <w:r>
              <w:rPr>
                <w:rFonts w:ascii="Times New Roman" w:hAnsi="Times New Roman" w:cs="Times New Roman" w:eastAsia="Times New Roman" w:hint="default"/>
                <w:sz w:val="18"/>
                <w:szCs w:val="18"/>
              </w:rPr>
              <w:t>"</w:t>
            </w:r>
            <w:r>
              <w:rPr>
                <w:rFonts w:ascii="宋体" w:hAnsi="宋体" w:cs="宋体" w:eastAsia="宋体" w:hint="default"/>
                <w:sz w:val="18"/>
                <w:szCs w:val="18"/>
              </w:rPr>
              <w:t>互联 网</w:t>
            </w:r>
            <w:r>
              <w:rPr>
                <w:rFonts w:ascii="Times New Roman" w:hAnsi="Times New Roman" w:cs="Times New Roman" w:eastAsia="Times New Roman" w:hint="default"/>
                <w:sz w:val="18"/>
                <w:szCs w:val="18"/>
              </w:rPr>
              <w:t>+</w:t>
            </w:r>
            <w:r>
              <w:rPr>
                <w:rFonts w:ascii="宋体" w:hAnsi="宋体" w:cs="宋体" w:eastAsia="宋体" w:hint="default"/>
                <w:sz w:val="18"/>
                <w:szCs w:val="18"/>
              </w:rPr>
              <w:t>联在农 业领域的 应用</w:t>
            </w:r>
            <w:r>
              <w:rPr>
                <w:rFonts w:ascii="Times New Roman" w:hAnsi="Times New Roman" w:cs="Times New Roman" w:eastAsia="Times New Roman" w:hint="default"/>
                <w:sz w:val="18"/>
                <w:szCs w:val="18"/>
              </w:rPr>
              <w:t>"</w:t>
            </w:r>
            <w:r>
              <w:rPr>
                <w:rFonts w:ascii="宋体" w:hAnsi="宋体" w:cs="宋体" w:eastAsia="宋体" w:hint="default"/>
                <w:sz w:val="18"/>
                <w:szCs w:val="18"/>
              </w:rPr>
              <w:t>项目 补助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300,000.00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600,000.00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900,000.00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9"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227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185"/>
              <w:jc w:val="both"/>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年上 海市企事 业专利工 作试点示 范单位项 目项目补 助</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280,000.00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400,000.00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680,000.00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9"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98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8"/>
              <w:jc w:val="both"/>
              <w:rPr>
                <w:rFonts w:ascii="宋体" w:hAnsi="宋体" w:cs="宋体" w:eastAsia="宋体" w:hint="default"/>
                <w:sz w:val="18"/>
                <w:szCs w:val="18"/>
              </w:rPr>
            </w:pPr>
            <w:r>
              <w:rPr>
                <w:rFonts w:ascii="宋体" w:hAnsi="宋体" w:cs="宋体" w:eastAsia="宋体" w:hint="default"/>
                <w:sz w:val="18"/>
                <w:szCs w:val="18"/>
              </w:rPr>
              <w:t>综合档案 管理软件 科研计划</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left="39" w:right="0"/>
              <w:jc w:val="center"/>
              <w:rPr>
                <w:rFonts w:ascii="Times New Roman" w:hAnsi="Times New Roman" w:cs="Times New Roman" w:eastAsia="Times New Roman" w:hint="default"/>
                <w:sz w:val="18"/>
                <w:szCs w:val="18"/>
              </w:rPr>
            </w:pPr>
            <w:r>
              <w:rPr>
                <w:rFonts w:ascii="Times New Roman"/>
                <w:sz w:val="18"/>
              </w:rPr>
              <w:t>165,000.00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5"/>
                <w:szCs w:val="15"/>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165,000.00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Times New Roman" w:hAnsi="Times New Roman" w:cs="Times New Roman" w:eastAsia="Times New Roman" w:hint="default"/>
                <w:sz w:val="16"/>
                <w:szCs w:val="16"/>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bl>
    <w:p>
      <w:pPr>
        <w:spacing w:after="0" w:line="316" w:lineRule="auto"/>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1064"/>
        <w:gridCol w:w="1064"/>
        <w:gridCol w:w="1063"/>
        <w:gridCol w:w="1064"/>
        <w:gridCol w:w="1063"/>
        <w:gridCol w:w="1063"/>
        <w:gridCol w:w="1064"/>
        <w:gridCol w:w="1062"/>
        <w:gridCol w:w="1063"/>
      </w:tblGrid>
      <w:tr>
        <w:trPr>
          <w:trHeight w:val="67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228"/>
              <w:jc w:val="left"/>
              <w:rPr>
                <w:rFonts w:ascii="宋体" w:hAnsi="宋体" w:cs="宋体" w:eastAsia="宋体" w:hint="default"/>
                <w:sz w:val="18"/>
                <w:szCs w:val="18"/>
              </w:rPr>
            </w:pPr>
            <w:r>
              <w:rPr>
                <w:rFonts w:ascii="宋体" w:hAnsi="宋体" w:cs="宋体" w:eastAsia="宋体" w:hint="default"/>
                <w:sz w:val="18"/>
                <w:szCs w:val="18"/>
              </w:rPr>
              <w:t>项目资助 课题经费</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r>
        <w:trPr>
          <w:trHeight w:val="227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01"/>
              <w:jc w:val="left"/>
              <w:rPr>
                <w:rFonts w:ascii="宋体" w:hAnsi="宋体" w:cs="宋体" w:eastAsia="宋体" w:hint="default"/>
                <w:sz w:val="18"/>
                <w:szCs w:val="18"/>
              </w:rPr>
            </w:pPr>
            <w:r>
              <w:rPr>
                <w:rFonts w:ascii="宋体" w:hAnsi="宋体" w:cs="宋体" w:eastAsia="宋体" w:hint="default"/>
                <w:sz w:val="18"/>
                <w:szCs w:val="18"/>
              </w:rPr>
              <w:t>上海农业 数据资源 库数据治 </w:t>
            </w:r>
            <w:r>
              <w:rPr>
                <w:rFonts w:ascii="宋体" w:hAnsi="宋体" w:cs="宋体" w:eastAsia="宋体" w:hint="default"/>
                <w:spacing w:val="-11"/>
                <w:sz w:val="18"/>
                <w:szCs w:val="18"/>
              </w:rPr>
              <w:t>理、清洗及</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应用系统 建设项目 补助</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3,992,000.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3,992,000.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8"/>
                <w:szCs w:val="18"/>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258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55"/>
              <w:jc w:val="left"/>
              <w:rPr>
                <w:rFonts w:ascii="宋体" w:hAnsi="宋体" w:cs="宋体" w:eastAsia="宋体" w:hint="default"/>
                <w:sz w:val="18"/>
                <w:szCs w:val="18"/>
              </w:rPr>
            </w:pPr>
            <w:r>
              <w:rPr>
                <w:rFonts w:ascii="宋体" w:hAnsi="宋体" w:cs="宋体" w:eastAsia="宋体" w:hint="default"/>
                <w:sz w:val="18"/>
                <w:szCs w:val="18"/>
              </w:rPr>
              <w:t>用于</w:t>
            </w:r>
            <w:r>
              <w:rPr>
                <w:rFonts w:ascii="Times New Roman" w:hAnsi="Times New Roman" w:cs="Times New Roman" w:eastAsia="Times New Roman" w:hint="default"/>
                <w:sz w:val="18"/>
                <w:szCs w:val="18"/>
              </w:rPr>
              <w:t>"</w:t>
            </w:r>
            <w:r>
              <w:rPr>
                <w:rFonts w:ascii="宋体" w:hAnsi="宋体" w:cs="宋体" w:eastAsia="宋体" w:hint="default"/>
                <w:sz w:val="18"/>
                <w:szCs w:val="18"/>
              </w:rPr>
              <w:t>磁光 电超融合 电子档案 安全存储 平台</w:t>
            </w:r>
            <w:r>
              <w:rPr>
                <w:rFonts w:ascii="Times New Roman" w:hAnsi="Times New Roman" w:cs="Times New Roman" w:eastAsia="Times New Roman" w:hint="default"/>
                <w:sz w:val="18"/>
                <w:szCs w:val="18"/>
              </w:rPr>
              <w:t>"</w:t>
            </w:r>
            <w:r>
              <w:rPr>
                <w:rFonts w:ascii="宋体" w:hAnsi="宋体" w:cs="宋体" w:eastAsia="宋体" w:hint="default"/>
                <w:sz w:val="18"/>
                <w:szCs w:val="18"/>
              </w:rPr>
              <w:t>的上 海市中小 企业发展 专项资金</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right="100"/>
              <w:jc w:val="right"/>
              <w:rPr>
                <w:rFonts w:ascii="Times New Roman" w:hAnsi="Times New Roman" w:cs="Times New Roman" w:eastAsia="Times New Roman" w:hint="default"/>
                <w:sz w:val="18"/>
                <w:szCs w:val="18"/>
              </w:rPr>
            </w:pPr>
            <w:r>
              <w:rPr>
                <w:rFonts w:ascii="Times New Roman"/>
                <w:sz w:val="18"/>
              </w:rPr>
              <w:t>870,000.00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48"/>
              <w:ind w:left="36" w:right="0"/>
              <w:jc w:val="center"/>
              <w:rPr>
                <w:rFonts w:ascii="Times New Roman" w:hAnsi="Times New Roman" w:cs="Times New Roman" w:eastAsia="Times New Roman" w:hint="default"/>
                <w:sz w:val="18"/>
                <w:szCs w:val="18"/>
              </w:rPr>
            </w:pPr>
            <w:r>
              <w:rPr>
                <w:rFonts w:ascii="Times New Roman"/>
                <w:sz w:val="18"/>
              </w:rPr>
              <w:t>870,000.00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316" w:lineRule="auto" w:before="159"/>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8"/>
              <w:jc w:val="left"/>
              <w:rPr>
                <w:rFonts w:ascii="宋体" w:hAnsi="宋体" w:cs="宋体" w:eastAsia="宋体" w:hint="default"/>
                <w:sz w:val="18"/>
                <w:szCs w:val="18"/>
              </w:rPr>
            </w:pPr>
            <w:r>
              <w:rPr>
                <w:rFonts w:ascii="宋体" w:hAnsi="宋体" w:cs="宋体" w:eastAsia="宋体" w:hint="default"/>
                <w:sz w:val="18"/>
                <w:szCs w:val="18"/>
              </w:rPr>
              <w:t>张江专项 资助</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400,000.00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400,000.00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85"/>
              <w:jc w:val="both"/>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年品 牌建设专 项资金</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350,000.00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350,000.00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9"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1962"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2" w:lineRule="auto" w:before="51"/>
              <w:ind w:left="103" w:right="155"/>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基于大数 据分析的 档案文件 共享服务 平台</w:t>
            </w:r>
            <w:r>
              <w:rPr>
                <w:rFonts w:ascii="Times New Roman" w:hAnsi="Times New Roman" w:cs="Times New Roman" w:eastAsia="Times New Roman" w:hint="default"/>
                <w:sz w:val="18"/>
                <w:szCs w:val="18"/>
              </w:rPr>
              <w:t>"</w:t>
            </w:r>
            <w:r>
              <w:rPr>
                <w:rFonts w:ascii="宋体" w:hAnsi="宋体" w:cs="宋体" w:eastAsia="宋体" w:hint="default"/>
                <w:sz w:val="18"/>
                <w:szCs w:val="18"/>
              </w:rPr>
              <w:t>财政 扶持资金</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350,000.00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9"/>
              <w:ind w:right="0"/>
              <w:jc w:val="left"/>
              <w:rPr>
                <w:rFonts w:ascii="Times New Roman" w:hAnsi="Times New Roman" w:cs="Times New Roman" w:eastAsia="Times New Roman" w:hint="default"/>
                <w:sz w:val="21"/>
                <w:szCs w:val="21"/>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350,000.00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8"/>
              <w:ind w:right="0"/>
              <w:jc w:val="left"/>
              <w:rPr>
                <w:rFonts w:ascii="Times New Roman" w:hAnsi="Times New Roman" w:cs="Times New Roman" w:eastAsia="Times New Roman" w:hint="default"/>
                <w:sz w:val="22"/>
                <w:szCs w:val="22"/>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227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4" w:lineRule="auto" w:before="51"/>
              <w:ind w:left="103" w:right="185"/>
              <w:jc w:val="both"/>
              <w:rPr>
                <w:rFonts w:ascii="宋体" w:hAnsi="宋体" w:cs="宋体" w:eastAsia="宋体" w:hint="default"/>
                <w:sz w:val="18"/>
                <w:szCs w:val="18"/>
              </w:rPr>
            </w:pPr>
            <w:r>
              <w:rPr>
                <w:rFonts w:ascii="宋体" w:hAnsi="宋体" w:cs="宋体" w:eastAsia="宋体" w:hint="default"/>
                <w:sz w:val="18"/>
                <w:szCs w:val="18"/>
              </w:rPr>
              <w:t>青浦区财 政局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年青浦区 软件信息 服务业扶 持项目补 助</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240,000.00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4"/>
              <w:ind w:right="0"/>
              <w:jc w:val="left"/>
              <w:rPr>
                <w:rFonts w:ascii="Times New Roman" w:hAnsi="Times New Roman" w:cs="Times New Roman" w:eastAsia="Times New Roman" w:hint="default"/>
                <w:sz w:val="17"/>
                <w:szCs w:val="17"/>
              </w:rPr>
            </w:pPr>
          </w:p>
          <w:p>
            <w:pPr>
              <w:pStyle w:val="TableParagraph"/>
              <w:spacing w:line="240" w:lineRule="auto"/>
              <w:ind w:left="36" w:right="0"/>
              <w:jc w:val="center"/>
              <w:rPr>
                <w:rFonts w:ascii="Times New Roman" w:hAnsi="Times New Roman" w:cs="Times New Roman" w:eastAsia="Times New Roman" w:hint="default"/>
                <w:sz w:val="18"/>
                <w:szCs w:val="18"/>
              </w:rPr>
            </w:pPr>
            <w:r>
              <w:rPr>
                <w:rFonts w:ascii="Times New Roman"/>
                <w:sz w:val="18"/>
              </w:rPr>
              <w:t>240,000.00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3"/>
              <w:ind w:right="0"/>
              <w:jc w:val="left"/>
              <w:rPr>
                <w:rFonts w:ascii="Times New Roman" w:hAnsi="Times New Roman" w:cs="Times New Roman" w:eastAsia="Times New Roman" w:hint="default"/>
                <w:sz w:val="18"/>
                <w:szCs w:val="18"/>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1026"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85"/>
              <w:jc w:val="both"/>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年产 学研合作 发展资金</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80,000.00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left="126" w:right="0"/>
              <w:jc w:val="center"/>
              <w:rPr>
                <w:rFonts w:ascii="Times New Roman" w:hAnsi="Times New Roman" w:cs="Times New Roman" w:eastAsia="Times New Roman" w:hint="default"/>
                <w:sz w:val="18"/>
                <w:szCs w:val="18"/>
              </w:rPr>
            </w:pPr>
            <w:r>
              <w:rPr>
                <w:rFonts w:ascii="Times New Roman"/>
                <w:sz w:val="18"/>
              </w:rPr>
              <w:t>80,000.00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316" w:lineRule="auto"/>
              <w:ind w:left="103" w:right="228"/>
              <w:jc w:val="left"/>
              <w:rPr>
                <w:rFonts w:ascii="宋体" w:hAnsi="宋体" w:cs="宋体" w:eastAsia="宋体" w:hint="default"/>
                <w:sz w:val="18"/>
                <w:szCs w:val="18"/>
              </w:rPr>
            </w:pPr>
            <w:r>
              <w:rPr>
                <w:rFonts w:ascii="宋体" w:hAnsi="宋体" w:cs="宋体" w:eastAsia="宋体" w:hint="default"/>
                <w:sz w:val="18"/>
                <w:szCs w:val="18"/>
              </w:rPr>
              <w:t>与收益相 关</w:t>
            </w:r>
          </w:p>
        </w:tc>
      </w:tr>
      <w:tr>
        <w:trPr>
          <w:trHeight w:val="714" w:hRule="exact"/>
        </w:trPr>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14,740,000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9,372,000.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6,800,000.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17,312,000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.00</w:t>
            </w:r>
          </w:p>
        </w:tc>
        <w:tc>
          <w:tcPr>
            <w:tcW w:w="1063" w:type="dxa"/>
            <w:tcBorders>
              <w:top w:val="single" w:sz="4" w:space="0" w:color="000000"/>
              <w:left w:val="single" w:sz="4" w:space="0" w:color="000000"/>
              <w:bottom w:val="single" w:sz="4" w:space="0" w:color="000000"/>
              <w:right w:val="single" w:sz="4" w:space="0" w:color="000000"/>
            </w:tcBorders>
          </w:tcPr>
          <w:p>
            <w:pP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43、其他非流动负债" w:id="338"/>
      <w:bookmarkEnd w:id="338"/>
      <w:r>
        <w:rPr/>
      </w:r>
      <w:r>
        <w:rPr>
          <w:rFonts w:ascii="Times New Roman" w:hAnsi="Times New Roman" w:cs="Times New Roman" w:eastAsia="Times New Roman" w:hint="default"/>
          <w:b/>
          <w:bCs/>
          <w:sz w:val="21"/>
          <w:szCs w:val="21"/>
        </w:rPr>
        <w:t>43</w:t>
      </w:r>
      <w:r>
        <w:rPr>
          <w:rFonts w:ascii="宋体" w:hAnsi="宋体" w:cs="宋体" w:eastAsia="宋体" w:hint="default"/>
          <w:b/>
          <w:bCs/>
          <w:sz w:val="21"/>
          <w:szCs w:val="21"/>
        </w:rPr>
        <w:t>、其他非流动负债</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4、股本" w:id="339"/>
      <w:bookmarkEnd w:id="339"/>
      <w:r>
        <w:rPr/>
      </w:r>
      <w:r>
        <w:rPr>
          <w:rFonts w:ascii="Times New Roman" w:hAnsi="Times New Roman" w:cs="Times New Roman" w:eastAsia="Times New Roman" w:hint="default"/>
          <w:b/>
          <w:bCs/>
          <w:sz w:val="21"/>
          <w:szCs w:val="21"/>
        </w:rPr>
        <w:t>44</w:t>
      </w:r>
      <w:r>
        <w:rPr>
          <w:rFonts w:ascii="宋体" w:hAnsi="宋体" w:cs="宋体" w:eastAsia="宋体" w:hint="default"/>
          <w:b/>
          <w:bCs/>
          <w:sz w:val="21"/>
          <w:szCs w:val="21"/>
        </w:rPr>
        <w:t>、股本</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196"/>
        <w:gridCol w:w="1196"/>
        <w:gridCol w:w="1196"/>
        <w:gridCol w:w="1197"/>
        <w:gridCol w:w="1195"/>
        <w:gridCol w:w="1197"/>
        <w:gridCol w:w="1196"/>
        <w:gridCol w:w="1195"/>
      </w:tblGrid>
      <w:tr>
        <w:trPr>
          <w:trHeight w:val="402" w:hRule="exact"/>
        </w:trPr>
        <w:tc>
          <w:tcPr>
            <w:tcW w:w="1196" w:type="dxa"/>
            <w:vMerge w:val="restart"/>
            <w:tcBorders>
              <w:top w:val="single" w:sz="4" w:space="0" w:color="000000"/>
              <w:left w:val="single" w:sz="4" w:space="0" w:color="000000"/>
              <w:right w:val="single" w:sz="4" w:space="0" w:color="000000"/>
            </w:tcBorders>
            <w:shd w:val="clear" w:color="auto" w:fill="D2D2D2"/>
          </w:tcPr>
          <w:p>
            <w:pPr/>
          </w:p>
        </w:tc>
        <w:tc>
          <w:tcPr>
            <w:tcW w:w="11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33"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5982"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本次变动增减（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32"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1" w:hRule="exact"/>
        </w:trPr>
        <w:tc>
          <w:tcPr>
            <w:tcW w:w="1196" w:type="dxa"/>
            <w:vMerge/>
            <w:tcBorders>
              <w:left w:val="single" w:sz="4" w:space="0" w:color="000000"/>
              <w:bottom w:val="single" w:sz="4" w:space="0" w:color="000000"/>
              <w:right w:val="single" w:sz="4" w:space="0" w:color="000000"/>
            </w:tcBorders>
            <w:shd w:val="clear" w:color="auto" w:fill="D2D2D2"/>
          </w:tcPr>
          <w:p>
            <w:pPr/>
          </w:p>
        </w:tc>
        <w:tc>
          <w:tcPr>
            <w:tcW w:w="1196" w:type="dxa"/>
            <w:vMerge/>
            <w:tcBorders>
              <w:left w:val="single" w:sz="4" w:space="0" w:color="000000"/>
              <w:bottom w:val="single" w:sz="4" w:space="0" w:color="000000"/>
              <w:right w:val="single" w:sz="4" w:space="0" w:color="000000"/>
            </w:tcBorders>
            <w:shd w:val="clear" w:color="auto" w:fill="D2D2D2"/>
          </w:tcPr>
          <w:p>
            <w:pP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232" w:right="0"/>
              <w:jc w:val="left"/>
              <w:rPr>
                <w:rFonts w:ascii="宋体" w:hAnsi="宋体" w:cs="宋体" w:eastAsia="宋体" w:hint="default"/>
                <w:sz w:val="18"/>
                <w:szCs w:val="18"/>
              </w:rPr>
            </w:pPr>
            <w:r>
              <w:rPr>
                <w:rFonts w:ascii="宋体" w:hAnsi="宋体" w:cs="宋体" w:eastAsia="宋体" w:hint="default"/>
                <w:sz w:val="18"/>
                <w:szCs w:val="18"/>
              </w:rPr>
              <w:t>发行新股</w:t>
            </w:r>
          </w:p>
        </w:tc>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送股</w:t>
            </w:r>
          </w:p>
        </w:tc>
        <w:tc>
          <w:tcPr>
            <w:tcW w:w="11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42" w:right="0"/>
              <w:jc w:val="left"/>
              <w:rPr>
                <w:rFonts w:ascii="宋体" w:hAnsi="宋体" w:cs="宋体" w:eastAsia="宋体" w:hint="default"/>
                <w:sz w:val="18"/>
                <w:szCs w:val="18"/>
              </w:rPr>
            </w:pPr>
            <w:r>
              <w:rPr>
                <w:rFonts w:ascii="宋体" w:hAnsi="宋体" w:cs="宋体" w:eastAsia="宋体" w:hint="default"/>
                <w:sz w:val="18"/>
                <w:szCs w:val="18"/>
              </w:rPr>
              <w:t>公积金转股</w:t>
            </w:r>
          </w:p>
        </w:tc>
        <w:tc>
          <w:tcPr>
            <w:tcW w:w="11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其他</w:t>
            </w:r>
          </w:p>
        </w:tc>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小计</w:t>
            </w:r>
          </w:p>
        </w:tc>
        <w:tc>
          <w:tcPr>
            <w:tcW w:w="1195" w:type="dxa"/>
            <w:vMerge/>
            <w:tcBorders>
              <w:left w:val="single" w:sz="4" w:space="0" w:color="000000"/>
              <w:bottom w:val="single" w:sz="4" w:space="0" w:color="000000"/>
              <w:right w:val="single" w:sz="4" w:space="0" w:color="000000"/>
            </w:tcBorders>
            <w:shd w:val="clear" w:color="auto" w:fill="D2D2D2"/>
          </w:tcPr>
          <w:p>
            <w:pPr/>
          </w:p>
        </w:tc>
      </w:tr>
      <w:tr>
        <w:trPr>
          <w:trHeight w:val="715" w:hRule="exact"/>
        </w:trPr>
        <w:tc>
          <w:tcPr>
            <w:tcW w:w="11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股份总数</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68,300,000.0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6" w:type="dxa"/>
            <w:tcBorders>
              <w:top w:val="single" w:sz="4" w:space="0" w:color="000000"/>
              <w:left w:val="single" w:sz="4" w:space="0" w:color="000000"/>
              <w:bottom w:val="single" w:sz="4" w:space="0" w:color="000000"/>
              <w:right w:val="single" w:sz="4" w:space="0" w:color="000000"/>
            </w:tcBorders>
          </w:tcPr>
          <w:p>
            <w:pPr/>
          </w:p>
        </w:tc>
        <w:tc>
          <w:tcPr>
            <w:tcW w:w="1197" w:type="dxa"/>
            <w:tcBorders>
              <w:top w:val="single" w:sz="4" w:space="0" w:color="000000"/>
              <w:left w:val="single" w:sz="4" w:space="0" w:color="000000"/>
              <w:bottom w:val="single" w:sz="4" w:space="0" w:color="000000"/>
              <w:right w:val="single" w:sz="4" w:space="0" w:color="000000"/>
            </w:tcBorders>
          </w:tcPr>
          <w:p>
            <w:pP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54,219,520.0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left="213" w:right="0"/>
              <w:jc w:val="left"/>
              <w:rPr>
                <w:rFonts w:ascii="Times New Roman" w:hAnsi="Times New Roman" w:cs="Times New Roman" w:eastAsia="Times New Roman" w:hint="default"/>
                <w:sz w:val="18"/>
                <w:szCs w:val="18"/>
              </w:rPr>
            </w:pPr>
            <w:r>
              <w:rPr>
                <w:rFonts w:ascii="Times New Roman"/>
                <w:sz w:val="18"/>
              </w:rPr>
              <w:t>-525,600.00</w:t>
            </w:r>
          </w:p>
        </w:tc>
        <w:tc>
          <w:tcPr>
            <w:tcW w:w="11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53,693,920.0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1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99"/>
              <w:jc w:val="right"/>
              <w:rPr>
                <w:rFonts w:ascii="Times New Roman" w:hAnsi="Times New Roman" w:cs="Times New Roman" w:eastAsia="Times New Roman" w:hint="default"/>
                <w:sz w:val="18"/>
                <w:szCs w:val="18"/>
              </w:rPr>
            </w:pPr>
            <w:r>
              <w:rPr>
                <w:rFonts w:ascii="Times New Roman"/>
                <w:spacing w:val="-1"/>
                <w:sz w:val="18"/>
              </w:rPr>
              <w:t>121,993,920.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00</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5、其他权益工具" w:id="340"/>
      <w:bookmarkEnd w:id="340"/>
      <w:r>
        <w:rPr/>
      </w:r>
      <w:r>
        <w:rPr>
          <w:rFonts w:ascii="Times New Roman" w:hAnsi="Times New Roman" w:cs="Times New Roman" w:eastAsia="Times New Roman" w:hint="default"/>
          <w:b/>
          <w:bCs/>
          <w:sz w:val="21"/>
          <w:szCs w:val="21"/>
        </w:rPr>
        <w:t>45</w:t>
      </w:r>
      <w:r>
        <w:rPr>
          <w:rFonts w:ascii="宋体" w:hAnsi="宋体" w:cs="宋体" w:eastAsia="宋体" w:hint="default"/>
          <w:b/>
          <w:bCs/>
          <w:sz w:val="21"/>
          <w:szCs w:val="21"/>
        </w:rPr>
        <w:t>、其他权益工具</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期末发行在外的优先股、永续债等其他金融工具基本情况" w:id="341"/>
      <w:bookmarkEnd w:id="34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）期末发行在外的优先股、永续债等其他金融工具基本情况</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2）期末发行在外的优先股、永续债等金融工具变动情况表" w:id="342"/>
      <w:bookmarkEnd w:id="34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）期末发行在外的优先股、永续债等金融工具变动情况表</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6"/>
        <w:gridCol w:w="1067"/>
        <w:gridCol w:w="1063"/>
        <w:gridCol w:w="1062"/>
        <w:gridCol w:w="1063"/>
        <w:gridCol w:w="1062"/>
        <w:gridCol w:w="1062"/>
        <w:gridCol w:w="1062"/>
        <w:gridCol w:w="1062"/>
      </w:tblGrid>
      <w:tr>
        <w:trPr>
          <w:trHeight w:val="402" w:hRule="exact"/>
        </w:trPr>
        <w:tc>
          <w:tcPr>
            <w:tcW w:w="1066" w:type="dxa"/>
            <w:vMerge w:val="restart"/>
            <w:tcBorders>
              <w:top w:val="single" w:sz="4" w:space="0" w:color="000000"/>
              <w:left w:val="single" w:sz="4" w:space="0" w:color="000000"/>
              <w:right w:val="single" w:sz="4" w:space="0" w:color="000000"/>
            </w:tcBorders>
            <w:shd w:val="clear" w:color="auto" w:fill="D2D2D2"/>
          </w:tcPr>
          <w:p>
            <w:pPr>
              <w:pStyle w:val="TableParagraph"/>
              <w:spacing w:line="316" w:lineRule="auto" w:before="51"/>
              <w:ind w:left="166" w:right="167"/>
              <w:jc w:val="center"/>
              <w:rPr>
                <w:rFonts w:ascii="宋体" w:hAnsi="宋体" w:cs="宋体" w:eastAsia="宋体" w:hint="default"/>
                <w:sz w:val="18"/>
                <w:szCs w:val="18"/>
              </w:rPr>
            </w:pPr>
            <w:r>
              <w:rPr>
                <w:rFonts w:ascii="宋体" w:hAnsi="宋体" w:cs="宋体" w:eastAsia="宋体" w:hint="default"/>
                <w:sz w:val="18"/>
                <w:szCs w:val="18"/>
              </w:rPr>
              <w:t>发行在外 的金融工 具</w:t>
            </w:r>
          </w:p>
        </w:tc>
        <w:tc>
          <w:tcPr>
            <w:tcW w:w="2130"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期初</w:t>
            </w:r>
          </w:p>
        </w:tc>
        <w:tc>
          <w:tcPr>
            <w:tcW w:w="21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7"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7"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21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w:t>
            </w:r>
          </w:p>
        </w:tc>
      </w:tr>
      <w:tr>
        <w:trPr>
          <w:trHeight w:val="624" w:hRule="exact"/>
        </w:trPr>
        <w:tc>
          <w:tcPr>
            <w:tcW w:w="1066" w:type="dxa"/>
            <w:vMerge/>
            <w:tcBorders>
              <w:left w:val="single" w:sz="4" w:space="0" w:color="000000"/>
              <w:bottom w:val="single" w:sz="4" w:space="0" w:color="000000"/>
              <w:right w:val="single" w:sz="4" w:space="0" w:color="000000"/>
            </w:tcBorders>
            <w:shd w:val="clear" w:color="auto" w:fill="D2D2D2"/>
          </w:tcPr>
          <w:p>
            <w:pPr/>
          </w:p>
        </w:tc>
        <w:tc>
          <w:tcPr>
            <w:tcW w:w="10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46"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66"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345" w:right="0"/>
              <w:jc w:val="left"/>
              <w:rPr>
                <w:rFonts w:ascii="宋体" w:hAnsi="宋体" w:cs="宋体" w:eastAsia="宋体" w:hint="default"/>
                <w:sz w:val="18"/>
                <w:szCs w:val="18"/>
              </w:rPr>
            </w:pPr>
            <w:r>
              <w:rPr>
                <w:rFonts w:ascii="宋体" w:hAnsi="宋体" w:cs="宋体" w:eastAsia="宋体" w:hint="default"/>
                <w:sz w:val="18"/>
                <w:szCs w:val="18"/>
              </w:rPr>
              <w:t>数量</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165" w:right="0"/>
              <w:jc w:val="left"/>
              <w:rPr>
                <w:rFonts w:ascii="宋体" w:hAnsi="宋体" w:cs="宋体" w:eastAsia="宋体" w:hint="default"/>
                <w:sz w:val="18"/>
                <w:szCs w:val="18"/>
              </w:rPr>
            </w:pPr>
            <w:r>
              <w:rPr>
                <w:rFonts w:ascii="宋体" w:hAnsi="宋体" w:cs="宋体" w:eastAsia="宋体" w:hint="default"/>
                <w:sz w:val="18"/>
                <w:szCs w:val="18"/>
              </w:rPr>
              <w:t>账面价值</w:t>
            </w:r>
          </w:p>
        </w:tc>
      </w:tr>
    </w:tbl>
    <w:p>
      <w:pPr>
        <w:spacing w:line="360" w:lineRule="auto" w:before="51"/>
        <w:ind w:left="114" w:right="4632" w:firstLine="0"/>
        <w:jc w:val="left"/>
        <w:rPr>
          <w:rFonts w:ascii="宋体" w:hAnsi="宋体" w:cs="宋体" w:eastAsia="宋体" w:hint="default"/>
          <w:sz w:val="18"/>
          <w:szCs w:val="18"/>
        </w:rPr>
      </w:pPr>
      <w:r>
        <w:rPr>
          <w:rFonts w:ascii="宋体" w:hAnsi="宋体" w:cs="宋体" w:eastAsia="宋体" w:hint="default"/>
          <w:sz w:val="18"/>
          <w:szCs w:val="18"/>
        </w:rPr>
        <w:t>其他权益工具本期增减变动情况、变动原因说明，以及相关会计处理的依据： 其他说明：</w:t>
      </w:r>
    </w:p>
    <w:p>
      <w:pPr>
        <w:spacing w:line="240" w:lineRule="auto" w:before="11"/>
        <w:rPr>
          <w:rFonts w:ascii="宋体" w:hAnsi="宋体" w:cs="宋体" w:eastAsia="宋体" w:hint="default"/>
          <w:sz w:val="19"/>
          <w:szCs w:val="19"/>
        </w:rPr>
      </w:pPr>
    </w:p>
    <w:p>
      <w:pPr>
        <w:spacing w:before="0"/>
        <w:ind w:left="114" w:right="0" w:firstLine="0"/>
        <w:jc w:val="left"/>
        <w:rPr>
          <w:rFonts w:ascii="宋体" w:hAnsi="宋体" w:cs="宋体" w:eastAsia="宋体" w:hint="default"/>
          <w:sz w:val="21"/>
          <w:szCs w:val="21"/>
        </w:rPr>
      </w:pPr>
      <w:bookmarkStart w:name="46、资本公积" w:id="343"/>
      <w:bookmarkEnd w:id="343"/>
      <w:r>
        <w:rPr/>
      </w:r>
      <w:r>
        <w:rPr>
          <w:rFonts w:ascii="Times New Roman" w:hAnsi="Times New Roman" w:cs="Times New Roman" w:eastAsia="Times New Roman" w:hint="default"/>
          <w:b/>
          <w:bCs/>
          <w:sz w:val="21"/>
          <w:szCs w:val="21"/>
        </w:rPr>
        <w:t>46</w:t>
      </w:r>
      <w:r>
        <w:rPr>
          <w:rFonts w:ascii="宋体" w:hAnsi="宋体" w:cs="宋体" w:eastAsia="宋体" w:hint="default"/>
          <w:b/>
          <w:bCs/>
          <w:sz w:val="21"/>
          <w:szCs w:val="21"/>
        </w:rPr>
        <w:t>、资本公积</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资本溢价（股本溢价）</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224,432,035.86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-1,406,800.00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82,959,328.00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140,065,907.86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224,432,035.86</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-1,406,800.00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82,959,328.00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140,065,907.86</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spacing w:line="261" w:lineRule="auto" w:before="90"/>
        <w:ind w:left="828" w:right="1008"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Times New Roman" w:hAnsi="Times New Roman" w:cs="Times New Roman" w:eastAsia="Times New Roman" w:hint="default"/>
          <w:sz w:val="21"/>
          <w:szCs w:val="21"/>
        </w:rPr>
        <w:t>1</w:t>
      </w:r>
      <w:r>
        <w:rPr>
          <w:rFonts w:ascii="宋体" w:hAnsi="宋体" w:cs="宋体" w:eastAsia="宋体" w:hint="default"/>
          <w:sz w:val="21"/>
          <w:szCs w:val="21"/>
        </w:rPr>
        <w:t>：本公司于</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7</w:t>
      </w:r>
      <w:r>
        <w:rPr>
          <w:rFonts w:ascii="宋体" w:hAnsi="宋体" w:cs="宋体" w:eastAsia="宋体" w:hint="default"/>
          <w:sz w:val="21"/>
          <w:szCs w:val="21"/>
        </w:rPr>
        <w:t>月以每股</w:t>
      </w:r>
      <w:r>
        <w:rPr>
          <w:rFonts w:ascii="Times New Roman" w:hAnsi="Times New Roman" w:cs="Times New Roman" w:eastAsia="Times New Roman" w:hint="default"/>
          <w:sz w:val="21"/>
          <w:szCs w:val="21"/>
        </w:rPr>
        <w:t>55.79</w:t>
      </w:r>
      <w:r>
        <w:rPr>
          <w:rFonts w:ascii="宋体" w:hAnsi="宋体" w:cs="宋体" w:eastAsia="宋体" w:hint="default"/>
          <w:sz w:val="21"/>
          <w:szCs w:val="21"/>
        </w:rPr>
        <w:t>元的价格向激励对象授予</w:t>
      </w:r>
      <w:r>
        <w:rPr>
          <w:rFonts w:ascii="Times New Roman" w:hAnsi="Times New Roman" w:cs="Times New Roman" w:eastAsia="Times New Roman" w:hint="default"/>
          <w:sz w:val="21"/>
          <w:szCs w:val="21"/>
        </w:rPr>
        <w:t>150</w:t>
      </w:r>
      <w:r>
        <w:rPr>
          <w:rFonts w:ascii="宋体" w:hAnsi="宋体" w:cs="宋体" w:eastAsia="宋体" w:hint="default"/>
          <w:sz w:val="21"/>
          <w:szCs w:val="21"/>
        </w:rPr>
        <w:t>万股限制性股票，因第三个解锁 期业绩未达到限制性股票激励计划规定的要求，对第三个解锁期的限制性股票进行回购注销，本 报告期冲回以前年度已确认的股份支付金额</w:t>
      </w:r>
      <w:r>
        <w:rPr>
          <w:rFonts w:ascii="Times New Roman" w:hAnsi="Times New Roman" w:cs="Times New Roman" w:eastAsia="Times New Roman" w:hint="default"/>
          <w:sz w:val="21"/>
          <w:szCs w:val="21"/>
        </w:rPr>
        <w:t>1,406,800.00</w:t>
      </w:r>
      <w:r>
        <w:rPr>
          <w:rFonts w:ascii="宋体" w:hAnsi="宋体" w:cs="宋体" w:eastAsia="宋体" w:hint="default"/>
          <w:sz w:val="21"/>
          <w:szCs w:val="21"/>
        </w:rPr>
        <w:t>元。 </w:t>
      </w:r>
      <w:r>
        <w:rPr>
          <w:rFonts w:ascii="宋体" w:hAnsi="宋体" w:cs="宋体" w:eastAsia="宋体" w:hint="default"/>
          <w:spacing w:val="-5"/>
          <w:sz w:val="21"/>
          <w:szCs w:val="21"/>
        </w:rPr>
        <w:t>注</w:t>
      </w:r>
      <w:r>
        <w:rPr>
          <w:rFonts w:ascii="Times New Roman" w:hAnsi="Times New Roman" w:cs="Times New Roman" w:eastAsia="Times New Roman" w:hint="default"/>
          <w:spacing w:val="-5"/>
          <w:sz w:val="21"/>
          <w:szCs w:val="21"/>
        </w:rPr>
        <w:t>2</w:t>
      </w:r>
      <w:r>
        <w:rPr>
          <w:rFonts w:ascii="宋体" w:hAnsi="宋体" w:cs="宋体" w:eastAsia="宋体" w:hint="default"/>
          <w:spacing w:val="-5"/>
          <w:sz w:val="21"/>
          <w:szCs w:val="21"/>
        </w:rPr>
        <w:t>：</w:t>
      </w:r>
      <w:r>
        <w:rPr>
          <w:rFonts w:ascii="Times New Roman" w:hAnsi="Times New Roman" w:cs="Times New Roman" w:eastAsia="Times New Roman" w:hint="default"/>
          <w:spacing w:val="-5"/>
          <w:sz w:val="21"/>
          <w:szCs w:val="21"/>
        </w:rPr>
        <w:t>2018</w:t>
      </w:r>
      <w:r>
        <w:rPr>
          <w:rFonts w:ascii="宋体" w:hAnsi="宋体" w:cs="宋体" w:eastAsia="宋体" w:hint="default"/>
          <w:spacing w:val="-5"/>
          <w:sz w:val="21"/>
          <w:szCs w:val="21"/>
        </w:rPr>
        <w:t>年</w:t>
      </w:r>
      <w:r>
        <w:rPr>
          <w:rFonts w:ascii="Times New Roman" w:hAnsi="Times New Roman" w:cs="Times New Roman" w:eastAsia="Times New Roman" w:hint="default"/>
          <w:spacing w:val="-5"/>
          <w:sz w:val="21"/>
          <w:szCs w:val="21"/>
        </w:rPr>
        <w:t>5</w:t>
      </w:r>
      <w:r>
        <w:rPr>
          <w:rFonts w:ascii="宋体" w:hAnsi="宋体" w:cs="宋体" w:eastAsia="宋体" w:hint="default"/>
          <w:spacing w:val="-5"/>
          <w:sz w:val="21"/>
          <w:szCs w:val="21"/>
        </w:rPr>
        <w:t>月，根据</w:t>
      </w:r>
      <w:r>
        <w:rPr>
          <w:rFonts w:ascii="Times New Roman" w:hAnsi="Times New Roman" w:cs="Times New Roman" w:eastAsia="Times New Roman" w:hint="default"/>
          <w:spacing w:val="-5"/>
          <w:sz w:val="21"/>
          <w:szCs w:val="21"/>
        </w:rPr>
        <w:t>2017</w:t>
      </w:r>
      <w:r>
        <w:rPr>
          <w:rFonts w:ascii="宋体" w:hAnsi="宋体" w:cs="宋体" w:eastAsia="宋体" w:hint="default"/>
          <w:spacing w:val="-5"/>
          <w:sz w:val="21"/>
          <w:szCs w:val="21"/>
        </w:rPr>
        <w:t>年年度股东大会会议，审议通过了《关于回购部分限制性股票的议案》，</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对</w:t>
      </w:r>
      <w:r>
        <w:rPr>
          <w:rFonts w:ascii="Times New Roman" w:hAnsi="Times New Roman" w:cs="Times New Roman" w:eastAsia="Times New Roman" w:hint="default"/>
          <w:sz w:val="21"/>
          <w:szCs w:val="21"/>
        </w:rPr>
        <w:t>8</w:t>
      </w:r>
      <w:r>
        <w:rPr>
          <w:rFonts w:ascii="宋体" w:hAnsi="宋体" w:cs="宋体" w:eastAsia="宋体" w:hint="default"/>
          <w:sz w:val="21"/>
          <w:szCs w:val="21"/>
        </w:rPr>
        <w:t>名因离职不再具备激励资格员工所持有的限制性股票予以全部收回；及其他激励员工因第二个 解锁期业绩未达到限制性股票激励计划规定的要求，对第二个解锁期的限制性股票进行回购注销。</w:t>
      </w:r>
    </w:p>
    <w:p>
      <w:pPr>
        <w:spacing w:after="0" w:line="261" w:lineRule="auto"/>
        <w:jc w:val="left"/>
        <w:rPr>
          <w:rFonts w:ascii="宋体" w:hAnsi="宋体" w:cs="宋体" w:eastAsia="宋体" w:hint="default"/>
          <w:sz w:val="21"/>
          <w:szCs w:val="21"/>
        </w:rPr>
        <w:sectPr>
          <w:footerReference w:type="default" r:id="rId21"/>
          <w:pgSz w:w="11910" w:h="16840"/>
          <w:pgMar w:footer="1019" w:header="889" w:top="1140" w:bottom="1200" w:left="1020" w:right="0"/>
        </w:sectPr>
      </w:pPr>
    </w:p>
    <w:p>
      <w:pPr>
        <w:spacing w:line="240" w:lineRule="auto" w:before="12"/>
        <w:rPr>
          <w:rFonts w:ascii="宋体" w:hAnsi="宋体" w:cs="宋体" w:eastAsia="宋体" w:hint="default"/>
          <w:sz w:val="18"/>
          <w:szCs w:val="18"/>
        </w:rPr>
      </w:pPr>
    </w:p>
    <w:p>
      <w:pPr>
        <w:spacing w:line="256" w:lineRule="auto" w:before="35"/>
        <w:ind w:left="831" w:right="1162" w:hanging="4"/>
        <w:jc w:val="left"/>
        <w:rPr>
          <w:rFonts w:ascii="宋体" w:hAnsi="宋体" w:cs="宋体" w:eastAsia="宋体" w:hint="default"/>
          <w:sz w:val="21"/>
          <w:szCs w:val="21"/>
        </w:rPr>
      </w:pPr>
      <w:r>
        <w:rPr>
          <w:rFonts w:ascii="宋体" w:hAnsi="宋体" w:cs="宋体" w:eastAsia="宋体" w:hint="default"/>
          <w:sz w:val="21"/>
          <w:szCs w:val="21"/>
        </w:rPr>
        <w:t>以上合并计算共计回购</w:t>
      </w:r>
      <w:r>
        <w:rPr>
          <w:rFonts w:ascii="Times New Roman" w:hAnsi="Times New Roman" w:cs="Times New Roman" w:eastAsia="Times New Roman" w:hint="default"/>
          <w:sz w:val="21"/>
          <w:szCs w:val="21"/>
        </w:rPr>
        <w:t>525,600</w:t>
      </w:r>
      <w:r>
        <w:rPr>
          <w:rFonts w:ascii="宋体" w:hAnsi="宋体" w:cs="宋体" w:eastAsia="宋体" w:hint="default"/>
          <w:sz w:val="21"/>
          <w:szCs w:val="21"/>
        </w:rPr>
        <w:t>股，回购价格为</w:t>
      </w:r>
      <w:r>
        <w:rPr>
          <w:rFonts w:ascii="Times New Roman" w:hAnsi="Times New Roman" w:cs="Times New Roman" w:eastAsia="Times New Roman" w:hint="default"/>
          <w:sz w:val="21"/>
          <w:szCs w:val="21"/>
        </w:rPr>
        <w:t>55.68</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股，转出资本溢价</w:t>
      </w:r>
      <w:r>
        <w:rPr>
          <w:rFonts w:ascii="Times New Roman" w:hAnsi="Times New Roman" w:cs="Times New Roman" w:eastAsia="Times New Roman" w:hint="default"/>
          <w:sz w:val="21"/>
          <w:szCs w:val="21"/>
        </w:rPr>
        <w:t>28,739,808.00</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注</w:t>
      </w:r>
      <w:r>
        <w:rPr>
          <w:rFonts w:ascii="Times New Roman" w:hAnsi="Times New Roman" w:cs="Times New Roman" w:eastAsia="Times New Roman" w:hint="default"/>
          <w:sz w:val="21"/>
          <w:szCs w:val="21"/>
        </w:rPr>
        <w:t>3</w:t>
      </w:r>
      <w:r>
        <w:rPr>
          <w:rFonts w:ascii="宋体" w:hAnsi="宋体" w:cs="宋体" w:eastAsia="宋体" w:hint="default"/>
          <w:sz w:val="21"/>
          <w:szCs w:val="21"/>
        </w:rPr>
        <w:t>：</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7</w:t>
      </w:r>
      <w:r>
        <w:rPr>
          <w:rFonts w:ascii="宋体" w:hAnsi="宋体" w:cs="宋体" w:eastAsia="宋体" w:hint="default"/>
          <w:sz w:val="21"/>
          <w:szCs w:val="21"/>
        </w:rPr>
        <w:t>月，根据本公司召开的</w:t>
      </w:r>
      <w:r>
        <w:rPr>
          <w:rFonts w:ascii="Times New Roman" w:hAnsi="Times New Roman" w:cs="Times New Roman" w:eastAsia="Times New Roman" w:hint="default"/>
          <w:sz w:val="21"/>
          <w:szCs w:val="21"/>
        </w:rPr>
        <w:t>2017</w:t>
      </w:r>
      <w:r>
        <w:rPr>
          <w:rFonts w:ascii="宋体" w:hAnsi="宋体" w:cs="宋体" w:eastAsia="宋体" w:hint="default"/>
          <w:sz w:val="21"/>
          <w:szCs w:val="21"/>
        </w:rPr>
        <w:t>年年度股东大会审议通过</w:t>
      </w:r>
      <w:r>
        <w:rPr>
          <w:rFonts w:ascii="Times New Roman" w:hAnsi="Times New Roman" w:cs="Times New Roman" w:eastAsia="Times New Roman" w:hint="default"/>
          <w:sz w:val="21"/>
          <w:szCs w:val="21"/>
        </w:rPr>
        <w:t>2017</w:t>
      </w:r>
      <w:r>
        <w:rPr>
          <w:rFonts w:ascii="宋体" w:hAnsi="宋体" w:cs="宋体" w:eastAsia="宋体" w:hint="default"/>
          <w:sz w:val="21"/>
          <w:szCs w:val="21"/>
        </w:rPr>
        <w:t>年年度权益分派方案，以 公司现有总股本</w:t>
      </w:r>
      <w:r>
        <w:rPr>
          <w:rFonts w:ascii="Times New Roman" w:hAnsi="Times New Roman" w:cs="Times New Roman" w:eastAsia="Times New Roman" w:hint="default"/>
          <w:sz w:val="21"/>
          <w:szCs w:val="21"/>
        </w:rPr>
        <w:t>67,774,400</w:t>
      </w:r>
      <w:r>
        <w:rPr>
          <w:rFonts w:ascii="宋体" w:hAnsi="宋体" w:cs="宋体" w:eastAsia="宋体" w:hint="default"/>
          <w:sz w:val="21"/>
          <w:szCs w:val="21"/>
        </w:rPr>
        <w:t>股为基数，向全体股东每</w:t>
      </w:r>
      <w:r>
        <w:rPr>
          <w:rFonts w:ascii="Times New Roman" w:hAnsi="Times New Roman" w:cs="Times New Roman" w:eastAsia="Times New Roman" w:hint="default"/>
          <w:sz w:val="21"/>
          <w:szCs w:val="21"/>
        </w:rPr>
        <w:t>10</w:t>
      </w:r>
      <w:r>
        <w:rPr>
          <w:rFonts w:ascii="宋体" w:hAnsi="宋体" w:cs="宋体" w:eastAsia="宋体" w:hint="default"/>
          <w:sz w:val="21"/>
          <w:szCs w:val="21"/>
        </w:rPr>
        <w:t>股派</w:t>
      </w:r>
      <w:r>
        <w:rPr>
          <w:rFonts w:ascii="Times New Roman" w:hAnsi="Times New Roman" w:cs="Times New Roman" w:eastAsia="Times New Roman" w:hint="default"/>
          <w:sz w:val="21"/>
          <w:szCs w:val="21"/>
        </w:rPr>
        <w:t>1.00</w:t>
      </w:r>
      <w:r>
        <w:rPr>
          <w:rFonts w:ascii="宋体" w:hAnsi="宋体" w:cs="宋体" w:eastAsia="宋体" w:hint="default"/>
          <w:sz w:val="21"/>
          <w:szCs w:val="21"/>
        </w:rPr>
        <w:t>元人民币同时以资本公积向全体股 东每</w:t>
      </w:r>
      <w:r>
        <w:rPr>
          <w:rFonts w:ascii="Times New Roman" w:hAnsi="Times New Roman" w:cs="Times New Roman" w:eastAsia="Times New Roman" w:hint="default"/>
          <w:sz w:val="21"/>
          <w:szCs w:val="21"/>
        </w:rPr>
        <w:t>10</w:t>
      </w:r>
      <w:r>
        <w:rPr>
          <w:rFonts w:ascii="宋体" w:hAnsi="宋体" w:cs="宋体" w:eastAsia="宋体" w:hint="default"/>
          <w:sz w:val="21"/>
          <w:szCs w:val="21"/>
        </w:rPr>
        <w:t>股转增</w:t>
      </w:r>
      <w:r>
        <w:rPr>
          <w:rFonts w:ascii="Times New Roman" w:hAnsi="Times New Roman" w:cs="Times New Roman" w:eastAsia="Times New Roman" w:hint="default"/>
          <w:sz w:val="21"/>
          <w:szCs w:val="21"/>
        </w:rPr>
        <w:t>8</w:t>
      </w:r>
      <w:r>
        <w:rPr>
          <w:rFonts w:ascii="宋体" w:hAnsi="宋体" w:cs="宋体" w:eastAsia="宋体" w:hint="default"/>
          <w:sz w:val="21"/>
          <w:szCs w:val="21"/>
        </w:rPr>
        <w:t>股，分红前本公司总股本为</w:t>
      </w:r>
      <w:r>
        <w:rPr>
          <w:rFonts w:ascii="Times New Roman" w:hAnsi="Times New Roman" w:cs="Times New Roman" w:eastAsia="Times New Roman" w:hint="default"/>
          <w:sz w:val="21"/>
          <w:szCs w:val="21"/>
        </w:rPr>
        <w:t>67,774,400</w:t>
      </w:r>
      <w:r>
        <w:rPr>
          <w:rFonts w:ascii="宋体" w:hAnsi="宋体" w:cs="宋体" w:eastAsia="宋体" w:hint="default"/>
          <w:sz w:val="21"/>
          <w:szCs w:val="21"/>
        </w:rPr>
        <w:t>股，分红后总股本增至</w:t>
      </w:r>
      <w:r>
        <w:rPr>
          <w:rFonts w:ascii="Times New Roman" w:hAnsi="Times New Roman" w:cs="Times New Roman" w:eastAsia="Times New Roman" w:hint="default"/>
          <w:sz w:val="21"/>
          <w:szCs w:val="21"/>
        </w:rPr>
        <w:t>121,993,920</w:t>
      </w:r>
      <w:r>
        <w:rPr>
          <w:rFonts w:ascii="宋体" w:hAnsi="宋体" w:cs="宋体" w:eastAsia="宋体" w:hint="default"/>
          <w:sz w:val="21"/>
          <w:szCs w:val="21"/>
        </w:rPr>
        <w:t>股，同时 资本公积减少</w:t>
      </w:r>
      <w:r>
        <w:rPr>
          <w:rFonts w:ascii="Times New Roman" w:hAnsi="Times New Roman" w:cs="Times New Roman" w:eastAsia="Times New Roman" w:hint="default"/>
          <w:sz w:val="21"/>
          <w:szCs w:val="21"/>
        </w:rPr>
        <w:t>54,219,520.00</w:t>
      </w:r>
      <w:r>
        <w:rPr>
          <w:rFonts w:ascii="宋体" w:hAnsi="宋体" w:cs="宋体" w:eastAsia="宋体" w:hint="default"/>
          <w:sz w:val="21"/>
          <w:szCs w:val="21"/>
        </w:rPr>
        <w:t>元。</w:t>
      </w:r>
    </w:p>
    <w:p>
      <w:pPr>
        <w:spacing w:line="240" w:lineRule="auto" w:before="0"/>
        <w:rPr>
          <w:rFonts w:ascii="宋体" w:hAnsi="宋体" w:cs="宋体" w:eastAsia="宋体" w:hint="default"/>
          <w:sz w:val="22"/>
          <w:szCs w:val="22"/>
        </w:rPr>
      </w:pPr>
    </w:p>
    <w:p>
      <w:pPr>
        <w:spacing w:line="240" w:lineRule="auto" w:before="3"/>
        <w:rPr>
          <w:rFonts w:ascii="宋体" w:hAnsi="宋体" w:cs="宋体" w:eastAsia="宋体" w:hint="default"/>
          <w:sz w:val="25"/>
          <w:szCs w:val="25"/>
        </w:rPr>
      </w:pPr>
    </w:p>
    <w:p>
      <w:pPr>
        <w:spacing w:before="0"/>
        <w:ind w:left="114" w:right="0" w:firstLine="0"/>
        <w:jc w:val="left"/>
        <w:rPr>
          <w:rFonts w:ascii="宋体" w:hAnsi="宋体" w:cs="宋体" w:eastAsia="宋体" w:hint="default"/>
          <w:sz w:val="21"/>
          <w:szCs w:val="21"/>
        </w:rPr>
      </w:pPr>
      <w:bookmarkStart w:name="47、库存股" w:id="344"/>
      <w:bookmarkEnd w:id="344"/>
      <w:r>
        <w:rPr/>
      </w:r>
      <w:r>
        <w:rPr>
          <w:rFonts w:ascii="Times New Roman" w:hAnsi="Times New Roman" w:cs="Times New Roman" w:eastAsia="Times New Roman" w:hint="default"/>
          <w:b/>
          <w:bCs/>
          <w:sz w:val="21"/>
          <w:szCs w:val="21"/>
        </w:rPr>
        <w:t>47</w:t>
      </w:r>
      <w:r>
        <w:rPr>
          <w:rFonts w:ascii="宋体" w:hAnsi="宋体" w:cs="宋体" w:eastAsia="宋体" w:hint="default"/>
          <w:b/>
          <w:bCs/>
          <w:sz w:val="21"/>
          <w:szCs w:val="21"/>
        </w:rPr>
        <w:t>、库存股</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1"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回购限制性股票（注</w:t>
            </w:r>
          </w:p>
          <w:p>
            <w:pPr>
              <w:pStyle w:val="TableParagraph"/>
              <w:spacing w:line="240" w:lineRule="auto" w:before="76"/>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60,268,032.00</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29,321,065.73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30,946,966.27</w:t>
            </w:r>
          </w:p>
        </w:tc>
      </w:tr>
      <w:tr>
        <w:trPr>
          <w:trHeight w:val="714" w:hRule="exact"/>
        </w:trPr>
        <w:tc>
          <w:tcPr>
            <w:tcW w:w="191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77"/>
              <w:jc w:val="left"/>
              <w:rPr>
                <w:rFonts w:ascii="宋体" w:hAnsi="宋体" w:cs="宋体" w:eastAsia="宋体" w:hint="default"/>
                <w:sz w:val="18"/>
                <w:szCs w:val="18"/>
              </w:rPr>
            </w:pPr>
            <w:r>
              <w:rPr>
                <w:rFonts w:ascii="宋体" w:hAnsi="宋体" w:cs="宋体" w:eastAsia="宋体" w:hint="default"/>
                <w:sz w:val="18"/>
                <w:szCs w:val="18"/>
              </w:rPr>
              <w:t>集中竞价交易方式回 购公司股份（注</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w:t>
            </w:r>
          </w:p>
        </w:tc>
        <w:tc>
          <w:tcPr>
            <w:tcW w:w="1917"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6,464,025.39</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6,464,025.39</w:t>
            </w:r>
          </w:p>
        </w:tc>
      </w:tr>
      <w:tr>
        <w:trPr>
          <w:trHeight w:val="403"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60,268,032.00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6,464,025.39</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29,321,065.73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37,410,991.66</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spacing w:line="256" w:lineRule="auto" w:before="89"/>
        <w:ind w:left="114" w:right="6134" w:firstLine="0"/>
        <w:jc w:val="left"/>
        <w:rPr>
          <w:rFonts w:ascii="宋体" w:hAnsi="宋体" w:cs="宋体" w:eastAsia="宋体" w:hint="default"/>
          <w:sz w:val="21"/>
          <w:szCs w:val="21"/>
        </w:rPr>
      </w:pPr>
      <w:r>
        <w:rPr>
          <w:rFonts w:ascii="宋体" w:hAnsi="宋体" w:cs="宋体" w:eastAsia="宋体" w:hint="default"/>
          <w:sz w:val="21"/>
          <w:szCs w:val="21"/>
        </w:rPr>
        <w:t>注</w:t>
      </w:r>
      <w:r>
        <w:rPr>
          <w:rFonts w:ascii="Times New Roman" w:hAnsi="Times New Roman" w:cs="Times New Roman" w:eastAsia="Times New Roman" w:hint="default"/>
          <w:sz w:val="21"/>
          <w:szCs w:val="21"/>
        </w:rPr>
        <w:t>1</w:t>
      </w:r>
      <w:r>
        <w:rPr>
          <w:rFonts w:ascii="宋体" w:hAnsi="宋体" w:cs="宋体" w:eastAsia="宋体" w:hint="default"/>
          <w:sz w:val="21"/>
          <w:szCs w:val="21"/>
        </w:rPr>
        <w:t>：详见</w:t>
      </w:r>
      <w:r>
        <w:rPr>
          <w:rFonts w:ascii="宋体" w:hAnsi="宋体" w:cs="宋体" w:eastAsia="宋体" w:hint="default"/>
          <w:spacing w:val="-2"/>
          <w:sz w:val="21"/>
          <w:szCs w:val="21"/>
        </w:rPr>
        <w:t>附</w:t>
      </w:r>
      <w:r>
        <w:rPr>
          <w:rFonts w:ascii="宋体" w:hAnsi="宋体" w:cs="宋体" w:eastAsia="宋体" w:hint="default"/>
          <w:sz w:val="21"/>
          <w:szCs w:val="21"/>
        </w:rPr>
        <w:t>注十六、其他重要事项</w:t>
      </w:r>
      <w:r>
        <w:rPr>
          <w:rFonts w:ascii="宋体" w:hAnsi="宋体" w:cs="宋体" w:eastAsia="宋体" w:hint="default"/>
          <w:spacing w:val="-106"/>
          <w:sz w:val="21"/>
          <w:szCs w:val="21"/>
        </w:rPr>
        <w:t>”</w:t>
      </w:r>
      <w:r>
        <w:rPr>
          <w:rFonts w:ascii="宋体" w:hAnsi="宋体" w:cs="宋体" w:eastAsia="宋体" w:hint="default"/>
          <w:sz w:val="21"/>
          <w:szCs w:val="21"/>
        </w:rPr>
        <w:t>（一）所述。</w:t>
      </w:r>
      <w:r>
        <w:rPr>
          <w:rFonts w:ascii="宋体" w:hAnsi="宋体" w:cs="宋体" w:eastAsia="宋体" w:hint="default"/>
          <w:sz w:val="21"/>
          <w:szCs w:val="21"/>
        </w:rPr>
        <w:t> 注</w:t>
      </w:r>
      <w:r>
        <w:rPr>
          <w:rFonts w:ascii="宋体" w:hAnsi="宋体" w:cs="宋体" w:eastAsia="宋体" w:hint="default"/>
          <w:sz w:val="21"/>
          <w:szCs w:val="21"/>
        </w:rPr>
        <w:t>2</w:t>
      </w:r>
      <w:r>
        <w:rPr>
          <w:rFonts w:ascii="宋体" w:hAnsi="宋体" w:cs="宋体" w:eastAsia="宋体" w:hint="default"/>
          <w:sz w:val="21"/>
          <w:szCs w:val="21"/>
        </w:rPr>
        <w:t>：详见</w:t>
      </w:r>
      <w:r>
        <w:rPr>
          <w:rFonts w:ascii="宋体" w:hAnsi="宋体" w:cs="宋体" w:eastAsia="宋体" w:hint="default"/>
          <w:spacing w:val="-1"/>
          <w:sz w:val="21"/>
          <w:szCs w:val="21"/>
        </w:rPr>
        <w:t>附</w:t>
      </w:r>
      <w:r>
        <w:rPr>
          <w:rFonts w:ascii="宋体" w:hAnsi="宋体" w:cs="宋体" w:eastAsia="宋体" w:hint="default"/>
          <w:sz w:val="21"/>
          <w:szCs w:val="21"/>
        </w:rPr>
        <w:t>注十六、其他重要事项</w:t>
      </w:r>
      <w:r>
        <w:rPr>
          <w:rFonts w:ascii="宋体" w:hAnsi="宋体" w:cs="宋体" w:eastAsia="宋体" w:hint="default"/>
          <w:spacing w:val="-106"/>
          <w:sz w:val="21"/>
          <w:szCs w:val="21"/>
        </w:rPr>
        <w:t>”</w:t>
      </w:r>
      <w:r>
        <w:rPr>
          <w:rFonts w:ascii="宋体" w:hAnsi="宋体" w:cs="宋体" w:eastAsia="宋体" w:hint="default"/>
          <w:sz w:val="21"/>
          <w:szCs w:val="21"/>
        </w:rPr>
        <w:t>（二）所述。</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spacing w:before="0"/>
        <w:ind w:left="114" w:right="0" w:firstLine="0"/>
        <w:jc w:val="left"/>
        <w:rPr>
          <w:rFonts w:ascii="宋体" w:hAnsi="宋体" w:cs="宋体" w:eastAsia="宋体" w:hint="default"/>
          <w:sz w:val="21"/>
          <w:szCs w:val="21"/>
        </w:rPr>
      </w:pPr>
      <w:bookmarkStart w:name="48、其他综合收益" w:id="345"/>
      <w:bookmarkEnd w:id="345"/>
      <w:r>
        <w:rPr/>
      </w:r>
      <w:r>
        <w:rPr>
          <w:rFonts w:ascii="Times New Roman" w:hAnsi="Times New Roman" w:cs="Times New Roman" w:eastAsia="Times New Roman" w:hint="default"/>
          <w:b/>
          <w:bCs/>
          <w:sz w:val="21"/>
          <w:szCs w:val="21"/>
        </w:rPr>
        <w:t>48</w:t>
      </w:r>
      <w:r>
        <w:rPr>
          <w:rFonts w:ascii="宋体" w:hAnsi="宋体" w:cs="宋体" w:eastAsia="宋体" w:hint="default"/>
          <w:b/>
          <w:bCs/>
          <w:sz w:val="21"/>
          <w:szCs w:val="21"/>
        </w:rPr>
        <w:t>、其他综合收益</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811"/>
        <w:gridCol w:w="1070"/>
        <w:gridCol w:w="935"/>
        <w:gridCol w:w="1152"/>
        <w:gridCol w:w="935"/>
        <w:gridCol w:w="936"/>
        <w:gridCol w:w="935"/>
        <w:gridCol w:w="796"/>
      </w:tblGrid>
      <w:tr>
        <w:trPr>
          <w:trHeight w:val="402" w:hRule="exact"/>
        </w:trPr>
        <w:tc>
          <w:tcPr>
            <w:tcW w:w="281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07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9"/>
                <w:szCs w:val="19"/>
              </w:rPr>
            </w:pPr>
          </w:p>
          <w:p>
            <w:pPr>
              <w:pStyle w:val="TableParagraph"/>
              <w:spacing w:line="240" w:lineRule="auto"/>
              <w:ind w:left="169"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4893"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316" w:lineRule="auto"/>
              <w:ind w:left="302" w:right="121" w:hanging="180"/>
              <w:jc w:val="left"/>
              <w:rPr>
                <w:rFonts w:ascii="宋体" w:hAnsi="宋体" w:cs="宋体" w:eastAsia="宋体" w:hint="default"/>
                <w:sz w:val="18"/>
                <w:szCs w:val="18"/>
              </w:rPr>
            </w:pPr>
            <w:r>
              <w:rPr>
                <w:rFonts w:ascii="宋体" w:hAnsi="宋体" w:cs="宋体" w:eastAsia="宋体" w:hint="default"/>
                <w:sz w:val="18"/>
                <w:szCs w:val="18"/>
              </w:rPr>
              <w:t>期末余 额</w:t>
            </w:r>
          </w:p>
        </w:tc>
      </w:tr>
      <w:tr>
        <w:trPr>
          <w:trHeight w:val="1338" w:hRule="exact"/>
        </w:trPr>
        <w:tc>
          <w:tcPr>
            <w:tcW w:w="2811" w:type="dxa"/>
            <w:vMerge/>
            <w:tcBorders>
              <w:left w:val="single" w:sz="4" w:space="0" w:color="000000"/>
              <w:bottom w:val="single" w:sz="4" w:space="0" w:color="000000"/>
              <w:right w:val="single" w:sz="4" w:space="0" w:color="000000"/>
            </w:tcBorders>
            <w:shd w:val="clear" w:color="auto" w:fill="D2D2D2"/>
          </w:tcPr>
          <w:p>
            <w:pPr/>
          </w:p>
        </w:tc>
        <w:tc>
          <w:tcPr>
            <w:tcW w:w="1070" w:type="dxa"/>
            <w:vMerge/>
            <w:tcBorders>
              <w:left w:val="single" w:sz="4" w:space="0" w:color="000000"/>
              <w:bottom w:val="single" w:sz="4" w:space="0" w:color="000000"/>
              <w:right w:val="single" w:sz="4" w:space="0" w:color="000000"/>
            </w:tcBorders>
            <w:shd w:val="clear" w:color="auto" w:fill="D2D2D2"/>
          </w:tcPr>
          <w:p>
            <w:pPr/>
          </w:p>
        </w:tc>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90" w:right="192"/>
              <w:jc w:val="both"/>
              <w:rPr>
                <w:rFonts w:ascii="宋体" w:hAnsi="宋体" w:cs="宋体" w:eastAsia="宋体" w:hint="default"/>
                <w:sz w:val="18"/>
                <w:szCs w:val="18"/>
              </w:rPr>
            </w:pPr>
            <w:r>
              <w:rPr>
                <w:rFonts w:ascii="宋体" w:hAnsi="宋体" w:cs="宋体" w:eastAsia="宋体" w:hint="default"/>
                <w:sz w:val="18"/>
                <w:szCs w:val="18"/>
              </w:rPr>
              <w:t>本期所 得税前 发生额</w:t>
            </w:r>
          </w:p>
        </w:tc>
        <w:tc>
          <w:tcPr>
            <w:tcW w:w="11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21" w:right="119"/>
              <w:jc w:val="center"/>
              <w:rPr>
                <w:rFonts w:ascii="宋体" w:hAnsi="宋体" w:cs="宋体" w:eastAsia="宋体" w:hint="default"/>
                <w:sz w:val="18"/>
                <w:szCs w:val="18"/>
              </w:rPr>
            </w:pPr>
            <w:r>
              <w:rPr>
                <w:rFonts w:ascii="宋体" w:hAnsi="宋体" w:cs="宋体" w:eastAsia="宋体" w:hint="default"/>
                <w:sz w:val="18"/>
                <w:szCs w:val="18"/>
              </w:rPr>
              <w:t>减：前期计 入其他综合 收益当期转 入损益</w:t>
            </w:r>
          </w:p>
        </w:tc>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92" w:right="101" w:hanging="89"/>
              <w:jc w:val="left"/>
              <w:rPr>
                <w:rFonts w:ascii="宋体" w:hAnsi="宋体" w:cs="宋体" w:eastAsia="宋体" w:hint="default"/>
                <w:sz w:val="18"/>
                <w:szCs w:val="18"/>
              </w:rPr>
            </w:pPr>
            <w:r>
              <w:rPr>
                <w:rFonts w:ascii="宋体" w:hAnsi="宋体" w:cs="宋体" w:eastAsia="宋体" w:hint="default"/>
                <w:sz w:val="18"/>
                <w:szCs w:val="18"/>
              </w:rPr>
              <w:t>减：所得 税费用</w:t>
            </w:r>
          </w:p>
        </w:tc>
        <w:tc>
          <w:tcPr>
            <w:tcW w:w="9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03" w:right="101"/>
              <w:jc w:val="left"/>
              <w:rPr>
                <w:rFonts w:ascii="宋体" w:hAnsi="宋体" w:cs="宋体" w:eastAsia="宋体" w:hint="default"/>
                <w:sz w:val="18"/>
                <w:szCs w:val="18"/>
              </w:rPr>
            </w:pPr>
            <w:r>
              <w:rPr>
                <w:rFonts w:ascii="宋体" w:hAnsi="宋体" w:cs="宋体" w:eastAsia="宋体" w:hint="default"/>
                <w:sz w:val="18"/>
                <w:szCs w:val="18"/>
              </w:rPr>
              <w:t>税后归属 于母公司</w:t>
            </w:r>
          </w:p>
        </w:tc>
        <w:tc>
          <w:tcPr>
            <w:tcW w:w="9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6" w:lineRule="auto"/>
              <w:ind w:left="192" w:right="191"/>
              <w:jc w:val="both"/>
              <w:rPr>
                <w:rFonts w:ascii="宋体" w:hAnsi="宋体" w:cs="宋体" w:eastAsia="宋体" w:hint="default"/>
                <w:sz w:val="18"/>
                <w:szCs w:val="18"/>
              </w:rPr>
            </w:pPr>
            <w:r>
              <w:rPr>
                <w:rFonts w:ascii="宋体" w:hAnsi="宋体" w:cs="宋体" w:eastAsia="宋体" w:hint="default"/>
                <w:sz w:val="18"/>
                <w:szCs w:val="18"/>
              </w:rPr>
              <w:t>税后归 属于少 数股东</w:t>
            </w:r>
          </w:p>
        </w:tc>
        <w:tc>
          <w:tcPr>
            <w:tcW w:w="796" w:type="dxa"/>
            <w:vMerge/>
            <w:tcBorders>
              <w:left w:val="single" w:sz="4" w:space="0" w:color="000000"/>
              <w:bottom w:val="single" w:sz="4" w:space="0" w:color="000000"/>
              <w:right w:val="single" w:sz="4" w:space="0" w:color="000000"/>
            </w:tcBorders>
            <w:shd w:val="clear" w:color="auto" w:fill="D2D2D2"/>
          </w:tcPr>
          <w:p>
            <w:pP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其他说明，包括对现金流量套期损益的有效部分转为被套期项目初始确认金额调整：</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9、专项储备" w:id="346"/>
      <w:bookmarkEnd w:id="346"/>
      <w:r>
        <w:rPr/>
      </w:r>
      <w:r>
        <w:rPr>
          <w:rFonts w:ascii="Times New Roman" w:hAnsi="Times New Roman" w:cs="Times New Roman" w:eastAsia="Times New Roman" w:hint="default"/>
          <w:b/>
          <w:bCs/>
          <w:sz w:val="21"/>
          <w:szCs w:val="21"/>
        </w:rPr>
        <w:t>49</w:t>
      </w:r>
      <w:r>
        <w:rPr>
          <w:rFonts w:ascii="宋体" w:hAnsi="宋体" w:cs="宋体" w:eastAsia="宋体" w:hint="default"/>
          <w:b/>
          <w:bCs/>
          <w:sz w:val="21"/>
          <w:szCs w:val="21"/>
        </w:rPr>
        <w:t>、专项储备</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其他说明，包括本期增减变动情况、变动原因说明：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50、盈余公积" w:id="347"/>
      <w:bookmarkEnd w:id="347"/>
      <w:r>
        <w:rPr/>
      </w:r>
      <w:r>
        <w:rPr>
          <w:rFonts w:ascii="Times New Roman" w:hAnsi="Times New Roman" w:cs="Times New Roman" w:eastAsia="Times New Roman" w:hint="default"/>
          <w:b/>
          <w:bCs/>
          <w:sz w:val="21"/>
          <w:szCs w:val="21"/>
        </w:rPr>
        <w:t>50</w:t>
      </w:r>
      <w:r>
        <w:rPr>
          <w:rFonts w:ascii="宋体" w:hAnsi="宋体" w:cs="宋体" w:eastAsia="宋体" w:hint="default"/>
          <w:b/>
          <w:bCs/>
          <w:sz w:val="21"/>
          <w:szCs w:val="21"/>
        </w:rPr>
        <w:t>、盈余公积</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2" w:right="0"/>
              <w:jc w:val="left"/>
              <w:rPr>
                <w:rFonts w:ascii="宋体" w:hAnsi="宋体" w:cs="宋体" w:eastAsia="宋体" w:hint="default"/>
                <w:sz w:val="18"/>
                <w:szCs w:val="18"/>
              </w:rPr>
            </w:pPr>
            <w:r>
              <w:rPr>
                <w:rFonts w:ascii="宋体" w:hAnsi="宋体" w:cs="宋体" w:eastAsia="宋体" w:hint="default"/>
                <w:sz w:val="18"/>
                <w:szCs w:val="18"/>
              </w:rPr>
              <w:t>期初余额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r>
    </w:tbl>
    <w:p>
      <w:pPr>
        <w:spacing w:after="0" w:line="240" w:lineRule="auto"/>
        <w:jc w:val="left"/>
        <w:rPr>
          <w:rFonts w:ascii="宋体" w:hAnsi="宋体" w:cs="宋体" w:eastAsia="宋体" w:hint="default"/>
          <w:sz w:val="18"/>
          <w:szCs w:val="18"/>
        </w:rPr>
        <w:sectPr>
          <w:footerReference w:type="default" r:id="rId22"/>
          <w:pgSz w:w="11910" w:h="16840"/>
          <w:pgMar w:footer="1019" w:header="889" w:top="1140" w:bottom="1200" w:left="1020" w:right="0"/>
          <w:pgNumType w:start="201"/>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21,044,926.05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113,436.73</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21,158,362.78</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21,044,926.05</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113,436.73</w:t>
            </w:r>
          </w:p>
        </w:tc>
        <w:tc>
          <w:tcPr>
            <w:tcW w:w="1914" w:type="dxa"/>
            <w:tcBorders>
              <w:top w:val="single" w:sz="4" w:space="0" w:color="000000"/>
              <w:left w:val="single" w:sz="4" w:space="0" w:color="000000"/>
              <w:bottom w:val="single" w:sz="4" w:space="0" w:color="000000"/>
              <w:right w:val="single" w:sz="4" w:space="0" w:color="000000"/>
            </w:tcBorders>
          </w:tcPr>
          <w:p>
            <w:pP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21,158,362.78</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盈余公积说明，包括本期增减变动情况、变动原因说明：</w:t>
      </w:r>
    </w:p>
    <w:p>
      <w:pPr>
        <w:spacing w:before="91"/>
        <w:ind w:left="114" w:right="0" w:firstLine="0"/>
        <w:jc w:val="left"/>
        <w:rPr>
          <w:rFonts w:ascii="宋体" w:hAnsi="宋体" w:cs="宋体" w:eastAsia="宋体" w:hint="default"/>
          <w:sz w:val="21"/>
          <w:szCs w:val="21"/>
        </w:rPr>
      </w:pPr>
      <w:r>
        <w:rPr>
          <w:rFonts w:ascii="宋体" w:hAnsi="宋体" w:cs="宋体" w:eastAsia="宋体" w:hint="default"/>
          <w:sz w:val="21"/>
          <w:szCs w:val="21"/>
        </w:rPr>
        <w:t>本期增加：按照本期母公司净利润</w:t>
      </w:r>
      <w:r>
        <w:rPr>
          <w:rFonts w:ascii="Times New Roman" w:hAnsi="Times New Roman" w:cs="Times New Roman" w:eastAsia="Times New Roman" w:hint="default"/>
          <w:sz w:val="21"/>
          <w:szCs w:val="21"/>
        </w:rPr>
        <w:t>10%</w:t>
      </w:r>
      <w:r>
        <w:rPr>
          <w:rFonts w:ascii="宋体" w:hAnsi="宋体" w:cs="宋体" w:eastAsia="宋体" w:hint="default"/>
          <w:sz w:val="21"/>
          <w:szCs w:val="21"/>
        </w:rPr>
        <w:t>计提的法定盈余公积。</w:t>
      </w:r>
    </w:p>
    <w:p>
      <w:pPr>
        <w:spacing w:line="240" w:lineRule="auto" w:before="0"/>
        <w:rPr>
          <w:rFonts w:ascii="宋体" w:hAnsi="宋体" w:cs="宋体" w:eastAsia="宋体" w:hint="default"/>
          <w:sz w:val="22"/>
          <w:szCs w:val="22"/>
        </w:rPr>
      </w:pPr>
    </w:p>
    <w:p>
      <w:pPr>
        <w:spacing w:line="240" w:lineRule="auto" w:before="6"/>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51、未分配利润" w:id="348"/>
      <w:bookmarkEnd w:id="348"/>
      <w:r>
        <w:rPr/>
      </w:r>
      <w:r>
        <w:rPr>
          <w:rFonts w:ascii="Times New Roman" w:hAnsi="Times New Roman" w:cs="Times New Roman" w:eastAsia="Times New Roman" w:hint="default"/>
          <w:b/>
          <w:bCs/>
          <w:sz w:val="21"/>
          <w:szCs w:val="21"/>
        </w:rPr>
        <w:t>51</w:t>
      </w:r>
      <w:r>
        <w:rPr>
          <w:rFonts w:ascii="宋体" w:hAnsi="宋体" w:cs="宋体" w:eastAsia="宋体" w:hint="default"/>
          <w:b/>
          <w:bCs/>
          <w:sz w:val="21"/>
          <w:szCs w:val="21"/>
        </w:rPr>
        <w:t>、未分配利润</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725"/>
        <w:gridCol w:w="2925"/>
        <w:gridCol w:w="2919"/>
      </w:tblGrid>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9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w:t>
            </w:r>
          </w:p>
        </w:tc>
        <w:tc>
          <w:tcPr>
            <w:tcW w:w="291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调整前上期末未分配利润</w:t>
            </w:r>
          </w:p>
        </w:tc>
        <w:tc>
          <w:tcPr>
            <w:tcW w:w="2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168,863,947.16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146,243,154.15</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调整后期初未分配利润</w:t>
            </w:r>
          </w:p>
        </w:tc>
        <w:tc>
          <w:tcPr>
            <w:tcW w:w="2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168,863,947.16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146,243,154.15</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加：本期归属于母公司所有者的净利润</w:t>
            </w:r>
          </w:p>
        </w:tc>
        <w:tc>
          <w:tcPr>
            <w:tcW w:w="2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44,803,214.13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33,207,874.96</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2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113,436.73</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3,074,081.95</w:t>
            </w:r>
          </w:p>
        </w:tc>
      </w:tr>
      <w:tr>
        <w:trPr>
          <w:trHeight w:val="402"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3"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2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6,777,440.00</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7,513,000.00</w:t>
            </w:r>
          </w:p>
        </w:tc>
      </w:tr>
      <w:tr>
        <w:trPr>
          <w:trHeight w:val="403" w:hRule="exact"/>
        </w:trPr>
        <w:tc>
          <w:tcPr>
            <w:tcW w:w="372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期末未分配利润</w:t>
            </w:r>
          </w:p>
        </w:tc>
        <w:tc>
          <w:tcPr>
            <w:tcW w:w="292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206,776,284.56</w:t>
            </w:r>
          </w:p>
        </w:tc>
        <w:tc>
          <w:tcPr>
            <w:tcW w:w="291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168,863,947.16</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调整期初未分配利润明细：</w:t>
      </w:r>
    </w:p>
    <w:p>
      <w:pPr>
        <w:spacing w:before="116"/>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、由于《企业会计准则》及其相关新规定进行追溯调整，影响期初未分配利润元。</w:t>
      </w:r>
    </w:p>
    <w:p>
      <w:pPr>
        <w:spacing w:before="103"/>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、由于会计政策变更，影响期初未分配利润元。</w:t>
      </w:r>
    </w:p>
    <w:p>
      <w:pPr>
        <w:spacing w:before="103"/>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、由于重大会计差错更正，影响期初未分配利润元。</w:t>
      </w:r>
    </w:p>
    <w:p>
      <w:pPr>
        <w:spacing w:before="102"/>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、由于同一控制导致的合并范围变更，影响期初未分配利润元。</w:t>
      </w:r>
    </w:p>
    <w:p>
      <w:pPr>
        <w:spacing w:before="103"/>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、其他调整合计影响期初未分配利润元。</w:t>
      </w:r>
    </w:p>
    <w:p>
      <w:pPr>
        <w:spacing w:line="240" w:lineRule="auto" w:before="9"/>
        <w:rPr>
          <w:rFonts w:ascii="宋体" w:hAnsi="宋体" w:cs="宋体" w:eastAsia="宋体" w:hint="default"/>
          <w:sz w:val="25"/>
          <w:szCs w:val="25"/>
        </w:rPr>
      </w:pPr>
    </w:p>
    <w:p>
      <w:pPr>
        <w:spacing w:before="0"/>
        <w:ind w:left="114" w:right="0" w:firstLine="0"/>
        <w:jc w:val="left"/>
        <w:rPr>
          <w:rFonts w:ascii="宋体" w:hAnsi="宋体" w:cs="宋体" w:eastAsia="宋体" w:hint="default"/>
          <w:sz w:val="21"/>
          <w:szCs w:val="21"/>
        </w:rPr>
      </w:pPr>
      <w:bookmarkStart w:name="52、营业收入和营业成本" w:id="349"/>
      <w:bookmarkEnd w:id="349"/>
      <w:r>
        <w:rPr/>
      </w:r>
      <w:r>
        <w:rPr>
          <w:rFonts w:ascii="Times New Roman" w:hAnsi="Times New Roman" w:cs="Times New Roman" w:eastAsia="Times New Roman" w:hint="default"/>
          <w:b/>
          <w:bCs/>
          <w:sz w:val="21"/>
          <w:szCs w:val="21"/>
        </w:rPr>
        <w:t>52</w:t>
      </w:r>
      <w:r>
        <w:rPr>
          <w:rFonts w:ascii="宋体" w:hAnsi="宋体" w:cs="宋体" w:eastAsia="宋体" w:hint="default"/>
          <w:b/>
          <w:bCs/>
          <w:sz w:val="21"/>
          <w:szCs w:val="21"/>
        </w:rPr>
        <w:t>、营业收入和营业成本</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12"/>
        <w:gridCol w:w="1917"/>
        <w:gridCol w:w="1914"/>
        <w:gridCol w:w="1914"/>
        <w:gridCol w:w="1914"/>
      </w:tblGrid>
      <w:tr>
        <w:trPr>
          <w:trHeight w:val="402" w:hRule="exact"/>
        </w:trPr>
        <w:tc>
          <w:tcPr>
            <w:tcW w:w="191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83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1912" w:type="dxa"/>
            <w:vMerge/>
            <w:tcBorders>
              <w:left w:val="single" w:sz="4" w:space="0" w:color="000000"/>
              <w:bottom w:val="single" w:sz="4" w:space="0" w:color="000000"/>
              <w:right w:val="single" w:sz="4" w:space="0" w:color="000000"/>
            </w:tcBorders>
            <w:shd w:val="clear" w:color="auto" w:fill="D2D2D2"/>
          </w:tcPr>
          <w:p>
            <w:pPr/>
          </w:p>
        </w:tc>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成本</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收入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706,940,063.53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450,429,814.58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564,293,578.68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337,162,570.96</w:t>
            </w:r>
          </w:p>
        </w:tc>
      </w:tr>
      <w:tr>
        <w:trPr>
          <w:trHeight w:val="402" w:hRule="exact"/>
        </w:trPr>
        <w:tc>
          <w:tcPr>
            <w:tcW w:w="191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706,940,063.53</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450,429,814.58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564,293,578.68</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337,162,570.96</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53、税金及附加" w:id="350"/>
      <w:bookmarkEnd w:id="350"/>
      <w:r>
        <w:rPr/>
      </w:r>
      <w:r>
        <w:rPr>
          <w:rFonts w:ascii="Times New Roman" w:hAnsi="Times New Roman" w:cs="Times New Roman" w:eastAsia="Times New Roman" w:hint="default"/>
          <w:b/>
          <w:bCs/>
          <w:sz w:val="21"/>
          <w:szCs w:val="21"/>
        </w:rPr>
        <w:t>53</w:t>
      </w:r>
      <w:r>
        <w:rPr>
          <w:rFonts w:ascii="宋体" w:hAnsi="宋体" w:cs="宋体" w:eastAsia="宋体" w:hint="default"/>
          <w:b/>
          <w:bCs/>
          <w:sz w:val="21"/>
          <w:szCs w:val="21"/>
        </w:rPr>
        <w:t>、税金及附加</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437,712.50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798,329.89</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349,816.99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641,932.96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河道管理费</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33,645.23</w:t>
            </w:r>
          </w:p>
        </w:tc>
      </w:tr>
    </w:tbl>
    <w:p>
      <w:pPr>
        <w:spacing w:after="0" w:line="240" w:lineRule="auto"/>
        <w:jc w:val="right"/>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其他税费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322,053.14</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708,870.90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1,109,582.63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2,182,778.98</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54、销售费用" w:id="351"/>
      <w:bookmarkEnd w:id="351"/>
      <w:r>
        <w:rPr/>
      </w:r>
      <w:r>
        <w:rPr>
          <w:rFonts w:ascii="Times New Roman" w:hAnsi="Times New Roman" w:cs="Times New Roman" w:eastAsia="Times New Roman" w:hint="default"/>
          <w:b/>
          <w:bCs/>
          <w:sz w:val="21"/>
          <w:szCs w:val="21"/>
        </w:rPr>
        <w:t>54</w:t>
      </w:r>
      <w:r>
        <w:rPr>
          <w:rFonts w:ascii="宋体" w:hAnsi="宋体" w:cs="宋体" w:eastAsia="宋体" w:hint="default"/>
          <w:b/>
          <w:bCs/>
          <w:sz w:val="21"/>
          <w:szCs w:val="21"/>
        </w:rPr>
        <w:t>、销售费用</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29,099,058.12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22,693,747.85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市内交通费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1,591,982.53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1,248,340.36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市外差旅费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7,053,960.83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5,836,540.30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5,600,037.51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6,759,052.12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通讯费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223,633.32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201,839.88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2,449,617.77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2,215,003.69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标书费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4,088,404.68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2,942,082.58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会务费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1,196,947.19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798,874.48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广告宣传费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721,641.28</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210,363.90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售后服务费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741,251.91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3,966,354.45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运输费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925,866.06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328,316.20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1,879,129.23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3,273,217.37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55,571,530.43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50,473,733.18</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55、管理费用" w:id="352"/>
      <w:bookmarkEnd w:id="352"/>
      <w:r>
        <w:rPr/>
      </w:r>
      <w:r>
        <w:rPr>
          <w:rFonts w:ascii="Times New Roman" w:hAnsi="Times New Roman" w:cs="Times New Roman" w:eastAsia="Times New Roman" w:hint="default"/>
          <w:b/>
          <w:bCs/>
          <w:sz w:val="21"/>
          <w:szCs w:val="21"/>
        </w:rPr>
        <w:t>55</w:t>
      </w:r>
      <w:r>
        <w:rPr>
          <w:rFonts w:ascii="宋体" w:hAnsi="宋体" w:cs="宋体" w:eastAsia="宋体" w:hint="default"/>
          <w:b/>
          <w:bCs/>
          <w:sz w:val="21"/>
          <w:szCs w:val="21"/>
        </w:rPr>
        <w:t>、管理费用</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38,373,082.04</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28,336,927.82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市内交通费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1,239,225.69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784,104.23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市外差旅费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2,983,004.02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1,230,130.56</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3,469,932.25</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1,626,928.39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通讯费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703,896.59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239,270.99</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3,619,733.19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3,864,963.92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车辆运杂费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2,207,801.81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1,809,495.72</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房屋租赁费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7,367,962.67</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9,124,491.35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8,849,429.59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9,404,243.85</w:t>
            </w:r>
          </w:p>
        </w:tc>
      </w:tr>
    </w:tbl>
    <w:p>
      <w:pPr>
        <w:spacing w:after="0" w:line="240" w:lineRule="auto"/>
        <w:jc w:val="right"/>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中介机构费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906,852.82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2,233,993.41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1,254,587.21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1,435,229.43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股份支付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-1,406,800.00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5,150,600.00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咨询服务费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2,262,778.43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1,620,285.38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物业管理费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1,354,632.23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1,088,514.98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4,307,917.59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3,121,832.83</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77,494,036.13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71,071,012.86</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56、研发费用" w:id="353"/>
      <w:bookmarkEnd w:id="353"/>
      <w:r>
        <w:rPr/>
      </w:r>
      <w:r>
        <w:rPr>
          <w:rFonts w:ascii="Times New Roman" w:hAnsi="Times New Roman" w:cs="Times New Roman" w:eastAsia="Times New Roman" w:hint="default"/>
          <w:b/>
          <w:bCs/>
          <w:sz w:val="21"/>
          <w:szCs w:val="21"/>
        </w:rPr>
        <w:t>56</w:t>
      </w:r>
      <w:r>
        <w:rPr>
          <w:rFonts w:ascii="宋体" w:hAnsi="宋体" w:cs="宋体" w:eastAsia="宋体" w:hint="default"/>
          <w:b/>
          <w:bCs/>
          <w:sz w:val="21"/>
          <w:szCs w:val="21"/>
        </w:rPr>
        <w:t>、研发费用</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60,682,741.42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54,723,770.87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交通差旅费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1,541,898.09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1,230,707.65</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1,280,112.39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734,745.41</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会务费</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452,176.49</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665,230.54</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1,743,834.03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3,142,470.87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65,700,762.42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60,496,925.34</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57、财务费用" w:id="354"/>
      <w:bookmarkEnd w:id="354"/>
      <w:r>
        <w:rPr/>
      </w:r>
      <w:r>
        <w:rPr>
          <w:rFonts w:ascii="Times New Roman" w:hAnsi="Times New Roman" w:cs="Times New Roman" w:eastAsia="Times New Roman" w:hint="default"/>
          <w:b/>
          <w:bCs/>
          <w:sz w:val="21"/>
          <w:szCs w:val="21"/>
        </w:rPr>
        <w:t>57</w:t>
      </w:r>
      <w:r>
        <w:rPr>
          <w:rFonts w:ascii="宋体" w:hAnsi="宋体" w:cs="宋体" w:eastAsia="宋体" w:hint="default"/>
          <w:b/>
          <w:bCs/>
          <w:sz w:val="21"/>
          <w:szCs w:val="21"/>
        </w:rPr>
        <w:t>、财务费用</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利息费用</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10,583,304.36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10,256,935.98</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574,450.73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514,207.77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330,877.83</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221,763.17</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10,339,731.46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9,964,491.38</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58、资产减值损失" w:id="355"/>
      <w:bookmarkEnd w:id="355"/>
      <w:r>
        <w:rPr/>
      </w:r>
      <w:r>
        <w:rPr>
          <w:rFonts w:ascii="Times New Roman" w:hAnsi="Times New Roman" w:cs="Times New Roman" w:eastAsia="Times New Roman" w:hint="default"/>
          <w:b/>
          <w:bCs/>
          <w:sz w:val="21"/>
          <w:szCs w:val="21"/>
        </w:rPr>
        <w:t>58</w:t>
      </w:r>
      <w:r>
        <w:rPr>
          <w:rFonts w:ascii="宋体" w:hAnsi="宋体" w:cs="宋体" w:eastAsia="宋体" w:hint="default"/>
          <w:b/>
          <w:bCs/>
          <w:sz w:val="21"/>
          <w:szCs w:val="21"/>
        </w:rPr>
        <w:t>、资产减值损失</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一、坏账损失</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21,581,603.67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10,400,335.47</w:t>
            </w: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21,581,603.67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10,400,335.47</w:t>
            </w:r>
          </w:p>
        </w:tc>
      </w:tr>
    </w:tbl>
    <w:p>
      <w:pPr>
        <w:spacing w:after="0" w:line="240" w:lineRule="auto"/>
        <w:jc w:val="right"/>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3"/>
        <w:rPr>
          <w:rFonts w:ascii="宋体" w:hAnsi="宋体" w:cs="宋体" w:eastAsia="宋体" w:hint="default"/>
          <w:sz w:val="20"/>
          <w:szCs w:val="20"/>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59、其他收益" w:id="356"/>
      <w:bookmarkEnd w:id="356"/>
      <w:r>
        <w:rPr/>
      </w:r>
      <w:r>
        <w:rPr>
          <w:rFonts w:ascii="Times New Roman" w:hAnsi="Times New Roman" w:cs="Times New Roman" w:eastAsia="Times New Roman" w:hint="default"/>
          <w:b/>
          <w:bCs/>
          <w:sz w:val="21"/>
          <w:szCs w:val="21"/>
        </w:rPr>
        <w:t>59</w:t>
      </w:r>
      <w:r>
        <w:rPr>
          <w:rFonts w:ascii="宋体" w:hAnsi="宋体" w:cs="宋体" w:eastAsia="宋体" w:hint="default"/>
          <w:b/>
          <w:bCs/>
          <w:sz w:val="21"/>
          <w:szCs w:val="21"/>
        </w:rPr>
        <w:t>、其他收益</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79" w:right="0"/>
              <w:jc w:val="left"/>
              <w:rPr>
                <w:rFonts w:ascii="宋体" w:hAnsi="宋体" w:cs="宋体" w:eastAsia="宋体" w:hint="default"/>
                <w:sz w:val="18"/>
                <w:szCs w:val="18"/>
              </w:rPr>
            </w:pPr>
            <w:r>
              <w:rPr>
                <w:rFonts w:ascii="宋体" w:hAnsi="宋体" w:cs="宋体" w:eastAsia="宋体" w:hint="default"/>
                <w:sz w:val="18"/>
                <w:szCs w:val="18"/>
              </w:rPr>
              <w:t>产生其他收益的来源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95"/>
              <w:jc w:val="left"/>
              <w:rPr>
                <w:rFonts w:ascii="宋体" w:hAnsi="宋体" w:cs="宋体" w:eastAsia="宋体" w:hint="default"/>
                <w:sz w:val="18"/>
                <w:szCs w:val="18"/>
              </w:rPr>
            </w:pPr>
            <w:r>
              <w:rPr>
                <w:rFonts w:ascii="宋体" w:hAnsi="宋体" w:cs="宋体" w:eastAsia="宋体" w:hint="default"/>
                <w:sz w:val="18"/>
                <w:szCs w:val="18"/>
              </w:rPr>
              <w:t>基于大数据分析的食品安全追溯平台 专项资金</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6,000,000.00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国家技术创新示范企业奖励</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2,000,000.00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质量奖奖励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20,000.00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1,200,000.00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财政扶持补助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1,786,242.12</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981,600.00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上市奖励</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600,000.00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普陀区产业发展专项资金扶持</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390,000.00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优秀人才奖</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274,100.00</w:t>
            </w: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95"/>
              <w:jc w:val="left"/>
              <w:rPr>
                <w:rFonts w:ascii="宋体" w:hAnsi="宋体" w:cs="宋体" w:eastAsia="宋体" w:hint="default"/>
                <w:sz w:val="18"/>
                <w:szCs w:val="18"/>
              </w:rPr>
            </w:pPr>
            <w:r>
              <w:rPr>
                <w:rFonts w:ascii="宋体" w:hAnsi="宋体" w:cs="宋体" w:eastAsia="宋体" w:hint="default"/>
                <w:sz w:val="18"/>
                <w:szCs w:val="18"/>
              </w:rPr>
              <w:t>基于物联网技术的追索蔬菜流通安全 信息追溯系统创新基金</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180,000.00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高新技术研发补助</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120,000.00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产学研补助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20,000.00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120,000.00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软件和信息服务业企业资质奖励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500,000.00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112,000.00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安全管理体系奖励</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中小企业发展专项资金补助</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静安区标准化奖励</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职工补贴</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51,900.00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上海软件四名项目奖励</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上海市科技进步奖</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高科技成果转化奖励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60,000.00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高科技成果</w:t>
            </w:r>
            <w:r>
              <w:rPr>
                <w:rFonts w:ascii="Times New Roman" w:hAnsi="Times New Roman" w:cs="Times New Roman" w:eastAsia="Times New Roman" w:hint="default"/>
                <w:sz w:val="18"/>
                <w:szCs w:val="18"/>
              </w:rPr>
              <w:t>"</w:t>
            </w:r>
            <w:r>
              <w:rPr>
                <w:rFonts w:ascii="宋体" w:hAnsi="宋体" w:cs="宋体" w:eastAsia="宋体" w:hint="default"/>
                <w:sz w:val="18"/>
                <w:szCs w:val="18"/>
              </w:rPr>
              <w:t>百佳</w:t>
            </w:r>
            <w:r>
              <w:rPr>
                <w:rFonts w:ascii="Times New Roman" w:hAnsi="Times New Roman" w:cs="Times New Roman" w:eastAsia="Times New Roman" w:hint="default"/>
                <w:sz w:val="18"/>
                <w:szCs w:val="18"/>
              </w:rPr>
              <w:t>"</w:t>
            </w:r>
            <w:r>
              <w:rPr>
                <w:rFonts w:ascii="宋体" w:hAnsi="宋体" w:cs="宋体" w:eastAsia="宋体" w:hint="default"/>
                <w:sz w:val="18"/>
                <w:szCs w:val="18"/>
              </w:rPr>
              <w:t>企业奖励</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档案管理软件补助</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15,000.00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上海市创新企业奖励</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知识产权补贴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5,705.00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7,555.00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专利补贴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z w:val="18"/>
              </w:rPr>
              <w:t>15,360.00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5,520.00</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专精特新奖励</w:t>
            </w:r>
          </w:p>
        </w:tc>
        <w:tc>
          <w:tcPr>
            <w:tcW w:w="3190" w:type="dxa"/>
            <w:tcBorders>
              <w:top w:val="single" w:sz="4" w:space="0" w:color="000000"/>
              <w:left w:val="single" w:sz="4" w:space="0" w:color="000000"/>
              <w:bottom w:val="single" w:sz="4" w:space="0" w:color="000000"/>
              <w:right w:val="single" w:sz="4" w:space="0" w:color="000000"/>
            </w:tcBorders>
          </w:tcPr>
          <w:p>
            <w:pP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1,000.00</w:t>
            </w: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103" w:right="123"/>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追溯云第三方重要产品追溯信息平台 建设</w:t>
            </w:r>
            <w:r>
              <w:rPr>
                <w:rFonts w:ascii="Times New Roman" w:hAnsi="Times New Roman" w:cs="Times New Roman" w:eastAsia="Times New Roman" w:hint="default"/>
                <w:sz w:val="18"/>
                <w:szCs w:val="18"/>
              </w:rPr>
              <w:t>"</w:t>
            </w:r>
            <w:r>
              <w:rPr>
                <w:rFonts w:ascii="宋体" w:hAnsi="宋体" w:cs="宋体" w:eastAsia="宋体" w:hint="default"/>
                <w:sz w:val="18"/>
                <w:szCs w:val="18"/>
              </w:rPr>
              <w:t>示范项目专项补助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9"/>
                <w:szCs w:val="19"/>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12,542,454.11</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715"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95"/>
              <w:jc w:val="left"/>
              <w:rPr>
                <w:rFonts w:ascii="宋体" w:hAnsi="宋体" w:cs="宋体" w:eastAsia="宋体" w:hint="default"/>
                <w:sz w:val="18"/>
                <w:szCs w:val="18"/>
              </w:rPr>
            </w:pPr>
            <w:r>
              <w:rPr>
                <w:rFonts w:ascii="宋体" w:hAnsi="宋体" w:cs="宋体" w:eastAsia="宋体" w:hint="default"/>
                <w:sz w:val="18"/>
                <w:szCs w:val="18"/>
              </w:rPr>
              <w:t>基于物联网技术的智能冷链物流云平 台专项资金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5,000,000.00</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食品安全智慧服务云平台专项补助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95"/>
              <w:jc w:val="left"/>
              <w:rPr>
                <w:rFonts w:ascii="宋体" w:hAnsi="宋体" w:cs="宋体" w:eastAsia="宋体" w:hint="default"/>
                <w:sz w:val="18"/>
                <w:szCs w:val="18"/>
              </w:rPr>
            </w:pPr>
            <w:r>
              <w:rPr>
                <w:rFonts w:ascii="宋体" w:hAnsi="宋体" w:cs="宋体" w:eastAsia="宋体" w:hint="default"/>
                <w:sz w:val="18"/>
                <w:szCs w:val="18"/>
              </w:rPr>
              <w:t>基于互联网模式的追索品牌推广项目 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企业核心团队奖励扶持资金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921,000.00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95"/>
              <w:jc w:val="left"/>
              <w:rPr>
                <w:rFonts w:ascii="宋体" w:hAnsi="宋体" w:cs="宋体" w:eastAsia="宋体" w:hint="default"/>
                <w:sz w:val="18"/>
                <w:szCs w:val="18"/>
              </w:rPr>
            </w:pPr>
            <w:r>
              <w:rPr>
                <w:rFonts w:ascii="宋体" w:hAnsi="宋体" w:cs="宋体" w:eastAsia="宋体" w:hint="default"/>
                <w:sz w:val="18"/>
                <w:szCs w:val="18"/>
              </w:rPr>
              <w:t>普陀区认定企业技术中心项目建设项 目补助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95"/>
              <w:jc w:val="left"/>
              <w:rPr>
                <w:rFonts w:ascii="宋体" w:hAnsi="宋体" w:cs="宋体" w:eastAsia="宋体" w:hint="default"/>
                <w:sz w:val="18"/>
                <w:szCs w:val="18"/>
              </w:rPr>
            </w:pPr>
            <w:r>
              <w:rPr>
                <w:rFonts w:ascii="宋体" w:hAnsi="宋体" w:cs="宋体" w:eastAsia="宋体" w:hint="default"/>
                <w:sz w:val="18"/>
                <w:szCs w:val="18"/>
              </w:rPr>
              <w:t>基于大数据的猪肉安全与质量综合测 试平台建设专项资金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390,000.00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353,758.00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大数据产业专项资金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上海名牌补贴</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年度生产性服务业发展资金</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180,000.00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综合改革试点专项资金扶持</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普陀区高新技术企业管理团队奖励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残疾人超比例奖励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35,785.10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创新创业促进就业奖</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个税手续费退还</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3,550.67</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上海市版权协会补助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5,250.00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先进集体奖励</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2,000.00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上海市版权协会资助</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420.00</w:t>
            </w:r>
          </w:p>
        </w:tc>
        <w:tc>
          <w:tcPr>
            <w:tcW w:w="3190"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25,711,525.00</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042" w:right="0"/>
              <w:jc w:val="left"/>
              <w:rPr>
                <w:rFonts w:ascii="Times New Roman" w:hAnsi="Times New Roman" w:cs="Times New Roman" w:eastAsia="Times New Roman" w:hint="default"/>
                <w:sz w:val="18"/>
                <w:szCs w:val="18"/>
              </w:rPr>
            </w:pPr>
            <w:r>
              <w:rPr>
                <w:rFonts w:ascii="Times New Roman"/>
                <w:sz w:val="18"/>
              </w:rPr>
              <w:t>12,528,675.00</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60、投资收益" w:id="357"/>
      <w:bookmarkEnd w:id="357"/>
      <w:r>
        <w:rPr/>
      </w:r>
      <w:r>
        <w:rPr>
          <w:rFonts w:ascii="Times New Roman" w:hAnsi="Times New Roman" w:cs="Times New Roman" w:eastAsia="Times New Roman" w:hint="default"/>
          <w:b/>
          <w:bCs/>
          <w:sz w:val="21"/>
          <w:szCs w:val="21"/>
        </w:rPr>
        <w:t>60</w:t>
      </w:r>
      <w:r>
        <w:rPr>
          <w:rFonts w:ascii="宋体" w:hAnsi="宋体" w:cs="宋体" w:eastAsia="宋体" w:hint="default"/>
          <w:b/>
          <w:bCs/>
          <w:sz w:val="21"/>
          <w:szCs w:val="21"/>
        </w:rPr>
        <w:t>、投资收益</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460"/>
        <w:gridCol w:w="3191"/>
        <w:gridCol w:w="2918"/>
      </w:tblGrid>
      <w:tr>
        <w:trPr>
          <w:trHeight w:val="402" w:hRule="exact"/>
        </w:trPr>
        <w:tc>
          <w:tcPr>
            <w:tcW w:w="34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291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61、公允价值变动收益" w:id="358"/>
      <w:bookmarkEnd w:id="358"/>
      <w:r>
        <w:rPr/>
      </w:r>
      <w:r>
        <w:rPr>
          <w:rFonts w:ascii="Times New Roman" w:hAnsi="Times New Roman" w:cs="Times New Roman" w:eastAsia="Times New Roman" w:hint="default"/>
          <w:b/>
          <w:bCs/>
          <w:sz w:val="21"/>
          <w:szCs w:val="21"/>
        </w:rPr>
        <w:t>61</w:t>
      </w:r>
      <w:r>
        <w:rPr>
          <w:rFonts w:ascii="宋体" w:hAnsi="宋体" w:cs="宋体" w:eastAsia="宋体" w:hint="default"/>
          <w:b/>
          <w:bCs/>
          <w:sz w:val="21"/>
          <w:szCs w:val="21"/>
        </w:rPr>
        <w:t>、公允价值变动收益</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18" w:right="0"/>
              <w:jc w:val="left"/>
              <w:rPr>
                <w:rFonts w:ascii="宋体" w:hAnsi="宋体" w:cs="宋体" w:eastAsia="宋体" w:hint="default"/>
                <w:sz w:val="18"/>
                <w:szCs w:val="18"/>
              </w:rPr>
            </w:pPr>
            <w:r>
              <w:rPr>
                <w:rFonts w:ascii="宋体" w:hAnsi="宋体" w:cs="宋体" w:eastAsia="宋体" w:hint="default"/>
                <w:sz w:val="18"/>
                <w:szCs w:val="18"/>
              </w:rPr>
              <w:t>产生公允价值变动收益的来源</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62、资产处置收益" w:id="359"/>
      <w:bookmarkEnd w:id="359"/>
      <w:r>
        <w:rPr/>
      </w:r>
      <w:r>
        <w:rPr>
          <w:rFonts w:ascii="Times New Roman" w:hAnsi="Times New Roman" w:cs="Times New Roman" w:eastAsia="Times New Roman" w:hint="default"/>
          <w:b/>
          <w:bCs/>
          <w:sz w:val="21"/>
          <w:szCs w:val="21"/>
        </w:rPr>
        <w:t>62</w:t>
      </w:r>
      <w:r>
        <w:rPr>
          <w:rFonts w:ascii="宋体" w:hAnsi="宋体" w:cs="宋体" w:eastAsia="宋体" w:hint="default"/>
          <w:b/>
          <w:bCs/>
          <w:sz w:val="21"/>
          <w:szCs w:val="21"/>
        </w:rPr>
        <w:t>、资产处置收益</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79" w:right="0"/>
              <w:jc w:val="left"/>
              <w:rPr>
                <w:rFonts w:ascii="宋体" w:hAnsi="宋体" w:cs="宋体" w:eastAsia="宋体" w:hint="default"/>
                <w:sz w:val="18"/>
                <w:szCs w:val="18"/>
              </w:rPr>
            </w:pPr>
            <w:r>
              <w:rPr>
                <w:rFonts w:ascii="宋体" w:hAnsi="宋体" w:cs="宋体" w:eastAsia="宋体" w:hint="default"/>
                <w:sz w:val="18"/>
                <w:szCs w:val="18"/>
              </w:rPr>
              <w:t>资产处置收益的来源</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固定资产处置收益</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42,373.26</w:t>
            </w:r>
          </w:p>
        </w:tc>
        <w:tc>
          <w:tcPr>
            <w:tcW w:w="31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63、营业外收入" w:id="360"/>
      <w:bookmarkEnd w:id="360"/>
      <w:r>
        <w:rPr/>
      </w:r>
      <w:r>
        <w:rPr>
          <w:rFonts w:ascii="Times New Roman" w:hAnsi="Times New Roman" w:cs="Times New Roman" w:eastAsia="Times New Roman" w:hint="default"/>
          <w:b/>
          <w:bCs/>
          <w:sz w:val="21"/>
          <w:szCs w:val="21"/>
        </w:rPr>
        <w:t>63</w:t>
      </w:r>
      <w:r>
        <w:rPr>
          <w:rFonts w:ascii="宋体" w:hAnsi="宋体" w:cs="宋体" w:eastAsia="宋体" w:hint="default"/>
          <w:b/>
          <w:bCs/>
          <w:sz w:val="21"/>
          <w:szCs w:val="21"/>
        </w:rPr>
        <w:t>、营业外收入</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0"/>
        <w:gridCol w:w="2396"/>
        <w:gridCol w:w="2392"/>
        <w:gridCol w:w="2392"/>
      </w:tblGrid>
      <w:tr>
        <w:trPr>
          <w:trHeight w:val="714"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2"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120,793.90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0.04</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0.04</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120,793.90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0.04</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计入当期损益的政府补助：</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066"/>
        <w:gridCol w:w="1062"/>
        <w:gridCol w:w="1063"/>
        <w:gridCol w:w="1064"/>
        <w:gridCol w:w="1063"/>
        <w:gridCol w:w="1063"/>
        <w:gridCol w:w="1064"/>
        <w:gridCol w:w="1062"/>
        <w:gridCol w:w="1063"/>
      </w:tblGrid>
      <w:tr>
        <w:trPr>
          <w:trHeight w:val="1026" w:hRule="exact"/>
        </w:trPr>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补助项目</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5" w:right="0"/>
              <w:jc w:val="left"/>
              <w:rPr>
                <w:rFonts w:ascii="宋体" w:hAnsi="宋体" w:cs="宋体" w:eastAsia="宋体" w:hint="default"/>
                <w:sz w:val="18"/>
                <w:szCs w:val="18"/>
              </w:rPr>
            </w:pPr>
            <w:r>
              <w:rPr>
                <w:rFonts w:ascii="宋体" w:hAnsi="宋体" w:cs="宋体" w:eastAsia="宋体" w:hint="default"/>
                <w:sz w:val="18"/>
                <w:szCs w:val="18"/>
              </w:rPr>
              <w:t>发放主体</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发放原因</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66" w:right="0"/>
              <w:jc w:val="left"/>
              <w:rPr>
                <w:rFonts w:ascii="宋体" w:hAnsi="宋体" w:cs="宋体" w:eastAsia="宋体" w:hint="default"/>
                <w:sz w:val="18"/>
                <w:szCs w:val="18"/>
              </w:rPr>
            </w:pPr>
            <w:r>
              <w:rPr>
                <w:rFonts w:ascii="宋体" w:hAnsi="宋体" w:cs="宋体" w:eastAsia="宋体" w:hint="default"/>
                <w:sz w:val="18"/>
                <w:szCs w:val="18"/>
              </w:rPr>
              <w:t>性质类型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66" w:right="164"/>
              <w:jc w:val="center"/>
              <w:rPr>
                <w:rFonts w:ascii="宋体" w:hAnsi="宋体" w:cs="宋体" w:eastAsia="宋体" w:hint="default"/>
                <w:sz w:val="18"/>
                <w:szCs w:val="18"/>
              </w:rPr>
            </w:pPr>
            <w:r>
              <w:rPr>
                <w:rFonts w:ascii="宋体" w:hAnsi="宋体" w:cs="宋体" w:eastAsia="宋体" w:hint="default"/>
                <w:sz w:val="18"/>
                <w:szCs w:val="18"/>
              </w:rPr>
              <w:t>补贴是否 影响当年 盈亏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46" w:right="164" w:hanging="180"/>
              <w:jc w:val="left"/>
              <w:rPr>
                <w:rFonts w:ascii="宋体" w:hAnsi="宋体" w:cs="宋体" w:eastAsia="宋体" w:hint="default"/>
                <w:sz w:val="18"/>
                <w:szCs w:val="18"/>
              </w:rPr>
            </w:pPr>
            <w:r>
              <w:rPr>
                <w:rFonts w:ascii="宋体" w:hAnsi="宋体" w:cs="宋体" w:eastAsia="宋体" w:hint="default"/>
                <w:sz w:val="18"/>
                <w:szCs w:val="18"/>
              </w:rPr>
              <w:t>是否特殊 补贴</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46" w:right="165" w:hanging="180"/>
              <w:jc w:val="left"/>
              <w:rPr>
                <w:rFonts w:ascii="宋体" w:hAnsi="宋体" w:cs="宋体" w:eastAsia="宋体" w:hint="default"/>
                <w:sz w:val="18"/>
                <w:szCs w:val="18"/>
              </w:rPr>
            </w:pPr>
            <w:r>
              <w:rPr>
                <w:rFonts w:ascii="宋体" w:hAnsi="宋体" w:cs="宋体" w:eastAsia="宋体" w:hint="default"/>
                <w:sz w:val="18"/>
                <w:szCs w:val="18"/>
              </w:rPr>
              <w:t>本期发生 金额</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345" w:right="164" w:hanging="180"/>
              <w:jc w:val="left"/>
              <w:rPr>
                <w:rFonts w:ascii="宋体" w:hAnsi="宋体" w:cs="宋体" w:eastAsia="宋体" w:hint="default"/>
                <w:sz w:val="18"/>
                <w:szCs w:val="18"/>
              </w:rPr>
            </w:pPr>
            <w:r>
              <w:rPr>
                <w:rFonts w:ascii="宋体" w:hAnsi="宋体" w:cs="宋体" w:eastAsia="宋体" w:hint="default"/>
                <w:sz w:val="18"/>
                <w:szCs w:val="18"/>
              </w:rPr>
              <w:t>上期发生 金额</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41" w:right="139"/>
              <w:jc w:val="center"/>
              <w:rPr>
                <w:rFonts w:ascii="宋体" w:hAnsi="宋体" w:cs="宋体" w:eastAsia="宋体" w:hint="default"/>
                <w:sz w:val="18"/>
                <w:szCs w:val="18"/>
              </w:rPr>
            </w:pPr>
            <w:r>
              <w:rPr>
                <w:rFonts w:ascii="宋体" w:hAnsi="宋体" w:cs="宋体" w:eastAsia="宋体" w:hint="default"/>
                <w:sz w:val="18"/>
                <w:szCs w:val="18"/>
              </w:rPr>
              <w:t>与资产相 关</w:t>
            </w:r>
            <w:r>
              <w:rPr>
                <w:rFonts w:ascii="Times New Roman" w:hAnsi="Times New Roman" w:cs="Times New Roman" w:eastAsia="Times New Roman" w:hint="default"/>
                <w:sz w:val="18"/>
                <w:szCs w:val="18"/>
              </w:rPr>
              <w:t>/</w:t>
            </w:r>
            <w:r>
              <w:rPr>
                <w:rFonts w:ascii="宋体" w:hAnsi="宋体" w:cs="宋体" w:eastAsia="宋体" w:hint="default"/>
                <w:sz w:val="18"/>
                <w:szCs w:val="18"/>
              </w:rPr>
              <w:t>与收益 相关</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64、营业外支出" w:id="361"/>
      <w:bookmarkEnd w:id="361"/>
      <w:r>
        <w:rPr/>
      </w:r>
      <w:r>
        <w:rPr>
          <w:rFonts w:ascii="Times New Roman" w:hAnsi="Times New Roman" w:cs="Times New Roman" w:eastAsia="Times New Roman" w:hint="default"/>
          <w:b/>
          <w:bCs/>
          <w:sz w:val="21"/>
          <w:szCs w:val="21"/>
        </w:rPr>
        <w:t>64</w:t>
      </w:r>
      <w:r>
        <w:rPr>
          <w:rFonts w:ascii="宋体" w:hAnsi="宋体" w:cs="宋体" w:eastAsia="宋体" w:hint="default"/>
          <w:b/>
          <w:bCs/>
          <w:sz w:val="21"/>
          <w:szCs w:val="21"/>
        </w:rPr>
        <w:t>、营业外支出</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2390"/>
        <w:gridCol w:w="2396"/>
        <w:gridCol w:w="2392"/>
        <w:gridCol w:w="2392"/>
      </w:tblGrid>
      <w:tr>
        <w:trPr>
          <w:trHeight w:val="714"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39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2"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100" w:right="109" w:hanging="990"/>
              <w:jc w:val="left"/>
              <w:rPr>
                <w:rFonts w:ascii="宋体" w:hAnsi="宋体" w:cs="宋体" w:eastAsia="宋体" w:hint="default"/>
                <w:sz w:val="18"/>
                <w:szCs w:val="18"/>
              </w:rPr>
            </w:pPr>
            <w:r>
              <w:rPr>
                <w:rFonts w:ascii="宋体" w:hAnsi="宋体" w:cs="宋体" w:eastAsia="宋体" w:hint="default"/>
                <w:sz w:val="18"/>
                <w:szCs w:val="18"/>
              </w:rPr>
              <w:t>计入当期非经常性损益的金 额</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对外捐赠</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12,000.00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30,000.00</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固定资产报废损失</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61,081.61</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61,081.61</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193.71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50,442.69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193.71</w:t>
            </w:r>
          </w:p>
        </w:tc>
      </w:tr>
      <w:tr>
        <w:trPr>
          <w:trHeight w:val="402" w:hRule="exact"/>
        </w:trPr>
        <w:tc>
          <w:tcPr>
            <w:tcW w:w="2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91,275.32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62,442.69</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91,275.32</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65、所得税费用" w:id="362"/>
      <w:bookmarkEnd w:id="362"/>
      <w:r>
        <w:rPr/>
      </w:r>
      <w:r>
        <w:rPr>
          <w:rFonts w:ascii="Times New Roman" w:hAnsi="Times New Roman" w:cs="Times New Roman" w:eastAsia="Times New Roman" w:hint="default"/>
          <w:b/>
          <w:bCs/>
          <w:sz w:val="21"/>
          <w:szCs w:val="21"/>
        </w:rPr>
        <w:t>65</w:t>
      </w:r>
      <w:r>
        <w:rPr>
          <w:rFonts w:ascii="宋体" w:hAnsi="宋体" w:cs="宋体" w:eastAsia="宋体" w:hint="default"/>
          <w:b/>
          <w:bCs/>
          <w:sz w:val="21"/>
          <w:szCs w:val="21"/>
        </w:rPr>
        <w:t>、所得税费用</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所得税费用表" w:id="363"/>
      <w:bookmarkEnd w:id="36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）所得税费用表</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当期所得税费用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-2,197,548.36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8,240,049.93</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递延所得税费用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1,221,440.36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-5,923,202.97</w:t>
            </w:r>
          </w:p>
        </w:tc>
      </w:tr>
      <w:tr>
        <w:trPr>
          <w:trHeight w:val="404"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w w:val="95"/>
                <w:sz w:val="18"/>
              </w:rPr>
              <w:t>-976,108.00</w:t>
            </w:r>
            <w:r>
              <w:rPr>
                <w:rFonts w:ascii="Times New Roman"/>
                <w:sz w:val="18"/>
              </w:rPr>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2,316,846.96</w:t>
            </w:r>
          </w:p>
        </w:tc>
      </w:tr>
    </w:tbl>
    <w:p>
      <w:pPr>
        <w:spacing w:after="0" w:line="240" w:lineRule="auto"/>
        <w:jc w:val="right"/>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13"/>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2）会计利润与所得税费用调整过程" w:id="364"/>
      <w:bookmarkEnd w:id="36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）会计利润与所得税费用调整过程</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0"/>
        <w:gridCol w:w="4788"/>
      </w:tblGrid>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50,375,625.19</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按法定</w:t>
            </w:r>
            <w:r>
              <w:rPr>
                <w:rFonts w:ascii="Times New Roman" w:hAnsi="Times New Roman" w:cs="Times New Roman" w:eastAsia="Times New Roman" w:hint="default"/>
                <w:sz w:val="18"/>
                <w:szCs w:val="18"/>
              </w:rPr>
              <w:t>/</w:t>
            </w:r>
            <w:r>
              <w:rPr>
                <w:rFonts w:ascii="宋体" w:hAnsi="宋体" w:cs="宋体" w:eastAsia="宋体" w:hint="default"/>
                <w:sz w:val="18"/>
                <w:szCs w:val="18"/>
              </w:rPr>
              <w:t>适用税率计算的所得税费用</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7,556,343.78</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子公司适用不同税率的影响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-1,393,298.66</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调整以前期间所得税的影响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-3,033,117.42</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不可抵扣的成本、费用和损失的影响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502,691.00</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使用前期未确认递延所得税资产的可抵扣亏损的影响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13,713.68</w:t>
            </w:r>
          </w:p>
        </w:tc>
      </w:tr>
      <w:tr>
        <w:trPr>
          <w:trHeight w:val="713"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65"/>
              <w:jc w:val="left"/>
              <w:rPr>
                <w:rFonts w:ascii="宋体" w:hAnsi="宋体" w:cs="宋体" w:eastAsia="宋体" w:hint="default"/>
                <w:sz w:val="18"/>
                <w:szCs w:val="18"/>
              </w:rPr>
            </w:pPr>
            <w:r>
              <w:rPr>
                <w:rFonts w:ascii="宋体" w:hAnsi="宋体" w:cs="宋体" w:eastAsia="宋体" w:hint="default"/>
                <w:sz w:val="18"/>
                <w:szCs w:val="18"/>
              </w:rPr>
              <w:t>本期未确认递延所得税资产的可抵扣暂时性差异或可抵扣 亏损的影响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75,726.15</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研发费用加计扣除的影响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-6,606,916.53</w:t>
            </w:r>
          </w:p>
        </w:tc>
      </w:tr>
      <w:tr>
        <w:trPr>
          <w:trHeight w:val="402" w:hRule="exact"/>
        </w:trPr>
        <w:tc>
          <w:tcPr>
            <w:tcW w:w="47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递延收益的影响</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1,908,750.00</w:t>
            </w:r>
          </w:p>
        </w:tc>
      </w:tr>
      <w:tr>
        <w:trPr>
          <w:trHeight w:val="403" w:hRule="exact"/>
        </w:trPr>
        <w:tc>
          <w:tcPr>
            <w:tcW w:w="47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47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w w:val="95"/>
                <w:sz w:val="18"/>
              </w:rPr>
              <w:t>-976,108.00</w:t>
            </w:r>
            <w:r>
              <w:rPr>
                <w:rFonts w:ascii="Times New Roman"/>
                <w:sz w:val="18"/>
              </w:rPr>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66、其他综合收益" w:id="365"/>
      <w:bookmarkEnd w:id="365"/>
      <w:r>
        <w:rPr/>
      </w:r>
      <w:r>
        <w:rPr>
          <w:rFonts w:ascii="Times New Roman" w:hAnsi="Times New Roman" w:cs="Times New Roman" w:eastAsia="Times New Roman" w:hint="default"/>
          <w:b/>
          <w:bCs/>
          <w:sz w:val="21"/>
          <w:szCs w:val="21"/>
        </w:rPr>
        <w:t>66</w:t>
      </w:r>
      <w:r>
        <w:rPr>
          <w:rFonts w:ascii="宋体" w:hAnsi="宋体" w:cs="宋体" w:eastAsia="宋体" w:hint="default"/>
          <w:b/>
          <w:bCs/>
          <w:sz w:val="21"/>
          <w:szCs w:val="21"/>
        </w:rPr>
        <w:t>、其他综合收益</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详见附注。</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67、现金流量表项目" w:id="366"/>
      <w:bookmarkEnd w:id="366"/>
      <w:r>
        <w:rPr/>
      </w:r>
      <w:r>
        <w:rPr>
          <w:rFonts w:ascii="Times New Roman" w:hAnsi="Times New Roman" w:cs="Times New Roman" w:eastAsia="Times New Roman" w:hint="default"/>
          <w:b/>
          <w:bCs/>
          <w:sz w:val="21"/>
          <w:szCs w:val="21"/>
        </w:rPr>
        <w:t>67</w:t>
      </w:r>
      <w:r>
        <w:rPr>
          <w:rFonts w:ascii="宋体" w:hAnsi="宋体" w:cs="宋体" w:eastAsia="宋体" w:hint="default"/>
          <w:b/>
          <w:bCs/>
          <w:sz w:val="21"/>
          <w:szCs w:val="21"/>
        </w:rPr>
        <w:t>、现金流量表项目</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收到的其他与经营活动有关的现金" w:id="367"/>
      <w:bookmarkEnd w:id="36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）收到的其他与经营活动有关的现金</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、收到的各项政府补助</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30,173,525.00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19,813,675.00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、收回的项目质保金、保函保证金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55,474,336.82</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6,546,787.96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、收到的存款利息收入</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574,450.73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514,207.77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、收到的其他零星现金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3,586,161.51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3,360,980.48</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89,808,474.06</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30,235,651.21</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收到的其他与经营活动有关的现金说明：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支付的其他与经营活动有关的现金" w:id="368"/>
      <w:bookmarkEnd w:id="36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）支付的其他与经营活动有关的现金</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after="0" w:line="240" w:lineRule="auto"/>
        <w:jc w:val="center"/>
        <w:rPr>
          <w:rFonts w:ascii="宋体" w:hAnsi="宋体" w:cs="宋体" w:eastAsia="宋体" w:hint="default"/>
          <w:sz w:val="18"/>
          <w:szCs w:val="18"/>
        </w:rPr>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、支付付现费用</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62,364,481.97</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57,709,880.67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、支付银行手续费</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330,877.83</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221,763.17</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、支付项目质保金、保函保证金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57,622,284.61</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6,091,190.85</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、支付的员工备用金及其他零星现金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1,498,790.48</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1,747,667.06</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121,816,434.89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65,770,501.75</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支付的其他与经营活动有关的现金说明：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收到的其他与投资活动有关的现金" w:id="369"/>
      <w:bookmarkEnd w:id="36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）收到的其他与投资活动有关的现金</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收到与资产相关的政府补助</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1,000,000.00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1,000,000.00</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收到的其他与投资活动有关的现金说明：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支付的其他与投资活动有关的现金" w:id="370"/>
      <w:bookmarkEnd w:id="37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）支付的其他与投资活动有关的现金</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2"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支付的其他与投资活动有关的现金说明：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5）收到的其他与筹资活动有关的现金" w:id="371"/>
      <w:bookmarkEnd w:id="37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）收到的其他与筹资活动有关的现金</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收回承兑汇票保证金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947,130.00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947,130.00</w:t>
            </w:r>
          </w:p>
        </w:tc>
        <w:tc>
          <w:tcPr>
            <w:tcW w:w="3189" w:type="dxa"/>
            <w:tcBorders>
              <w:top w:val="single" w:sz="4" w:space="0" w:color="000000"/>
              <w:left w:val="single" w:sz="4" w:space="0" w:color="000000"/>
              <w:bottom w:val="single" w:sz="4" w:space="0" w:color="000000"/>
              <w:right w:val="single" w:sz="4" w:space="0" w:color="000000"/>
            </w:tcBorders>
          </w:tcPr>
          <w:p>
            <w:pP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收到的其他与筹资活动有关的现金说明：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6）支付的其他与筹资活动有关的现金" w:id="372"/>
      <w:bookmarkEnd w:id="37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）支付的其他与筹资活动有关的现金</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88"/>
        <w:gridCol w:w="3194"/>
        <w:gridCol w:w="3189"/>
      </w:tblGrid>
      <w:tr>
        <w:trPr>
          <w:trHeight w:val="401"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支付承兑汇票保证金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3,000,000.00</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947,130.00</w:t>
            </w: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支付限制性股票回购的资金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29,265,408.00</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18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支付回购公司股票的资金</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6,464,025.39</w:t>
            </w:r>
          </w:p>
        </w:tc>
        <w:tc>
          <w:tcPr>
            <w:tcW w:w="3189"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1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38,729,433.39</w:t>
            </w:r>
          </w:p>
        </w:tc>
        <w:tc>
          <w:tcPr>
            <w:tcW w:w="31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947,130.00</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支付的其他与筹资活动有关的现金说明：</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68、现金流量表补充资料" w:id="373"/>
      <w:bookmarkEnd w:id="373"/>
      <w:r>
        <w:rPr/>
      </w:r>
      <w:r>
        <w:rPr>
          <w:rFonts w:ascii="Times New Roman" w:hAnsi="Times New Roman" w:cs="Times New Roman" w:eastAsia="Times New Roman" w:hint="default"/>
          <w:b/>
          <w:bCs/>
          <w:sz w:val="21"/>
          <w:szCs w:val="21"/>
        </w:rPr>
        <w:t>68</w:t>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现金流量表补充资料" w:id="374"/>
      <w:bookmarkEnd w:id="37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）现金流量表补充资料</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8"/>
        <w:gridCol w:w="3057"/>
        <w:gridCol w:w="3184"/>
      </w:tblGrid>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补充资料</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401"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．将净利润调节为经营活动现金流量：</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51,351,733.19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32,811,909.76</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21,581,603.67</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10,400,335.47</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53"/>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 生物资产折旧</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8,849,429.59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9,404,243.85</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1,254,587.21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1,435,229.43</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83,308.23</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2"/>
                <w:sz w:val="18"/>
              </w:rPr>
              <w:t>111,077.64</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53"/>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 产的损失（收益以“－”号填列）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-42,373.26</w:t>
            </w:r>
            <w:r>
              <w:rPr>
                <w:rFonts w:ascii="Times New Roman"/>
                <w:sz w:val="18"/>
              </w:rPr>
            </w: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52"/>
              <w:jc w:val="left"/>
              <w:rPr>
                <w:rFonts w:ascii="宋体" w:hAnsi="宋体" w:cs="宋体" w:eastAsia="宋体" w:hint="default"/>
                <w:sz w:val="18"/>
                <w:szCs w:val="18"/>
              </w:rPr>
            </w:pPr>
            <w:r>
              <w:rPr>
                <w:rFonts w:ascii="宋体" w:hAnsi="宋体" w:cs="宋体" w:eastAsia="宋体" w:hint="default"/>
                <w:sz w:val="18"/>
                <w:szCs w:val="18"/>
              </w:rPr>
              <w:t>固定资产报废损失（收益以“－”号填 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61,081.61</w:t>
            </w: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财务费用（收益以“－”号填列）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12,473,304.36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10,256,935.98</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03" w:right="152"/>
              <w:jc w:val="left"/>
              <w:rPr>
                <w:rFonts w:ascii="宋体" w:hAnsi="宋体" w:cs="宋体" w:eastAsia="宋体" w:hint="default"/>
                <w:sz w:val="18"/>
                <w:szCs w:val="18"/>
              </w:rPr>
            </w:pPr>
            <w:r>
              <w:rPr>
                <w:rFonts w:ascii="宋体" w:hAnsi="宋体" w:cs="宋体" w:eastAsia="宋体" w:hint="default"/>
                <w:sz w:val="18"/>
                <w:szCs w:val="18"/>
              </w:rPr>
              <w:t>递延所得税资产减少（增加以“－”号 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1,249,940.36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-5,923,202.97</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52"/>
              <w:jc w:val="left"/>
              <w:rPr>
                <w:rFonts w:ascii="宋体" w:hAnsi="宋体" w:cs="宋体" w:eastAsia="宋体" w:hint="default"/>
                <w:sz w:val="18"/>
                <w:szCs w:val="18"/>
              </w:rPr>
            </w:pPr>
            <w:r>
              <w:rPr>
                <w:rFonts w:ascii="宋体" w:hAnsi="宋体" w:cs="宋体" w:eastAsia="宋体" w:hint="default"/>
                <w:sz w:val="18"/>
                <w:szCs w:val="18"/>
              </w:rPr>
              <w:t>递延所得税负债增加（减少以“－”号 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-28,500.00</w:t>
            </w:r>
            <w:r>
              <w:rPr>
                <w:rFonts w:ascii="Times New Roman"/>
                <w:sz w:val="18"/>
              </w:rPr>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-28,500.00</w:t>
            </w:r>
            <w:r>
              <w:rPr>
                <w:rFonts w:ascii="Times New Roman"/>
                <w:sz w:val="18"/>
              </w:rPr>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存货的减少（增加以“－”号填列）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-58,454,803.00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-125,982,043.06</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52"/>
              <w:jc w:val="left"/>
              <w:rPr>
                <w:rFonts w:ascii="宋体" w:hAnsi="宋体" w:cs="宋体" w:eastAsia="宋体" w:hint="default"/>
                <w:sz w:val="18"/>
                <w:szCs w:val="18"/>
              </w:rPr>
            </w:pPr>
            <w:r>
              <w:rPr>
                <w:rFonts w:ascii="宋体" w:hAnsi="宋体" w:cs="宋体" w:eastAsia="宋体" w:hint="default"/>
                <w:sz w:val="18"/>
                <w:szCs w:val="18"/>
              </w:rPr>
              <w:t>经营性应收项目的减少（增加以“－” 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39,544,550.32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66,520,477.29</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52"/>
              <w:jc w:val="left"/>
              <w:rPr>
                <w:rFonts w:ascii="宋体" w:hAnsi="宋体" w:cs="宋体" w:eastAsia="宋体" w:hint="default"/>
                <w:sz w:val="18"/>
                <w:szCs w:val="18"/>
              </w:rPr>
            </w:pPr>
            <w:r>
              <w:rPr>
                <w:rFonts w:ascii="宋体" w:hAnsi="宋体" w:cs="宋体" w:eastAsia="宋体" w:hint="default"/>
                <w:sz w:val="18"/>
                <w:szCs w:val="18"/>
              </w:rPr>
              <w:t>经营性应付项目的增加（减少以“－” 号填列）</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-70,282,615.41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1,468,969.88</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-3,628,829.01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7,734,766.81</w:t>
            </w:r>
          </w:p>
        </w:tc>
      </w:tr>
      <w:tr>
        <w:trPr>
          <w:trHeight w:val="403"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4,012,417.86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8,210,200.08</w:t>
            </w:r>
          </w:p>
        </w:tc>
      </w:tr>
      <w:tr>
        <w:trPr>
          <w:trHeight w:val="71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0" w:lineRule="auto" w:before="52"/>
              <w:ind w:left="103" w:right="102"/>
              <w:jc w:val="left"/>
              <w:rPr>
                <w:rFonts w:ascii="宋体" w:hAnsi="宋体" w:cs="宋体" w:eastAsia="宋体" w:hint="default"/>
                <w:sz w:val="18"/>
                <w:szCs w:val="18"/>
              </w:rPr>
            </w:pPr>
            <w:r>
              <w:rPr>
                <w:rFonts w:ascii="Times New Roman" w:hAnsi="Times New Roman" w:cs="Times New Roman" w:eastAsia="Times New Roman" w:hint="default"/>
                <w:spacing w:val="-3"/>
                <w:sz w:val="18"/>
                <w:szCs w:val="18"/>
              </w:rPr>
              <w:t>2</w:t>
            </w:r>
            <w:r>
              <w:rPr>
                <w:rFonts w:ascii="宋体" w:hAnsi="宋体" w:cs="宋体" w:eastAsia="宋体" w:hint="default"/>
                <w:spacing w:val="-3"/>
                <w:sz w:val="18"/>
                <w:szCs w:val="18"/>
              </w:rPr>
              <w:t>．不涉及现金收支的重大投资和筹资活</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动：</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r>
        <w:trPr>
          <w:trHeight w:val="401"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．现金及现金等价物净变动情况：</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现金的期末余额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206,065,056.64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220,994,387.06</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减：现金的期初余额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220,994,387.06</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183,309,178.08</w:t>
            </w:r>
          </w:p>
        </w:tc>
      </w:tr>
      <w:tr>
        <w:trPr>
          <w:trHeight w:val="404"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-14,929,330.42</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37,685,208.98</w:t>
            </w:r>
          </w:p>
        </w:tc>
      </w:tr>
    </w:tbl>
    <w:p>
      <w:pPr>
        <w:spacing w:after="0" w:line="240" w:lineRule="auto"/>
        <w:jc w:val="right"/>
        <w:rPr>
          <w:rFonts w:ascii="Times New Roman" w:hAnsi="Times New Roman" w:cs="Times New Roman" w:eastAsia="Times New Roman" w:hint="default"/>
          <w:sz w:val="18"/>
          <w:szCs w:val="18"/>
        </w:rPr>
        <w:sectPr>
          <w:footerReference w:type="default" r:id="rId23"/>
          <w:pgSz w:w="11910" w:h="16840"/>
          <w:pgMar w:footer="1019" w:header="889" w:top="1140" w:bottom="1200" w:left="1020" w:right="0"/>
          <w:pgNumType w:start="210"/>
        </w:sectPr>
      </w:pPr>
    </w:p>
    <w:p>
      <w:pPr>
        <w:spacing w:line="240" w:lineRule="auto" w:before="13"/>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2）本期支付的取得子公司的现金净额" w:id="375"/>
      <w:bookmarkEnd w:id="37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）本期支付的取得子公司的现金净额</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989"/>
        <w:gridCol w:w="4580"/>
      </w:tblGrid>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本期收到的处置子公司的现金净额" w:id="376"/>
      <w:bookmarkEnd w:id="37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）本期收到的处置子公司的现金净额</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989"/>
        <w:gridCol w:w="4580"/>
      </w:tblGrid>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49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其中：</w:t>
            </w:r>
          </w:p>
        </w:tc>
        <w:tc>
          <w:tcPr>
            <w:tcW w:w="458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现金和现金等价物的构成" w:id="377"/>
      <w:bookmarkEnd w:id="37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）现金和现金等价物的构成</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8"/>
        <w:gridCol w:w="3057"/>
        <w:gridCol w:w="3184"/>
      </w:tblGrid>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一、现金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206,065,056.64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220,994,387.06</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140,676.69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250,296.32</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202,386,762.20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220,744,090.74</w:t>
            </w: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3,537,617.75</w:t>
            </w:r>
          </w:p>
        </w:tc>
        <w:tc>
          <w:tcPr>
            <w:tcW w:w="3184"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三、期末现金及现金等价物余额</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206,065,056.64</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220,994,387.06</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69、所有者权益变动表项目注释" w:id="378"/>
      <w:bookmarkEnd w:id="378"/>
      <w:r>
        <w:rPr/>
      </w:r>
      <w:r>
        <w:rPr>
          <w:rFonts w:ascii="Times New Roman" w:hAnsi="Times New Roman" w:cs="Times New Roman" w:eastAsia="Times New Roman" w:hint="default"/>
          <w:b/>
          <w:bCs/>
          <w:sz w:val="21"/>
          <w:szCs w:val="21"/>
        </w:rPr>
        <w:t>69</w:t>
      </w:r>
      <w:r>
        <w:rPr>
          <w:rFonts w:ascii="宋体" w:hAnsi="宋体" w:cs="宋体" w:eastAsia="宋体" w:hint="default"/>
          <w:b/>
          <w:bCs/>
          <w:sz w:val="21"/>
          <w:szCs w:val="21"/>
        </w:rPr>
        <w:t>、所有者权益变动表项目注释</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说明对上年期末余额进行调整的“其他”项目名称及调整金额等事项：</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70、所有权或使用权受到限制的资产" w:id="379"/>
      <w:bookmarkEnd w:id="379"/>
      <w:r>
        <w:rPr/>
      </w:r>
      <w:r>
        <w:rPr>
          <w:rFonts w:ascii="Times New Roman" w:hAnsi="Times New Roman" w:cs="Times New Roman" w:eastAsia="Times New Roman" w:hint="default"/>
          <w:b/>
          <w:bCs/>
          <w:sz w:val="21"/>
          <w:szCs w:val="21"/>
        </w:rPr>
        <w:t>70</w:t>
      </w:r>
      <w:r>
        <w:rPr>
          <w:rFonts w:ascii="宋体" w:hAnsi="宋体" w:cs="宋体" w:eastAsia="宋体" w:hint="default"/>
          <w:b/>
          <w:bCs/>
          <w:sz w:val="21"/>
          <w:szCs w:val="21"/>
        </w:rPr>
        <w:t>、所有权或使用权受到限制的资产</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7"/>
        <w:gridCol w:w="3057"/>
        <w:gridCol w:w="3184"/>
      </w:tblGrid>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83" w:right="0"/>
              <w:jc w:val="left"/>
              <w:rPr>
                <w:rFonts w:ascii="宋体" w:hAnsi="宋体" w:cs="宋体" w:eastAsia="宋体" w:hint="default"/>
                <w:sz w:val="18"/>
                <w:szCs w:val="18"/>
              </w:rPr>
            </w:pPr>
            <w:r>
              <w:rPr>
                <w:rFonts w:ascii="宋体" w:hAnsi="宋体" w:cs="宋体" w:eastAsia="宋体" w:hint="default"/>
                <w:sz w:val="18"/>
                <w:szCs w:val="18"/>
              </w:rPr>
              <w:t>期末账面价值</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受限原因</w:t>
            </w:r>
          </w:p>
        </w:tc>
      </w:tr>
      <w:tr>
        <w:trPr>
          <w:trHeight w:val="67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7"/>
                <w:szCs w:val="17"/>
              </w:rPr>
            </w:pPr>
          </w:p>
          <w:p>
            <w:pPr>
              <w:pStyle w:val="TableParagraph"/>
              <w:spacing w:line="240" w:lineRule="auto"/>
              <w:ind w:left="2000" w:right="0"/>
              <w:jc w:val="left"/>
              <w:rPr>
                <w:rFonts w:ascii="Times New Roman" w:hAnsi="Times New Roman" w:cs="Times New Roman" w:eastAsia="Times New Roman" w:hint="default"/>
                <w:sz w:val="18"/>
                <w:szCs w:val="18"/>
              </w:rPr>
            </w:pPr>
            <w:r>
              <w:rPr>
                <w:rFonts w:ascii="Times New Roman"/>
                <w:sz w:val="18"/>
              </w:rPr>
              <w:t>7,568,759.10</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89"/>
              <w:jc w:val="left"/>
              <w:rPr>
                <w:rFonts w:ascii="宋体" w:hAnsi="宋体" w:cs="宋体" w:eastAsia="宋体" w:hint="default"/>
                <w:sz w:val="18"/>
                <w:szCs w:val="18"/>
              </w:rPr>
            </w:pPr>
            <w:r>
              <w:rPr>
                <w:rFonts w:ascii="宋体" w:hAnsi="宋体" w:cs="宋体" w:eastAsia="宋体" w:hint="default"/>
                <w:sz w:val="18"/>
                <w:szCs w:val="18"/>
              </w:rPr>
              <w:t>本公司向银行申请开具无条件、不可 撤销的担保函所存入的保证金</w:t>
            </w:r>
          </w:p>
        </w:tc>
      </w:tr>
    </w:tbl>
    <w:p>
      <w:pPr>
        <w:spacing w:after="0" w:line="316" w:lineRule="auto"/>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3327"/>
        <w:gridCol w:w="3057"/>
        <w:gridCol w:w="3184"/>
      </w:tblGrid>
      <w:tr>
        <w:trPr>
          <w:trHeight w:val="674"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57" w:type="dxa"/>
            <w:tcBorders>
              <w:top w:val="single" w:sz="4" w:space="0" w:color="000000"/>
              <w:left w:val="single" w:sz="4" w:space="0" w:color="000000"/>
              <w:bottom w:val="single" w:sz="4" w:space="0" w:color="000000"/>
              <w:right w:val="single" w:sz="4" w:space="0" w:color="000000"/>
            </w:tcBorders>
          </w:tcPr>
          <w:p>
            <w:pP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0"/>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4568759.10 </w:t>
            </w:r>
            <w:r>
              <w:rPr>
                <w:rFonts w:ascii="宋体" w:hAnsi="宋体" w:cs="宋体" w:eastAsia="宋体" w:hint="default"/>
                <w:sz w:val="18"/>
                <w:szCs w:val="18"/>
              </w:rPr>
              <w:t>元以及开具银行承兑汇票</w:t>
            </w:r>
          </w:p>
          <w:p>
            <w:pPr>
              <w:pStyle w:val="TableParagraph"/>
              <w:spacing w:line="240" w:lineRule="auto" w:before="64"/>
              <w:ind w:left="103" w:right="0"/>
              <w:jc w:val="left"/>
              <w:rPr>
                <w:rFonts w:ascii="宋体" w:hAnsi="宋体" w:cs="宋体" w:eastAsia="宋体" w:hint="default"/>
                <w:sz w:val="18"/>
                <w:szCs w:val="18"/>
              </w:rPr>
            </w:pPr>
            <w:r>
              <w:rPr>
                <w:rFonts w:ascii="宋体" w:hAnsi="宋体" w:cs="宋体" w:eastAsia="宋体" w:hint="default"/>
                <w:sz w:val="18"/>
                <w:szCs w:val="18"/>
              </w:rPr>
              <w:t>所存入的保证金</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3000000.00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3,307,146.69</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抵押借款</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29,149,758.01</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抵押借款</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264,264,548.88</w:t>
            </w:r>
          </w:p>
        </w:tc>
        <w:tc>
          <w:tcPr>
            <w:tcW w:w="31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抵押借款</w:t>
            </w:r>
          </w:p>
        </w:tc>
      </w:tr>
      <w:tr>
        <w:trPr>
          <w:trHeight w:val="402" w:hRule="exact"/>
        </w:trPr>
        <w:tc>
          <w:tcPr>
            <w:tcW w:w="332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304,290,212.68</w:t>
            </w:r>
          </w:p>
        </w:tc>
        <w:tc>
          <w:tcPr>
            <w:tcW w:w="31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71、外币货币性项目" w:id="380"/>
      <w:bookmarkEnd w:id="380"/>
      <w:r>
        <w:rPr/>
      </w:r>
      <w:r>
        <w:rPr>
          <w:rFonts w:ascii="Times New Roman" w:hAnsi="Times New Roman" w:cs="Times New Roman" w:eastAsia="Times New Roman" w:hint="default"/>
          <w:b/>
          <w:bCs/>
          <w:sz w:val="21"/>
          <w:szCs w:val="21"/>
        </w:rPr>
        <w:t>71</w:t>
      </w:r>
      <w:r>
        <w:rPr>
          <w:rFonts w:ascii="宋体" w:hAnsi="宋体" w:cs="宋体" w:eastAsia="宋体" w:hint="default"/>
          <w:b/>
          <w:bCs/>
          <w:sz w:val="21"/>
          <w:szCs w:val="21"/>
        </w:rPr>
        <w:t>、外币货币性项目</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外币货币性项目" w:id="381"/>
      <w:bookmarkEnd w:id="38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）外币货币性项目</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495"/>
        <w:gridCol w:w="2294"/>
        <w:gridCol w:w="2391"/>
        <w:gridCol w:w="2389"/>
      </w:tblGrid>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期末外币余额</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折算汇率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0" w:right="0"/>
              <w:jc w:val="left"/>
              <w:rPr>
                <w:rFonts w:ascii="宋体" w:hAnsi="宋体" w:cs="宋体" w:eastAsia="宋体" w:hint="default"/>
                <w:sz w:val="18"/>
                <w:szCs w:val="18"/>
              </w:rPr>
            </w:pPr>
            <w:r>
              <w:rPr>
                <w:rFonts w:ascii="宋体" w:hAnsi="宋体" w:cs="宋体" w:eastAsia="宋体" w:hint="default"/>
                <w:sz w:val="18"/>
                <w:szCs w:val="18"/>
              </w:rPr>
              <w:t>期末折算人民币余额</w:t>
            </w: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22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1"/>
              <w:jc w:val="center"/>
              <w:rPr>
                <w:rFonts w:ascii="Times New Roman" w:hAnsi="Times New Roman" w:cs="Times New Roman" w:eastAsia="Times New Roman" w:hint="default"/>
                <w:sz w:val="18"/>
                <w:szCs w:val="18"/>
              </w:rPr>
            </w:pPr>
            <w:r>
              <w:rPr>
                <w:rFonts w:ascii="Times New Roman"/>
                <w:sz w:val="18"/>
              </w:rPr>
              <w:t>--</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其中：美元</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欧元</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43" w:right="0"/>
              <w:jc w:val="left"/>
              <w:rPr>
                <w:rFonts w:ascii="宋体" w:hAnsi="宋体" w:cs="宋体" w:eastAsia="宋体" w:hint="default"/>
                <w:sz w:val="18"/>
                <w:szCs w:val="18"/>
              </w:rPr>
            </w:pPr>
            <w:r>
              <w:rPr>
                <w:rFonts w:ascii="宋体" w:hAnsi="宋体" w:cs="宋体" w:eastAsia="宋体" w:hint="default"/>
                <w:sz w:val="18"/>
                <w:szCs w:val="18"/>
              </w:rPr>
              <w:t>港币</w:t>
            </w: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495" w:type="dxa"/>
            <w:tcBorders>
              <w:top w:val="single" w:sz="4" w:space="0" w:color="000000"/>
              <w:left w:val="single" w:sz="4" w:space="0" w:color="000000"/>
              <w:bottom w:val="single" w:sz="4" w:space="0" w:color="000000"/>
              <w:right w:val="single" w:sz="4" w:space="0" w:color="000000"/>
            </w:tcBorders>
          </w:tcPr>
          <w:p>
            <w:pPr/>
          </w:p>
        </w:tc>
        <w:tc>
          <w:tcPr>
            <w:tcW w:w="2294" w:type="dxa"/>
            <w:tcBorders>
              <w:top w:val="single" w:sz="4" w:space="0" w:color="000000"/>
              <w:left w:val="single" w:sz="4" w:space="0" w:color="000000"/>
              <w:bottom w:val="single" w:sz="4" w:space="0" w:color="000000"/>
              <w:right w:val="single" w:sz="4" w:space="0" w:color="000000"/>
            </w:tcBorders>
          </w:tcPr>
          <w:p>
            <w:pPr/>
          </w:p>
        </w:tc>
        <w:tc>
          <w:tcPr>
            <w:tcW w:w="2391" w:type="dxa"/>
            <w:tcBorders>
              <w:top w:val="single" w:sz="4" w:space="0" w:color="000000"/>
              <w:left w:val="single" w:sz="4" w:space="0" w:color="000000"/>
              <w:bottom w:val="single" w:sz="4" w:space="0" w:color="000000"/>
              <w:right w:val="single" w:sz="4" w:space="0" w:color="000000"/>
            </w:tcBorders>
          </w:tcPr>
          <w:p>
            <w:pPr/>
          </w:p>
        </w:tc>
        <w:tc>
          <w:tcPr>
            <w:tcW w:w="2389" w:type="dxa"/>
            <w:tcBorders>
              <w:top w:val="single" w:sz="4" w:space="0" w:color="000000"/>
              <w:left w:val="single" w:sz="4" w:space="0" w:color="000000"/>
              <w:bottom w:val="single" w:sz="4" w:space="0" w:color="000000"/>
              <w:right w:val="single" w:sz="4" w:space="0" w:color="000000"/>
            </w:tcBorders>
          </w:tcPr>
          <w:p>
            <w:pP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line="259" w:lineRule="auto" w:before="0"/>
        <w:ind w:left="114" w:right="0" w:firstLine="0"/>
        <w:jc w:val="left"/>
        <w:rPr>
          <w:rFonts w:ascii="宋体" w:hAnsi="宋体" w:cs="宋体" w:eastAsia="宋体" w:hint="default"/>
          <w:sz w:val="21"/>
          <w:szCs w:val="21"/>
        </w:rPr>
      </w:pPr>
      <w:bookmarkStart w:name="（2）境外经营实体说明，包括对于重要的境外经营实体，应披露其境外主要经营地、记账" w:id="382"/>
      <w:bookmarkEnd w:id="38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）境外经营实体说明，包括对于重要的境外经营实体，应披露其境外主要经营地、记账本位币及选择</w:t>
      </w:r>
      <w:r>
        <w:rPr>
          <w:rFonts w:ascii="宋体" w:hAnsi="宋体" w:cs="宋体" w:eastAsia="宋体" w:hint="default"/>
          <w:b/>
          <w:bCs/>
          <w:spacing w:val="-74"/>
          <w:sz w:val="21"/>
          <w:szCs w:val="21"/>
        </w:rPr>
        <w:t> </w:t>
      </w:r>
      <w:r>
        <w:rPr>
          <w:rFonts w:ascii="宋体" w:hAnsi="宋体" w:cs="宋体" w:eastAsia="宋体" w:hint="default"/>
          <w:b/>
          <w:bCs/>
          <w:spacing w:val="-74"/>
          <w:sz w:val="21"/>
          <w:szCs w:val="21"/>
        </w:rPr>
      </w:r>
      <w:r>
        <w:rPr>
          <w:rFonts w:ascii="宋体" w:hAnsi="宋体" w:cs="宋体" w:eastAsia="宋体" w:hint="default"/>
          <w:b/>
          <w:bCs/>
          <w:sz w:val="21"/>
          <w:szCs w:val="21"/>
        </w:rPr>
        <w:t>依据，记账本位币发生变化的还应披露原因。</w:t>
      </w:r>
      <w:r>
        <w:rPr>
          <w:rFonts w:ascii="宋体" w:hAnsi="宋体" w:cs="宋体" w:eastAsia="宋体" w:hint="default"/>
          <w:sz w:val="21"/>
          <w:szCs w:val="21"/>
        </w:rPr>
      </w:r>
    </w:p>
    <w:p>
      <w:pPr>
        <w:spacing w:line="240" w:lineRule="auto" w:before="7"/>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72、套期" w:id="383"/>
      <w:bookmarkEnd w:id="383"/>
      <w:r>
        <w:rPr/>
      </w:r>
      <w:r>
        <w:rPr>
          <w:rFonts w:ascii="Times New Roman" w:hAnsi="Times New Roman" w:cs="Times New Roman" w:eastAsia="Times New Roman" w:hint="default"/>
          <w:b/>
          <w:bCs/>
          <w:sz w:val="21"/>
          <w:szCs w:val="21"/>
        </w:rPr>
        <w:t>72</w:t>
      </w:r>
      <w:r>
        <w:rPr>
          <w:rFonts w:ascii="宋体" w:hAnsi="宋体" w:cs="宋体" w:eastAsia="宋体" w:hint="default"/>
          <w:b/>
          <w:bCs/>
          <w:sz w:val="21"/>
          <w:szCs w:val="21"/>
        </w:rPr>
        <w:t>、套期</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按照套期类别披露套期项目及相关套期工具、被套期风险的定性和定量信息：</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73、政府补助" w:id="384"/>
      <w:bookmarkEnd w:id="384"/>
      <w:r>
        <w:rPr/>
      </w:r>
      <w:r>
        <w:rPr>
          <w:rFonts w:ascii="Times New Roman" w:hAnsi="Times New Roman" w:cs="Times New Roman" w:eastAsia="Times New Roman" w:hint="default"/>
          <w:b/>
          <w:bCs/>
          <w:sz w:val="21"/>
          <w:szCs w:val="21"/>
        </w:rPr>
        <w:t>73</w:t>
      </w:r>
      <w:r>
        <w:rPr>
          <w:rFonts w:ascii="宋体" w:hAnsi="宋体" w:cs="宋体" w:eastAsia="宋体" w:hint="default"/>
          <w:b/>
          <w:bCs/>
          <w:sz w:val="21"/>
          <w:szCs w:val="21"/>
        </w:rPr>
        <w:t>、政府补助</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政府补助基本情况" w:id="385"/>
      <w:bookmarkEnd w:id="38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）政府补助基本情况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列报项目</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80" w:right="0"/>
              <w:jc w:val="left"/>
              <w:rPr>
                <w:rFonts w:ascii="宋体" w:hAnsi="宋体" w:cs="宋体" w:eastAsia="宋体" w:hint="default"/>
                <w:sz w:val="18"/>
                <w:szCs w:val="18"/>
              </w:rPr>
            </w:pPr>
            <w:r>
              <w:rPr>
                <w:rFonts w:ascii="宋体" w:hAnsi="宋体" w:cs="宋体" w:eastAsia="宋体" w:hint="default"/>
                <w:sz w:val="18"/>
                <w:szCs w:val="18"/>
              </w:rPr>
              <w:t>计入当期损益的金额</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光典厂房补助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7"/>
              <w:jc w:val="both"/>
              <w:rPr>
                <w:rFonts w:ascii="宋体" w:hAnsi="宋体" w:cs="宋体" w:eastAsia="宋体" w:hint="default"/>
                <w:sz w:val="18"/>
                <w:szCs w:val="18"/>
              </w:rPr>
            </w:pPr>
            <w:r>
              <w:rPr>
                <w:rFonts w:ascii="宋体" w:hAnsi="宋体" w:cs="宋体" w:eastAsia="宋体" w:hint="default"/>
                <w:sz w:val="18"/>
                <w:szCs w:val="18"/>
              </w:rPr>
              <w:t>上海农业数据资源库数据治 理、清洗及应用系统建设项 目补助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3,992,000.00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15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特惠淘</w:t>
            </w:r>
            <w:r>
              <w:rPr>
                <w:rFonts w:ascii="Times New Roman" w:hAnsi="Times New Roman" w:cs="Times New Roman" w:eastAsia="Times New Roman" w:hint="default"/>
                <w:sz w:val="18"/>
                <w:szCs w:val="18"/>
              </w:rPr>
              <w:t>"</w:t>
            </w:r>
            <w:r>
              <w:rPr>
                <w:rFonts w:ascii="宋体" w:hAnsi="宋体" w:cs="宋体" w:eastAsia="宋体" w:hint="default"/>
                <w:sz w:val="18"/>
                <w:szCs w:val="18"/>
              </w:rPr>
              <w:t>在线比价及尾货抢 购平台项目补助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2,800,000.00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都市农业文化休闲旅游资源 集成云平台补助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2,100,000.00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上海市软件和集成电路发展 专项资金项目</w:t>
            </w:r>
            <w:r>
              <w:rPr>
                <w:rFonts w:ascii="Times New Roman" w:hAnsi="Times New Roman" w:cs="Times New Roman" w:eastAsia="Times New Roman" w:hint="default"/>
                <w:sz w:val="18"/>
                <w:szCs w:val="18"/>
              </w:rPr>
              <w:t>"</w:t>
            </w:r>
            <w:r>
              <w:rPr>
                <w:rFonts w:ascii="宋体" w:hAnsi="宋体" w:cs="宋体" w:eastAsia="宋体" w:hint="default"/>
                <w:sz w:val="18"/>
                <w:szCs w:val="18"/>
              </w:rPr>
              <w:t>海市软社区 智慧菜场服务平台</w:t>
            </w:r>
            <w:r>
              <w:rPr>
                <w:rFonts w:ascii="Times New Roman" w:hAnsi="Times New Roman" w:cs="Times New Roman" w:eastAsia="Times New Roman" w:hint="default"/>
                <w:sz w:val="18"/>
                <w:szCs w:val="18"/>
              </w:rPr>
              <w:t>"</w:t>
            </w:r>
            <w:r>
              <w:rPr>
                <w:rFonts w:ascii="宋体" w:hAnsi="宋体" w:cs="宋体" w:eastAsia="宋体" w:hint="default"/>
                <w:sz w:val="18"/>
                <w:szCs w:val="18"/>
              </w:rPr>
              <w:t>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2,075,000.00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121"/>
              <w:jc w:val="both"/>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年度科技兴农项目</w:t>
            </w:r>
            <w:r>
              <w:rPr>
                <w:rFonts w:ascii="Times New Roman" w:hAnsi="Times New Roman" w:cs="Times New Roman" w:eastAsia="Times New Roman" w:hint="default"/>
                <w:sz w:val="18"/>
                <w:szCs w:val="18"/>
              </w:rPr>
              <w:t>"</w:t>
            </w:r>
            <w:r>
              <w:rPr>
                <w:rFonts w:ascii="宋体" w:hAnsi="宋体" w:cs="宋体" w:eastAsia="宋体" w:hint="default"/>
                <w:sz w:val="18"/>
                <w:szCs w:val="18"/>
              </w:rPr>
              <w:t>互 联网</w:t>
            </w:r>
            <w:r>
              <w:rPr>
                <w:rFonts w:ascii="Times New Roman" w:hAnsi="Times New Roman" w:cs="Times New Roman" w:eastAsia="Times New Roman" w:hint="default"/>
                <w:sz w:val="18"/>
                <w:szCs w:val="18"/>
              </w:rPr>
              <w:t>+</w:t>
            </w:r>
            <w:r>
              <w:rPr>
                <w:rFonts w:ascii="宋体" w:hAnsi="宋体" w:cs="宋体" w:eastAsia="宋体" w:hint="default"/>
                <w:sz w:val="18"/>
                <w:szCs w:val="18"/>
              </w:rPr>
              <w:t>联在农业领域的应用</w:t>
            </w:r>
            <w:r>
              <w:rPr>
                <w:rFonts w:ascii="Times New Roman" w:hAnsi="Times New Roman" w:cs="Times New Roman" w:eastAsia="Times New Roman" w:hint="default"/>
                <w:sz w:val="18"/>
                <w:szCs w:val="18"/>
              </w:rPr>
              <w:t>"</w:t>
            </w:r>
            <w:r>
              <w:rPr>
                <w:rFonts w:ascii="Times New Roman" w:hAnsi="Times New Roman" w:cs="Times New Roman" w:eastAsia="Times New Roman" w:hint="default"/>
                <w:w w:val="99"/>
                <w:sz w:val="18"/>
                <w:szCs w:val="18"/>
              </w:rPr>
              <w:t> </w:t>
            </w:r>
            <w:r>
              <w:rPr>
                <w:rFonts w:ascii="宋体" w:hAnsi="宋体" w:cs="宋体" w:eastAsia="宋体" w:hint="default"/>
                <w:sz w:val="18"/>
                <w:szCs w:val="18"/>
              </w:rPr>
              <w:t>项目补助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17"/>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年上海市企事业专利 工作试点示范单位项目项目 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680,000.00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年张江专项资助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年品牌建设专项资金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普陀区科技小巨人企业项目 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葡萄自适应生产管理系统研 究补助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960,000.00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综合档案管理软件科研计划 项目资助课题经费</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165,000.00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1025"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223"/>
              <w:jc w:val="both"/>
              <w:rPr>
                <w:rFonts w:ascii="宋体" w:hAnsi="宋体" w:cs="宋体" w:eastAsia="宋体" w:hint="default"/>
                <w:sz w:val="18"/>
                <w:szCs w:val="18"/>
              </w:rPr>
            </w:pPr>
            <w:r>
              <w:rPr>
                <w:rFonts w:ascii="宋体" w:hAnsi="宋体" w:cs="宋体" w:eastAsia="宋体" w:hint="default"/>
                <w:sz w:val="18"/>
                <w:szCs w:val="18"/>
              </w:rPr>
              <w:t>用于</w:t>
            </w:r>
            <w:r>
              <w:rPr>
                <w:rFonts w:ascii="Times New Roman" w:hAnsi="Times New Roman" w:cs="Times New Roman" w:eastAsia="Times New Roman" w:hint="default"/>
                <w:sz w:val="18"/>
                <w:szCs w:val="18"/>
              </w:rPr>
              <w:t>"</w:t>
            </w:r>
            <w:r>
              <w:rPr>
                <w:rFonts w:ascii="宋体" w:hAnsi="宋体" w:cs="宋体" w:eastAsia="宋体" w:hint="default"/>
                <w:sz w:val="18"/>
                <w:szCs w:val="18"/>
              </w:rPr>
              <w:t>磁光电超融合电子档 案安全存储平台</w:t>
            </w:r>
            <w:r>
              <w:rPr>
                <w:rFonts w:ascii="Times New Roman" w:hAnsi="Times New Roman" w:cs="Times New Roman" w:eastAsia="Times New Roman" w:hint="default"/>
                <w:sz w:val="18"/>
                <w:szCs w:val="18"/>
              </w:rPr>
              <w:t>"</w:t>
            </w:r>
            <w:r>
              <w:rPr>
                <w:rFonts w:ascii="宋体" w:hAnsi="宋体" w:cs="宋体" w:eastAsia="宋体" w:hint="default"/>
                <w:sz w:val="18"/>
                <w:szCs w:val="18"/>
              </w:rPr>
              <w:t>的上海市 中小企业发展专项资金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870,000.00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67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2"/>
              <w:ind w:left="103" w:right="223"/>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基于大数据分析的档案文 件共享服务平台</w:t>
            </w:r>
            <w:r>
              <w:rPr>
                <w:rFonts w:ascii="Times New Roman" w:hAnsi="Times New Roman" w:cs="Times New Roman" w:eastAsia="Times New Roman" w:hint="default"/>
                <w:sz w:val="18"/>
                <w:szCs w:val="18"/>
              </w:rPr>
              <w:t>"</w:t>
            </w:r>
            <w:r>
              <w:rPr>
                <w:rFonts w:ascii="宋体" w:hAnsi="宋体" w:cs="宋体" w:eastAsia="宋体" w:hint="default"/>
                <w:sz w:val="18"/>
                <w:szCs w:val="18"/>
              </w:rPr>
              <w:t>财政扶持</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350,000.00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sz w:val="14"/>
                <w:szCs w:val="14"/>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9"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392"/>
        <w:gridCol w:w="2393"/>
        <w:gridCol w:w="2392"/>
        <w:gridCol w:w="2392"/>
      </w:tblGrid>
      <w:tr>
        <w:trPr>
          <w:trHeight w:val="36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资金</w:t>
            </w:r>
          </w:p>
        </w:tc>
        <w:tc>
          <w:tcPr>
            <w:tcW w:w="2393"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9"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青浦区财政局</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年青浦 区软件信息服务业扶持项目 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240,000.00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252"/>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年产学研合作发展资 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80,000.00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递延收益</w:t>
            </w:r>
          </w:p>
        </w:tc>
        <w:tc>
          <w:tcPr>
            <w:tcW w:w="239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223"/>
              <w:jc w:val="both"/>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追溯云第三方重要产品追 溯信息平台建设</w:t>
            </w:r>
            <w:r>
              <w:rPr>
                <w:rFonts w:ascii="Times New Roman" w:hAnsi="Times New Roman" w:cs="Times New Roman" w:eastAsia="Times New Roman" w:hint="default"/>
                <w:sz w:val="18"/>
                <w:szCs w:val="18"/>
              </w:rPr>
              <w:t>"</w:t>
            </w:r>
            <w:r>
              <w:rPr>
                <w:rFonts w:ascii="宋体" w:hAnsi="宋体" w:cs="宋体" w:eastAsia="宋体" w:hint="default"/>
                <w:sz w:val="18"/>
                <w:szCs w:val="18"/>
              </w:rPr>
              <w:t>示范项目 专项补助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3"/>
              <w:jc w:val="right"/>
              <w:rPr>
                <w:rFonts w:ascii="Times New Roman" w:hAnsi="Times New Roman" w:cs="Times New Roman" w:eastAsia="Times New Roman" w:hint="default"/>
                <w:sz w:val="18"/>
                <w:szCs w:val="18"/>
              </w:rPr>
            </w:pPr>
            <w:r>
              <w:rPr>
                <w:rFonts w:ascii="Times New Roman"/>
                <w:spacing w:val="-1"/>
                <w:sz w:val="18"/>
              </w:rPr>
              <w:t>12,542,454.11</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12,542,454.11</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基于物联网技术的智能冷链 物流云平台专项资金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5,000,000.00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5,000,000.00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食品安全智慧服务云平台专 项补助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1,400,000.00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1,400,000.00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基于互联网模式的追索品牌 推广项目补助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1,300,000.00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1,300,000.00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企业核心团队奖励扶持资金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921,000.00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921,000.00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普陀区认定企业技术中心项 目建设项目补助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500,000.00</w:t>
            </w:r>
          </w:p>
        </w:tc>
      </w:tr>
      <w:tr>
        <w:trPr>
          <w:trHeight w:val="1026"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17"/>
              <w:jc w:val="both"/>
              <w:rPr>
                <w:rFonts w:ascii="宋体" w:hAnsi="宋体" w:cs="宋体" w:eastAsia="宋体" w:hint="default"/>
                <w:sz w:val="18"/>
                <w:szCs w:val="18"/>
              </w:rPr>
            </w:pPr>
            <w:r>
              <w:rPr>
                <w:rFonts w:ascii="宋体" w:hAnsi="宋体" w:cs="宋体" w:eastAsia="宋体" w:hint="default"/>
                <w:sz w:val="18"/>
                <w:szCs w:val="18"/>
              </w:rPr>
              <w:t>基于大数据的猪肉安全与质 量综合测试平台建设专项资 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390,000.00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56"/>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18"/>
                <w:szCs w:val="18"/>
              </w:rPr>
            </w:pPr>
          </w:p>
          <w:p>
            <w:pPr>
              <w:pStyle w:val="TableParagraph"/>
              <w:spacing w:line="240" w:lineRule="auto" w:before="1"/>
              <w:ind w:right="0"/>
              <w:jc w:val="left"/>
              <w:rPr>
                <w:rFonts w:ascii="Times New Roman" w:hAnsi="Times New Roman" w:cs="Times New Roman" w:eastAsia="Times New Roman" w:hint="default"/>
                <w:sz w:val="17"/>
                <w:szCs w:val="17"/>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390,000.00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稳岗补贴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353,758.00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353,758.00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大数据产业专项资金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300,000.00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上海名牌补贴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00" w:lineRule="auto" w:before="51"/>
              <w:ind w:left="103" w:right="252"/>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年度生产性服务业发 展资金</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180,000.00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180,000.00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综合改革试点专项资金扶持</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普陀区高新技术企业管理团 队奖励</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残疾人超比例奖励</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35,785.10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35,785.10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创新创业促进就业奖</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个税手续费退还</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3,550.67</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3,550.67</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上海市版权协会补助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5,250.00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5,250.00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先进集体奖励</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上海市版权协会资助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420.00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420.00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质量奖奖励</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财政扶持补助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1,786,242.12</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1,786,242.12</w:t>
            </w:r>
          </w:p>
        </w:tc>
      </w:tr>
    </w:tbl>
    <w:p>
      <w:pPr>
        <w:spacing w:after="0" w:line="240" w:lineRule="auto"/>
        <w:jc w:val="right"/>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10"/>
        <w:rPr>
          <w:rFonts w:ascii="Times New Roman" w:hAnsi="Times New Roman" w:cs="Times New Roman" w:eastAsia="Times New Roman" w:hint="default"/>
          <w:sz w:val="25"/>
          <w:szCs w:val="25"/>
        </w:rPr>
      </w:pPr>
    </w:p>
    <w:tbl>
      <w:tblPr>
        <w:tblW w:w="0" w:type="auto"/>
        <w:jc w:val="left"/>
        <w:tblInd w:w="10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产学研补助</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20,000.00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20,000.00</w:t>
            </w:r>
          </w:p>
        </w:tc>
      </w:tr>
      <w:tr>
        <w:trPr>
          <w:trHeight w:val="714"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17"/>
              <w:jc w:val="left"/>
              <w:rPr>
                <w:rFonts w:ascii="宋体" w:hAnsi="宋体" w:cs="宋体" w:eastAsia="宋体" w:hint="default"/>
                <w:sz w:val="18"/>
                <w:szCs w:val="18"/>
              </w:rPr>
            </w:pPr>
            <w:r>
              <w:rPr>
                <w:rFonts w:ascii="宋体" w:hAnsi="宋体" w:cs="宋体" w:eastAsia="宋体" w:hint="default"/>
                <w:sz w:val="18"/>
                <w:szCs w:val="18"/>
              </w:rPr>
              <w:t>软件和信息服务业企业资质 奖励</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500,000.00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0"/>
              <w:ind w:right="0"/>
              <w:jc w:val="left"/>
              <w:rPr>
                <w:rFonts w:ascii="Times New Roman" w:hAnsi="Times New Roman" w:cs="Times New Roman" w:eastAsia="Times New Roman"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6"/>
              <w:ind w:right="0"/>
              <w:jc w:val="left"/>
              <w:rPr>
                <w:rFonts w:ascii="Times New Roman" w:hAnsi="Times New Roman" w:cs="Times New Roman" w:eastAsia="Times New Roman" w:hint="default"/>
                <w:sz w:val="21"/>
                <w:szCs w:val="21"/>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500,000.00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高科技成果转化奖励</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60,000.00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60,000.00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知识产权补贴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5,705.00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5,705.00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专利补贴</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15,360.00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其他收益</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15,360.00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贷款贴息</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1,890,000.00</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1,890,000.00</w:t>
            </w:r>
          </w:p>
        </w:tc>
      </w:tr>
      <w:tr>
        <w:trPr>
          <w:trHeight w:val="402" w:hRule="exact"/>
        </w:trPr>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39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44,913,525.00</w:t>
            </w:r>
          </w:p>
        </w:tc>
        <w:tc>
          <w:tcPr>
            <w:tcW w:w="2392" w:type="dxa"/>
            <w:tcBorders>
              <w:top w:val="single" w:sz="4" w:space="0" w:color="000000"/>
              <w:left w:val="single" w:sz="4" w:space="0" w:color="000000"/>
              <w:bottom w:val="single" w:sz="4" w:space="0" w:color="000000"/>
              <w:right w:val="single" w:sz="4" w:space="0" w:color="000000"/>
            </w:tcBorders>
          </w:tcPr>
          <w:p>
            <w:pPr/>
          </w:p>
        </w:tc>
        <w:tc>
          <w:tcPr>
            <w:tcW w:w="239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27,601,525.00</w:t>
            </w:r>
          </w:p>
        </w:tc>
      </w:tr>
    </w:tbl>
    <w:p>
      <w:pPr>
        <w:spacing w:line="240" w:lineRule="auto" w:before="10"/>
        <w:rPr>
          <w:rFonts w:ascii="Times New Roman" w:hAnsi="Times New Roman" w:cs="Times New Roman" w:eastAsia="Times New Roman" w:hint="default"/>
          <w:sz w:val="21"/>
          <w:szCs w:val="21"/>
        </w:rPr>
      </w:pPr>
    </w:p>
    <w:p>
      <w:pPr>
        <w:spacing w:before="35"/>
        <w:ind w:left="114" w:right="0" w:firstLine="0"/>
        <w:jc w:val="left"/>
        <w:rPr>
          <w:rFonts w:ascii="宋体" w:hAnsi="宋体" w:cs="宋体" w:eastAsia="宋体" w:hint="default"/>
          <w:sz w:val="21"/>
          <w:szCs w:val="21"/>
        </w:rPr>
      </w:pPr>
      <w:bookmarkStart w:name="（2）政府补助退回情况" w:id="386"/>
      <w:bookmarkEnd w:id="38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）政府补助退回情况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60" w:lineRule="auto" w:before="0"/>
        <w:ind w:left="114" w:right="9222" w:firstLine="0"/>
        <w:jc w:val="left"/>
        <w:rPr>
          <w:rFonts w:ascii="宋体" w:hAnsi="宋体" w:cs="宋体" w:eastAsia="宋体" w:hint="default"/>
          <w:sz w:val="18"/>
          <w:szCs w:val="18"/>
        </w:rPr>
      </w:pPr>
      <w:r>
        <w:rPr>
          <w:rFonts w:ascii="宋体" w:hAnsi="宋体" w:cs="宋体" w:eastAsia="宋体" w:hint="default"/>
          <w:sz w:val="18"/>
          <w:szCs w:val="18"/>
        </w:rPr>
        <w:t>□ 适用 √ 不适用 其他说明：</w:t>
      </w:r>
    </w:p>
    <w:p>
      <w:pPr>
        <w:spacing w:line="240" w:lineRule="auto" w:before="11"/>
        <w:rPr>
          <w:rFonts w:ascii="宋体" w:hAnsi="宋体" w:cs="宋体" w:eastAsia="宋体" w:hint="default"/>
          <w:sz w:val="19"/>
          <w:szCs w:val="19"/>
        </w:rPr>
      </w:pPr>
    </w:p>
    <w:p>
      <w:pPr>
        <w:spacing w:line="487" w:lineRule="auto" w:before="0"/>
        <w:ind w:left="114" w:right="8328" w:firstLine="0"/>
        <w:jc w:val="left"/>
        <w:rPr>
          <w:rFonts w:ascii="宋体" w:hAnsi="宋体" w:cs="宋体" w:eastAsia="宋体" w:hint="default"/>
          <w:sz w:val="21"/>
          <w:szCs w:val="21"/>
        </w:rPr>
      </w:pPr>
      <w:bookmarkStart w:name="74、其他" w:id="387"/>
      <w:bookmarkEnd w:id="387"/>
      <w:r>
        <w:rPr/>
      </w:r>
      <w:r>
        <w:rPr>
          <w:rFonts w:ascii="Times New Roman" w:hAnsi="Times New Roman" w:cs="Times New Roman" w:eastAsia="Times New Roman" w:hint="default"/>
          <w:b/>
          <w:bCs/>
          <w:sz w:val="21"/>
          <w:szCs w:val="21"/>
        </w:rPr>
        <w:t>74</w:t>
      </w:r>
      <w:r>
        <w:rPr>
          <w:rFonts w:ascii="宋体" w:hAnsi="宋体" w:cs="宋体" w:eastAsia="宋体" w:hint="default"/>
          <w:b/>
          <w:bCs/>
          <w:sz w:val="21"/>
          <w:szCs w:val="21"/>
        </w:rPr>
        <w:t>、其他</w:t>
      </w:r>
      <w:r>
        <w:rPr>
          <w:rFonts w:ascii="宋体" w:hAnsi="宋体" w:cs="宋体" w:eastAsia="宋体" w:hint="default"/>
          <w:b/>
          <w:bCs/>
          <w:w w:val="99"/>
          <w:sz w:val="21"/>
          <w:szCs w:val="21"/>
        </w:rPr>
        <w:t> </w:t>
      </w:r>
      <w:bookmarkStart w:name="八、合并范围的变更" w:id="388"/>
      <w:bookmarkEnd w:id="388"/>
      <w:r>
        <w:rPr>
          <w:rFonts w:ascii="宋体" w:hAnsi="宋体" w:cs="宋体" w:eastAsia="宋体" w:hint="default"/>
          <w:b/>
          <w:bCs/>
          <w:w w:val="99"/>
          <w:sz w:val="21"/>
          <w:szCs w:val="21"/>
        </w:rPr>
      </w:r>
      <w:r>
        <w:rPr>
          <w:rFonts w:ascii="宋体" w:hAnsi="宋体" w:cs="宋体" w:eastAsia="宋体" w:hint="default"/>
          <w:b/>
          <w:bCs/>
          <w:sz w:val="24"/>
          <w:szCs w:val="24"/>
        </w:rPr>
        <w:t>八、合并范围的变更</w:t>
      </w:r>
      <w:r>
        <w:rPr>
          <w:rFonts w:ascii="宋体" w:hAnsi="宋体" w:cs="宋体" w:eastAsia="宋体" w:hint="default"/>
          <w:b/>
          <w:bCs/>
          <w:w w:val="99"/>
          <w:sz w:val="24"/>
          <w:szCs w:val="24"/>
        </w:rPr>
        <w:t> </w:t>
      </w:r>
      <w:bookmarkStart w:name="1、非同一控制下企业合并" w:id="389"/>
      <w:bookmarkEnd w:id="389"/>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、非同一控制下企业合并</w:t>
      </w:r>
      <w:r>
        <w:rPr>
          <w:rFonts w:ascii="宋体" w:hAnsi="宋体" w:cs="宋体" w:eastAsia="宋体" w:hint="default"/>
          <w:sz w:val="21"/>
          <w:szCs w:val="21"/>
        </w:rPr>
      </w:r>
    </w:p>
    <w:p>
      <w:pPr>
        <w:spacing w:before="83"/>
        <w:ind w:left="114" w:right="0" w:firstLine="0"/>
        <w:jc w:val="left"/>
        <w:rPr>
          <w:rFonts w:ascii="宋体" w:hAnsi="宋体" w:cs="宋体" w:eastAsia="宋体" w:hint="default"/>
          <w:sz w:val="21"/>
          <w:szCs w:val="21"/>
        </w:rPr>
      </w:pPr>
      <w:bookmarkStart w:name="（1）本期发生的非同一控制下企业合并" w:id="390"/>
      <w:bookmarkEnd w:id="39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）本期发生的非同一控制下企业合并</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4"/>
        <w:gridCol w:w="1064"/>
        <w:gridCol w:w="1063"/>
        <w:gridCol w:w="1065"/>
        <w:gridCol w:w="1064"/>
        <w:gridCol w:w="1063"/>
        <w:gridCol w:w="1062"/>
        <w:gridCol w:w="1062"/>
        <w:gridCol w:w="1062"/>
      </w:tblGrid>
      <w:tr>
        <w:trPr>
          <w:trHeight w:val="1338" w:hRule="exact"/>
        </w:trPr>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46" w:right="165" w:hanging="180"/>
              <w:jc w:val="left"/>
              <w:rPr>
                <w:rFonts w:ascii="宋体" w:hAnsi="宋体" w:cs="宋体" w:eastAsia="宋体" w:hint="default"/>
                <w:sz w:val="18"/>
                <w:szCs w:val="18"/>
              </w:rPr>
            </w:pPr>
            <w:r>
              <w:rPr>
                <w:rFonts w:ascii="宋体" w:hAnsi="宋体" w:cs="宋体" w:eastAsia="宋体" w:hint="default"/>
                <w:sz w:val="18"/>
                <w:szCs w:val="18"/>
              </w:rPr>
              <w:t>被购买方 名称</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46" w:right="167" w:hanging="180"/>
              <w:jc w:val="left"/>
              <w:rPr>
                <w:rFonts w:ascii="宋体" w:hAnsi="宋体" w:cs="宋体" w:eastAsia="宋体" w:hint="default"/>
                <w:sz w:val="18"/>
                <w:szCs w:val="18"/>
              </w:rPr>
            </w:pPr>
            <w:r>
              <w:rPr>
                <w:rFonts w:ascii="宋体" w:hAnsi="宋体" w:cs="宋体" w:eastAsia="宋体" w:hint="default"/>
                <w:sz w:val="18"/>
                <w:szCs w:val="18"/>
              </w:rPr>
              <w:t>股权取得 时点</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45" w:right="167" w:hanging="180"/>
              <w:jc w:val="left"/>
              <w:rPr>
                <w:rFonts w:ascii="宋体" w:hAnsi="宋体" w:cs="宋体" w:eastAsia="宋体" w:hint="default"/>
                <w:sz w:val="18"/>
                <w:szCs w:val="18"/>
              </w:rPr>
            </w:pPr>
            <w:r>
              <w:rPr>
                <w:rFonts w:ascii="宋体" w:hAnsi="宋体" w:cs="宋体" w:eastAsia="宋体" w:hint="default"/>
                <w:sz w:val="18"/>
                <w:szCs w:val="18"/>
              </w:rPr>
              <w:t>股权取得 成本</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46" w:right="166" w:hanging="180"/>
              <w:jc w:val="left"/>
              <w:rPr>
                <w:rFonts w:ascii="宋体" w:hAnsi="宋体" w:cs="宋体" w:eastAsia="宋体" w:hint="default"/>
                <w:sz w:val="18"/>
                <w:szCs w:val="18"/>
              </w:rPr>
            </w:pPr>
            <w:r>
              <w:rPr>
                <w:rFonts w:ascii="宋体" w:hAnsi="宋体" w:cs="宋体" w:eastAsia="宋体" w:hint="default"/>
                <w:sz w:val="18"/>
                <w:szCs w:val="18"/>
              </w:rPr>
              <w:t>股权取得 比例</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46" w:right="167" w:hanging="180"/>
              <w:jc w:val="left"/>
              <w:rPr>
                <w:rFonts w:ascii="宋体" w:hAnsi="宋体" w:cs="宋体" w:eastAsia="宋体" w:hint="default"/>
                <w:sz w:val="18"/>
                <w:szCs w:val="18"/>
              </w:rPr>
            </w:pPr>
            <w:r>
              <w:rPr>
                <w:rFonts w:ascii="宋体" w:hAnsi="宋体" w:cs="宋体" w:eastAsia="宋体" w:hint="default"/>
                <w:sz w:val="18"/>
                <w:szCs w:val="18"/>
              </w:rPr>
              <w:t>股权取得 方式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购买日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65" w:right="165"/>
              <w:jc w:val="left"/>
              <w:rPr>
                <w:rFonts w:ascii="宋体" w:hAnsi="宋体" w:cs="宋体" w:eastAsia="宋体" w:hint="default"/>
                <w:sz w:val="18"/>
                <w:szCs w:val="18"/>
              </w:rPr>
            </w:pPr>
            <w:r>
              <w:rPr>
                <w:rFonts w:ascii="宋体" w:hAnsi="宋体" w:cs="宋体" w:eastAsia="宋体" w:hint="default"/>
                <w:sz w:val="18"/>
                <w:szCs w:val="18"/>
              </w:rPr>
              <w:t>购买日的 确定依据</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65" w:right="164"/>
              <w:jc w:val="center"/>
              <w:rPr>
                <w:rFonts w:ascii="宋体" w:hAnsi="宋体" w:cs="宋体" w:eastAsia="宋体" w:hint="default"/>
                <w:sz w:val="18"/>
                <w:szCs w:val="18"/>
              </w:rPr>
            </w:pPr>
            <w:r>
              <w:rPr>
                <w:rFonts w:ascii="宋体" w:hAnsi="宋体" w:cs="宋体" w:eastAsia="宋体" w:hint="default"/>
                <w:sz w:val="18"/>
                <w:szCs w:val="18"/>
              </w:rPr>
              <w:t>购买日至 期末被购 买方的收 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65" w:right="164"/>
              <w:jc w:val="center"/>
              <w:rPr>
                <w:rFonts w:ascii="宋体" w:hAnsi="宋体" w:cs="宋体" w:eastAsia="宋体" w:hint="default"/>
                <w:sz w:val="18"/>
                <w:szCs w:val="18"/>
              </w:rPr>
            </w:pPr>
            <w:r>
              <w:rPr>
                <w:rFonts w:ascii="宋体" w:hAnsi="宋体" w:cs="宋体" w:eastAsia="宋体" w:hint="default"/>
                <w:sz w:val="18"/>
                <w:szCs w:val="18"/>
              </w:rPr>
              <w:t>购买日至 期末被购 买方的净 利润</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合并成本及商誉" w:id="391"/>
      <w:bookmarkEnd w:id="39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）合并成本及商誉</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8"/>
        <w:rPr>
          <w:rFonts w:ascii="宋体" w:hAnsi="宋体" w:cs="宋体" w:eastAsia="宋体" w:hint="default"/>
          <w:sz w:val="7"/>
          <w:szCs w:val="7"/>
        </w:rPr>
      </w:pPr>
    </w:p>
    <w:p>
      <w:pPr>
        <w:spacing w:line="422" w:lineRule="exact"/>
        <w:ind w:left="10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5pt;mso-position-horizontal-relative:char;mso-position-vertical-relative:line" coordorigin="0,0" coordsize="9579,423">
            <v:group style="position:absolute;left:10;top:16;width:104;height:392" coordorigin="10,16" coordsize="104,392">
              <v:shape style="position:absolute;left:10;top:16;width:104;height:392" coordorigin="10,16" coordsize="104,392" path="m10,407l113,407,113,16,10,16,10,407xe" filled="true" fillcolor="#d2d2d2" stroked="false">
                <v:path arrowok="t"/>
                <v:fill type="solid"/>
              </v:shape>
            </v:group>
            <v:group style="position:absolute;left:4682;top:16;width:102;height:392" coordorigin="4682,16" coordsize="102,392">
              <v:shape style="position:absolute;left:4682;top:16;width:102;height:392" coordorigin="4682,16" coordsize="102,392" path="m4682,407l4784,407,4784,16,4682,16,4682,407xe" filled="true" fillcolor="#d2d2d2" stroked="false">
                <v:path arrowok="t"/>
                <v:fill type="solid"/>
              </v:shape>
            </v:group>
            <v:group style="position:absolute;left:113;top:16;width:4570;height:392" coordorigin="113,16" coordsize="4570,392">
              <v:shape style="position:absolute;left:113;top:16;width:4570;height:392" coordorigin="113,16" coordsize="4570,392" path="m113,407l4682,407,4682,16,113,16,113,407xe" filled="true" fillcolor="#d2d2d2" stroked="false">
                <v:path arrowok="t"/>
                <v:fill type="solid"/>
              </v:shape>
            </v:group>
            <v:group style="position:absolute;left:4795;top:16;width:104;height:392" coordorigin="4795,16" coordsize="104,392">
              <v:shape style="position:absolute;left:4795;top:16;width:104;height:392" coordorigin="4795,16" coordsize="104,392" path="m4795,407l4898,407,4898,16,4795,16,4795,407xe" filled="true" fillcolor="#e0ffff" stroked="false">
                <v:path arrowok="t"/>
                <v:fill type="solid"/>
              </v:shape>
            </v:group>
            <v:group style="position:absolute;left:9466;top:16;width:104;height:392" coordorigin="9466,16" coordsize="104,392">
              <v:shape style="position:absolute;left:9466;top:16;width:104;height:392" coordorigin="9466,16" coordsize="104,392" path="m9466,407l9569,407,9569,16,9466,16,9466,407xe" filled="true" fillcolor="#e0ffff" stroked="false">
                <v:path arrowok="t"/>
                <v:fill type="solid"/>
              </v:shape>
            </v:group>
            <v:group style="position:absolute;left:4898;top:16;width:4568;height:392" coordorigin="4898,16" coordsize="4568,392">
              <v:shape style="position:absolute;left:4898;top:16;width:4568;height:392" coordorigin="4898,16" coordsize="4568,392" path="m4898,407l9466,407,9466,16,4898,16,489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7998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7998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776;height:2" coordorigin="10,413" coordsize="4776,2">
              <v:shape style="position:absolute;left:10;top:413;width:4776;height:2" coordorigin="10,413" coordsize="4776,0" path="m10,413l4785,413e" filled="false" stroked="true" strokeweight=".47998pt" strokecolor="#000000">
                <v:path arrowok="t"/>
              </v:shape>
            </v:group>
            <v:group style="position:absolute;left:4790;top:5;width:2;height:413" coordorigin="4790,5" coordsize="2,413">
              <v:shape style="position:absolute;left:4790;top:5;width:2;height:413" coordorigin="4790,5" coordsize="0,413" path="m4790,5l4790,418e" filled="false" stroked="true" strokeweight=".47998pt" strokecolor="#000000">
                <v:path arrowok="t"/>
              </v:shape>
            </v:group>
            <v:group style="position:absolute;left:4795;top:413;width:4774;height:2" coordorigin="4795,413" coordsize="4774,2">
              <v:shape style="position:absolute;left:4795;top:413;width:4774;height:2" coordorigin="4795,413" coordsize="4774,0" path="m4795,413l9569,413e" filled="false" stroked="true" strokeweight=".47998pt" strokecolor="#000000">
                <v:path arrowok="t"/>
              </v:shape>
            </v:group>
            <v:group style="position:absolute;left:9574;top:5;width:2;height:413" coordorigin="9574,5" coordsize="2,413">
              <v:shape style="position:absolute;left:9574;top:5;width:2;height:413" coordorigin="9574,5" coordsize="0,413" path="m9574,5l9574,418e" filled="false" stroked="true" strokeweight=".48004pt" strokecolor="#000000">
                <v:path arrowok="t"/>
              </v:shape>
              <v:shape style="position:absolute;left:5;top:10;width:4785;height:404" type="#_x0000_t202" filled="false" stroked="false">
                <v:textbox inset="0,0,0,0">
                  <w:txbxContent>
                    <w:p>
                      <w:pPr>
                        <w:spacing w:before="57"/>
                        <w:ind w:left="0"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spacing w:line="357" w:lineRule="auto" w:before="47"/>
        <w:ind w:left="114" w:right="6072" w:firstLine="0"/>
        <w:jc w:val="left"/>
        <w:rPr>
          <w:rFonts w:ascii="宋体" w:hAnsi="宋体" w:cs="宋体" w:eastAsia="宋体" w:hint="default"/>
          <w:sz w:val="18"/>
          <w:szCs w:val="18"/>
        </w:rPr>
      </w:pPr>
      <w:r>
        <w:rPr>
          <w:rFonts w:ascii="宋体" w:hAnsi="宋体" w:cs="宋体" w:eastAsia="宋体" w:hint="default"/>
          <w:sz w:val="18"/>
          <w:szCs w:val="18"/>
        </w:rPr>
        <w:t>合并成本公允价值的确定方法、或有对价及其变动的说明： 大额商誉形成的主要原因：</w:t>
      </w:r>
    </w:p>
    <w:p>
      <w:pPr>
        <w:spacing w:before="29"/>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被购买方于购买日可辨认资产、负债" w:id="392"/>
      <w:bookmarkEnd w:id="39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）被购买方于购买日可辨认资产、负债</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8"/>
        <w:rPr>
          <w:rFonts w:ascii="宋体" w:hAnsi="宋体" w:cs="宋体" w:eastAsia="宋体" w:hint="default"/>
          <w:sz w:val="7"/>
          <w:szCs w:val="7"/>
        </w:rPr>
      </w:pPr>
    </w:p>
    <w:p>
      <w:pPr>
        <w:spacing w:line="422" w:lineRule="exact"/>
        <w:ind w:left="10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9.05pt;height:21.15pt;mso-position-horizontal-relative:char;mso-position-vertical-relative:line" coordorigin="0,0" coordsize="9581,423">
            <v:group style="position:absolute;left:10;top:16;width:104;height:392" coordorigin="10,16" coordsize="104,392">
              <v:shape style="position:absolute;left:10;top:16;width:104;height:392" coordorigin="10,16" coordsize="104,392" path="m10,407l113,407,113,16,10,16,10,407xe" filled="true" fillcolor="#d2d2d2" stroked="false">
                <v:path arrowok="t"/>
                <v:fill type="solid"/>
              </v:shape>
            </v:group>
            <v:group style="position:absolute;left:3087;top:16;width:104;height:392" coordorigin="3087,16" coordsize="104,392">
              <v:shape style="position:absolute;left:3087;top:16;width:104;height:392" coordorigin="3087,16" coordsize="104,392" path="m3087,407l3190,407,3190,16,3087,16,3087,407xe" filled="true" fillcolor="#d2d2d2" stroked="false">
                <v:path arrowok="t"/>
                <v:fill type="solid"/>
              </v:shape>
            </v:group>
            <v:group style="position:absolute;left:113;top:16;width:2974;height:392" coordorigin="113,16" coordsize="2974,392">
              <v:shape style="position:absolute;left:113;top:16;width:2974;height:392" coordorigin="113,16" coordsize="2974,392" path="m113,407l3087,407,3087,16,113,16,113,407xe" filled="true" fillcolor="#d2d2d2" stroked="false">
                <v:path arrowok="t"/>
                <v:fill type="solid"/>
              </v:shape>
            </v:group>
            <v:group style="position:absolute;left:3200;top:16;width:104;height:392" coordorigin="3200,16" coordsize="104,392">
              <v:shape style="position:absolute;left:3200;top:16;width:104;height:392" coordorigin="3200,16" coordsize="104,392" path="m3200,407l3303,407,3303,16,3200,16,3200,407xe" filled="true" fillcolor="#e0ffff" stroked="false">
                <v:path arrowok="t"/>
                <v:fill type="solid"/>
              </v:shape>
            </v:group>
            <v:group style="position:absolute;left:9468;top:16;width:104;height:392" coordorigin="9468,16" coordsize="104,392">
              <v:shape style="position:absolute;left:9468;top:16;width:104;height:392" coordorigin="9468,16" coordsize="104,392" path="m9468,407l9571,407,9571,16,9468,16,9468,407xe" filled="true" fillcolor="#e0ffff" stroked="false">
                <v:path arrowok="t"/>
                <v:fill type="solid"/>
              </v:shape>
            </v:group>
            <v:group style="position:absolute;left:3303;top:16;width:6166;height:392" coordorigin="3303,16" coordsize="6166,392">
              <v:shape style="position:absolute;left:3303;top:16;width:6166;height:392" coordorigin="3303,16" coordsize="6166,392" path="m3303,407l9468,407,9468,16,3303,16,3303,407xe" filled="true" fillcolor="#e0ffff" stroked="false">
                <v:path arrowok="t"/>
                <v:fill type="solid"/>
              </v:shape>
            </v:group>
            <v:group style="position:absolute;left:10;top:10;width:3181;height:2" coordorigin="10,10" coordsize="3181,2">
              <v:shape style="position:absolute;left:10;top:10;width:3181;height:2" coordorigin="10,10" coordsize="3181,0" path="m10,10l3190,10e" filled="false" stroked="true" strokeweight=".48004pt" strokecolor="#000000">
                <v:path arrowok="t"/>
              </v:shape>
            </v:group>
            <v:group style="position:absolute;left:3200;top:10;width:6372;height:2" coordorigin="3200,10" coordsize="6372,2">
              <v:shape style="position:absolute;left:3200;top:10;width:6372;height:2" coordorigin="3200,10" coordsize="6372,0" path="m3200,10l9571,10e" filled="false" stroked="true" strokeweight=".48004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3181;height:2" coordorigin="10,413" coordsize="3181,2">
              <v:shape style="position:absolute;left:10;top:413;width:3181;height:2" coordorigin="10,413" coordsize="3181,0" path="m10,413l3190,413e" filled="false" stroked="true" strokeweight=".47998pt" strokecolor="#000000">
                <v:path arrowok="t"/>
              </v:shape>
            </v:group>
            <v:group style="position:absolute;left:3195;top:5;width:2;height:413" coordorigin="3195,5" coordsize="2,413">
              <v:shape style="position:absolute;left:3195;top:5;width:2;height:413" coordorigin="3195,5" coordsize="0,413" path="m3195,5l3195,418e" filled="false" stroked="true" strokeweight=".48001pt" strokecolor="#000000">
                <v:path arrowok="t"/>
              </v:shape>
            </v:group>
            <v:group style="position:absolute;left:3200;top:413;width:6372;height:2" coordorigin="3200,413" coordsize="6372,2">
              <v:shape style="position:absolute;left:3200;top:413;width:6372;height:2" coordorigin="3200,413" coordsize="6372,0" path="m3200,413l9571,413e" filled="false" stroked="true" strokeweight=".47998pt" strokecolor="#000000">
                <v:path arrowok="t"/>
              </v:shape>
            </v:group>
            <v:group style="position:absolute;left:9576;top:5;width:2;height:413" coordorigin="9576,5" coordsize="2,413">
              <v:shape style="position:absolute;left:9576;top:5;width:2;height:413" coordorigin="9576,5" coordsize="0,413" path="m9576,5l9576,418e" filled="false" stroked="true" strokeweight=".48004pt" strokecolor="#000000">
                <v:path arrowok="t"/>
              </v:shape>
            </v:group>
          </v:group>
        </w:pict>
      </w:r>
      <w:r>
        <w:rPr>
          <w:rFonts w:ascii="宋体" w:hAnsi="宋体" w:cs="宋体" w:eastAsia="宋体" w:hint="default"/>
          <w:position w:val="-7"/>
          <w:sz w:val="20"/>
          <w:szCs w:val="20"/>
        </w:rPr>
      </w:r>
    </w:p>
    <w:p>
      <w:pPr>
        <w:spacing w:after="0" w:line="422" w:lineRule="exact"/>
        <w:rPr>
          <w:rFonts w:ascii="宋体" w:hAnsi="宋体" w:cs="宋体" w:eastAsia="宋体" w:hint="default"/>
          <w:sz w:val="20"/>
          <w:szCs w:val="20"/>
        </w:rPr>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3190"/>
        <w:gridCol w:w="3191"/>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0" w:right="0"/>
              <w:jc w:val="left"/>
              <w:rPr>
                <w:rFonts w:ascii="宋体" w:hAnsi="宋体" w:cs="宋体" w:eastAsia="宋体" w:hint="default"/>
                <w:sz w:val="18"/>
                <w:szCs w:val="18"/>
              </w:rPr>
            </w:pPr>
            <w:r>
              <w:rPr>
                <w:rFonts w:ascii="宋体" w:hAnsi="宋体" w:cs="宋体" w:eastAsia="宋体" w:hint="default"/>
                <w:sz w:val="18"/>
                <w:szCs w:val="18"/>
              </w:rPr>
              <w:t>购买日公允价值</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60" w:right="0"/>
              <w:jc w:val="left"/>
              <w:rPr>
                <w:rFonts w:ascii="宋体" w:hAnsi="宋体" w:cs="宋体" w:eastAsia="宋体" w:hint="default"/>
                <w:sz w:val="18"/>
                <w:szCs w:val="18"/>
              </w:rPr>
            </w:pPr>
            <w:r>
              <w:rPr>
                <w:rFonts w:ascii="宋体" w:hAnsi="宋体" w:cs="宋体" w:eastAsia="宋体" w:hint="default"/>
                <w:sz w:val="18"/>
                <w:szCs w:val="18"/>
              </w:rPr>
              <w:t>购买日账面价值</w:t>
            </w:r>
          </w:p>
        </w:tc>
      </w:tr>
    </w:tbl>
    <w:p>
      <w:pPr>
        <w:spacing w:line="360" w:lineRule="auto" w:before="51"/>
        <w:ind w:left="114" w:right="7530" w:firstLine="0"/>
        <w:jc w:val="both"/>
        <w:rPr>
          <w:rFonts w:ascii="宋体" w:hAnsi="宋体" w:cs="宋体" w:eastAsia="宋体" w:hint="default"/>
          <w:sz w:val="18"/>
          <w:szCs w:val="18"/>
        </w:rPr>
      </w:pPr>
      <w:r>
        <w:rPr>
          <w:rFonts w:ascii="宋体" w:hAnsi="宋体" w:cs="宋体" w:eastAsia="宋体" w:hint="default"/>
          <w:sz w:val="18"/>
          <w:szCs w:val="18"/>
        </w:rPr>
        <w:t>可辨认资产、负债公允价值的确定方法： 企业合并中承担的被购买方的或有负债： 其他说明：</w:t>
      </w:r>
    </w:p>
    <w:p>
      <w:pPr>
        <w:spacing w:line="240" w:lineRule="auto" w:before="12"/>
        <w:rPr>
          <w:rFonts w:ascii="宋体" w:hAnsi="宋体" w:cs="宋体" w:eastAsia="宋体" w:hint="default"/>
          <w:sz w:val="19"/>
          <w:szCs w:val="19"/>
        </w:rPr>
      </w:pPr>
    </w:p>
    <w:p>
      <w:pPr>
        <w:spacing w:before="0"/>
        <w:ind w:left="114" w:right="0" w:firstLine="0"/>
        <w:jc w:val="both"/>
        <w:rPr>
          <w:rFonts w:ascii="宋体" w:hAnsi="宋体" w:cs="宋体" w:eastAsia="宋体" w:hint="default"/>
          <w:sz w:val="21"/>
          <w:szCs w:val="21"/>
        </w:rPr>
      </w:pPr>
      <w:bookmarkStart w:name="（4）购买日之前持有的股权按照公允价值重新计量产生的利得或损失" w:id="393"/>
      <w:bookmarkEnd w:id="39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）购买日之前持有的股权按照公允价值重新计量产生的利得或损失</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both"/>
        <w:rPr>
          <w:rFonts w:ascii="宋体" w:hAnsi="宋体" w:cs="宋体" w:eastAsia="宋体" w:hint="default"/>
          <w:sz w:val="18"/>
          <w:szCs w:val="18"/>
        </w:rPr>
      </w:pPr>
      <w:r>
        <w:rPr>
          <w:rFonts w:ascii="宋体" w:hAnsi="宋体" w:cs="宋体" w:eastAsia="宋体" w:hint="default"/>
          <w:sz w:val="18"/>
          <w:szCs w:val="18"/>
        </w:rPr>
        <w:t>是否存在通过多次交易分步实现企业合并且在报告期内取得控制权的交易</w:t>
      </w:r>
    </w:p>
    <w:p>
      <w:pPr>
        <w:spacing w:before="117"/>
        <w:ind w:left="114" w:right="0" w:firstLine="0"/>
        <w:jc w:val="both"/>
        <w:rPr>
          <w:rFonts w:ascii="宋体" w:hAnsi="宋体" w:cs="宋体" w:eastAsia="宋体" w:hint="default"/>
          <w:sz w:val="18"/>
          <w:szCs w:val="18"/>
        </w:rPr>
      </w:pPr>
      <w:r>
        <w:rPr>
          <w:rFonts w:ascii="宋体" w:hAnsi="宋体" w:cs="宋体" w:eastAsia="宋体" w:hint="default"/>
          <w:sz w:val="18"/>
          <w:szCs w:val="18"/>
        </w:rPr>
        <w:t>□ 是 √ 否</w:t>
      </w:r>
    </w:p>
    <w:p>
      <w:pPr>
        <w:spacing w:line="240" w:lineRule="auto" w:before="10"/>
        <w:rPr>
          <w:rFonts w:ascii="宋体" w:hAnsi="宋体" w:cs="宋体" w:eastAsia="宋体" w:hint="default"/>
          <w:sz w:val="26"/>
          <w:szCs w:val="26"/>
        </w:rPr>
      </w:pPr>
    </w:p>
    <w:p>
      <w:pPr>
        <w:spacing w:before="0"/>
        <w:ind w:left="114" w:right="0" w:firstLine="0"/>
        <w:jc w:val="both"/>
        <w:rPr>
          <w:rFonts w:ascii="宋体" w:hAnsi="宋体" w:cs="宋体" w:eastAsia="宋体" w:hint="default"/>
          <w:sz w:val="21"/>
          <w:szCs w:val="21"/>
        </w:rPr>
      </w:pPr>
      <w:bookmarkStart w:name="（5）购买日或合并当期期末无法合理确定合并对价或被购买方可辨认资产、负债公允价值" w:id="394"/>
      <w:bookmarkEnd w:id="39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）购买日或合并当期期末无法合理确定合并对价或被购买方可辨认资产、负债公允价值的相关说明</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both"/>
        <w:rPr>
          <w:rFonts w:ascii="宋体" w:hAnsi="宋体" w:cs="宋体" w:eastAsia="宋体" w:hint="default"/>
          <w:sz w:val="21"/>
          <w:szCs w:val="21"/>
        </w:rPr>
      </w:pPr>
      <w:bookmarkStart w:name="（6）其他说明" w:id="395"/>
      <w:bookmarkEnd w:id="39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）其他说明</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both"/>
        <w:rPr>
          <w:rFonts w:ascii="宋体" w:hAnsi="宋体" w:cs="宋体" w:eastAsia="宋体" w:hint="default"/>
          <w:sz w:val="21"/>
          <w:szCs w:val="21"/>
        </w:rPr>
      </w:pPr>
      <w:bookmarkStart w:name="2、同一控制下企业合并" w:id="396"/>
      <w:bookmarkEnd w:id="396"/>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、同一控制下企业合并</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both"/>
        <w:rPr>
          <w:rFonts w:ascii="宋体" w:hAnsi="宋体" w:cs="宋体" w:eastAsia="宋体" w:hint="default"/>
          <w:sz w:val="21"/>
          <w:szCs w:val="21"/>
        </w:rPr>
      </w:pPr>
      <w:bookmarkStart w:name="（1）本期发生的同一控制下企业合并" w:id="397"/>
      <w:bookmarkEnd w:id="39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）本期发生的同一控制下企业合并</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1"/>
        <w:gridCol w:w="1061"/>
        <w:gridCol w:w="1063"/>
        <w:gridCol w:w="1065"/>
        <w:gridCol w:w="1064"/>
        <w:gridCol w:w="1063"/>
        <w:gridCol w:w="1065"/>
        <w:gridCol w:w="1064"/>
        <w:gridCol w:w="1063"/>
      </w:tblGrid>
      <w:tr>
        <w:trPr>
          <w:trHeight w:val="1650" w:hRule="exact"/>
        </w:trPr>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9" w:lineRule="auto"/>
              <w:ind w:left="345" w:right="165" w:hanging="180"/>
              <w:jc w:val="left"/>
              <w:rPr>
                <w:rFonts w:ascii="宋体" w:hAnsi="宋体" w:cs="宋体" w:eastAsia="宋体" w:hint="default"/>
                <w:sz w:val="18"/>
                <w:szCs w:val="18"/>
              </w:rPr>
            </w:pPr>
            <w:r>
              <w:rPr>
                <w:rFonts w:ascii="宋体" w:hAnsi="宋体" w:cs="宋体" w:eastAsia="宋体" w:hint="default"/>
                <w:sz w:val="18"/>
                <w:szCs w:val="18"/>
              </w:rPr>
              <w:t>被合并方 名称</w:t>
            </w: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65" w:right="163"/>
              <w:jc w:val="both"/>
              <w:rPr>
                <w:rFonts w:ascii="宋体" w:hAnsi="宋体" w:cs="宋体" w:eastAsia="宋体" w:hint="default"/>
                <w:sz w:val="18"/>
                <w:szCs w:val="18"/>
              </w:rPr>
            </w:pPr>
            <w:r>
              <w:rPr>
                <w:rFonts w:ascii="宋体" w:hAnsi="宋体" w:cs="宋体" w:eastAsia="宋体" w:hint="default"/>
                <w:sz w:val="18"/>
                <w:szCs w:val="18"/>
              </w:rPr>
              <w:t>企业合并 中取得的 权益比例</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9" w:lineRule="auto"/>
              <w:ind w:left="166" w:right="164"/>
              <w:jc w:val="center"/>
              <w:rPr>
                <w:rFonts w:ascii="宋体" w:hAnsi="宋体" w:cs="宋体" w:eastAsia="宋体" w:hint="default"/>
                <w:sz w:val="18"/>
                <w:szCs w:val="18"/>
              </w:rPr>
            </w:pPr>
            <w:r>
              <w:rPr>
                <w:rFonts w:ascii="宋体" w:hAnsi="宋体" w:cs="宋体" w:eastAsia="宋体" w:hint="default"/>
                <w:sz w:val="18"/>
                <w:szCs w:val="18"/>
              </w:rPr>
              <w:t>构成同一 控制下企 业合并的 依据</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256" w:right="0"/>
              <w:jc w:val="left"/>
              <w:rPr>
                <w:rFonts w:ascii="宋体" w:hAnsi="宋体" w:cs="宋体" w:eastAsia="宋体" w:hint="default"/>
                <w:sz w:val="18"/>
                <w:szCs w:val="18"/>
              </w:rPr>
            </w:pPr>
            <w:r>
              <w:rPr>
                <w:rFonts w:ascii="宋体" w:hAnsi="宋体" w:cs="宋体" w:eastAsia="宋体" w:hint="default"/>
                <w:sz w:val="18"/>
                <w:szCs w:val="18"/>
              </w:rPr>
              <w:t>合并日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319" w:lineRule="auto"/>
              <w:ind w:left="166" w:right="167"/>
              <w:jc w:val="left"/>
              <w:rPr>
                <w:rFonts w:ascii="宋体" w:hAnsi="宋体" w:cs="宋体" w:eastAsia="宋体" w:hint="default"/>
                <w:sz w:val="18"/>
                <w:szCs w:val="18"/>
              </w:rPr>
            </w:pPr>
            <w:r>
              <w:rPr>
                <w:rFonts w:ascii="宋体" w:hAnsi="宋体" w:cs="宋体" w:eastAsia="宋体" w:hint="default"/>
                <w:sz w:val="18"/>
                <w:szCs w:val="18"/>
              </w:rPr>
              <w:t>合并日的 确定依据</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65" w:right="167"/>
              <w:jc w:val="center"/>
              <w:rPr>
                <w:rFonts w:ascii="宋体" w:hAnsi="宋体" w:cs="宋体" w:eastAsia="宋体" w:hint="default"/>
                <w:sz w:val="18"/>
                <w:szCs w:val="18"/>
              </w:rPr>
            </w:pPr>
            <w:r>
              <w:rPr>
                <w:rFonts w:ascii="宋体" w:hAnsi="宋体" w:cs="宋体" w:eastAsia="宋体" w:hint="default"/>
                <w:sz w:val="18"/>
                <w:szCs w:val="18"/>
              </w:rPr>
              <w:t>合并当期 期初至合 并日被合 并方的收 入</w:t>
            </w:r>
          </w:p>
        </w:tc>
        <w:tc>
          <w:tcPr>
            <w:tcW w:w="106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66" w:right="166"/>
              <w:jc w:val="center"/>
              <w:rPr>
                <w:rFonts w:ascii="宋体" w:hAnsi="宋体" w:cs="宋体" w:eastAsia="宋体" w:hint="default"/>
                <w:sz w:val="18"/>
                <w:szCs w:val="18"/>
              </w:rPr>
            </w:pPr>
            <w:r>
              <w:rPr>
                <w:rFonts w:ascii="宋体" w:hAnsi="宋体" w:cs="宋体" w:eastAsia="宋体" w:hint="default"/>
                <w:sz w:val="18"/>
                <w:szCs w:val="18"/>
              </w:rPr>
              <w:t>合并当期 期初至合 并日被合 并方的净 利润</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66" w:right="167"/>
              <w:jc w:val="both"/>
              <w:rPr>
                <w:rFonts w:ascii="宋体" w:hAnsi="宋体" w:cs="宋体" w:eastAsia="宋体" w:hint="default"/>
                <w:sz w:val="18"/>
                <w:szCs w:val="18"/>
              </w:rPr>
            </w:pPr>
            <w:r>
              <w:rPr>
                <w:rFonts w:ascii="宋体" w:hAnsi="宋体" w:cs="宋体" w:eastAsia="宋体" w:hint="default"/>
                <w:sz w:val="18"/>
                <w:szCs w:val="18"/>
              </w:rPr>
              <w:t>比较期间 被合并方 的收入</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9" w:lineRule="auto" w:before="128"/>
              <w:ind w:left="165" w:right="167"/>
              <w:jc w:val="both"/>
              <w:rPr>
                <w:rFonts w:ascii="宋体" w:hAnsi="宋体" w:cs="宋体" w:eastAsia="宋体" w:hint="default"/>
                <w:sz w:val="18"/>
                <w:szCs w:val="18"/>
              </w:rPr>
            </w:pPr>
            <w:r>
              <w:rPr>
                <w:rFonts w:ascii="宋体" w:hAnsi="宋体" w:cs="宋体" w:eastAsia="宋体" w:hint="default"/>
                <w:sz w:val="18"/>
                <w:szCs w:val="18"/>
              </w:rPr>
              <w:t>比较期间 被合并方 的净利润</w:t>
            </w:r>
          </w:p>
        </w:tc>
      </w:tr>
      <w:tr>
        <w:trPr>
          <w:trHeight w:val="1027"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26"/>
              <w:jc w:val="both"/>
              <w:rPr>
                <w:rFonts w:ascii="宋体" w:hAnsi="宋体" w:cs="宋体" w:eastAsia="宋体" w:hint="default"/>
                <w:sz w:val="18"/>
                <w:szCs w:val="18"/>
              </w:rPr>
            </w:pPr>
            <w:r>
              <w:rPr>
                <w:rFonts w:ascii="宋体" w:hAnsi="宋体" w:cs="宋体" w:eastAsia="宋体" w:hint="default"/>
                <w:sz w:val="18"/>
                <w:szCs w:val="18"/>
              </w:rPr>
              <w:t>信发资产 管理有限 责任公司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393" w:right="0"/>
              <w:jc w:val="left"/>
              <w:rPr>
                <w:rFonts w:ascii="Times New Roman" w:hAnsi="Times New Roman" w:cs="Times New Roman" w:eastAsia="Times New Roman" w:hint="default"/>
                <w:sz w:val="18"/>
                <w:szCs w:val="18"/>
              </w:rPr>
            </w:pPr>
            <w:r>
              <w:rPr>
                <w:rFonts w:ascii="Times New Roman"/>
                <w:sz w:val="18"/>
              </w:rPr>
              <w:t>60.00%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48"/>
              <w:jc w:val="left"/>
              <w:rPr>
                <w:rFonts w:ascii="宋体" w:hAnsi="宋体" w:cs="宋体" w:eastAsia="宋体" w:hint="default"/>
                <w:sz w:val="18"/>
                <w:szCs w:val="18"/>
              </w:rPr>
            </w:pPr>
            <w:r>
              <w:rPr>
                <w:rFonts w:ascii="宋体" w:hAnsi="宋体" w:cs="宋体" w:eastAsia="宋体" w:hint="default"/>
                <w:sz w:val="18"/>
                <w:szCs w:val="18"/>
              </w:rPr>
              <w:t>合并前后 受同一方 控制（注）</w:t>
            </w:r>
          </w:p>
        </w:tc>
        <w:tc>
          <w:tcPr>
            <w:tcW w:w="106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2018 </w:t>
            </w:r>
            <w:r>
              <w:rPr>
                <w:rFonts w:ascii="宋体" w:hAnsi="宋体" w:cs="宋体" w:eastAsia="宋体" w:hint="default"/>
                <w:sz w:val="18"/>
                <w:szCs w:val="18"/>
              </w:rPr>
              <w:t>年</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08</w:t>
            </w:r>
          </w:p>
          <w:p>
            <w:pPr>
              <w:pStyle w:val="TableParagraph"/>
              <w:spacing w:line="240" w:lineRule="auto" w:before="63"/>
              <w:ind w:left="103" w:right="0"/>
              <w:jc w:val="left"/>
              <w:rPr>
                <w:rFonts w:ascii="宋体" w:hAnsi="宋体" w:cs="宋体" w:eastAsia="宋体" w:hint="default"/>
                <w:sz w:val="18"/>
                <w:szCs w:val="18"/>
              </w:rPr>
            </w:pP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229"/>
              <w:jc w:val="left"/>
              <w:rPr>
                <w:rFonts w:ascii="宋体" w:hAnsi="宋体" w:cs="宋体" w:eastAsia="宋体" w:hint="default"/>
                <w:sz w:val="18"/>
                <w:szCs w:val="18"/>
              </w:rPr>
            </w:pPr>
            <w:r>
              <w:rPr>
                <w:rFonts w:ascii="宋体" w:hAnsi="宋体" w:cs="宋体" w:eastAsia="宋体" w:hint="default"/>
                <w:sz w:val="18"/>
                <w:szCs w:val="18"/>
              </w:rPr>
              <w:t>获得控制 权日期</w:t>
            </w:r>
          </w:p>
          <w:p>
            <w:pPr>
              <w:pStyle w:val="TableParagraph"/>
              <w:spacing w:line="240" w:lineRule="auto" w:before="20"/>
              <w:ind w:left="103" w:right="0"/>
              <w:jc w:val="left"/>
              <w:rPr>
                <w:rFonts w:ascii="宋体" w:hAnsi="宋体" w:cs="宋体" w:eastAsia="宋体" w:hint="default"/>
                <w:sz w:val="18"/>
                <w:szCs w:val="18"/>
              </w:rPr>
            </w:pPr>
            <w:r>
              <w:rPr>
                <w:rFonts w:ascii="宋体" w:hAnsi="宋体" w:cs="宋体" w:eastAsia="宋体" w:hint="default"/>
                <w:sz w:val="18"/>
                <w:szCs w:val="18"/>
              </w:rPr>
              <w:t>（注）</w:t>
            </w:r>
          </w:p>
        </w:tc>
        <w:tc>
          <w:tcPr>
            <w:tcW w:w="1063" w:type="dxa"/>
            <w:tcBorders>
              <w:top w:val="single" w:sz="4" w:space="0" w:color="000000"/>
              <w:left w:val="single" w:sz="4" w:space="0" w:color="000000"/>
              <w:bottom w:val="single" w:sz="4" w:space="0" w:color="000000"/>
              <w:right w:val="single" w:sz="4" w:space="0" w:color="000000"/>
            </w:tcBorders>
          </w:tcPr>
          <w:p>
            <w:pPr/>
          </w:p>
        </w:tc>
        <w:tc>
          <w:tcPr>
            <w:tcW w:w="1065" w:type="dxa"/>
            <w:tcBorders>
              <w:top w:val="single" w:sz="4" w:space="0" w:color="000000"/>
              <w:left w:val="single" w:sz="4" w:space="0" w:color="000000"/>
              <w:bottom w:val="single" w:sz="4" w:space="0" w:color="000000"/>
              <w:right w:val="single" w:sz="4" w:space="0" w:color="000000"/>
            </w:tcBorders>
          </w:tcPr>
          <w:p>
            <w:pPr/>
          </w:p>
        </w:tc>
        <w:tc>
          <w:tcPr>
            <w:tcW w:w="1064" w:type="dxa"/>
            <w:tcBorders>
              <w:top w:val="single" w:sz="4" w:space="0" w:color="000000"/>
              <w:left w:val="single" w:sz="4" w:space="0" w:color="000000"/>
              <w:bottom w:val="single" w:sz="4" w:space="0" w:color="000000"/>
              <w:right w:val="single" w:sz="4" w:space="0" w:color="000000"/>
            </w:tcBorders>
          </w:tcPr>
          <w:p>
            <w:pPr/>
          </w:p>
        </w:tc>
        <w:tc>
          <w:tcPr>
            <w:tcW w:w="1063"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9" w:footer="1019" w:top="1140" w:bottom="1200" w:left="1020" w:right="0"/>
        </w:sectPr>
      </w:pPr>
    </w:p>
    <w:p>
      <w:pPr>
        <w:spacing w:before="51"/>
        <w:ind w:left="114" w:right="-2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2"/>
        <w:rPr>
          <w:rFonts w:ascii="宋体" w:hAnsi="宋体" w:cs="宋体" w:eastAsia="宋体" w:hint="default"/>
          <w:sz w:val="16"/>
          <w:szCs w:val="16"/>
        </w:rPr>
      </w:pPr>
      <w:r>
        <w:rPr/>
        <w:br w:type="column"/>
      </w:r>
      <w:r>
        <w:rPr>
          <w:rFonts w:ascii="宋体"/>
          <w:sz w:val="16"/>
        </w:rPr>
      </w:r>
    </w:p>
    <w:p>
      <w:pPr>
        <w:spacing w:line="440" w:lineRule="atLeast" w:before="0"/>
        <w:ind w:left="534" w:right="0" w:firstLine="1"/>
        <w:jc w:val="left"/>
        <w:rPr>
          <w:rFonts w:ascii="宋体" w:hAnsi="宋体" w:cs="宋体" w:eastAsia="宋体" w:hint="default"/>
          <w:sz w:val="21"/>
          <w:szCs w:val="21"/>
        </w:rPr>
      </w:pPr>
      <w:r>
        <w:rPr>
          <w:rFonts w:ascii="宋体" w:hAnsi="宋体" w:cs="宋体" w:eastAsia="宋体" w:hint="default"/>
          <w:b/>
          <w:bCs/>
          <w:sz w:val="21"/>
          <w:szCs w:val="21"/>
        </w:rPr>
        <w:t>注：构成同一控制下企业合并的依据及合并日的确定依据：</w:t>
      </w:r>
      <w:r>
        <w:rPr>
          <w:rFonts w:ascii="宋体" w:hAnsi="宋体" w:cs="宋体" w:eastAsia="宋体" w:hint="default"/>
          <w:b/>
          <w:bCs/>
          <w:w w:val="99"/>
          <w:sz w:val="21"/>
          <w:szCs w:val="21"/>
        </w:rPr>
        <w:t> </w:t>
      </w:r>
      <w:r>
        <w:rPr>
          <w:rFonts w:ascii="宋体" w:hAnsi="宋体" w:cs="宋体" w:eastAsia="宋体" w:hint="default"/>
          <w:spacing w:val="3"/>
          <w:sz w:val="21"/>
          <w:szCs w:val="21"/>
        </w:rPr>
        <w:t>信发资产管理有限责任公司于</w:t>
      </w:r>
      <w:r>
        <w:rPr>
          <w:rFonts w:ascii="Times New Roman" w:hAnsi="Times New Roman" w:cs="Times New Roman" w:eastAsia="Times New Roman" w:hint="default"/>
          <w:spacing w:val="3"/>
          <w:sz w:val="21"/>
          <w:szCs w:val="21"/>
        </w:rPr>
        <w:t>2018</w:t>
      </w:r>
      <w:r>
        <w:rPr>
          <w:rFonts w:ascii="宋体" w:hAnsi="宋体" w:cs="宋体" w:eastAsia="宋体" w:hint="default"/>
          <w:spacing w:val="3"/>
          <w:sz w:val="21"/>
          <w:szCs w:val="21"/>
        </w:rPr>
        <w:t>年</w:t>
      </w:r>
      <w:r>
        <w:rPr>
          <w:rFonts w:ascii="Times New Roman" w:hAnsi="Times New Roman" w:cs="Times New Roman" w:eastAsia="Times New Roman" w:hint="default"/>
          <w:spacing w:val="3"/>
          <w:sz w:val="21"/>
          <w:szCs w:val="21"/>
        </w:rPr>
        <w:t>1</w:t>
      </w:r>
      <w:r>
        <w:rPr>
          <w:rFonts w:ascii="宋体" w:hAnsi="宋体" w:cs="宋体" w:eastAsia="宋体" w:hint="default"/>
          <w:spacing w:val="3"/>
          <w:sz w:val="21"/>
          <w:szCs w:val="21"/>
        </w:rPr>
        <w:t>月</w:t>
      </w:r>
      <w:r>
        <w:rPr>
          <w:rFonts w:ascii="Times New Roman" w:hAnsi="Times New Roman" w:cs="Times New Roman" w:eastAsia="Times New Roman" w:hint="default"/>
          <w:spacing w:val="3"/>
          <w:sz w:val="21"/>
          <w:szCs w:val="21"/>
        </w:rPr>
        <w:t>9</w:t>
      </w:r>
      <w:r>
        <w:rPr>
          <w:rFonts w:ascii="宋体" w:hAnsi="宋体" w:cs="宋体" w:eastAsia="宋体" w:hint="default"/>
          <w:spacing w:val="3"/>
          <w:sz w:val="21"/>
          <w:szCs w:val="21"/>
        </w:rPr>
        <w:t>日由公司实际控制人张曙华和控股股东上海</w:t>
      </w:r>
    </w:p>
    <w:p>
      <w:pPr>
        <w:spacing w:line="256" w:lineRule="auto" w:before="21"/>
        <w:ind w:left="114" w:right="1129" w:firstLine="0"/>
        <w:jc w:val="both"/>
        <w:rPr>
          <w:rFonts w:ascii="宋体" w:hAnsi="宋体" w:cs="宋体" w:eastAsia="宋体" w:hint="default"/>
          <w:sz w:val="21"/>
          <w:szCs w:val="21"/>
        </w:rPr>
      </w:pPr>
      <w:r>
        <w:rPr>
          <w:rFonts w:ascii="宋体" w:hAnsi="宋体" w:cs="宋体" w:eastAsia="宋体" w:hint="default"/>
          <w:sz w:val="21"/>
          <w:szCs w:val="21"/>
        </w:rPr>
        <w:t>中信息电子发展有限公司共同发起设立，该公司注册资本为人民币</w:t>
      </w:r>
      <w:r>
        <w:rPr>
          <w:rFonts w:ascii="Times New Roman" w:hAnsi="Times New Roman" w:cs="Times New Roman" w:eastAsia="Times New Roman" w:hint="default"/>
          <w:sz w:val="21"/>
          <w:szCs w:val="21"/>
        </w:rPr>
        <w:t>5,000.00</w:t>
      </w:r>
      <w:r>
        <w:rPr>
          <w:rFonts w:ascii="宋体" w:hAnsi="宋体" w:cs="宋体" w:eastAsia="宋体" w:hint="default"/>
          <w:sz w:val="21"/>
          <w:szCs w:val="21"/>
        </w:rPr>
        <w:t>万元，张曙华认</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缴出资额为</w:t>
      </w:r>
      <w:r>
        <w:rPr>
          <w:rFonts w:ascii="Times New Roman" w:hAnsi="Times New Roman" w:cs="Times New Roman" w:eastAsia="Times New Roman" w:hint="default"/>
          <w:sz w:val="21"/>
          <w:szCs w:val="21"/>
        </w:rPr>
        <w:t>3,500</w:t>
      </w:r>
      <w:r>
        <w:rPr>
          <w:rFonts w:ascii="宋体" w:hAnsi="宋体" w:cs="宋体" w:eastAsia="宋体" w:hint="default"/>
          <w:sz w:val="21"/>
          <w:szCs w:val="21"/>
        </w:rPr>
        <w:t>万元，上海中信息电子发展有限公司认缴出资额为</w:t>
      </w:r>
      <w:r>
        <w:rPr>
          <w:rFonts w:ascii="Times New Roman" w:hAnsi="Times New Roman" w:cs="Times New Roman" w:eastAsia="Times New Roman" w:hint="default"/>
          <w:sz w:val="21"/>
          <w:szCs w:val="21"/>
        </w:rPr>
        <w:t>1,500</w:t>
      </w:r>
      <w:r>
        <w:rPr>
          <w:rFonts w:ascii="宋体" w:hAnsi="宋体" w:cs="宋体" w:eastAsia="宋体" w:hint="default"/>
          <w:sz w:val="21"/>
          <w:szCs w:val="21"/>
        </w:rPr>
        <w:t>万元。经营范围：</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2"/>
          <w:sz w:val="21"/>
          <w:szCs w:val="21"/>
        </w:rPr>
        <w:t>投资管理</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投资咨询</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实业投资</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资产管理。【依法须经批准的项目</w:t>
      </w:r>
      <w:r>
        <w:rPr>
          <w:rFonts w:ascii="Times New Roman" w:hAnsi="Times New Roman" w:cs="Times New Roman" w:eastAsia="Times New Roman" w:hint="default"/>
          <w:spacing w:val="-2"/>
          <w:sz w:val="21"/>
          <w:szCs w:val="21"/>
        </w:rPr>
        <w:t>,</w:t>
      </w:r>
      <w:r>
        <w:rPr>
          <w:rFonts w:ascii="宋体" w:hAnsi="宋体" w:cs="宋体" w:eastAsia="宋体" w:hint="default"/>
          <w:spacing w:val="-2"/>
          <w:sz w:val="21"/>
          <w:szCs w:val="21"/>
        </w:rPr>
        <w:t>经相关部门批准后方可开展</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pacing w:val="-18"/>
          <w:sz w:val="21"/>
          <w:szCs w:val="21"/>
        </w:rPr>
        <w:t>经营活动】。</w:t>
      </w:r>
    </w:p>
    <w:p>
      <w:pPr>
        <w:spacing w:line="264" w:lineRule="auto" w:before="22"/>
        <w:ind w:left="114" w:right="1137" w:firstLine="420"/>
        <w:jc w:val="both"/>
        <w:rPr>
          <w:rFonts w:ascii="宋体" w:hAnsi="宋体" w:cs="宋体" w:eastAsia="宋体" w:hint="default"/>
          <w:sz w:val="21"/>
          <w:szCs w:val="21"/>
        </w:rPr>
      </w:pP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7</w:t>
      </w:r>
      <w:r>
        <w:rPr>
          <w:rFonts w:ascii="宋体" w:hAnsi="宋体" w:cs="宋体" w:eastAsia="宋体" w:hint="default"/>
          <w:sz w:val="21"/>
          <w:szCs w:val="21"/>
        </w:rPr>
        <w:t>月</w:t>
      </w:r>
      <w:r>
        <w:rPr>
          <w:rFonts w:ascii="Times New Roman" w:hAnsi="Times New Roman" w:cs="Times New Roman" w:eastAsia="Times New Roman" w:hint="default"/>
          <w:sz w:val="21"/>
          <w:szCs w:val="21"/>
        </w:rPr>
        <w:t>20</w:t>
      </w:r>
      <w:r>
        <w:rPr>
          <w:rFonts w:ascii="宋体" w:hAnsi="宋体" w:cs="宋体" w:eastAsia="宋体" w:hint="default"/>
          <w:sz w:val="21"/>
          <w:szCs w:val="21"/>
        </w:rPr>
        <w:t>日，张曙华、上海中信息电子发展有限公司、本公司、上海众至企业管理 </w:t>
      </w:r>
      <w:r>
        <w:rPr>
          <w:rFonts w:ascii="宋体" w:hAnsi="宋体" w:cs="宋体" w:eastAsia="宋体" w:hint="default"/>
          <w:spacing w:val="-2"/>
          <w:sz w:val="21"/>
          <w:szCs w:val="21"/>
        </w:rPr>
        <w:t>咨询合伙企业（有限合伙）、上海成城企业管理咨询合伙企业（有限合伙）签订股权转让协</w:t>
      </w:r>
      <w:r>
        <w:rPr>
          <w:rFonts w:ascii="宋体" w:hAnsi="宋体" w:cs="宋体" w:eastAsia="宋体" w:hint="default"/>
          <w:spacing w:val="-77"/>
          <w:sz w:val="21"/>
          <w:szCs w:val="21"/>
        </w:rPr>
        <w:t> </w:t>
      </w:r>
      <w:r>
        <w:rPr>
          <w:rFonts w:ascii="宋体" w:hAnsi="宋体" w:cs="宋体" w:eastAsia="宋体" w:hint="default"/>
          <w:spacing w:val="-77"/>
          <w:sz w:val="21"/>
          <w:szCs w:val="21"/>
        </w:rPr>
      </w:r>
      <w:r>
        <w:rPr>
          <w:rFonts w:ascii="宋体" w:hAnsi="宋体" w:cs="宋体" w:eastAsia="宋体" w:hint="default"/>
          <w:sz w:val="21"/>
          <w:szCs w:val="21"/>
        </w:rPr>
        <w:t>议，本次转让的具体情况如下：</w:t>
      </w:r>
    </w:p>
    <w:p>
      <w:pPr>
        <w:spacing w:after="0" w:line="264" w:lineRule="auto"/>
        <w:jc w:val="both"/>
        <w:rPr>
          <w:rFonts w:ascii="宋体" w:hAnsi="宋体" w:cs="宋体" w:eastAsia="宋体" w:hint="default"/>
          <w:sz w:val="21"/>
          <w:szCs w:val="21"/>
        </w:rPr>
        <w:sectPr>
          <w:type w:val="continuous"/>
          <w:pgSz w:w="11910" w:h="16840"/>
          <w:pgMar w:top="1140" w:bottom="1200" w:left="1020" w:right="0"/>
          <w:cols w:num="2" w:equalWidth="0">
            <w:col w:w="1015" w:space="261"/>
            <w:col w:w="9614"/>
          </w:cols>
        </w:sectPr>
      </w:pPr>
    </w:p>
    <w:p>
      <w:pPr>
        <w:spacing w:line="240" w:lineRule="auto" w:before="3"/>
        <w:rPr>
          <w:rFonts w:ascii="宋体" w:hAnsi="宋体" w:cs="宋体" w:eastAsia="宋体" w:hint="default"/>
          <w:sz w:val="26"/>
          <w:szCs w:val="26"/>
        </w:rPr>
      </w:pPr>
    </w:p>
    <w:tbl>
      <w:tblPr>
        <w:tblW w:w="0" w:type="auto"/>
        <w:jc w:val="left"/>
        <w:tblInd w:w="713" w:type="dxa"/>
        <w:tblLayout w:type="fixed"/>
        <w:tblCellMar>
          <w:top w:w="0" w:type="dxa"/>
          <w:left w:w="0" w:type="dxa"/>
          <w:bottom w:w="0" w:type="dxa"/>
          <w:right w:w="0" w:type="dxa"/>
        </w:tblCellMar>
        <w:tblLook w:val="01E0"/>
      </w:tblPr>
      <w:tblGrid>
        <w:gridCol w:w="2066"/>
        <w:gridCol w:w="1497"/>
        <w:gridCol w:w="1189"/>
        <w:gridCol w:w="3064"/>
      </w:tblGrid>
      <w:tr>
        <w:trPr>
          <w:trHeight w:val="667" w:hRule="exact"/>
        </w:trPr>
        <w:tc>
          <w:tcPr>
            <w:tcW w:w="2066"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转让方</w:t>
            </w:r>
          </w:p>
        </w:tc>
        <w:tc>
          <w:tcPr>
            <w:tcW w:w="1497" w:type="dxa"/>
            <w:tcBorders>
              <w:top w:val="single" w:sz="6" w:space="0" w:color="000000"/>
              <w:left w:val="single" w:sz="6" w:space="0" w:color="000000"/>
              <w:bottom w:val="single" w:sz="12" w:space="0" w:color="000000"/>
              <w:right w:val="single" w:sz="6" w:space="0" w:color="000000"/>
            </w:tcBorders>
          </w:tcPr>
          <w:p>
            <w:pPr>
              <w:pStyle w:val="TableParagraph"/>
              <w:spacing w:line="273" w:lineRule="auto"/>
              <w:ind w:left="530" w:right="4" w:hanging="525"/>
              <w:jc w:val="left"/>
              <w:rPr>
                <w:rFonts w:ascii="宋体" w:hAnsi="宋体" w:cs="宋体" w:eastAsia="宋体" w:hint="default"/>
                <w:sz w:val="21"/>
                <w:szCs w:val="21"/>
              </w:rPr>
            </w:pPr>
            <w:r>
              <w:rPr>
                <w:rFonts w:ascii="宋体" w:hAnsi="宋体" w:cs="宋体" w:eastAsia="宋体" w:hint="default"/>
                <w:sz w:val="21"/>
                <w:szCs w:val="21"/>
              </w:rPr>
              <w:t>转让出资额（万 元）</w:t>
            </w:r>
          </w:p>
        </w:tc>
        <w:tc>
          <w:tcPr>
            <w:tcW w:w="1189" w:type="dxa"/>
            <w:tcBorders>
              <w:top w:val="single" w:sz="6" w:space="0" w:color="000000"/>
              <w:left w:val="single" w:sz="6" w:space="0" w:color="000000"/>
              <w:bottom w:val="single" w:sz="12" w:space="0" w:color="000000"/>
              <w:right w:val="single" w:sz="6" w:space="0" w:color="000000"/>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转让比</w:t>
            </w:r>
            <w:r>
              <w:rPr>
                <w:rFonts w:ascii="宋体" w:hAnsi="宋体" w:cs="宋体" w:eastAsia="宋体" w:hint="default"/>
                <w:spacing w:val="-92"/>
                <w:sz w:val="21"/>
                <w:szCs w:val="21"/>
              </w:rPr>
              <w:t>例</w:t>
            </w:r>
            <w:r>
              <w:rPr>
                <w:rFonts w:ascii="宋体" w:hAnsi="宋体" w:cs="宋体" w:eastAsia="宋体" w:hint="default"/>
                <w:spacing w:val="-1"/>
                <w:sz w:val="21"/>
                <w:szCs w:val="21"/>
              </w:rPr>
              <w:t>（</w:t>
            </w:r>
            <w:r>
              <w:rPr>
                <w:rFonts w:ascii="宋体" w:hAnsi="宋体" w:cs="宋体" w:eastAsia="宋体" w:hint="default"/>
                <w:sz w:val="21"/>
                <w:szCs w:val="21"/>
              </w:rPr>
              <w:t>%</w:t>
            </w:r>
          </w:p>
        </w:tc>
        <w:tc>
          <w:tcPr>
            <w:tcW w:w="3064" w:type="dxa"/>
            <w:tcBorders>
              <w:top w:val="single" w:sz="6" w:space="0" w:color="000000"/>
              <w:left w:val="single" w:sz="6" w:space="0" w:color="000000"/>
              <w:bottom w:val="single" w:sz="12" w:space="0" w:color="000000"/>
              <w:right w:val="nil" w:sz="6" w:space="0" w:color="auto"/>
            </w:tcBorders>
          </w:tcPr>
          <w:p>
            <w:pPr>
              <w:pStyle w:val="TableParagraph"/>
              <w:tabs>
                <w:tab w:pos="1208" w:val="left" w:leader="none"/>
              </w:tabs>
              <w:spacing w:line="271" w:lineRule="exact"/>
              <w:ind w:left="-123" w:right="0"/>
              <w:jc w:val="left"/>
              <w:rPr>
                <w:rFonts w:ascii="宋体" w:hAnsi="宋体" w:cs="宋体" w:eastAsia="宋体" w:hint="default"/>
                <w:sz w:val="21"/>
                <w:szCs w:val="21"/>
              </w:rPr>
            </w:pPr>
            <w:r>
              <w:rPr>
                <w:rFonts w:ascii="宋体" w:hAnsi="宋体" w:cs="宋体" w:eastAsia="宋体" w:hint="default"/>
                <w:sz w:val="21"/>
                <w:szCs w:val="21"/>
              </w:rPr>
              <w:t>）</w:t>
              <w:tab/>
              <w:t>受让方</w:t>
            </w:r>
          </w:p>
        </w:tc>
      </w:tr>
      <w:tr>
        <w:trPr>
          <w:trHeight w:val="353" w:hRule="exact"/>
        </w:trPr>
        <w:tc>
          <w:tcPr>
            <w:tcW w:w="2066" w:type="dxa"/>
            <w:vMerge w:val="restart"/>
            <w:tcBorders>
              <w:top w:val="single" w:sz="12" w:space="0" w:color="000000"/>
              <w:left w:val="single" w:sz="6" w:space="0" w:color="000000"/>
              <w:right w:val="single" w:sz="6" w:space="0" w:color="000000"/>
            </w:tcBorders>
          </w:tcPr>
          <w:p>
            <w:pPr>
              <w:pStyle w:val="TableParagraph"/>
              <w:spacing w:line="260" w:lineRule="exact"/>
              <w:ind w:right="1"/>
              <w:jc w:val="center"/>
              <w:rPr>
                <w:rFonts w:ascii="宋体" w:hAnsi="宋体" w:cs="宋体" w:eastAsia="宋体" w:hint="default"/>
                <w:sz w:val="21"/>
                <w:szCs w:val="21"/>
              </w:rPr>
            </w:pPr>
            <w:r>
              <w:rPr>
                <w:rFonts w:ascii="宋体" w:hAnsi="宋体" w:cs="宋体" w:eastAsia="宋体" w:hint="default"/>
                <w:sz w:val="21"/>
                <w:szCs w:val="21"/>
              </w:rPr>
              <w:t>张曙华</w:t>
            </w:r>
          </w:p>
        </w:tc>
        <w:tc>
          <w:tcPr>
            <w:tcW w:w="1497"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right"/>
              <w:rPr>
                <w:rFonts w:ascii="宋体" w:hAnsi="宋体" w:cs="宋体" w:eastAsia="宋体" w:hint="default"/>
                <w:sz w:val="21"/>
                <w:szCs w:val="21"/>
              </w:rPr>
            </w:pPr>
            <w:r>
              <w:rPr>
                <w:rFonts w:ascii="宋体"/>
                <w:sz w:val="21"/>
              </w:rPr>
              <w:t>1,500.00</w:t>
            </w:r>
          </w:p>
        </w:tc>
        <w:tc>
          <w:tcPr>
            <w:tcW w:w="118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2"/>
              <w:jc w:val="right"/>
              <w:rPr>
                <w:rFonts w:ascii="宋体" w:hAnsi="宋体" w:cs="宋体" w:eastAsia="宋体" w:hint="default"/>
                <w:sz w:val="21"/>
                <w:szCs w:val="21"/>
              </w:rPr>
            </w:pPr>
            <w:r>
              <w:rPr>
                <w:rFonts w:ascii="宋体"/>
                <w:sz w:val="21"/>
              </w:rPr>
              <w:t>30.00</w:t>
            </w:r>
          </w:p>
        </w:tc>
        <w:tc>
          <w:tcPr>
            <w:tcW w:w="3064"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本公司</w:t>
            </w:r>
          </w:p>
        </w:tc>
      </w:tr>
      <w:tr>
        <w:trPr>
          <w:trHeight w:val="352" w:hRule="exact"/>
        </w:trPr>
        <w:tc>
          <w:tcPr>
            <w:tcW w:w="2066" w:type="dxa"/>
            <w:vMerge/>
            <w:tcBorders>
              <w:left w:val="single" w:sz="6" w:space="0" w:color="000000"/>
              <w:bottom w:val="single" w:sz="12" w:space="0" w:color="000000"/>
              <w:right w:val="single" w:sz="6" w:space="0" w:color="000000"/>
            </w:tcBorders>
          </w:tcPr>
          <w:p>
            <w:pPr/>
          </w:p>
        </w:tc>
        <w:tc>
          <w:tcPr>
            <w:tcW w:w="1497"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right"/>
              <w:rPr>
                <w:rFonts w:ascii="宋体" w:hAnsi="宋体" w:cs="宋体" w:eastAsia="宋体" w:hint="default"/>
                <w:sz w:val="21"/>
                <w:szCs w:val="21"/>
              </w:rPr>
            </w:pPr>
            <w:r>
              <w:rPr>
                <w:rFonts w:ascii="宋体"/>
                <w:sz w:val="21"/>
              </w:rPr>
              <w:t>1,000.00</w:t>
            </w:r>
          </w:p>
        </w:tc>
        <w:tc>
          <w:tcPr>
            <w:tcW w:w="118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2"/>
              <w:jc w:val="right"/>
              <w:rPr>
                <w:rFonts w:ascii="宋体" w:hAnsi="宋体" w:cs="宋体" w:eastAsia="宋体" w:hint="default"/>
                <w:sz w:val="21"/>
                <w:szCs w:val="21"/>
              </w:rPr>
            </w:pPr>
            <w:r>
              <w:rPr>
                <w:rFonts w:ascii="宋体"/>
                <w:sz w:val="21"/>
              </w:rPr>
              <w:t>20.00</w:t>
            </w:r>
          </w:p>
        </w:tc>
        <w:tc>
          <w:tcPr>
            <w:tcW w:w="3064"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上海众至企业管理咨询合伙企业</w:t>
            </w:r>
          </w:p>
        </w:tc>
      </w:tr>
    </w:tbl>
    <w:p>
      <w:pPr>
        <w:spacing w:after="0" w:line="260" w:lineRule="exact"/>
        <w:jc w:val="left"/>
        <w:rPr>
          <w:rFonts w:ascii="宋体" w:hAnsi="宋体" w:cs="宋体" w:eastAsia="宋体" w:hint="default"/>
          <w:sz w:val="21"/>
          <w:szCs w:val="21"/>
        </w:rPr>
        <w:sectPr>
          <w:type w:val="continuous"/>
          <w:pgSz w:w="11910" w:h="16840"/>
          <w:pgMar w:top="1140" w:bottom="1200" w:left="1020" w:right="0"/>
        </w:sectPr>
      </w:pPr>
    </w:p>
    <w:p>
      <w:pPr>
        <w:spacing w:line="240" w:lineRule="auto" w:before="9"/>
        <w:rPr>
          <w:rFonts w:ascii="宋体" w:hAnsi="宋体" w:cs="宋体" w:eastAsia="宋体" w:hint="default"/>
          <w:sz w:val="22"/>
          <w:szCs w:val="22"/>
        </w:rPr>
      </w:pPr>
    </w:p>
    <w:tbl>
      <w:tblPr>
        <w:tblW w:w="0" w:type="auto"/>
        <w:jc w:val="left"/>
        <w:tblInd w:w="713" w:type="dxa"/>
        <w:tblLayout w:type="fixed"/>
        <w:tblCellMar>
          <w:top w:w="0" w:type="dxa"/>
          <w:left w:w="0" w:type="dxa"/>
          <w:bottom w:w="0" w:type="dxa"/>
          <w:right w:w="0" w:type="dxa"/>
        </w:tblCellMar>
        <w:tblLook w:val="01E0"/>
      </w:tblPr>
      <w:tblGrid>
        <w:gridCol w:w="2066"/>
        <w:gridCol w:w="1497"/>
        <w:gridCol w:w="1189"/>
        <w:gridCol w:w="3064"/>
      </w:tblGrid>
      <w:tr>
        <w:trPr>
          <w:trHeight w:val="355" w:hRule="exact"/>
        </w:trPr>
        <w:tc>
          <w:tcPr>
            <w:tcW w:w="2066" w:type="dxa"/>
            <w:vMerge w:val="restart"/>
            <w:tcBorders>
              <w:top w:val="single" w:sz="6" w:space="0" w:color="000000"/>
              <w:left w:val="single" w:sz="6" w:space="0" w:color="000000"/>
              <w:right w:val="single" w:sz="6" w:space="0" w:color="000000"/>
            </w:tcBorders>
          </w:tcPr>
          <w:p>
            <w:pPr/>
          </w:p>
        </w:tc>
        <w:tc>
          <w:tcPr>
            <w:tcW w:w="1497" w:type="dxa"/>
            <w:tcBorders>
              <w:top w:val="single" w:sz="6" w:space="0" w:color="000000"/>
              <w:left w:val="single" w:sz="6" w:space="0" w:color="000000"/>
              <w:bottom w:val="single" w:sz="12" w:space="0" w:color="000000"/>
              <w:right w:val="single" w:sz="6" w:space="0" w:color="000000"/>
            </w:tcBorders>
          </w:tcPr>
          <w:p>
            <w:pPr/>
          </w:p>
        </w:tc>
        <w:tc>
          <w:tcPr>
            <w:tcW w:w="1189" w:type="dxa"/>
            <w:tcBorders>
              <w:top w:val="single" w:sz="6" w:space="0" w:color="000000"/>
              <w:left w:val="single" w:sz="6" w:space="0" w:color="000000"/>
              <w:bottom w:val="single" w:sz="12" w:space="0" w:color="000000"/>
              <w:right w:val="single" w:sz="6" w:space="0" w:color="000000"/>
            </w:tcBorders>
          </w:tcPr>
          <w:p>
            <w:pPr/>
          </w:p>
        </w:tc>
        <w:tc>
          <w:tcPr>
            <w:tcW w:w="3064" w:type="dxa"/>
            <w:tcBorders>
              <w:top w:val="single" w:sz="6" w:space="0" w:color="000000"/>
              <w:left w:val="single" w:sz="6" w:space="0" w:color="000000"/>
              <w:bottom w:val="single" w:sz="12" w:space="0" w:color="000000"/>
              <w:right w:val="nil" w:sz="6" w:space="0" w:color="auto"/>
            </w:tcBorders>
          </w:tcPr>
          <w:p>
            <w:pPr>
              <w:pStyle w:val="TableParagraph"/>
              <w:spacing w:line="271" w:lineRule="exact"/>
              <w:ind w:left="2" w:right="0"/>
              <w:jc w:val="left"/>
              <w:rPr>
                <w:rFonts w:ascii="宋体" w:hAnsi="宋体" w:cs="宋体" w:eastAsia="宋体" w:hint="default"/>
                <w:sz w:val="21"/>
                <w:szCs w:val="21"/>
              </w:rPr>
            </w:pPr>
            <w:r>
              <w:rPr>
                <w:rFonts w:ascii="宋体" w:hAnsi="宋体" w:cs="宋体" w:eastAsia="宋体" w:hint="default"/>
                <w:sz w:val="21"/>
                <w:szCs w:val="21"/>
              </w:rPr>
              <w:t>（有限合伙）</w:t>
            </w:r>
          </w:p>
        </w:tc>
      </w:tr>
      <w:tr>
        <w:trPr>
          <w:trHeight w:val="664" w:hRule="exact"/>
        </w:trPr>
        <w:tc>
          <w:tcPr>
            <w:tcW w:w="2066" w:type="dxa"/>
            <w:vMerge/>
            <w:tcBorders>
              <w:left w:val="single" w:sz="6" w:space="0" w:color="000000"/>
              <w:bottom w:val="single" w:sz="12" w:space="0" w:color="000000"/>
              <w:right w:val="single" w:sz="6" w:space="0" w:color="000000"/>
            </w:tcBorders>
          </w:tcPr>
          <w:p>
            <w:pPr/>
          </w:p>
        </w:tc>
        <w:tc>
          <w:tcPr>
            <w:tcW w:w="1497"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right"/>
              <w:rPr>
                <w:rFonts w:ascii="宋体" w:hAnsi="宋体" w:cs="宋体" w:eastAsia="宋体" w:hint="default"/>
                <w:sz w:val="21"/>
                <w:szCs w:val="21"/>
              </w:rPr>
            </w:pPr>
            <w:r>
              <w:rPr>
                <w:rFonts w:ascii="宋体"/>
                <w:sz w:val="21"/>
              </w:rPr>
              <w:t>1,000.00</w:t>
            </w:r>
          </w:p>
        </w:tc>
        <w:tc>
          <w:tcPr>
            <w:tcW w:w="118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2"/>
              <w:jc w:val="right"/>
              <w:rPr>
                <w:rFonts w:ascii="宋体" w:hAnsi="宋体" w:cs="宋体" w:eastAsia="宋体" w:hint="default"/>
                <w:sz w:val="21"/>
                <w:szCs w:val="21"/>
              </w:rPr>
            </w:pPr>
            <w:r>
              <w:rPr>
                <w:rFonts w:ascii="宋体"/>
                <w:sz w:val="21"/>
              </w:rPr>
              <w:t>20.00</w:t>
            </w:r>
          </w:p>
        </w:tc>
        <w:tc>
          <w:tcPr>
            <w:tcW w:w="3064"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上海成城企业管理咨询合伙企业</w:t>
            </w:r>
          </w:p>
          <w:p>
            <w:pPr>
              <w:pStyle w:val="TableParagraph"/>
              <w:spacing w:line="240" w:lineRule="auto" w:before="37"/>
              <w:ind w:left="2" w:right="0"/>
              <w:jc w:val="left"/>
              <w:rPr>
                <w:rFonts w:ascii="宋体" w:hAnsi="宋体" w:cs="宋体" w:eastAsia="宋体" w:hint="default"/>
                <w:sz w:val="21"/>
                <w:szCs w:val="21"/>
              </w:rPr>
            </w:pPr>
            <w:r>
              <w:rPr>
                <w:rFonts w:ascii="宋体" w:hAnsi="宋体" w:cs="宋体" w:eastAsia="宋体" w:hint="default"/>
                <w:sz w:val="21"/>
                <w:szCs w:val="21"/>
              </w:rPr>
              <w:t>（有限合伙）</w:t>
            </w:r>
          </w:p>
        </w:tc>
      </w:tr>
      <w:tr>
        <w:trPr>
          <w:trHeight w:val="665" w:hRule="exact"/>
        </w:trPr>
        <w:tc>
          <w:tcPr>
            <w:tcW w:w="2066"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上海中信息电子发展</w:t>
            </w:r>
          </w:p>
          <w:p>
            <w:pPr>
              <w:pStyle w:val="TableParagraph"/>
              <w:spacing w:line="240" w:lineRule="auto" w:before="37"/>
              <w:ind w:left="2" w:right="0"/>
              <w:jc w:val="left"/>
              <w:rPr>
                <w:rFonts w:ascii="宋体" w:hAnsi="宋体" w:cs="宋体" w:eastAsia="宋体" w:hint="default"/>
                <w:sz w:val="21"/>
                <w:szCs w:val="21"/>
              </w:rPr>
            </w:pPr>
            <w:r>
              <w:rPr>
                <w:rFonts w:ascii="宋体" w:hAnsi="宋体" w:cs="宋体" w:eastAsia="宋体" w:hint="default"/>
                <w:sz w:val="21"/>
                <w:szCs w:val="21"/>
              </w:rPr>
              <w:t>有限公司</w:t>
            </w:r>
          </w:p>
        </w:tc>
        <w:tc>
          <w:tcPr>
            <w:tcW w:w="1497"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right"/>
              <w:rPr>
                <w:rFonts w:ascii="宋体" w:hAnsi="宋体" w:cs="宋体" w:eastAsia="宋体" w:hint="default"/>
                <w:sz w:val="21"/>
                <w:szCs w:val="21"/>
              </w:rPr>
            </w:pPr>
            <w:r>
              <w:rPr>
                <w:rFonts w:ascii="宋体"/>
                <w:sz w:val="21"/>
              </w:rPr>
              <w:t>1,500.00</w:t>
            </w:r>
          </w:p>
        </w:tc>
        <w:tc>
          <w:tcPr>
            <w:tcW w:w="118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2"/>
              <w:jc w:val="right"/>
              <w:rPr>
                <w:rFonts w:ascii="宋体" w:hAnsi="宋体" w:cs="宋体" w:eastAsia="宋体" w:hint="default"/>
                <w:sz w:val="21"/>
                <w:szCs w:val="21"/>
              </w:rPr>
            </w:pPr>
            <w:r>
              <w:rPr>
                <w:rFonts w:ascii="宋体"/>
                <w:sz w:val="21"/>
              </w:rPr>
              <w:t>30.00</w:t>
            </w:r>
          </w:p>
        </w:tc>
        <w:tc>
          <w:tcPr>
            <w:tcW w:w="3064"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本公司</w:t>
            </w:r>
          </w:p>
        </w:tc>
      </w:tr>
    </w:tbl>
    <w:p>
      <w:pPr>
        <w:spacing w:line="276" w:lineRule="exact" w:before="0"/>
        <w:ind w:left="1923" w:right="0" w:firstLine="0"/>
        <w:jc w:val="left"/>
        <w:rPr>
          <w:rFonts w:ascii="宋体" w:hAnsi="宋体" w:cs="宋体" w:eastAsia="宋体" w:hint="default"/>
          <w:sz w:val="21"/>
          <w:szCs w:val="21"/>
        </w:rPr>
      </w:pPr>
      <w:r>
        <w:rPr>
          <w:rFonts w:ascii="宋体" w:hAnsi="宋体" w:cs="宋体" w:eastAsia="宋体" w:hint="default"/>
          <w:sz w:val="21"/>
          <w:szCs w:val="21"/>
        </w:rPr>
        <w:t>上述股权转让作价均为</w:t>
      </w:r>
      <w:r>
        <w:rPr>
          <w:rFonts w:ascii="Times New Roman" w:hAnsi="Times New Roman" w:cs="Times New Roman" w:eastAsia="Times New Roman" w:hint="default"/>
          <w:sz w:val="21"/>
          <w:szCs w:val="21"/>
        </w:rPr>
        <w:t>0</w:t>
      </w:r>
      <w:r>
        <w:rPr>
          <w:rFonts w:ascii="宋体" w:hAnsi="宋体" w:cs="宋体" w:eastAsia="宋体" w:hint="default"/>
          <w:sz w:val="21"/>
          <w:szCs w:val="21"/>
        </w:rPr>
        <w:t>元；</w:t>
      </w:r>
    </w:p>
    <w:p>
      <w:pPr>
        <w:spacing w:line="261" w:lineRule="auto" w:before="21"/>
        <w:ind w:left="1923" w:right="0" w:firstLine="0"/>
        <w:jc w:val="left"/>
        <w:rPr>
          <w:rFonts w:ascii="宋体" w:hAnsi="宋体" w:cs="宋体" w:eastAsia="宋体" w:hint="default"/>
          <w:sz w:val="21"/>
          <w:szCs w:val="21"/>
        </w:rPr>
      </w:pPr>
      <w:r>
        <w:rPr>
          <w:rFonts w:ascii="宋体" w:hAnsi="宋体" w:cs="宋体" w:eastAsia="宋体" w:hint="default"/>
          <w:spacing w:val="2"/>
          <w:sz w:val="21"/>
          <w:szCs w:val="21"/>
        </w:rPr>
        <w:t>上述股权转让后，本公司持有信发资产管理有限责任公司</w:t>
      </w:r>
      <w:r>
        <w:rPr>
          <w:rFonts w:ascii="Times New Roman" w:hAnsi="Times New Roman" w:cs="Times New Roman" w:eastAsia="Times New Roman" w:hint="default"/>
          <w:spacing w:val="2"/>
          <w:sz w:val="21"/>
          <w:szCs w:val="21"/>
        </w:rPr>
        <w:t>60%</w:t>
      </w:r>
      <w:r>
        <w:rPr>
          <w:rFonts w:ascii="宋体" w:hAnsi="宋体" w:cs="宋体" w:eastAsia="宋体" w:hint="default"/>
          <w:spacing w:val="2"/>
          <w:sz w:val="21"/>
          <w:szCs w:val="21"/>
        </w:rPr>
        <w:t>的股权，相对应的认缴</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出资为</w:t>
      </w:r>
      <w:r>
        <w:rPr>
          <w:rFonts w:ascii="Times New Roman" w:hAnsi="Times New Roman" w:cs="Times New Roman" w:eastAsia="Times New Roman" w:hint="default"/>
          <w:sz w:val="21"/>
          <w:szCs w:val="21"/>
        </w:rPr>
        <w:t>3,000</w:t>
      </w:r>
      <w:r>
        <w:rPr>
          <w:rFonts w:ascii="宋体" w:hAnsi="宋体" w:cs="宋体" w:eastAsia="宋体" w:hint="default"/>
          <w:sz w:val="21"/>
          <w:szCs w:val="21"/>
        </w:rPr>
        <w:t>万元。 </w:t>
      </w:r>
      <w:r>
        <w:rPr>
          <w:rFonts w:ascii="宋体" w:hAnsi="宋体" w:cs="宋体" w:eastAsia="宋体" w:hint="default"/>
          <w:spacing w:val="-2"/>
          <w:sz w:val="21"/>
          <w:szCs w:val="21"/>
        </w:rPr>
        <w:t>本次股权转让于</w:t>
      </w:r>
      <w:r>
        <w:rPr>
          <w:rFonts w:ascii="Times New Roman" w:hAnsi="Times New Roman" w:cs="Times New Roman" w:eastAsia="Times New Roman" w:hint="default"/>
          <w:spacing w:val="-2"/>
          <w:sz w:val="21"/>
          <w:szCs w:val="21"/>
        </w:rPr>
        <w:t>2018</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8</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27</w:t>
      </w:r>
      <w:r>
        <w:rPr>
          <w:rFonts w:ascii="宋体" w:hAnsi="宋体" w:cs="宋体" w:eastAsia="宋体" w:hint="default"/>
          <w:spacing w:val="-2"/>
          <w:sz w:val="21"/>
          <w:szCs w:val="21"/>
        </w:rPr>
        <w:t>日办妥工商变更登记，本公司与转让方张曙华、上海中信</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pacing w:val="-2"/>
          <w:sz w:val="21"/>
          <w:szCs w:val="21"/>
        </w:rPr>
        <w:t>息电子发展有限公司于</w:t>
      </w:r>
      <w:r>
        <w:rPr>
          <w:rFonts w:ascii="Times New Roman" w:hAnsi="Times New Roman" w:cs="Times New Roman" w:eastAsia="Times New Roman" w:hint="default"/>
          <w:spacing w:val="-2"/>
          <w:sz w:val="21"/>
          <w:szCs w:val="21"/>
        </w:rPr>
        <w:t>2018</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8</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31</w:t>
      </w:r>
      <w:r>
        <w:rPr>
          <w:rFonts w:ascii="宋体" w:hAnsi="宋体" w:cs="宋体" w:eastAsia="宋体" w:hint="default"/>
          <w:spacing w:val="-2"/>
          <w:sz w:val="21"/>
          <w:szCs w:val="21"/>
        </w:rPr>
        <w:t>日完成了对信发资产管理有限责任公司资产、财务</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等交接手续，交接完成后该公司纳入本公司实施管理。 信发资产管理有限责任公司在合并入本公司之前未发生经营活动，在合并日的资产、</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负债以及所有者权益均为</w:t>
      </w:r>
      <w:r>
        <w:rPr>
          <w:rFonts w:ascii="Times New Roman" w:hAnsi="Times New Roman" w:cs="Times New Roman" w:eastAsia="Times New Roman" w:hint="default"/>
          <w:sz w:val="21"/>
          <w:szCs w:val="21"/>
        </w:rPr>
        <w:t>0</w:t>
      </w:r>
      <w:r>
        <w:rPr>
          <w:rFonts w:ascii="宋体" w:hAnsi="宋体" w:cs="宋体" w:eastAsia="宋体" w:hint="default"/>
          <w:sz w:val="21"/>
          <w:szCs w:val="21"/>
        </w:rPr>
        <w:t>元，本公司支付的合并成本为</w:t>
      </w:r>
      <w:r>
        <w:rPr>
          <w:rFonts w:ascii="Times New Roman" w:hAnsi="Times New Roman" w:cs="Times New Roman" w:eastAsia="Times New Roman" w:hint="default"/>
          <w:sz w:val="21"/>
          <w:szCs w:val="21"/>
        </w:rPr>
        <w:t>0</w:t>
      </w:r>
      <w:r>
        <w:rPr>
          <w:rFonts w:ascii="宋体" w:hAnsi="宋体" w:cs="宋体" w:eastAsia="宋体" w:hint="default"/>
          <w:sz w:val="21"/>
          <w:szCs w:val="21"/>
        </w:rPr>
        <w:t>元。</w:t>
      </w:r>
      <w:r>
        <w:rPr>
          <w:rFonts w:ascii="宋体" w:hAnsi="宋体" w:cs="宋体" w:eastAsia="宋体" w:hint="default"/>
          <w:spacing w:val="-2"/>
          <w:sz w:val="21"/>
          <w:szCs w:val="21"/>
        </w:rPr>
        <w:t> </w:t>
      </w:r>
      <w:r>
        <w:rPr>
          <w:rFonts w:ascii="宋体" w:hAnsi="宋体" w:cs="宋体" w:eastAsia="宋体" w:hint="default"/>
          <w:sz w:val="21"/>
          <w:szCs w:val="21"/>
        </w:rPr>
        <w:t>截止</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日，公司已支付对信发资产管理有限责任公司的出资款</w:t>
      </w:r>
      <w:r>
        <w:rPr>
          <w:rFonts w:ascii="Times New Roman" w:hAnsi="Times New Roman" w:cs="Times New Roman" w:eastAsia="Times New Roman" w:hint="default"/>
          <w:sz w:val="21"/>
          <w:szCs w:val="21"/>
        </w:rPr>
        <w:t>200</w:t>
      </w:r>
      <w:r>
        <w:rPr>
          <w:rFonts w:ascii="宋体" w:hAnsi="宋体" w:cs="宋体" w:eastAsia="宋体" w:hint="default"/>
          <w:sz w:val="21"/>
          <w:szCs w:val="21"/>
        </w:rPr>
        <w:t>万元。</w:t>
      </w: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4"/>
          <w:szCs w:val="24"/>
        </w:rPr>
      </w:pPr>
    </w:p>
    <w:p>
      <w:pPr>
        <w:spacing w:before="35"/>
        <w:ind w:left="114" w:right="0" w:firstLine="0"/>
        <w:jc w:val="left"/>
        <w:rPr>
          <w:rFonts w:ascii="宋体" w:hAnsi="宋体" w:cs="宋体" w:eastAsia="宋体" w:hint="default"/>
          <w:sz w:val="21"/>
          <w:szCs w:val="21"/>
        </w:rPr>
      </w:pPr>
      <w:bookmarkStart w:name="（2）合并成本" w:id="398"/>
      <w:bookmarkEnd w:id="39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）合并成本</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8"/>
        <w:rPr>
          <w:rFonts w:ascii="宋体" w:hAnsi="宋体" w:cs="宋体" w:eastAsia="宋体" w:hint="default"/>
          <w:sz w:val="7"/>
          <w:szCs w:val="7"/>
        </w:rPr>
      </w:pPr>
    </w:p>
    <w:p>
      <w:pPr>
        <w:spacing w:line="422" w:lineRule="exact"/>
        <w:ind w:left="10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5pt;mso-position-horizontal-relative:char;mso-position-vertical-relative:line" coordorigin="0,0" coordsize="9579,423">
            <v:group style="position:absolute;left:10;top:16;width:104;height:392" coordorigin="10,16" coordsize="104,392">
              <v:shape style="position:absolute;left:10;top:16;width:104;height:392" coordorigin="10,16" coordsize="104,392" path="m10,407l113,407,113,16,10,16,10,407xe" filled="true" fillcolor="#d2d2d2" stroked="false">
                <v:path arrowok="t"/>
                <v:fill type="solid"/>
              </v:shape>
            </v:group>
            <v:group style="position:absolute;left:4682;top:16;width:102;height:392" coordorigin="4682,16" coordsize="102,392">
              <v:shape style="position:absolute;left:4682;top:16;width:102;height:392" coordorigin="4682,16" coordsize="102,392" path="m4682,407l4784,407,4784,16,4682,16,4682,407xe" filled="true" fillcolor="#d2d2d2" stroked="false">
                <v:path arrowok="t"/>
                <v:fill type="solid"/>
              </v:shape>
            </v:group>
            <v:group style="position:absolute;left:113;top:16;width:4570;height:392" coordorigin="113,16" coordsize="4570,392">
              <v:shape style="position:absolute;left:113;top:16;width:4570;height:392" coordorigin="113,16" coordsize="4570,392" path="m113,407l4682,407,4682,16,113,16,113,407xe" filled="true" fillcolor="#d2d2d2" stroked="false">
                <v:path arrowok="t"/>
                <v:fill type="solid"/>
              </v:shape>
            </v:group>
            <v:group style="position:absolute;left:4795;top:16;width:104;height:392" coordorigin="4795,16" coordsize="104,392">
              <v:shape style="position:absolute;left:4795;top:16;width:104;height:392" coordorigin="4795,16" coordsize="104,392" path="m4795,407l4898,407,4898,16,4795,16,4795,407xe" filled="true" fillcolor="#e0ffff" stroked="false">
                <v:path arrowok="t"/>
                <v:fill type="solid"/>
              </v:shape>
            </v:group>
            <v:group style="position:absolute;left:9466;top:16;width:104;height:392" coordorigin="9466,16" coordsize="104,392">
              <v:shape style="position:absolute;left:9466;top:16;width:104;height:392" coordorigin="9466,16" coordsize="104,392" path="m9466,407l9569,407,9569,16,9466,16,9466,407xe" filled="true" fillcolor="#e0ffff" stroked="false">
                <v:path arrowok="t"/>
                <v:fill type="solid"/>
              </v:shape>
            </v:group>
            <v:group style="position:absolute;left:4898;top:16;width:4568;height:392" coordorigin="4898,16" coordsize="4568,392">
              <v:shape style="position:absolute;left:4898;top:16;width:4568;height:392" coordorigin="4898,16" coordsize="4568,392" path="m4898,407l9466,407,9466,16,4898,16,489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8001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8001pt" strokecolor="#000000">
                <v:path arrowok="t"/>
              </v:shape>
            </v:group>
            <v:group style="position:absolute;left:5;top:5;width:2;height:413" coordorigin="5,5" coordsize="2,413">
              <v:shape style="position:absolute;left:5;top:5;width:2;height:413" coordorigin="5,5" coordsize="0,413" path="m5,5l5,418e" filled="false" stroked="true" strokeweight=".48pt" strokecolor="#000000">
                <v:path arrowok="t"/>
              </v:shape>
            </v:group>
            <v:group style="position:absolute;left:10;top:413;width:4776;height:2" coordorigin="10,413" coordsize="4776,2">
              <v:shape style="position:absolute;left:10;top:413;width:4776;height:2" coordorigin="10,413" coordsize="4776,0" path="m10,413l4785,413e" filled="false" stroked="true" strokeweight=".48001pt" strokecolor="#000000">
                <v:path arrowok="t"/>
              </v:shape>
            </v:group>
            <v:group style="position:absolute;left:4790;top:5;width:2;height:413" coordorigin="4790,5" coordsize="2,413">
              <v:shape style="position:absolute;left:4790;top:5;width:2;height:413" coordorigin="4790,5" coordsize="0,413" path="m4790,5l4790,418e" filled="false" stroked="true" strokeweight=".47998pt" strokecolor="#000000">
                <v:path arrowok="t"/>
              </v:shape>
            </v:group>
            <v:group style="position:absolute;left:4795;top:413;width:4774;height:2" coordorigin="4795,413" coordsize="4774,2">
              <v:shape style="position:absolute;left:4795;top:413;width:4774;height:2" coordorigin="4795,413" coordsize="4774,0" path="m4795,413l9569,413e" filled="false" stroked="true" strokeweight=".48001pt" strokecolor="#000000">
                <v:path arrowok="t"/>
              </v:shape>
            </v:group>
            <v:group style="position:absolute;left:9574;top:5;width:2;height:413" coordorigin="9574,5" coordsize="2,413">
              <v:shape style="position:absolute;left:9574;top:5;width:2;height:413" coordorigin="9574,5" coordsize="0,413" path="m9574,5l9574,418e" filled="false" stroked="true" strokeweight=".48004pt" strokecolor="#000000">
                <v:path arrowok="t"/>
              </v:shape>
              <v:shape style="position:absolute;left:5;top:10;width:4785;height:404" type="#_x0000_t202" filled="false" stroked="false">
                <v:textbox inset="0,0,0,0">
                  <w:txbxContent>
                    <w:p>
                      <w:pPr>
                        <w:spacing w:before="57"/>
                        <w:ind w:left="0" w:right="0" w:firstLine="0"/>
                        <w:jc w:val="center"/>
                        <w:rPr>
                          <w:rFonts w:ascii="宋体" w:hAnsi="宋体" w:cs="宋体" w:eastAsia="宋体" w:hint="default"/>
                          <w:sz w:val="18"/>
                          <w:szCs w:val="18"/>
                        </w:rPr>
                      </w:pPr>
                      <w:r>
                        <w:rPr>
                          <w:rFonts w:ascii="宋体" w:hAnsi="宋体" w:cs="宋体" w:eastAsia="宋体" w:hint="default"/>
                          <w:sz w:val="18"/>
                          <w:szCs w:val="18"/>
                        </w:rPr>
                        <w:t>合并成本</w:t>
                      </w:r>
                    </w:p>
                  </w:txbxContent>
                </v:textbox>
                <w10:wrap type="none"/>
              </v:shape>
            </v:group>
          </v:group>
        </w:pict>
      </w:r>
      <w:r>
        <w:rPr>
          <w:rFonts w:ascii="宋体" w:hAnsi="宋体" w:cs="宋体" w:eastAsia="宋体" w:hint="default"/>
          <w:position w:val="-7"/>
          <w:sz w:val="20"/>
          <w:szCs w:val="20"/>
        </w:rPr>
      </w:r>
    </w:p>
    <w:p>
      <w:pPr>
        <w:spacing w:line="357" w:lineRule="auto" w:before="47"/>
        <w:ind w:left="114" w:right="8592" w:firstLine="0"/>
        <w:jc w:val="left"/>
        <w:rPr>
          <w:rFonts w:ascii="宋体" w:hAnsi="宋体" w:cs="宋体" w:eastAsia="宋体" w:hint="default"/>
          <w:sz w:val="18"/>
          <w:szCs w:val="18"/>
        </w:rPr>
      </w:pPr>
      <w:r>
        <w:rPr>
          <w:rFonts w:ascii="宋体" w:hAnsi="宋体" w:cs="宋体" w:eastAsia="宋体" w:hint="default"/>
          <w:sz w:val="18"/>
          <w:szCs w:val="18"/>
        </w:rPr>
        <w:t>或有对价及其变动的说明： 其他说明：</w:t>
      </w:r>
    </w:p>
    <w:p>
      <w:pPr>
        <w:spacing w:line="240" w:lineRule="auto" w:before="1"/>
        <w:rPr>
          <w:rFonts w:ascii="宋体" w:hAnsi="宋体" w:cs="宋体" w:eastAsia="宋体" w:hint="default"/>
          <w:sz w:val="20"/>
          <w:szCs w:val="20"/>
        </w:rPr>
      </w:pPr>
    </w:p>
    <w:p>
      <w:pPr>
        <w:spacing w:before="0"/>
        <w:ind w:left="114" w:right="0" w:firstLine="0"/>
        <w:jc w:val="left"/>
        <w:rPr>
          <w:rFonts w:ascii="宋体" w:hAnsi="宋体" w:cs="宋体" w:eastAsia="宋体" w:hint="default"/>
          <w:sz w:val="21"/>
          <w:szCs w:val="21"/>
        </w:rPr>
      </w:pPr>
      <w:bookmarkStart w:name="（3）合并日被合并方资产、负债的账面价值" w:id="399"/>
      <w:bookmarkEnd w:id="39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）合并日被合并方资产、负债的账面价值</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9"/>
        <w:rPr>
          <w:rFonts w:ascii="宋体" w:hAnsi="宋体" w:cs="宋体" w:eastAsia="宋体" w:hint="default"/>
          <w:sz w:val="7"/>
          <w:szCs w:val="7"/>
        </w:rPr>
      </w:pPr>
    </w:p>
    <w:p>
      <w:pPr>
        <w:spacing w:line="823" w:lineRule="exact"/>
        <w:ind w:left="109" w:right="0" w:firstLine="0"/>
        <w:rPr>
          <w:rFonts w:ascii="宋体" w:hAnsi="宋体" w:cs="宋体" w:eastAsia="宋体" w:hint="default"/>
          <w:sz w:val="20"/>
          <w:szCs w:val="20"/>
        </w:rPr>
      </w:pPr>
      <w:r>
        <w:rPr>
          <w:rFonts w:ascii="宋体" w:hAnsi="宋体" w:cs="宋体" w:eastAsia="宋体" w:hint="default"/>
          <w:position w:val="-15"/>
          <w:sz w:val="20"/>
          <w:szCs w:val="20"/>
        </w:rPr>
        <w:pict>
          <v:group style="width:479.05pt;height:41.2pt;mso-position-horizontal-relative:char;mso-position-vertical-relative:line" coordorigin="0,0" coordsize="9581,824">
            <v:group style="position:absolute;left:10;top:14;width:104;height:393" coordorigin="10,14" coordsize="104,393">
              <v:shape style="position:absolute;left:10;top:14;width:104;height:393" coordorigin="10,14" coordsize="104,393" path="m10,407l113,407,113,14,10,14,10,407xe" filled="true" fillcolor="#d2d2d2" stroked="false">
                <v:path arrowok="t"/>
                <v:fill type="solid"/>
              </v:shape>
            </v:group>
            <v:group style="position:absolute;left:3087;top:14;width:104;height:393" coordorigin="3087,14" coordsize="104,393">
              <v:shape style="position:absolute;left:3087;top:14;width:104;height:393" coordorigin="3087,14" coordsize="104,393" path="m3087,407l3190,407,3190,14,3087,14,3087,407xe" filled="true" fillcolor="#d2d2d2" stroked="false">
                <v:path arrowok="t"/>
                <v:fill type="solid"/>
              </v:shape>
            </v:group>
            <v:group style="position:absolute;left:113;top:14;width:2974;height:393" coordorigin="113,14" coordsize="2974,393">
              <v:shape style="position:absolute;left:113;top:14;width:2974;height:393" coordorigin="113,14" coordsize="2974,393" path="m113,407l3087,407,3087,14,113,14,113,407xe" filled="true" fillcolor="#d2d2d2" stroked="false">
                <v:path arrowok="t"/>
                <v:fill type="solid"/>
              </v:shape>
            </v:group>
            <v:group style="position:absolute;left:3200;top:14;width:104;height:393" coordorigin="3200,14" coordsize="104,393">
              <v:shape style="position:absolute;left:3200;top:14;width:104;height:393" coordorigin="3200,14" coordsize="104,393" path="m3200,407l3303,407,3303,14,3200,14,3200,407xe" filled="true" fillcolor="#e0ffff" stroked="false">
                <v:path arrowok="t"/>
                <v:fill type="solid"/>
              </v:shape>
            </v:group>
            <v:group style="position:absolute;left:9468;top:14;width:104;height:393" coordorigin="9468,14" coordsize="104,393">
              <v:shape style="position:absolute;left:9468;top:14;width:104;height:393" coordorigin="9468,14" coordsize="104,393" path="m9468,407l9571,407,9571,14,9468,14,9468,407xe" filled="true" fillcolor="#e0ffff" stroked="false">
                <v:path arrowok="t"/>
                <v:fill type="solid"/>
              </v:shape>
            </v:group>
            <v:group style="position:absolute;left:3303;top:14;width:6166;height:393" coordorigin="3303,14" coordsize="6166,393">
              <v:shape style="position:absolute;left:3303;top:14;width:6166;height:393" coordorigin="3303,14" coordsize="6166,393" path="m3303,407l9468,407,9468,14,3303,14,3303,407xe" filled="true" fillcolor="#e0ffff" stroked="false">
                <v:path arrowok="t"/>
                <v:fill type="solid"/>
              </v:shape>
            </v:group>
            <v:group style="position:absolute;left:10;top:10;width:3181;height:2" coordorigin="10,10" coordsize="3181,2">
              <v:shape style="position:absolute;left:10;top:10;width:3181;height:2" coordorigin="10,10" coordsize="3181,0" path="m10,10l3190,10e" filled="false" stroked="true" strokeweight=".48001pt" strokecolor="#000000">
                <v:path arrowok="t"/>
              </v:shape>
            </v:group>
            <v:group style="position:absolute;left:3200;top:10;width:6372;height:2" coordorigin="3200,10" coordsize="6372,2">
              <v:shape style="position:absolute;left:3200;top:10;width:6372;height:2" coordorigin="3200,10" coordsize="6372,0" path="m3200,10l9571,10e" filled="false" stroked="true" strokeweight=".48001pt" strokecolor="#000000">
                <v:path arrowok="t"/>
              </v:shape>
            </v:group>
            <v:group style="position:absolute;left:10;top:416;width:104;height:393" coordorigin="10,416" coordsize="104,393">
              <v:shape style="position:absolute;left:10;top:416;width:104;height:393" coordorigin="10,416" coordsize="104,393" path="m10,809l113,809,113,416,10,416,10,809xe" filled="true" fillcolor="#d2d2d2" stroked="false">
                <v:path arrowok="t"/>
                <v:fill type="solid"/>
              </v:shape>
            </v:group>
            <v:group style="position:absolute;left:3087;top:416;width:104;height:393" coordorigin="3087,416" coordsize="104,393">
              <v:shape style="position:absolute;left:3087;top:416;width:104;height:393" coordorigin="3087,416" coordsize="104,393" path="m3087,809l3190,809,3190,416,3087,416,3087,809xe" filled="true" fillcolor="#d2d2d2" stroked="false">
                <v:path arrowok="t"/>
                <v:fill type="solid"/>
              </v:shape>
            </v:group>
            <v:group style="position:absolute;left:113;top:416;width:2974;height:393" coordorigin="113,416" coordsize="2974,393">
              <v:shape style="position:absolute;left:113;top:416;width:2974;height:393" coordorigin="113,416" coordsize="2974,393" path="m113,809l3087,809,3087,416,113,416,113,809xe" filled="true" fillcolor="#d2d2d2" stroked="false">
                <v:path arrowok="t"/>
                <v:fill type="solid"/>
              </v:shape>
            </v:group>
            <v:group style="position:absolute;left:3200;top:416;width:104;height:393" coordorigin="3200,416" coordsize="104,393">
              <v:shape style="position:absolute;left:3200;top:416;width:104;height:393" coordorigin="3200,416" coordsize="104,393" path="m3200,809l3303,809,3303,416,3200,416,3200,809xe" filled="true" fillcolor="#d2d2d2" stroked="false">
                <v:path arrowok="t"/>
                <v:fill type="solid"/>
              </v:shape>
            </v:group>
            <v:group style="position:absolute;left:6278;top:416;width:102;height:393" coordorigin="6278,416" coordsize="102,393">
              <v:shape style="position:absolute;left:6278;top:416;width:102;height:393" coordorigin="6278,416" coordsize="102,393" path="m6278,809l6380,809,6380,416,6278,416,6278,809xe" filled="true" fillcolor="#d2d2d2" stroked="false">
                <v:path arrowok="t"/>
                <v:fill type="solid"/>
              </v:shape>
            </v:group>
            <v:group style="position:absolute;left:3303;top:416;width:2976;height:393" coordorigin="3303,416" coordsize="2976,393">
              <v:shape style="position:absolute;left:3303;top:416;width:2976;height:393" coordorigin="3303,416" coordsize="2976,393" path="m3303,809l6278,809,6278,416,3303,416,3303,809xe" filled="true" fillcolor="#d2d2d2" stroked="false">
                <v:path arrowok="t"/>
                <v:fill type="solid"/>
              </v:shape>
            </v:group>
            <v:group style="position:absolute;left:6391;top:416;width:104;height:393" coordorigin="6391,416" coordsize="104,393">
              <v:shape style="position:absolute;left:6391;top:416;width:104;height:393" coordorigin="6391,416" coordsize="104,393" path="m6391,809l6494,809,6494,416,6391,416,6391,809xe" filled="true" fillcolor="#d2d2d2" stroked="false">
                <v:path arrowok="t"/>
                <v:fill type="solid"/>
              </v:shape>
            </v:group>
            <v:group style="position:absolute;left:9468;top:416;width:104;height:393" coordorigin="9468,416" coordsize="104,393">
              <v:shape style="position:absolute;left:9468;top:416;width:104;height:393" coordorigin="9468,416" coordsize="104,393" path="m9468,809l9571,809,9571,416,9468,416,9468,809xe" filled="true" fillcolor="#d2d2d2" stroked="false">
                <v:path arrowok="t"/>
                <v:fill type="solid"/>
              </v:shape>
            </v:group>
            <v:group style="position:absolute;left:6494;top:416;width:2974;height:393" coordorigin="6494,416" coordsize="2974,393">
              <v:shape style="position:absolute;left:6494;top:416;width:2974;height:393" coordorigin="6494,416" coordsize="2974,393" path="m6494,809l9468,809,9468,416,6494,416,6494,809xe" filled="true" fillcolor="#d2d2d2" stroked="false">
                <v:path arrowok="t"/>
                <v:fill type="solid"/>
              </v:shape>
            </v:group>
            <v:group style="position:absolute;left:10;top:412;width:3181;height:2" coordorigin="10,412" coordsize="3181,2">
              <v:shape style="position:absolute;left:10;top:412;width:3181;height:2" coordorigin="10,412" coordsize="3181,0" path="m10,412l3190,412e" filled="false" stroked="true" strokeweight=".47998pt" strokecolor="#000000">
                <v:path arrowok="t"/>
              </v:shape>
            </v:group>
            <v:group style="position:absolute;left:3200;top:412;width:3182;height:2" coordorigin="3200,412" coordsize="3182,2">
              <v:shape style="position:absolute;left:3200;top:412;width:3182;height:2" coordorigin="3200,412" coordsize="3182,0" path="m3200,412l6381,412e" filled="false" stroked="true" strokeweight=".47998pt" strokecolor="#000000">
                <v:path arrowok="t"/>
              </v:shape>
            </v:group>
            <v:group style="position:absolute;left:6391;top:412;width:3181;height:2" coordorigin="6391,412" coordsize="3181,2">
              <v:shape style="position:absolute;left:6391;top:412;width:3181;height:2" coordorigin="6391,412" coordsize="3181,0" path="m6391,412l9571,412e" filled="false" stroked="true" strokeweight=".47998pt" strokecolor="#000000">
                <v:path arrowok="t"/>
              </v:shape>
            </v:group>
            <v:group style="position:absolute;left:5;top:5;width:2;height:814" coordorigin="5,5" coordsize="2,814">
              <v:shape style="position:absolute;left:5;top:5;width:2;height:814" coordorigin="5,5" coordsize="0,814" path="m5,5l5,818e" filled="false" stroked="true" strokeweight=".48pt" strokecolor="#000000">
                <v:path arrowok="t"/>
              </v:shape>
            </v:group>
            <v:group style="position:absolute;left:10;top:814;width:3181;height:2" coordorigin="10,814" coordsize="3181,2">
              <v:shape style="position:absolute;left:10;top:814;width:3181;height:2" coordorigin="10,814" coordsize="3181,0" path="m10,814l3190,814e" filled="false" stroked="true" strokeweight=".48004pt" strokecolor="#000000">
                <v:path arrowok="t"/>
              </v:shape>
            </v:group>
            <v:group style="position:absolute;left:3195;top:5;width:2;height:814" coordorigin="3195,5" coordsize="2,814">
              <v:shape style="position:absolute;left:3195;top:5;width:2;height:814" coordorigin="3195,5" coordsize="0,814" path="m3195,5l3195,818e" filled="false" stroked="true" strokeweight=".48001pt" strokecolor="#000000">
                <v:path arrowok="t"/>
              </v:shape>
            </v:group>
            <v:group style="position:absolute;left:3200;top:814;width:3182;height:2" coordorigin="3200,814" coordsize="3182,2">
              <v:shape style="position:absolute;left:3200;top:814;width:3182;height:2" coordorigin="3200,814" coordsize="3182,0" path="m3200,814l6381,814e" filled="false" stroked="true" strokeweight=".48004pt" strokecolor="#000000">
                <v:path arrowok="t"/>
              </v:shape>
            </v:group>
            <v:group style="position:absolute;left:6386;top:407;width:2;height:412" coordorigin="6386,407" coordsize="2,412">
              <v:shape style="position:absolute;left:6386;top:407;width:2;height:412" coordorigin="6386,407" coordsize="0,412" path="m6386,407l6386,818e" filled="false" stroked="true" strokeweight=".48001pt" strokecolor="#000000">
                <v:path arrowok="t"/>
              </v:shape>
            </v:group>
            <v:group style="position:absolute;left:6391;top:814;width:3181;height:2" coordorigin="6391,814" coordsize="3181,2">
              <v:shape style="position:absolute;left:6391;top:814;width:3181;height:2" coordorigin="6391,814" coordsize="3181,0" path="m6391,814l9571,814e" filled="false" stroked="true" strokeweight=".48004pt" strokecolor="#000000">
                <v:path arrowok="t"/>
              </v:shape>
            </v:group>
            <v:group style="position:absolute;left:9576;top:5;width:2;height:814" coordorigin="9576,5" coordsize="2,814">
              <v:shape style="position:absolute;left:9576;top:5;width:2;height:814" coordorigin="9576,5" coordsize="0,814" path="m9576,5l9576,818e" filled="false" stroked="true" strokeweight=".48004pt" strokecolor="#000000">
                <v:path arrowok="t"/>
              </v:shape>
              <v:shape style="position:absolute;left:3195;top:412;width:3192;height:402"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合并日</w:t>
                      </w:r>
                    </w:p>
                  </w:txbxContent>
                </v:textbox>
                <w10:wrap type="none"/>
              </v:shape>
              <v:shape style="position:absolute;left:6386;top:412;width:3190;height:402" type="#_x0000_t202" filled="false" stroked="false">
                <v:textbox inset="0,0,0,0">
                  <w:txbxContent>
                    <w:p>
                      <w:pPr>
                        <w:spacing w:before="56"/>
                        <w:ind w:left="0" w:right="0" w:firstLine="0"/>
                        <w:jc w:val="center"/>
                        <w:rPr>
                          <w:rFonts w:ascii="宋体" w:hAnsi="宋体" w:cs="宋体" w:eastAsia="宋体" w:hint="default"/>
                          <w:sz w:val="18"/>
                          <w:szCs w:val="18"/>
                        </w:rPr>
                      </w:pPr>
                      <w:r>
                        <w:rPr>
                          <w:rFonts w:ascii="宋体" w:hAnsi="宋体" w:cs="宋体" w:eastAsia="宋体" w:hint="default"/>
                          <w:sz w:val="18"/>
                          <w:szCs w:val="18"/>
                        </w:rPr>
                        <w:t>上期期末</w:t>
                      </w:r>
                    </w:p>
                  </w:txbxContent>
                </v:textbox>
                <w10:wrap type="none"/>
              </v:shape>
            </v:group>
          </v:group>
        </w:pict>
      </w:r>
      <w:r>
        <w:rPr>
          <w:rFonts w:ascii="宋体" w:hAnsi="宋体" w:cs="宋体" w:eastAsia="宋体" w:hint="default"/>
          <w:position w:val="-15"/>
          <w:sz w:val="20"/>
          <w:szCs w:val="20"/>
        </w:rPr>
      </w:r>
    </w:p>
    <w:p>
      <w:pPr>
        <w:spacing w:line="360" w:lineRule="auto" w:before="46"/>
        <w:ind w:left="114" w:right="7512" w:firstLine="0"/>
        <w:jc w:val="left"/>
        <w:rPr>
          <w:rFonts w:ascii="宋体" w:hAnsi="宋体" w:cs="宋体" w:eastAsia="宋体" w:hint="default"/>
          <w:sz w:val="18"/>
          <w:szCs w:val="18"/>
        </w:rPr>
      </w:pPr>
      <w:r>
        <w:rPr>
          <w:rFonts w:ascii="宋体" w:hAnsi="宋体" w:cs="宋体" w:eastAsia="宋体" w:hint="default"/>
          <w:sz w:val="18"/>
          <w:szCs w:val="18"/>
        </w:rPr>
        <w:t>企业合并中承担的被合并方的或有负债： 其他说明：</w:t>
      </w:r>
    </w:p>
    <w:p>
      <w:pPr>
        <w:spacing w:line="240" w:lineRule="auto" w:before="11"/>
        <w:rPr>
          <w:rFonts w:ascii="宋体" w:hAnsi="宋体" w:cs="宋体" w:eastAsia="宋体" w:hint="default"/>
          <w:sz w:val="19"/>
          <w:szCs w:val="19"/>
        </w:rPr>
      </w:pPr>
    </w:p>
    <w:p>
      <w:pPr>
        <w:spacing w:before="0"/>
        <w:ind w:left="114" w:right="0" w:firstLine="0"/>
        <w:jc w:val="left"/>
        <w:rPr>
          <w:rFonts w:ascii="宋体" w:hAnsi="宋体" w:cs="宋体" w:eastAsia="宋体" w:hint="default"/>
          <w:sz w:val="21"/>
          <w:szCs w:val="21"/>
        </w:rPr>
      </w:pPr>
      <w:bookmarkStart w:name="3、反向购买" w:id="400"/>
      <w:bookmarkEnd w:id="400"/>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、反向购买</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line="319" w:lineRule="auto" w:before="0"/>
        <w:ind w:left="114" w:right="0" w:firstLine="0"/>
        <w:jc w:val="left"/>
        <w:rPr>
          <w:rFonts w:ascii="宋体" w:hAnsi="宋体" w:cs="宋体" w:eastAsia="宋体" w:hint="default"/>
          <w:sz w:val="18"/>
          <w:szCs w:val="18"/>
        </w:rPr>
      </w:pPr>
      <w:r>
        <w:rPr>
          <w:rFonts w:ascii="宋体" w:hAnsi="宋体" w:cs="宋体" w:eastAsia="宋体" w:hint="default"/>
          <w:spacing w:val="-2"/>
          <w:sz w:val="18"/>
          <w:szCs w:val="18"/>
        </w:rPr>
        <w:t>交易基本信息、交易构成反向购买的依据、上市公司保留的资产、负债是否构成业务及其依据、合并成本的确定、按照权益</w:t>
      </w:r>
      <w:r>
        <w:rPr>
          <w:rFonts w:ascii="宋体" w:hAnsi="宋体" w:cs="宋体" w:eastAsia="宋体" w:hint="default"/>
          <w:spacing w:val="-66"/>
          <w:sz w:val="18"/>
          <w:szCs w:val="18"/>
        </w:rPr>
        <w:t> </w:t>
      </w:r>
      <w:r>
        <w:rPr>
          <w:rFonts w:ascii="宋体" w:hAnsi="宋体" w:cs="宋体" w:eastAsia="宋体" w:hint="default"/>
          <w:spacing w:val="-66"/>
          <w:sz w:val="18"/>
          <w:szCs w:val="18"/>
        </w:rPr>
      </w:r>
      <w:r>
        <w:rPr>
          <w:rFonts w:ascii="宋体" w:hAnsi="宋体" w:cs="宋体" w:eastAsia="宋体" w:hint="default"/>
          <w:sz w:val="18"/>
          <w:szCs w:val="18"/>
        </w:rPr>
        <w:t>性交易处理时调整权益的金额及其计算：</w:t>
      </w:r>
    </w:p>
    <w:p>
      <w:pPr>
        <w:spacing w:line="240" w:lineRule="auto" w:before="3"/>
        <w:rPr>
          <w:rFonts w:ascii="宋体" w:hAnsi="宋体" w:cs="宋体" w:eastAsia="宋体" w:hint="default"/>
          <w:sz w:val="22"/>
          <w:szCs w:val="22"/>
        </w:rPr>
      </w:pPr>
    </w:p>
    <w:p>
      <w:pPr>
        <w:spacing w:before="0"/>
        <w:ind w:left="114" w:right="0" w:firstLine="0"/>
        <w:jc w:val="left"/>
        <w:rPr>
          <w:rFonts w:ascii="宋体" w:hAnsi="宋体" w:cs="宋体" w:eastAsia="宋体" w:hint="default"/>
          <w:sz w:val="21"/>
          <w:szCs w:val="21"/>
        </w:rPr>
      </w:pPr>
      <w:bookmarkStart w:name="4、处置子公司" w:id="401"/>
      <w:bookmarkEnd w:id="401"/>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、处置子公司</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是否存在单次处置对子公司投资即丧失控制权的情形</w:t>
      </w:r>
    </w:p>
    <w:p>
      <w:pPr>
        <w:spacing w:line="357" w:lineRule="auto" w:before="116"/>
        <w:ind w:left="114" w:right="4992" w:firstLine="0"/>
        <w:jc w:val="left"/>
        <w:rPr>
          <w:rFonts w:ascii="宋体" w:hAnsi="宋体" w:cs="宋体" w:eastAsia="宋体" w:hint="default"/>
          <w:sz w:val="18"/>
          <w:szCs w:val="18"/>
        </w:rPr>
      </w:pPr>
      <w:r>
        <w:rPr>
          <w:rFonts w:ascii="宋体" w:hAnsi="宋体" w:cs="宋体" w:eastAsia="宋体" w:hint="default"/>
          <w:sz w:val="18"/>
          <w:szCs w:val="18"/>
        </w:rPr>
        <w:t>□ 是 √ 否 是否存在通过多次交易分步处置对子公司投资且在本期丧失控制权的情形</w:t>
      </w:r>
    </w:p>
    <w:p>
      <w:pPr>
        <w:spacing w:before="29"/>
        <w:ind w:left="114" w:right="0" w:firstLine="0"/>
        <w:jc w:val="left"/>
        <w:rPr>
          <w:rFonts w:ascii="宋体" w:hAnsi="宋体" w:cs="宋体" w:eastAsia="宋体" w:hint="default"/>
          <w:sz w:val="18"/>
          <w:szCs w:val="18"/>
        </w:rPr>
      </w:pPr>
      <w:r>
        <w:rPr>
          <w:rFonts w:ascii="宋体" w:hAnsi="宋体" w:cs="宋体" w:eastAsia="宋体" w:hint="default"/>
          <w:sz w:val="18"/>
          <w:szCs w:val="18"/>
        </w:rPr>
        <w:t>□ 是 √ 否</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5、其他原因的合并范围变动" w:id="402"/>
      <w:bookmarkEnd w:id="402"/>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、其他原因的合并范围变动</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说明其他原因导致的合并范围变动（如，新设子公司、清算子公司等）及其相关情况：</w:t>
      </w:r>
    </w:p>
    <w:p>
      <w:pPr>
        <w:spacing w:line="261" w:lineRule="auto" w:before="89"/>
        <w:ind w:left="828" w:right="1113" w:firstLine="0"/>
        <w:jc w:val="left"/>
        <w:rPr>
          <w:rFonts w:ascii="宋体" w:hAnsi="宋体" w:cs="宋体" w:eastAsia="宋体" w:hint="default"/>
          <w:sz w:val="21"/>
          <w:szCs w:val="21"/>
        </w:rPr>
      </w:pPr>
      <w:r>
        <w:rPr>
          <w:rFonts w:ascii="宋体" w:hAnsi="宋体" w:cs="宋体" w:eastAsia="宋体" w:hint="default"/>
          <w:sz w:val="21"/>
          <w:szCs w:val="21"/>
        </w:rPr>
        <w:t>公司于</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11</w:t>
      </w:r>
      <w:r>
        <w:rPr>
          <w:rFonts w:ascii="宋体" w:hAnsi="宋体" w:cs="宋体" w:eastAsia="宋体" w:hint="default"/>
          <w:sz w:val="21"/>
          <w:szCs w:val="21"/>
        </w:rPr>
        <w:t>月</w:t>
      </w:r>
      <w:r>
        <w:rPr>
          <w:rFonts w:ascii="Times New Roman" w:hAnsi="Times New Roman" w:cs="Times New Roman" w:eastAsia="Times New Roman" w:hint="default"/>
          <w:sz w:val="21"/>
          <w:szCs w:val="21"/>
        </w:rPr>
        <w:t>19</w:t>
      </w:r>
      <w:r>
        <w:rPr>
          <w:rFonts w:ascii="宋体" w:hAnsi="宋体" w:cs="宋体" w:eastAsia="宋体" w:hint="default"/>
          <w:sz w:val="21"/>
          <w:szCs w:val="21"/>
        </w:rPr>
        <w:t>日发起设立智秾信息发展股份有限公司，该公司注册资本为人民币</w:t>
      </w:r>
      <w:r>
        <w:rPr>
          <w:rFonts w:ascii="Times New Roman" w:hAnsi="Times New Roman" w:cs="Times New Roman" w:eastAsia="Times New Roman" w:hint="default"/>
          <w:sz w:val="21"/>
          <w:szCs w:val="21"/>
        </w:rPr>
        <w:t>5,000.00</w:t>
      </w:r>
      <w:r>
        <w:rPr>
          <w:rFonts w:ascii="宋体" w:hAnsi="宋体" w:cs="宋体" w:eastAsia="宋体" w:hint="default"/>
          <w:sz w:val="21"/>
          <w:szCs w:val="21"/>
        </w:rPr>
        <w:t>万 元，公司认缴出资额为</w:t>
      </w:r>
      <w:r>
        <w:rPr>
          <w:rFonts w:ascii="Times New Roman" w:hAnsi="Times New Roman" w:cs="Times New Roman" w:eastAsia="Times New Roman" w:hint="default"/>
          <w:sz w:val="21"/>
          <w:szCs w:val="21"/>
        </w:rPr>
        <w:t>3,500</w:t>
      </w:r>
      <w:r>
        <w:rPr>
          <w:rFonts w:ascii="宋体" w:hAnsi="宋体" w:cs="宋体" w:eastAsia="宋体" w:hint="default"/>
          <w:sz w:val="21"/>
          <w:szCs w:val="21"/>
        </w:rPr>
        <w:t>万元。经营范围：从事信息科技、网络科技、电子科技领域内的技术 </w:t>
      </w:r>
      <w:r>
        <w:rPr>
          <w:rFonts w:ascii="宋体" w:hAnsi="宋体" w:cs="宋体" w:eastAsia="宋体" w:hint="default"/>
          <w:spacing w:val="-3"/>
          <w:sz w:val="21"/>
          <w:szCs w:val="21"/>
        </w:rPr>
        <w:t>开发、技术转让、技术咨询、技术服务</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计算机系统集成</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计算机软件及辅助设备销售</w:t>
      </w:r>
      <w:r>
        <w:rPr>
          <w:rFonts w:ascii="Times New Roman" w:hAnsi="Times New Roman" w:cs="Times New Roman" w:eastAsia="Times New Roman" w:hint="default"/>
          <w:spacing w:val="-3"/>
          <w:sz w:val="21"/>
          <w:szCs w:val="21"/>
        </w:rPr>
        <w:t>,</w:t>
      </w:r>
      <w:r>
        <w:rPr>
          <w:rFonts w:ascii="宋体" w:hAnsi="宋体" w:cs="宋体" w:eastAsia="宋体" w:hint="default"/>
          <w:spacing w:val="-3"/>
          <w:sz w:val="21"/>
          <w:szCs w:val="21"/>
        </w:rPr>
        <w:t>企业管理咨询</w:t>
      </w:r>
      <w:r>
        <w:rPr>
          <w:rFonts w:ascii="Times New Roman" w:hAnsi="Times New Roman" w:cs="Times New Roman" w:eastAsia="Times New Roman" w:hint="default"/>
          <w:spacing w:val="-3"/>
          <w:sz w:val="21"/>
          <w:szCs w:val="21"/>
        </w:rPr>
        <w:t>,</w:t>
      </w:r>
      <w:r>
        <w:rPr>
          <w:rFonts w:ascii="Times New Roman" w:hAnsi="Times New Roman" w:cs="Times New Roman" w:eastAsia="Times New Roman" w:hint="default"/>
          <w:spacing w:val="-21"/>
          <w:sz w:val="21"/>
          <w:szCs w:val="21"/>
        </w:rPr>
        <w:t> </w:t>
      </w:r>
      <w:r>
        <w:rPr>
          <w:rFonts w:ascii="宋体" w:hAnsi="宋体" w:cs="宋体" w:eastAsia="宋体" w:hint="default"/>
          <w:spacing w:val="-4"/>
          <w:sz w:val="21"/>
          <w:szCs w:val="21"/>
        </w:rPr>
        <w:t>供应链管理</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电子商务</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不得从事增值电信、金融业务</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。【依法须经批准的项目</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经相关部门批准后方</w:t>
      </w:r>
      <w:r>
        <w:rPr>
          <w:rFonts w:ascii="宋体" w:hAnsi="宋体" w:cs="宋体" w:eastAsia="宋体" w:hint="default"/>
          <w:spacing w:val="-65"/>
          <w:sz w:val="21"/>
          <w:szCs w:val="21"/>
        </w:rPr>
        <w:t> </w:t>
      </w:r>
      <w:r>
        <w:rPr>
          <w:rFonts w:ascii="宋体" w:hAnsi="宋体" w:cs="宋体" w:eastAsia="宋体" w:hint="default"/>
          <w:spacing w:val="-12"/>
          <w:sz w:val="21"/>
          <w:szCs w:val="21"/>
        </w:rPr>
        <w:t>可开展经营活动】。</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截止</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日，公司尚未支付对智秾信息发展股份有限公司的认缴出资额。</w:t>
      </w:r>
    </w:p>
    <w:p>
      <w:pPr>
        <w:spacing w:line="240" w:lineRule="auto" w:before="0"/>
        <w:rPr>
          <w:rFonts w:ascii="宋体" w:hAnsi="宋体" w:cs="宋体" w:eastAsia="宋体" w:hint="default"/>
          <w:sz w:val="22"/>
          <w:szCs w:val="22"/>
        </w:rPr>
      </w:pPr>
    </w:p>
    <w:p>
      <w:pPr>
        <w:spacing w:line="240" w:lineRule="auto" w:before="0"/>
        <w:rPr>
          <w:rFonts w:ascii="宋体" w:hAnsi="宋体" w:cs="宋体" w:eastAsia="宋体" w:hint="default"/>
          <w:sz w:val="22"/>
          <w:szCs w:val="22"/>
        </w:rPr>
      </w:pPr>
    </w:p>
    <w:p>
      <w:pPr>
        <w:spacing w:line="240" w:lineRule="auto" w:before="10"/>
        <w:rPr>
          <w:rFonts w:ascii="宋体" w:hAnsi="宋体" w:cs="宋体" w:eastAsia="宋体" w:hint="default"/>
          <w:sz w:val="26"/>
          <w:szCs w:val="26"/>
        </w:rPr>
      </w:pPr>
    </w:p>
    <w:p>
      <w:pPr>
        <w:spacing w:line="487" w:lineRule="auto" w:before="0"/>
        <w:ind w:left="114" w:right="7692" w:firstLine="0"/>
        <w:jc w:val="left"/>
        <w:rPr>
          <w:rFonts w:ascii="宋体" w:hAnsi="宋体" w:cs="宋体" w:eastAsia="宋体" w:hint="default"/>
          <w:sz w:val="21"/>
          <w:szCs w:val="21"/>
        </w:rPr>
      </w:pPr>
      <w:bookmarkStart w:name="6、其他" w:id="403"/>
      <w:bookmarkEnd w:id="403"/>
      <w:r>
        <w:rPr/>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九、在其他主体中的权益" w:id="404"/>
      <w:bookmarkEnd w:id="404"/>
      <w:r>
        <w:rPr>
          <w:rFonts w:ascii="宋体" w:hAnsi="宋体" w:cs="宋体" w:eastAsia="宋体" w:hint="default"/>
          <w:b/>
          <w:bCs/>
          <w:spacing w:val="1"/>
          <w:w w:val="99"/>
          <w:sz w:val="21"/>
          <w:szCs w:val="21"/>
        </w:rPr>
      </w:r>
      <w:r>
        <w:rPr>
          <w:rFonts w:ascii="宋体" w:hAnsi="宋体" w:cs="宋体" w:eastAsia="宋体" w:hint="default"/>
          <w:b/>
          <w:bCs/>
          <w:w w:val="95"/>
          <w:sz w:val="24"/>
          <w:szCs w:val="24"/>
        </w:rPr>
        <w:t>九、在其他主体中的权益</w:t>
      </w:r>
      <w:r>
        <w:rPr>
          <w:rFonts w:ascii="宋体" w:hAnsi="宋体" w:cs="宋体" w:eastAsia="宋体" w:hint="default"/>
          <w:b/>
          <w:bCs/>
          <w:spacing w:val="7"/>
          <w:w w:val="95"/>
          <w:sz w:val="24"/>
          <w:szCs w:val="24"/>
        </w:rPr>
        <w:t> </w:t>
      </w:r>
      <w:r>
        <w:rPr>
          <w:rFonts w:ascii="宋体" w:hAnsi="宋体" w:cs="宋体" w:eastAsia="宋体" w:hint="default"/>
          <w:b/>
          <w:bCs/>
          <w:spacing w:val="7"/>
          <w:w w:val="95"/>
          <w:sz w:val="24"/>
          <w:szCs w:val="24"/>
        </w:rPr>
      </w:r>
      <w:bookmarkStart w:name="1、在子公司中的权益" w:id="405"/>
      <w:bookmarkEnd w:id="405"/>
      <w:r>
        <w:rPr>
          <w:rFonts w:ascii="宋体" w:hAnsi="宋体" w:cs="宋体" w:eastAsia="宋体" w:hint="default"/>
          <w:b/>
          <w:bCs/>
          <w:spacing w:val="7"/>
          <w:w w:val="95"/>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、在子公司中的权益</w:t>
      </w:r>
      <w:r>
        <w:rPr>
          <w:rFonts w:ascii="宋体" w:hAnsi="宋体" w:cs="宋体" w:eastAsia="宋体" w:hint="default"/>
          <w:sz w:val="21"/>
          <w:szCs w:val="21"/>
        </w:rPr>
      </w:r>
    </w:p>
    <w:p>
      <w:pPr>
        <w:spacing w:before="83"/>
        <w:ind w:left="114" w:right="0" w:firstLine="0"/>
        <w:jc w:val="left"/>
        <w:rPr>
          <w:rFonts w:ascii="宋体" w:hAnsi="宋体" w:cs="宋体" w:eastAsia="宋体" w:hint="default"/>
          <w:sz w:val="21"/>
          <w:szCs w:val="21"/>
        </w:rPr>
      </w:pPr>
      <w:bookmarkStart w:name="（1）企业集团的构成" w:id="406"/>
      <w:bookmarkEnd w:id="40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）企业集团的构成</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402" w:hRule="exact"/>
        </w:trPr>
        <w:tc>
          <w:tcPr>
            <w:tcW w:w="13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316" w:right="0"/>
              <w:jc w:val="left"/>
              <w:rPr>
                <w:rFonts w:ascii="宋体" w:hAnsi="宋体" w:cs="宋体" w:eastAsia="宋体" w:hint="default"/>
                <w:sz w:val="18"/>
                <w:szCs w:val="18"/>
              </w:rPr>
            </w:pPr>
            <w:r>
              <w:rPr>
                <w:rFonts w:ascii="宋体" w:hAnsi="宋体" w:cs="宋体" w:eastAsia="宋体" w:hint="default"/>
                <w:sz w:val="18"/>
                <w:szCs w:val="18"/>
              </w:rPr>
              <w:t>取得方式</w:t>
            </w:r>
          </w:p>
        </w:tc>
      </w:tr>
      <w:tr>
        <w:trPr>
          <w:trHeight w:val="402" w:hRule="exact"/>
        </w:trPr>
        <w:tc>
          <w:tcPr>
            <w:tcW w:w="1372"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103" w:right="177"/>
              <w:jc w:val="left"/>
              <w:rPr>
                <w:rFonts w:ascii="宋体" w:hAnsi="宋体" w:cs="宋体" w:eastAsia="宋体" w:hint="default"/>
                <w:sz w:val="18"/>
                <w:szCs w:val="18"/>
              </w:rPr>
            </w:pPr>
            <w:r>
              <w:rPr>
                <w:rFonts w:ascii="宋体" w:hAnsi="宋体" w:cs="宋体" w:eastAsia="宋体" w:hint="default"/>
                <w:sz w:val="18"/>
                <w:szCs w:val="18"/>
              </w:rPr>
              <w:t>上海金档信息 技术有限公司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3"/>
              <w:jc w:val="both"/>
              <w:rPr>
                <w:rFonts w:ascii="宋体" w:hAnsi="宋体" w:cs="宋体" w:eastAsia="宋体" w:hint="default"/>
                <w:sz w:val="18"/>
                <w:szCs w:val="18"/>
              </w:rPr>
            </w:pPr>
            <w:r>
              <w:rPr>
                <w:rFonts w:ascii="宋体" w:hAnsi="宋体" w:cs="宋体" w:eastAsia="宋体" w:hint="default"/>
                <w:sz w:val="18"/>
                <w:szCs w:val="18"/>
              </w:rPr>
              <w:t>技术服务、软 硬件销售及开 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投资设立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103" w:right="177"/>
              <w:jc w:val="left"/>
              <w:rPr>
                <w:rFonts w:ascii="宋体" w:hAnsi="宋体" w:cs="宋体" w:eastAsia="宋体" w:hint="default"/>
                <w:sz w:val="18"/>
                <w:szCs w:val="18"/>
              </w:rPr>
            </w:pPr>
            <w:r>
              <w:rPr>
                <w:rFonts w:ascii="宋体" w:hAnsi="宋体" w:cs="宋体" w:eastAsia="宋体" w:hint="default"/>
                <w:sz w:val="18"/>
                <w:szCs w:val="18"/>
              </w:rPr>
              <w:t>光典信息发展 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3"/>
              <w:jc w:val="both"/>
              <w:rPr>
                <w:rFonts w:ascii="宋体" w:hAnsi="宋体" w:cs="宋体" w:eastAsia="宋体" w:hint="default"/>
                <w:sz w:val="18"/>
                <w:szCs w:val="18"/>
              </w:rPr>
            </w:pPr>
            <w:r>
              <w:rPr>
                <w:rFonts w:ascii="宋体" w:hAnsi="宋体" w:cs="宋体" w:eastAsia="宋体" w:hint="default"/>
                <w:sz w:val="18"/>
                <w:szCs w:val="18"/>
              </w:rPr>
              <w:t>技术服务、软 硬件销售及开 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99.00%</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1.00%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投资设立</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103" w:right="177"/>
              <w:jc w:val="left"/>
              <w:rPr>
                <w:rFonts w:ascii="宋体" w:hAnsi="宋体" w:cs="宋体" w:eastAsia="宋体" w:hint="default"/>
                <w:sz w:val="18"/>
                <w:szCs w:val="18"/>
              </w:rPr>
            </w:pPr>
            <w:r>
              <w:rPr>
                <w:rFonts w:ascii="宋体" w:hAnsi="宋体" w:cs="宋体" w:eastAsia="宋体" w:hint="default"/>
                <w:sz w:val="18"/>
                <w:szCs w:val="18"/>
              </w:rPr>
              <w:t>上海追索信息 科技有限公司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3"/>
              <w:jc w:val="both"/>
              <w:rPr>
                <w:rFonts w:ascii="宋体" w:hAnsi="宋体" w:cs="宋体" w:eastAsia="宋体" w:hint="default"/>
                <w:sz w:val="18"/>
                <w:szCs w:val="18"/>
              </w:rPr>
            </w:pPr>
            <w:r>
              <w:rPr>
                <w:rFonts w:ascii="宋体" w:hAnsi="宋体" w:cs="宋体" w:eastAsia="宋体" w:hint="default"/>
                <w:sz w:val="18"/>
                <w:szCs w:val="18"/>
              </w:rPr>
              <w:t>技术服务、软 硬件销售及开 发</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51.00%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101" w:right="173"/>
              <w:jc w:val="left"/>
              <w:rPr>
                <w:rFonts w:ascii="宋体" w:hAnsi="宋体" w:cs="宋体" w:eastAsia="宋体" w:hint="default"/>
                <w:sz w:val="18"/>
                <w:szCs w:val="18"/>
              </w:rPr>
            </w:pPr>
            <w:r>
              <w:rPr>
                <w:rFonts w:ascii="宋体" w:hAnsi="宋体" w:cs="宋体" w:eastAsia="宋体" w:hint="default"/>
                <w:sz w:val="18"/>
                <w:szCs w:val="18"/>
              </w:rPr>
              <w:t>非同一控制下 企业合并</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7"/>
              <w:jc w:val="both"/>
              <w:rPr>
                <w:rFonts w:ascii="宋体" w:hAnsi="宋体" w:cs="宋体" w:eastAsia="宋体" w:hint="default"/>
                <w:sz w:val="18"/>
                <w:szCs w:val="18"/>
              </w:rPr>
            </w:pPr>
            <w:r>
              <w:rPr>
                <w:rFonts w:ascii="宋体" w:hAnsi="宋体" w:cs="宋体" w:eastAsia="宋体" w:hint="default"/>
                <w:sz w:val="18"/>
                <w:szCs w:val="18"/>
              </w:rPr>
              <w:t>追溯云信息发 展股份有限公 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3"/>
              <w:jc w:val="both"/>
              <w:rPr>
                <w:rFonts w:ascii="宋体" w:hAnsi="宋体" w:cs="宋体" w:eastAsia="宋体" w:hint="default"/>
                <w:sz w:val="18"/>
                <w:szCs w:val="18"/>
              </w:rPr>
            </w:pPr>
            <w:r>
              <w:rPr>
                <w:rFonts w:ascii="宋体" w:hAnsi="宋体" w:cs="宋体" w:eastAsia="宋体" w:hint="default"/>
                <w:sz w:val="18"/>
                <w:szCs w:val="18"/>
              </w:rPr>
              <w:t>技术服务、软 硬件销售及开 发</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70.00%</w:t>
            </w: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投资设立</w:t>
            </w:r>
          </w:p>
        </w:tc>
      </w:tr>
      <w:tr>
        <w:trPr>
          <w:trHeight w:val="714"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177"/>
              <w:jc w:val="left"/>
              <w:rPr>
                <w:rFonts w:ascii="宋体" w:hAnsi="宋体" w:cs="宋体" w:eastAsia="宋体" w:hint="default"/>
                <w:sz w:val="18"/>
                <w:szCs w:val="18"/>
              </w:rPr>
            </w:pPr>
            <w:r>
              <w:rPr>
                <w:rFonts w:ascii="宋体" w:hAnsi="宋体" w:cs="宋体" w:eastAsia="宋体" w:hint="default"/>
                <w:sz w:val="18"/>
                <w:szCs w:val="18"/>
              </w:rPr>
              <w:t>信发资产管理 有限责任公司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投资管理</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1" w:right="173"/>
              <w:jc w:val="left"/>
              <w:rPr>
                <w:rFonts w:ascii="宋体" w:hAnsi="宋体" w:cs="宋体" w:eastAsia="宋体" w:hint="default"/>
                <w:sz w:val="18"/>
                <w:szCs w:val="18"/>
              </w:rPr>
            </w:pPr>
            <w:r>
              <w:rPr>
                <w:rFonts w:ascii="宋体" w:hAnsi="宋体" w:cs="宋体" w:eastAsia="宋体" w:hint="default"/>
                <w:sz w:val="18"/>
                <w:szCs w:val="18"/>
              </w:rPr>
              <w:t>同一控制下企 业合并</w:t>
            </w:r>
          </w:p>
        </w:tc>
      </w:tr>
      <w:tr>
        <w:trPr>
          <w:trHeight w:val="1026" w:hRule="exact"/>
        </w:trPr>
        <w:tc>
          <w:tcPr>
            <w:tcW w:w="137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316" w:lineRule="auto"/>
              <w:ind w:left="103" w:right="177"/>
              <w:jc w:val="left"/>
              <w:rPr>
                <w:rFonts w:ascii="宋体" w:hAnsi="宋体" w:cs="宋体" w:eastAsia="宋体" w:hint="default"/>
                <w:sz w:val="18"/>
                <w:szCs w:val="18"/>
              </w:rPr>
            </w:pPr>
            <w:r>
              <w:rPr>
                <w:rFonts w:ascii="宋体" w:hAnsi="宋体" w:cs="宋体" w:eastAsia="宋体" w:hint="default"/>
                <w:sz w:val="18"/>
                <w:szCs w:val="18"/>
              </w:rPr>
              <w:t>智秾信息发展 股份有限公司</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上海</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73"/>
              <w:jc w:val="both"/>
              <w:rPr>
                <w:rFonts w:ascii="宋体" w:hAnsi="宋体" w:cs="宋体" w:eastAsia="宋体" w:hint="default"/>
                <w:sz w:val="18"/>
                <w:szCs w:val="18"/>
              </w:rPr>
            </w:pPr>
            <w:r>
              <w:rPr>
                <w:rFonts w:ascii="宋体" w:hAnsi="宋体" w:cs="宋体" w:eastAsia="宋体" w:hint="default"/>
                <w:sz w:val="18"/>
                <w:szCs w:val="18"/>
              </w:rPr>
              <w:t>技术服务、软 硬件销售及开 发</w:t>
            </w: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1"/>
              <w:ind w:right="0"/>
              <w:jc w:val="left"/>
              <w:rPr>
                <w:rFonts w:ascii="宋体" w:hAnsi="宋体" w:cs="宋体" w:eastAsia="宋体" w:hint="default"/>
                <w:b/>
                <w:bCs/>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70.00%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8"/>
              <w:ind w:left="101" w:right="0"/>
              <w:jc w:val="left"/>
              <w:rPr>
                <w:rFonts w:ascii="宋体" w:hAnsi="宋体" w:cs="宋体" w:eastAsia="宋体" w:hint="default"/>
                <w:sz w:val="18"/>
                <w:szCs w:val="18"/>
              </w:rPr>
            </w:pPr>
            <w:r>
              <w:rPr>
                <w:rFonts w:ascii="宋体" w:hAnsi="宋体" w:cs="宋体" w:eastAsia="宋体" w:hint="default"/>
                <w:sz w:val="18"/>
                <w:szCs w:val="18"/>
              </w:rPr>
              <w:t>投资设立</w:t>
            </w:r>
          </w:p>
        </w:tc>
      </w:tr>
    </w:tbl>
    <w:p>
      <w:pPr>
        <w:spacing w:line="360" w:lineRule="auto" w:before="51"/>
        <w:ind w:left="114" w:right="2832" w:firstLine="0"/>
        <w:jc w:val="left"/>
        <w:rPr>
          <w:rFonts w:ascii="宋体" w:hAnsi="宋体" w:cs="宋体" w:eastAsia="宋体" w:hint="default"/>
          <w:sz w:val="18"/>
          <w:szCs w:val="18"/>
        </w:rPr>
      </w:pPr>
      <w:r>
        <w:rPr>
          <w:rFonts w:ascii="宋体" w:hAnsi="宋体" w:cs="宋体" w:eastAsia="宋体" w:hint="default"/>
          <w:sz w:val="18"/>
          <w:szCs w:val="18"/>
        </w:rPr>
        <w:t>在子公司的持股比例不同于表决权比例的说明： 持有半数或以下表决权但仍控制被投资单位、以及持有半数以上表决权但不控制被投资单位的依据： 对于纳入合并范围的重要的结构化主体，控制的依据：</w:t>
      </w:r>
    </w:p>
    <w:p>
      <w:pPr>
        <w:spacing w:after="0" w:line="360" w:lineRule="auto"/>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3"/>
        <w:rPr>
          <w:rFonts w:ascii="宋体" w:hAnsi="宋体" w:cs="宋体" w:eastAsia="宋体" w:hint="default"/>
          <w:sz w:val="20"/>
          <w:szCs w:val="20"/>
        </w:rPr>
      </w:pPr>
    </w:p>
    <w:p>
      <w:pPr>
        <w:spacing w:line="357" w:lineRule="auto" w:before="44"/>
        <w:ind w:left="114" w:right="7692" w:firstLine="0"/>
        <w:jc w:val="left"/>
        <w:rPr>
          <w:rFonts w:ascii="宋体" w:hAnsi="宋体" w:cs="宋体" w:eastAsia="宋体" w:hint="default"/>
          <w:sz w:val="18"/>
          <w:szCs w:val="18"/>
        </w:rPr>
      </w:pPr>
      <w:r>
        <w:rPr>
          <w:rFonts w:ascii="宋体" w:hAnsi="宋体" w:cs="宋体" w:eastAsia="宋体" w:hint="default"/>
          <w:sz w:val="18"/>
          <w:szCs w:val="18"/>
        </w:rPr>
        <w:t>确定公司是代理人还是委托人的依据： 其他说明：</w:t>
      </w:r>
    </w:p>
    <w:p>
      <w:pPr>
        <w:spacing w:line="240" w:lineRule="auto" w:before="1"/>
        <w:rPr>
          <w:rFonts w:ascii="宋体" w:hAnsi="宋体" w:cs="宋体" w:eastAsia="宋体" w:hint="default"/>
          <w:sz w:val="20"/>
          <w:szCs w:val="20"/>
        </w:rPr>
      </w:pPr>
    </w:p>
    <w:p>
      <w:pPr>
        <w:spacing w:before="0"/>
        <w:ind w:left="114" w:right="0" w:firstLine="0"/>
        <w:jc w:val="left"/>
        <w:rPr>
          <w:rFonts w:ascii="宋体" w:hAnsi="宋体" w:cs="宋体" w:eastAsia="宋体" w:hint="default"/>
          <w:sz w:val="21"/>
          <w:szCs w:val="21"/>
        </w:rPr>
      </w:pPr>
      <w:bookmarkStart w:name="（2）重要的非全资子公司" w:id="407"/>
      <w:bookmarkEnd w:id="40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）重要的非全资子公司</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7"/>
        <w:gridCol w:w="1914"/>
        <w:gridCol w:w="1914"/>
        <w:gridCol w:w="1913"/>
        <w:gridCol w:w="1913"/>
      </w:tblGrid>
      <w:tr>
        <w:trPr>
          <w:trHeight w:val="763" w:hRule="exact"/>
        </w:trPr>
        <w:tc>
          <w:tcPr>
            <w:tcW w:w="191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503" w:right="0"/>
              <w:jc w:val="left"/>
              <w:rPr>
                <w:rFonts w:ascii="宋体" w:hAnsi="宋体" w:cs="宋体" w:eastAsia="宋体" w:hint="default"/>
                <w:sz w:val="18"/>
                <w:szCs w:val="18"/>
              </w:rPr>
            </w:pPr>
            <w:r>
              <w:rPr>
                <w:rFonts w:ascii="宋体" w:hAnsi="宋体" w:cs="宋体" w:eastAsia="宋体" w:hint="default"/>
                <w:sz w:val="18"/>
                <w:szCs w:val="18"/>
              </w:rPr>
              <w:t>子公司名称</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0"/>
              <w:ind w:right="0"/>
              <w:jc w:val="left"/>
              <w:rPr>
                <w:rFonts w:ascii="宋体" w:hAnsi="宋体" w:cs="宋体" w:eastAsia="宋体" w:hint="default"/>
                <w:sz w:val="17"/>
                <w:szCs w:val="17"/>
              </w:rPr>
            </w:pPr>
          </w:p>
          <w:p>
            <w:pPr>
              <w:pStyle w:val="TableParagraph"/>
              <w:spacing w:line="240" w:lineRule="auto"/>
              <w:ind w:left="231" w:right="0"/>
              <w:jc w:val="left"/>
              <w:rPr>
                <w:rFonts w:ascii="宋体" w:hAnsi="宋体" w:cs="宋体" w:eastAsia="宋体" w:hint="default"/>
                <w:sz w:val="18"/>
                <w:szCs w:val="18"/>
              </w:rPr>
            </w:pPr>
            <w:r>
              <w:rPr>
                <w:rFonts w:ascii="宋体" w:hAnsi="宋体" w:cs="宋体" w:eastAsia="宋体" w:hint="default"/>
                <w:sz w:val="18"/>
                <w:szCs w:val="18"/>
              </w:rPr>
              <w:t>少数股东持股比例</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6"/>
              <w:ind w:left="681" w:right="140" w:hanging="540"/>
              <w:jc w:val="left"/>
              <w:rPr>
                <w:rFonts w:ascii="宋体" w:hAnsi="宋体" w:cs="宋体" w:eastAsia="宋体" w:hint="default"/>
                <w:sz w:val="18"/>
                <w:szCs w:val="18"/>
              </w:rPr>
            </w:pPr>
            <w:r>
              <w:rPr>
                <w:rFonts w:ascii="宋体" w:hAnsi="宋体" w:cs="宋体" w:eastAsia="宋体" w:hint="default"/>
                <w:sz w:val="18"/>
                <w:szCs w:val="18"/>
              </w:rPr>
              <w:t>本期归属于少数股东 的损益</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6"/>
              <w:ind w:left="501" w:right="141" w:hanging="360"/>
              <w:jc w:val="left"/>
              <w:rPr>
                <w:rFonts w:ascii="宋体" w:hAnsi="宋体" w:cs="宋体" w:eastAsia="宋体" w:hint="default"/>
                <w:sz w:val="18"/>
                <w:szCs w:val="18"/>
              </w:rPr>
            </w:pPr>
            <w:r>
              <w:rPr>
                <w:rFonts w:ascii="宋体" w:hAnsi="宋体" w:cs="宋体" w:eastAsia="宋体" w:hint="default"/>
                <w:sz w:val="18"/>
                <w:szCs w:val="18"/>
              </w:rPr>
              <w:t>本期向少数股东宣告 分派的股利</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6"/>
              <w:ind w:left="861" w:right="139" w:hanging="720"/>
              <w:jc w:val="left"/>
              <w:rPr>
                <w:rFonts w:ascii="宋体" w:hAnsi="宋体" w:cs="宋体" w:eastAsia="宋体" w:hint="default"/>
                <w:sz w:val="18"/>
                <w:szCs w:val="18"/>
              </w:rPr>
            </w:pPr>
            <w:r>
              <w:rPr>
                <w:rFonts w:ascii="宋体" w:hAnsi="宋体" w:cs="宋体" w:eastAsia="宋体" w:hint="default"/>
                <w:sz w:val="18"/>
                <w:szCs w:val="18"/>
              </w:rPr>
              <w:t>期末少数股东权益余 额</w:t>
            </w:r>
          </w:p>
        </w:tc>
      </w:tr>
      <w:tr>
        <w:trPr>
          <w:trHeight w:val="714" w:hRule="exact"/>
        </w:trPr>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83"/>
              <w:jc w:val="left"/>
              <w:rPr>
                <w:rFonts w:ascii="宋体" w:hAnsi="宋体" w:cs="宋体" w:eastAsia="宋体" w:hint="default"/>
                <w:sz w:val="18"/>
                <w:szCs w:val="18"/>
              </w:rPr>
            </w:pPr>
            <w:r>
              <w:rPr>
                <w:rFonts w:ascii="宋体" w:hAnsi="宋体" w:cs="宋体" w:eastAsia="宋体" w:hint="default"/>
                <w:sz w:val="18"/>
                <w:szCs w:val="18"/>
              </w:rPr>
              <w:t>上海追索信息科技有 限公司</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49.00%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4,496,367.97</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10,255,516.67</w:t>
            </w:r>
          </w:p>
        </w:tc>
      </w:tr>
      <w:tr>
        <w:trPr>
          <w:trHeight w:val="715" w:hRule="exact"/>
        </w:trPr>
        <w:tc>
          <w:tcPr>
            <w:tcW w:w="1917"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3" w:right="183"/>
              <w:jc w:val="left"/>
              <w:rPr>
                <w:rFonts w:ascii="宋体" w:hAnsi="宋体" w:cs="宋体" w:eastAsia="宋体" w:hint="default"/>
                <w:sz w:val="18"/>
                <w:szCs w:val="18"/>
              </w:rPr>
            </w:pPr>
            <w:r>
              <w:rPr>
                <w:rFonts w:ascii="宋体" w:hAnsi="宋体" w:cs="宋体" w:eastAsia="宋体" w:hint="default"/>
                <w:sz w:val="18"/>
                <w:szCs w:val="18"/>
              </w:rPr>
              <w:t>追溯云信息发展股份 有限公司</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2,254,087.50</w:t>
            </w:r>
          </w:p>
        </w:tc>
        <w:tc>
          <w:tcPr>
            <w:tcW w:w="1913" w:type="dxa"/>
            <w:tcBorders>
              <w:top w:val="single" w:sz="4" w:space="0" w:color="000000"/>
              <w:left w:val="single" w:sz="4" w:space="0" w:color="000000"/>
              <w:bottom w:val="single" w:sz="4" w:space="0" w:color="000000"/>
              <w:right w:val="single" w:sz="4" w:space="0" w:color="000000"/>
            </w:tcBorders>
          </w:tcPr>
          <w:p>
            <w:pP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19,143,090.72</w:t>
            </w:r>
          </w:p>
        </w:tc>
      </w:tr>
    </w:tbl>
    <w:p>
      <w:pPr>
        <w:spacing w:line="357" w:lineRule="auto" w:before="51"/>
        <w:ind w:left="114" w:right="6432" w:firstLine="0"/>
        <w:jc w:val="left"/>
        <w:rPr>
          <w:rFonts w:ascii="宋体" w:hAnsi="宋体" w:cs="宋体" w:eastAsia="宋体" w:hint="default"/>
          <w:sz w:val="18"/>
          <w:szCs w:val="18"/>
        </w:rPr>
      </w:pPr>
      <w:r>
        <w:rPr>
          <w:rFonts w:ascii="宋体" w:hAnsi="宋体" w:cs="宋体" w:eastAsia="宋体" w:hint="default"/>
          <w:sz w:val="18"/>
          <w:szCs w:val="18"/>
        </w:rPr>
        <w:t>子公司少数股东的持股比例不同于表决权比例的说明： 其他说明：</w:t>
      </w:r>
    </w:p>
    <w:p>
      <w:pPr>
        <w:spacing w:line="240" w:lineRule="auto" w:before="1"/>
        <w:rPr>
          <w:rFonts w:ascii="宋体" w:hAnsi="宋体" w:cs="宋体" w:eastAsia="宋体" w:hint="default"/>
          <w:sz w:val="20"/>
          <w:szCs w:val="20"/>
        </w:rPr>
      </w:pPr>
    </w:p>
    <w:p>
      <w:pPr>
        <w:spacing w:before="0"/>
        <w:ind w:left="114" w:right="0" w:firstLine="0"/>
        <w:jc w:val="left"/>
        <w:rPr>
          <w:rFonts w:ascii="宋体" w:hAnsi="宋体" w:cs="宋体" w:eastAsia="宋体" w:hint="default"/>
          <w:sz w:val="21"/>
          <w:szCs w:val="21"/>
        </w:rPr>
      </w:pPr>
      <w:bookmarkStart w:name="（3）重要非全资子公司的主要财务信息" w:id="408"/>
      <w:bookmarkEnd w:id="40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）重要非全资子公司的主要财务信息</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36"/>
        <w:gridCol w:w="737"/>
        <w:gridCol w:w="736"/>
        <w:gridCol w:w="736"/>
        <w:gridCol w:w="737"/>
        <w:gridCol w:w="735"/>
        <w:gridCol w:w="736"/>
        <w:gridCol w:w="734"/>
        <w:gridCol w:w="736"/>
        <w:gridCol w:w="735"/>
        <w:gridCol w:w="737"/>
        <w:gridCol w:w="737"/>
        <w:gridCol w:w="736"/>
      </w:tblGrid>
      <w:tr>
        <w:trPr>
          <w:trHeight w:val="402" w:hRule="exact"/>
        </w:trPr>
        <w:tc>
          <w:tcPr>
            <w:tcW w:w="73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319" w:lineRule="auto"/>
              <w:ind w:left="182" w:right="183"/>
              <w:jc w:val="both"/>
              <w:rPr>
                <w:rFonts w:ascii="宋体" w:hAnsi="宋体" w:cs="宋体" w:eastAsia="宋体" w:hint="default"/>
                <w:sz w:val="18"/>
                <w:szCs w:val="18"/>
              </w:rPr>
            </w:pPr>
            <w:r>
              <w:rPr>
                <w:rFonts w:ascii="宋体" w:hAnsi="宋体" w:cs="宋体" w:eastAsia="宋体" w:hint="default"/>
                <w:sz w:val="18"/>
                <w:szCs w:val="18"/>
              </w:rPr>
              <w:t>子公 司名 称</w:t>
            </w:r>
          </w:p>
        </w:tc>
        <w:tc>
          <w:tcPr>
            <w:tcW w:w="4415"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414" w:type="dxa"/>
            <w:gridSpan w:val="6"/>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1026" w:hRule="exact"/>
        </w:trPr>
        <w:tc>
          <w:tcPr>
            <w:tcW w:w="736" w:type="dxa"/>
            <w:vMerge/>
            <w:tcBorders>
              <w:left w:val="single" w:sz="4" w:space="0" w:color="000000"/>
              <w:bottom w:val="single" w:sz="4" w:space="0" w:color="000000"/>
              <w:right w:val="single" w:sz="4" w:space="0" w:color="000000"/>
            </w:tcBorders>
            <w:shd w:val="clear" w:color="auto" w:fill="D2D2D2"/>
          </w:tcPr>
          <w:p>
            <w:pP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2"/>
              <w:jc w:val="left"/>
              <w:rPr>
                <w:rFonts w:ascii="宋体" w:hAnsi="宋体" w:cs="宋体" w:eastAsia="宋体" w:hint="default"/>
                <w:sz w:val="18"/>
                <w:szCs w:val="18"/>
              </w:rPr>
            </w:pPr>
            <w:r>
              <w:rPr>
                <w:rFonts w:ascii="宋体" w:hAnsi="宋体" w:cs="宋体" w:eastAsia="宋体" w:hint="default"/>
                <w:sz w:val="18"/>
                <w:szCs w:val="18"/>
              </w:rPr>
              <w:t>流动 资产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181"/>
              <w:jc w:val="both"/>
              <w:rPr>
                <w:rFonts w:ascii="宋体" w:hAnsi="宋体" w:cs="宋体" w:eastAsia="宋体" w:hint="default"/>
                <w:sz w:val="18"/>
                <w:szCs w:val="18"/>
              </w:rPr>
            </w:pPr>
            <w:r>
              <w:rPr>
                <w:rFonts w:ascii="宋体" w:hAnsi="宋体" w:cs="宋体" w:eastAsia="宋体" w:hint="default"/>
                <w:sz w:val="18"/>
                <w:szCs w:val="18"/>
              </w:rPr>
              <w:t>非流 动资 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1"/>
              <w:jc w:val="left"/>
              <w:rPr>
                <w:rFonts w:ascii="宋体" w:hAnsi="宋体" w:cs="宋体" w:eastAsia="宋体" w:hint="default"/>
                <w:sz w:val="18"/>
                <w:szCs w:val="18"/>
              </w:rPr>
            </w:pPr>
            <w:r>
              <w:rPr>
                <w:rFonts w:ascii="宋体" w:hAnsi="宋体" w:cs="宋体" w:eastAsia="宋体" w:hint="default"/>
                <w:sz w:val="18"/>
                <w:szCs w:val="18"/>
              </w:rPr>
              <w:t>资产 合计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2"/>
              <w:jc w:val="left"/>
              <w:rPr>
                <w:rFonts w:ascii="宋体" w:hAnsi="宋体" w:cs="宋体" w:eastAsia="宋体" w:hint="default"/>
                <w:sz w:val="18"/>
                <w:szCs w:val="18"/>
              </w:rPr>
            </w:pPr>
            <w:r>
              <w:rPr>
                <w:rFonts w:ascii="宋体" w:hAnsi="宋体" w:cs="宋体" w:eastAsia="宋体" w:hint="default"/>
                <w:sz w:val="18"/>
                <w:szCs w:val="18"/>
              </w:rPr>
              <w:t>流动 负债</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180"/>
              <w:jc w:val="both"/>
              <w:rPr>
                <w:rFonts w:ascii="宋体" w:hAnsi="宋体" w:cs="宋体" w:eastAsia="宋体" w:hint="default"/>
                <w:sz w:val="18"/>
                <w:szCs w:val="18"/>
              </w:rPr>
            </w:pPr>
            <w:r>
              <w:rPr>
                <w:rFonts w:ascii="宋体" w:hAnsi="宋体" w:cs="宋体" w:eastAsia="宋体" w:hint="default"/>
                <w:sz w:val="18"/>
                <w:szCs w:val="18"/>
              </w:rPr>
              <w:t>非流 动负 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1"/>
              <w:jc w:val="left"/>
              <w:rPr>
                <w:rFonts w:ascii="宋体" w:hAnsi="宋体" w:cs="宋体" w:eastAsia="宋体" w:hint="default"/>
                <w:sz w:val="18"/>
                <w:szCs w:val="18"/>
              </w:rPr>
            </w:pPr>
            <w:r>
              <w:rPr>
                <w:rFonts w:ascii="宋体" w:hAnsi="宋体" w:cs="宋体" w:eastAsia="宋体" w:hint="default"/>
                <w:sz w:val="18"/>
                <w:szCs w:val="18"/>
              </w:rPr>
              <w:t>负债 合计</w:t>
            </w:r>
          </w:p>
        </w:tc>
        <w:tc>
          <w:tcPr>
            <w:tcW w:w="7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0"/>
              <w:jc w:val="left"/>
              <w:rPr>
                <w:rFonts w:ascii="宋体" w:hAnsi="宋体" w:cs="宋体" w:eastAsia="宋体" w:hint="default"/>
                <w:sz w:val="18"/>
                <w:szCs w:val="18"/>
              </w:rPr>
            </w:pPr>
            <w:r>
              <w:rPr>
                <w:rFonts w:ascii="宋体" w:hAnsi="宋体" w:cs="宋体" w:eastAsia="宋体" w:hint="default"/>
                <w:sz w:val="18"/>
                <w:szCs w:val="18"/>
              </w:rPr>
              <w:t>流动 资产</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181"/>
              <w:jc w:val="both"/>
              <w:rPr>
                <w:rFonts w:ascii="宋体" w:hAnsi="宋体" w:cs="宋体" w:eastAsia="宋体" w:hint="default"/>
                <w:sz w:val="18"/>
                <w:szCs w:val="18"/>
              </w:rPr>
            </w:pPr>
            <w:r>
              <w:rPr>
                <w:rFonts w:ascii="宋体" w:hAnsi="宋体" w:cs="宋体" w:eastAsia="宋体" w:hint="default"/>
                <w:sz w:val="18"/>
                <w:szCs w:val="18"/>
              </w:rPr>
              <w:t>非流 动资 产</w:t>
            </w:r>
          </w:p>
        </w:tc>
        <w:tc>
          <w:tcPr>
            <w:tcW w:w="7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0"/>
              <w:jc w:val="left"/>
              <w:rPr>
                <w:rFonts w:ascii="宋体" w:hAnsi="宋体" w:cs="宋体" w:eastAsia="宋体" w:hint="default"/>
                <w:sz w:val="18"/>
                <w:szCs w:val="18"/>
              </w:rPr>
            </w:pPr>
            <w:r>
              <w:rPr>
                <w:rFonts w:ascii="宋体" w:hAnsi="宋体" w:cs="宋体" w:eastAsia="宋体" w:hint="default"/>
                <w:sz w:val="18"/>
                <w:szCs w:val="18"/>
              </w:rPr>
              <w:t>资产 合计</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3" w:right="181"/>
              <w:jc w:val="left"/>
              <w:rPr>
                <w:rFonts w:ascii="宋体" w:hAnsi="宋体" w:cs="宋体" w:eastAsia="宋体" w:hint="default"/>
                <w:sz w:val="18"/>
                <w:szCs w:val="18"/>
              </w:rPr>
            </w:pPr>
            <w:r>
              <w:rPr>
                <w:rFonts w:ascii="宋体" w:hAnsi="宋体" w:cs="宋体" w:eastAsia="宋体" w:hint="default"/>
                <w:sz w:val="18"/>
                <w:szCs w:val="18"/>
              </w:rPr>
              <w:t>流动 负债</w:t>
            </w:r>
          </w:p>
        </w:tc>
        <w:tc>
          <w:tcPr>
            <w:tcW w:w="73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182" w:right="182"/>
              <w:jc w:val="both"/>
              <w:rPr>
                <w:rFonts w:ascii="宋体" w:hAnsi="宋体" w:cs="宋体" w:eastAsia="宋体" w:hint="default"/>
                <w:sz w:val="18"/>
                <w:szCs w:val="18"/>
              </w:rPr>
            </w:pPr>
            <w:r>
              <w:rPr>
                <w:rFonts w:ascii="宋体" w:hAnsi="宋体" w:cs="宋体" w:eastAsia="宋体" w:hint="default"/>
                <w:sz w:val="18"/>
                <w:szCs w:val="18"/>
              </w:rPr>
              <w:t>非流 动负 债</w:t>
            </w:r>
          </w:p>
        </w:tc>
        <w:tc>
          <w:tcPr>
            <w:tcW w:w="7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19" w:lineRule="auto"/>
              <w:ind w:left="182" w:right="181"/>
              <w:jc w:val="left"/>
              <w:rPr>
                <w:rFonts w:ascii="宋体" w:hAnsi="宋体" w:cs="宋体" w:eastAsia="宋体" w:hint="default"/>
                <w:sz w:val="18"/>
                <w:szCs w:val="18"/>
              </w:rPr>
            </w:pPr>
            <w:r>
              <w:rPr>
                <w:rFonts w:ascii="宋体" w:hAnsi="宋体" w:cs="宋体" w:eastAsia="宋体" w:hint="default"/>
                <w:sz w:val="18"/>
                <w:szCs w:val="18"/>
              </w:rPr>
              <w:t>负债 合计</w:t>
            </w:r>
          </w:p>
        </w:tc>
      </w:tr>
      <w:tr>
        <w:trPr>
          <w:trHeight w:val="1962"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61"/>
              <w:jc w:val="both"/>
              <w:rPr>
                <w:rFonts w:ascii="宋体" w:hAnsi="宋体" w:cs="宋体" w:eastAsia="宋体" w:hint="default"/>
                <w:sz w:val="18"/>
                <w:szCs w:val="18"/>
              </w:rPr>
            </w:pPr>
            <w:r>
              <w:rPr>
                <w:rFonts w:ascii="宋体" w:hAnsi="宋体" w:cs="宋体" w:eastAsia="宋体" w:hint="default"/>
                <w:sz w:val="18"/>
                <w:szCs w:val="18"/>
              </w:rPr>
              <w:t>上海 追索 信息 科技 有限 公司</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29,980</w:t>
            </w:r>
          </w:p>
          <w:p>
            <w:pPr>
              <w:pStyle w:val="TableParagraph"/>
              <w:spacing w:line="240" w:lineRule="auto" w:before="104"/>
              <w:ind w:right="101"/>
              <w:jc w:val="right"/>
              <w:rPr>
                <w:rFonts w:ascii="Times New Roman" w:hAnsi="Times New Roman" w:cs="Times New Roman" w:eastAsia="Times New Roman" w:hint="default"/>
                <w:sz w:val="18"/>
                <w:szCs w:val="18"/>
              </w:rPr>
            </w:pPr>
            <w:r>
              <w:rPr>
                <w:rFonts w:ascii="Times New Roman"/>
                <w:sz w:val="18"/>
              </w:rPr>
              <w:t>,413.0</w:t>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1</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28" w:right="0"/>
              <w:jc w:val="left"/>
              <w:rPr>
                <w:rFonts w:ascii="Times New Roman" w:hAnsi="Times New Roman" w:cs="Times New Roman" w:eastAsia="Times New Roman" w:hint="default"/>
                <w:sz w:val="18"/>
                <w:szCs w:val="18"/>
              </w:rPr>
            </w:pPr>
            <w:r>
              <w:rPr>
                <w:rFonts w:ascii="Times New Roman"/>
                <w:sz w:val="18"/>
              </w:rPr>
              <w:t>84,414</w:t>
            </w:r>
          </w:p>
          <w:p>
            <w:pPr>
              <w:pStyle w:val="TableParagraph"/>
              <w:spacing w:line="240" w:lineRule="auto" w:before="105"/>
              <w:ind w:left="398" w:right="0"/>
              <w:jc w:val="left"/>
              <w:rPr>
                <w:rFonts w:ascii="Times New Roman" w:hAnsi="Times New Roman" w:cs="Times New Roman" w:eastAsia="Times New Roman" w:hint="default"/>
                <w:sz w:val="18"/>
                <w:szCs w:val="18"/>
              </w:rPr>
            </w:pPr>
            <w:r>
              <w:rPr>
                <w:rFonts w:ascii="Times New Roman"/>
                <w:sz w:val="18"/>
              </w:rPr>
              <w:t>.55</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30,064</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,827.5</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3,570,</w:t>
            </w:r>
          </w:p>
          <w:p>
            <w:pPr>
              <w:pStyle w:val="TableParagraph"/>
              <w:spacing w:line="240" w:lineRule="auto" w:before="105"/>
              <w:ind w:left="128" w:right="0"/>
              <w:jc w:val="left"/>
              <w:rPr>
                <w:rFonts w:ascii="Times New Roman" w:hAnsi="Times New Roman" w:cs="Times New Roman" w:eastAsia="Times New Roman" w:hint="default"/>
                <w:sz w:val="18"/>
                <w:szCs w:val="18"/>
              </w:rPr>
            </w:pPr>
            <w:r>
              <w:rPr>
                <w:rFonts w:ascii="Times New Roman"/>
                <w:sz w:val="18"/>
              </w:rPr>
              <w:t>808.46</w:t>
            </w:r>
          </w:p>
        </w:tc>
        <w:tc>
          <w:tcPr>
            <w:tcW w:w="735"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71" w:right="0"/>
              <w:jc w:val="left"/>
              <w:rPr>
                <w:rFonts w:ascii="Times New Roman" w:hAnsi="Times New Roman" w:cs="Times New Roman" w:eastAsia="Times New Roman" w:hint="default"/>
                <w:sz w:val="18"/>
                <w:szCs w:val="18"/>
              </w:rPr>
            </w:pPr>
            <w:r>
              <w:rPr>
                <w:rFonts w:ascii="Times New Roman"/>
                <w:sz w:val="18"/>
              </w:rPr>
              <w:t>3,570,</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808.46</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28,143</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,321.7</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71" w:right="0"/>
              <w:jc w:val="left"/>
              <w:rPr>
                <w:rFonts w:ascii="Times New Roman" w:hAnsi="Times New Roman" w:cs="Times New Roman" w:eastAsia="Times New Roman" w:hint="default"/>
                <w:sz w:val="18"/>
                <w:szCs w:val="18"/>
              </w:rPr>
            </w:pPr>
            <w:r>
              <w:rPr>
                <w:rFonts w:ascii="Times New Roman"/>
                <w:sz w:val="18"/>
              </w:rPr>
              <w:t>1,006,</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035.70</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29,149</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,357.4</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73" w:right="0"/>
              <w:jc w:val="left"/>
              <w:rPr>
                <w:rFonts w:ascii="Times New Roman" w:hAnsi="Times New Roman" w:cs="Times New Roman" w:eastAsia="Times New Roman" w:hint="default"/>
                <w:sz w:val="18"/>
                <w:szCs w:val="18"/>
              </w:rPr>
            </w:pPr>
            <w:r>
              <w:rPr>
                <w:rFonts w:ascii="Times New Roman"/>
                <w:sz w:val="18"/>
              </w:rPr>
              <w:t>4,727,</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650.27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24" w:right="0"/>
              <w:jc w:val="center"/>
              <w:rPr>
                <w:rFonts w:ascii="Times New Roman" w:hAnsi="Times New Roman" w:cs="Times New Roman" w:eastAsia="Times New Roman" w:hint="default"/>
                <w:sz w:val="18"/>
                <w:szCs w:val="18"/>
              </w:rPr>
            </w:pPr>
            <w:r>
              <w:rPr>
                <w:rFonts w:ascii="Times New Roman"/>
                <w:sz w:val="18"/>
              </w:rPr>
              <w:t>123,50</w:t>
            </w:r>
          </w:p>
          <w:p>
            <w:pPr>
              <w:pStyle w:val="TableParagraph"/>
              <w:spacing w:line="240" w:lineRule="auto" w:before="105"/>
              <w:ind w:left="204" w:right="0"/>
              <w:jc w:val="center"/>
              <w:rPr>
                <w:rFonts w:ascii="Times New Roman" w:hAnsi="Times New Roman" w:cs="Times New Roman" w:eastAsia="Times New Roman" w:hint="default"/>
                <w:sz w:val="18"/>
                <w:szCs w:val="18"/>
              </w:rPr>
            </w:pPr>
            <w:r>
              <w:rPr>
                <w:rFonts w:ascii="Times New Roman"/>
                <w:sz w:val="18"/>
              </w:rPr>
              <w:t>0.02</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4,851,</w:t>
            </w:r>
          </w:p>
          <w:p>
            <w:pPr>
              <w:pStyle w:val="TableParagraph"/>
              <w:spacing w:line="240" w:lineRule="auto" w:before="105"/>
              <w:ind w:left="128" w:right="0"/>
              <w:jc w:val="left"/>
              <w:rPr>
                <w:rFonts w:ascii="Times New Roman" w:hAnsi="Times New Roman" w:cs="Times New Roman" w:eastAsia="Times New Roman" w:hint="default"/>
                <w:sz w:val="18"/>
                <w:szCs w:val="18"/>
              </w:rPr>
            </w:pPr>
            <w:r>
              <w:rPr>
                <w:rFonts w:ascii="Times New Roman"/>
                <w:sz w:val="18"/>
              </w:rPr>
              <w:t>150.29</w:t>
            </w:r>
          </w:p>
        </w:tc>
      </w:tr>
      <w:tr>
        <w:trPr>
          <w:trHeight w:val="2274" w:hRule="exact"/>
        </w:trPr>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61"/>
              <w:jc w:val="both"/>
              <w:rPr>
                <w:rFonts w:ascii="宋体" w:hAnsi="宋体" w:cs="宋体" w:eastAsia="宋体" w:hint="default"/>
                <w:sz w:val="18"/>
                <w:szCs w:val="18"/>
              </w:rPr>
            </w:pPr>
            <w:r>
              <w:rPr>
                <w:rFonts w:ascii="宋体" w:hAnsi="宋体" w:cs="宋体" w:eastAsia="宋体" w:hint="default"/>
                <w:sz w:val="18"/>
                <w:szCs w:val="18"/>
              </w:rPr>
              <w:t>追溯 云信 息发 展股 份有 限公 司</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68,361</w:t>
            </w:r>
          </w:p>
          <w:p>
            <w:pPr>
              <w:pStyle w:val="TableParagraph"/>
              <w:spacing w:line="240" w:lineRule="auto" w:before="104"/>
              <w:ind w:right="101"/>
              <w:jc w:val="right"/>
              <w:rPr>
                <w:rFonts w:ascii="Times New Roman" w:hAnsi="Times New Roman" w:cs="Times New Roman" w:eastAsia="Times New Roman" w:hint="default"/>
                <w:sz w:val="18"/>
                <w:szCs w:val="18"/>
              </w:rPr>
            </w:pPr>
            <w:r>
              <w:rPr>
                <w:rFonts w:ascii="Times New Roman"/>
                <w:sz w:val="18"/>
              </w:rPr>
              <w:t>,050.7</w:t>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4</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28" w:right="0"/>
              <w:jc w:val="left"/>
              <w:rPr>
                <w:rFonts w:ascii="Times New Roman" w:hAnsi="Times New Roman" w:cs="Times New Roman" w:eastAsia="Times New Roman" w:hint="default"/>
                <w:sz w:val="18"/>
                <w:szCs w:val="18"/>
              </w:rPr>
            </w:pPr>
            <w:r>
              <w:rPr>
                <w:rFonts w:ascii="Times New Roman"/>
                <w:sz w:val="18"/>
              </w:rPr>
              <w:t>15,237</w:t>
            </w:r>
          </w:p>
          <w:p>
            <w:pPr>
              <w:pStyle w:val="TableParagraph"/>
              <w:spacing w:line="240" w:lineRule="auto" w:before="105"/>
              <w:ind w:left="398" w:right="0"/>
              <w:jc w:val="left"/>
              <w:rPr>
                <w:rFonts w:ascii="Times New Roman" w:hAnsi="Times New Roman" w:cs="Times New Roman" w:eastAsia="Times New Roman" w:hint="default"/>
                <w:sz w:val="18"/>
                <w:szCs w:val="18"/>
              </w:rPr>
            </w:pPr>
            <w:r>
              <w:rPr>
                <w:rFonts w:ascii="Times New Roman"/>
                <w:sz w:val="18"/>
              </w:rPr>
              <w:t>.63</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68,376</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,288.3</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7</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79" w:right="0"/>
              <w:jc w:val="left"/>
              <w:rPr>
                <w:rFonts w:ascii="Times New Roman" w:hAnsi="Times New Roman" w:cs="Times New Roman" w:eastAsia="Times New Roman" w:hint="default"/>
                <w:sz w:val="18"/>
                <w:szCs w:val="18"/>
              </w:rPr>
            </w:pPr>
            <w:r>
              <w:rPr>
                <w:rFonts w:ascii="Times New Roman"/>
                <w:sz w:val="18"/>
              </w:rPr>
              <w:t>2,511,</w:t>
            </w:r>
          </w:p>
          <w:p>
            <w:pPr>
              <w:pStyle w:val="TableParagraph"/>
              <w:spacing w:line="240" w:lineRule="auto" w:before="105"/>
              <w:ind w:left="128" w:right="0"/>
              <w:jc w:val="left"/>
              <w:rPr>
                <w:rFonts w:ascii="Times New Roman" w:hAnsi="Times New Roman" w:cs="Times New Roman" w:eastAsia="Times New Roman" w:hint="default"/>
                <w:sz w:val="18"/>
                <w:szCs w:val="18"/>
              </w:rPr>
            </w:pPr>
            <w:r>
              <w:rPr>
                <w:rFonts w:ascii="Times New Roman"/>
                <w:sz w:val="18"/>
              </w:rPr>
              <w:t>046.42</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5" w:right="0"/>
              <w:jc w:val="center"/>
              <w:rPr>
                <w:rFonts w:ascii="Times New Roman" w:hAnsi="Times New Roman" w:cs="Times New Roman" w:eastAsia="Times New Roman" w:hint="default"/>
                <w:sz w:val="18"/>
                <w:szCs w:val="18"/>
              </w:rPr>
            </w:pPr>
            <w:r>
              <w:rPr>
                <w:rFonts w:ascii="Times New Roman"/>
                <w:sz w:val="18"/>
              </w:rPr>
              <w:t>240,00</w:t>
            </w:r>
          </w:p>
          <w:p>
            <w:pPr>
              <w:pStyle w:val="TableParagraph"/>
              <w:spacing w:line="240" w:lineRule="auto" w:before="105"/>
              <w:ind w:left="205" w:right="0"/>
              <w:jc w:val="center"/>
              <w:rPr>
                <w:rFonts w:ascii="Times New Roman" w:hAnsi="Times New Roman" w:cs="Times New Roman" w:eastAsia="Times New Roman" w:hint="default"/>
                <w:sz w:val="18"/>
                <w:szCs w:val="18"/>
              </w:rPr>
            </w:pPr>
            <w:r>
              <w:rPr>
                <w:rFonts w:ascii="Times New Roman"/>
                <w:sz w:val="18"/>
              </w:rPr>
              <w:t>0.00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71" w:right="0"/>
              <w:jc w:val="left"/>
              <w:rPr>
                <w:rFonts w:ascii="Times New Roman" w:hAnsi="Times New Roman" w:cs="Times New Roman" w:eastAsia="Times New Roman" w:hint="default"/>
                <w:sz w:val="18"/>
                <w:szCs w:val="18"/>
              </w:rPr>
            </w:pPr>
            <w:r>
              <w:rPr>
                <w:rFonts w:ascii="Times New Roman"/>
                <w:sz w:val="18"/>
              </w:rPr>
              <w:t>2,751,</w:t>
            </w:r>
          </w:p>
          <w:p>
            <w:pPr>
              <w:pStyle w:val="TableParagraph"/>
              <w:spacing w:line="240" w:lineRule="auto" w:before="105"/>
              <w:ind w:left="127" w:right="0"/>
              <w:jc w:val="left"/>
              <w:rPr>
                <w:rFonts w:ascii="Times New Roman" w:hAnsi="Times New Roman" w:cs="Times New Roman" w:eastAsia="Times New Roman" w:hint="default"/>
                <w:sz w:val="18"/>
                <w:szCs w:val="18"/>
              </w:rPr>
            </w:pPr>
            <w:r>
              <w:rPr>
                <w:rFonts w:ascii="Times New Roman"/>
                <w:sz w:val="18"/>
              </w:rPr>
              <w:t>046.42</w:t>
            </w:r>
          </w:p>
        </w:tc>
        <w:tc>
          <w:tcPr>
            <w:tcW w:w="73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15,220</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,839.8</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w:t>
            </w: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27" w:right="0"/>
              <w:jc w:val="left"/>
              <w:rPr>
                <w:rFonts w:ascii="Times New Roman" w:hAnsi="Times New Roman" w:cs="Times New Roman" w:eastAsia="Times New Roman" w:hint="default"/>
                <w:sz w:val="18"/>
                <w:szCs w:val="18"/>
              </w:rPr>
            </w:pPr>
            <w:r>
              <w:rPr>
                <w:rFonts w:ascii="Times New Roman"/>
                <w:sz w:val="18"/>
              </w:rPr>
              <w:t>23,388</w:t>
            </w:r>
          </w:p>
          <w:p>
            <w:pPr>
              <w:pStyle w:val="TableParagraph"/>
              <w:spacing w:line="240" w:lineRule="auto" w:before="105"/>
              <w:ind w:left="397" w:right="0"/>
              <w:jc w:val="left"/>
              <w:rPr>
                <w:rFonts w:ascii="Times New Roman" w:hAnsi="Times New Roman" w:cs="Times New Roman" w:eastAsia="Times New Roman" w:hint="default"/>
                <w:sz w:val="18"/>
                <w:szCs w:val="18"/>
              </w:rPr>
            </w:pPr>
            <w:r>
              <w:rPr>
                <w:rFonts w:ascii="Times New Roman"/>
                <w:sz w:val="18"/>
              </w:rPr>
              <w:t>.30</w:t>
            </w:r>
          </w:p>
        </w:tc>
        <w:tc>
          <w:tcPr>
            <w:tcW w:w="73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15,244</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,228.1</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0</w:t>
            </w:r>
          </w:p>
        </w:tc>
        <w:tc>
          <w:tcPr>
            <w:tcW w:w="73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73" w:right="0"/>
              <w:jc w:val="left"/>
              <w:rPr>
                <w:rFonts w:ascii="Times New Roman" w:hAnsi="Times New Roman" w:cs="Times New Roman" w:eastAsia="Times New Roman" w:hint="default"/>
                <w:sz w:val="18"/>
                <w:szCs w:val="18"/>
              </w:rPr>
            </w:pPr>
            <w:r>
              <w:rPr>
                <w:rFonts w:ascii="Times New Roman"/>
                <w:sz w:val="18"/>
              </w:rPr>
              <w:t>3,947,</w:t>
            </w:r>
          </w:p>
          <w:p>
            <w:pPr>
              <w:pStyle w:val="TableParagraph"/>
              <w:spacing w:line="240" w:lineRule="auto" w:before="105"/>
              <w:ind w:left="129" w:right="0"/>
              <w:jc w:val="left"/>
              <w:rPr>
                <w:rFonts w:ascii="Times New Roman" w:hAnsi="Times New Roman" w:cs="Times New Roman" w:eastAsia="Times New Roman" w:hint="default"/>
                <w:sz w:val="18"/>
                <w:szCs w:val="18"/>
              </w:rPr>
            </w:pPr>
            <w:r>
              <w:rPr>
                <w:rFonts w:ascii="Times New Roman"/>
                <w:sz w:val="18"/>
              </w:rPr>
              <w:t>550.70</w:t>
            </w:r>
          </w:p>
        </w:tc>
        <w:tc>
          <w:tcPr>
            <w:tcW w:w="737" w:type="dxa"/>
            <w:tcBorders>
              <w:top w:val="single" w:sz="4" w:space="0" w:color="000000"/>
              <w:left w:val="single" w:sz="4" w:space="0" w:color="000000"/>
              <w:bottom w:val="single" w:sz="4" w:space="0" w:color="000000"/>
              <w:right w:val="single" w:sz="4" w:space="0" w:color="000000"/>
            </w:tcBorders>
          </w:tcPr>
          <w:p>
            <w:pPr/>
          </w:p>
        </w:tc>
        <w:tc>
          <w:tcPr>
            <w:tcW w:w="7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172" w:right="0"/>
              <w:jc w:val="left"/>
              <w:rPr>
                <w:rFonts w:ascii="Times New Roman" w:hAnsi="Times New Roman" w:cs="Times New Roman" w:eastAsia="Times New Roman" w:hint="default"/>
                <w:sz w:val="18"/>
                <w:szCs w:val="18"/>
              </w:rPr>
            </w:pPr>
            <w:r>
              <w:rPr>
                <w:rFonts w:ascii="Times New Roman"/>
                <w:sz w:val="18"/>
              </w:rPr>
              <w:t>3,947,</w:t>
            </w:r>
          </w:p>
          <w:p>
            <w:pPr>
              <w:pStyle w:val="TableParagraph"/>
              <w:spacing w:line="240" w:lineRule="auto" w:before="105"/>
              <w:ind w:left="128" w:right="0"/>
              <w:jc w:val="left"/>
              <w:rPr>
                <w:rFonts w:ascii="Times New Roman" w:hAnsi="Times New Roman" w:cs="Times New Roman" w:eastAsia="Times New Roman" w:hint="default"/>
                <w:sz w:val="18"/>
                <w:szCs w:val="18"/>
              </w:rPr>
            </w:pPr>
            <w:r>
              <w:rPr>
                <w:rFonts w:ascii="Times New Roman"/>
                <w:sz w:val="18"/>
              </w:rPr>
              <w:t>550.70</w:t>
            </w:r>
          </w:p>
        </w:tc>
      </w:tr>
    </w:tbl>
    <w:p>
      <w:pPr>
        <w:spacing w:before="51"/>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061"/>
        <w:gridCol w:w="1061"/>
        <w:gridCol w:w="1062"/>
        <w:gridCol w:w="1066"/>
        <w:gridCol w:w="1064"/>
        <w:gridCol w:w="1063"/>
        <w:gridCol w:w="1064"/>
        <w:gridCol w:w="1063"/>
        <w:gridCol w:w="1066"/>
      </w:tblGrid>
      <w:tr>
        <w:trPr>
          <w:trHeight w:val="402" w:hRule="exact"/>
        </w:trPr>
        <w:tc>
          <w:tcPr>
            <w:tcW w:w="106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sz w:val="19"/>
                <w:szCs w:val="19"/>
              </w:rPr>
            </w:pPr>
          </w:p>
          <w:p>
            <w:pPr>
              <w:pStyle w:val="TableParagraph"/>
              <w:spacing w:line="316" w:lineRule="auto"/>
              <w:ind w:left="435" w:right="165" w:hanging="270"/>
              <w:jc w:val="left"/>
              <w:rPr>
                <w:rFonts w:ascii="宋体" w:hAnsi="宋体" w:cs="宋体" w:eastAsia="宋体" w:hint="default"/>
                <w:sz w:val="18"/>
                <w:szCs w:val="18"/>
              </w:rPr>
            </w:pPr>
            <w:r>
              <w:rPr>
                <w:rFonts w:ascii="宋体" w:hAnsi="宋体" w:cs="宋体" w:eastAsia="宋体" w:hint="default"/>
                <w:sz w:val="18"/>
                <w:szCs w:val="18"/>
              </w:rPr>
              <w:t>子公司名 称</w:t>
            </w:r>
          </w:p>
        </w:tc>
        <w:tc>
          <w:tcPr>
            <w:tcW w:w="4253"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425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061" w:type="dxa"/>
            <w:vMerge/>
            <w:tcBorders>
              <w:left w:val="single" w:sz="4" w:space="0" w:color="000000"/>
              <w:bottom w:val="single" w:sz="4" w:space="0" w:color="000000"/>
              <w:right w:val="single" w:sz="4" w:space="0" w:color="000000"/>
            </w:tcBorders>
            <w:shd w:val="clear" w:color="auto" w:fill="D2D2D2"/>
          </w:tcPr>
          <w:p>
            <w:pPr/>
          </w:p>
        </w:tc>
        <w:tc>
          <w:tcPr>
            <w:tcW w:w="106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0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55"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46" w:right="167" w:hanging="180"/>
              <w:jc w:val="left"/>
              <w:rPr>
                <w:rFonts w:ascii="宋体" w:hAnsi="宋体" w:cs="宋体" w:eastAsia="宋体" w:hint="default"/>
                <w:sz w:val="18"/>
                <w:szCs w:val="18"/>
              </w:rPr>
            </w:pPr>
            <w:r>
              <w:rPr>
                <w:rFonts w:ascii="宋体" w:hAnsi="宋体" w:cs="宋体" w:eastAsia="宋体" w:hint="default"/>
                <w:sz w:val="18"/>
                <w:szCs w:val="18"/>
              </w:rPr>
              <w:t>综合收益 总额</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66" w:right="167"/>
              <w:jc w:val="left"/>
              <w:rPr>
                <w:rFonts w:ascii="宋体" w:hAnsi="宋体" w:cs="宋体" w:eastAsia="宋体" w:hint="default"/>
                <w:sz w:val="18"/>
                <w:szCs w:val="18"/>
              </w:rPr>
            </w:pPr>
            <w:r>
              <w:rPr>
                <w:rFonts w:ascii="宋体" w:hAnsi="宋体" w:cs="宋体" w:eastAsia="宋体" w:hint="default"/>
                <w:sz w:val="18"/>
                <w:szCs w:val="18"/>
              </w:rPr>
              <w:t>经营活动 现金流量</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营业收入</w:t>
            </w:r>
          </w:p>
        </w:tc>
        <w:tc>
          <w:tcPr>
            <w:tcW w:w="10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净利润</w:t>
            </w:r>
          </w:p>
        </w:tc>
        <w:tc>
          <w:tcPr>
            <w:tcW w:w="10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46" w:right="164" w:hanging="180"/>
              <w:jc w:val="left"/>
              <w:rPr>
                <w:rFonts w:ascii="宋体" w:hAnsi="宋体" w:cs="宋体" w:eastAsia="宋体" w:hint="default"/>
                <w:sz w:val="18"/>
                <w:szCs w:val="18"/>
              </w:rPr>
            </w:pPr>
            <w:r>
              <w:rPr>
                <w:rFonts w:ascii="宋体" w:hAnsi="宋体" w:cs="宋体" w:eastAsia="宋体" w:hint="default"/>
                <w:sz w:val="18"/>
                <w:szCs w:val="18"/>
              </w:rPr>
              <w:t>综合收益 总额</w:t>
            </w:r>
          </w:p>
        </w:tc>
        <w:tc>
          <w:tcPr>
            <w:tcW w:w="10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67" w:right="167"/>
              <w:jc w:val="left"/>
              <w:rPr>
                <w:rFonts w:ascii="宋体" w:hAnsi="宋体" w:cs="宋体" w:eastAsia="宋体" w:hint="default"/>
                <w:sz w:val="18"/>
                <w:szCs w:val="18"/>
              </w:rPr>
            </w:pPr>
            <w:r>
              <w:rPr>
                <w:rFonts w:ascii="宋体" w:hAnsi="宋体" w:cs="宋体" w:eastAsia="宋体" w:hint="default"/>
                <w:sz w:val="18"/>
                <w:szCs w:val="18"/>
              </w:rPr>
              <w:t>经营活动 现金流量</w:t>
            </w:r>
          </w:p>
        </w:tc>
      </w:tr>
      <w:tr>
        <w:trPr>
          <w:trHeight w:val="362"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上海追索</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5" w:right="0"/>
              <w:jc w:val="center"/>
              <w:rPr>
                <w:rFonts w:ascii="Times New Roman" w:hAnsi="Times New Roman" w:cs="Times New Roman" w:eastAsia="Times New Roman" w:hint="default"/>
                <w:sz w:val="18"/>
                <w:szCs w:val="18"/>
              </w:rPr>
            </w:pPr>
            <w:r>
              <w:rPr>
                <w:rFonts w:ascii="Times New Roman"/>
                <w:sz w:val="18"/>
              </w:rPr>
              <w:t>15,629,891</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4" w:right="0"/>
              <w:jc w:val="left"/>
              <w:rPr>
                <w:rFonts w:ascii="Times New Roman" w:hAnsi="Times New Roman" w:cs="Times New Roman" w:eastAsia="Times New Roman" w:hint="default"/>
                <w:sz w:val="18"/>
                <w:szCs w:val="18"/>
              </w:rPr>
            </w:pPr>
            <w:r>
              <w:rPr>
                <w:rFonts w:ascii="Times New Roman"/>
                <w:sz w:val="18"/>
              </w:rPr>
              <w:t>2,895,645.</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7" w:right="0"/>
              <w:jc w:val="left"/>
              <w:rPr>
                <w:rFonts w:ascii="Times New Roman" w:hAnsi="Times New Roman" w:cs="Times New Roman" w:eastAsia="Times New Roman" w:hint="default"/>
                <w:sz w:val="18"/>
                <w:szCs w:val="18"/>
              </w:rPr>
            </w:pPr>
            <w:r>
              <w:rPr>
                <w:rFonts w:ascii="Times New Roman"/>
                <w:sz w:val="18"/>
              </w:rPr>
              <w:t>2,895,645.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41" w:right="0"/>
              <w:jc w:val="left"/>
              <w:rPr>
                <w:rFonts w:ascii="Times New Roman" w:hAnsi="Times New Roman" w:cs="Times New Roman" w:eastAsia="Times New Roman" w:hint="default"/>
                <w:sz w:val="18"/>
                <w:szCs w:val="18"/>
              </w:rPr>
            </w:pPr>
            <w:r>
              <w:rPr>
                <w:rFonts w:ascii="Times New Roman"/>
                <w:sz w:val="18"/>
              </w:rPr>
              <w:t>13,316,764</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37" w:right="0"/>
              <w:jc w:val="center"/>
              <w:rPr>
                <w:rFonts w:ascii="Times New Roman" w:hAnsi="Times New Roman" w:cs="Times New Roman" w:eastAsia="Times New Roman" w:hint="default"/>
                <w:sz w:val="18"/>
                <w:szCs w:val="18"/>
              </w:rPr>
            </w:pPr>
            <w:r>
              <w:rPr>
                <w:rFonts w:ascii="Times New Roman"/>
                <w:sz w:val="18"/>
              </w:rPr>
              <w:t>20,339,969</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88" w:right="0"/>
              <w:jc w:val="center"/>
              <w:rPr>
                <w:rFonts w:ascii="Times New Roman" w:hAnsi="Times New Roman" w:cs="Times New Roman" w:eastAsia="Times New Roman" w:hint="default"/>
                <w:sz w:val="18"/>
                <w:szCs w:val="18"/>
              </w:rPr>
            </w:pPr>
            <w:r>
              <w:rPr>
                <w:rFonts w:ascii="Times New Roman"/>
                <w:sz w:val="18"/>
              </w:rPr>
              <w:t>4,811,428.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91" w:right="0"/>
              <w:jc w:val="left"/>
              <w:rPr>
                <w:rFonts w:ascii="Times New Roman" w:hAnsi="Times New Roman" w:cs="Times New Roman" w:eastAsia="Times New Roman" w:hint="default"/>
                <w:sz w:val="18"/>
                <w:szCs w:val="18"/>
              </w:rPr>
            </w:pPr>
            <w:r>
              <w:rPr>
                <w:rFonts w:ascii="Times New Roman"/>
                <w:sz w:val="18"/>
              </w:rPr>
              <w:t>4,811,428.</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8" w:right="0"/>
              <w:jc w:val="left"/>
              <w:rPr>
                <w:rFonts w:ascii="Times New Roman" w:hAnsi="Times New Roman" w:cs="Times New Roman" w:eastAsia="Times New Roman" w:hint="default"/>
                <w:sz w:val="18"/>
                <w:szCs w:val="18"/>
              </w:rPr>
            </w:pPr>
            <w:r>
              <w:rPr>
                <w:rFonts w:ascii="Times New Roman"/>
                <w:sz w:val="18"/>
              </w:rPr>
              <w:t>3,885,020.</w:t>
            </w:r>
          </w:p>
        </w:tc>
      </w:tr>
    </w:tbl>
    <w:p>
      <w:pPr>
        <w:spacing w:after="0" w:line="240" w:lineRule="auto"/>
        <w:jc w:val="left"/>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1061"/>
        <w:gridCol w:w="1061"/>
        <w:gridCol w:w="1062"/>
        <w:gridCol w:w="1066"/>
        <w:gridCol w:w="1064"/>
        <w:gridCol w:w="1063"/>
        <w:gridCol w:w="1064"/>
        <w:gridCol w:w="1063"/>
        <w:gridCol w:w="1066"/>
      </w:tblGrid>
      <w:tr>
        <w:trPr>
          <w:trHeight w:val="674"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10"/>
              <w:ind w:left="103" w:right="226"/>
              <w:jc w:val="left"/>
              <w:rPr>
                <w:rFonts w:ascii="宋体" w:hAnsi="宋体" w:cs="宋体" w:eastAsia="宋体" w:hint="default"/>
                <w:sz w:val="18"/>
                <w:szCs w:val="18"/>
              </w:rPr>
            </w:pPr>
            <w:r>
              <w:rPr>
                <w:rFonts w:ascii="宋体" w:hAnsi="宋体" w:cs="宋体" w:eastAsia="宋体" w:hint="default"/>
                <w:sz w:val="18"/>
                <w:szCs w:val="18"/>
              </w:rPr>
              <w:t>信息科技 有限公司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.81</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44</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2"/>
              <w:jc w:val="right"/>
              <w:rPr>
                <w:rFonts w:ascii="Times New Roman" w:hAnsi="Times New Roman" w:cs="Times New Roman" w:eastAsia="Times New Roman" w:hint="default"/>
                <w:sz w:val="18"/>
                <w:szCs w:val="18"/>
              </w:rPr>
            </w:pPr>
            <w:r>
              <w:rPr>
                <w:rFonts w:ascii="Times New Roman"/>
                <w:sz w:val="18"/>
              </w:rPr>
              <w:t>44</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.69</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0"/>
              <w:jc w:val="right"/>
              <w:rPr>
                <w:rFonts w:ascii="Times New Roman" w:hAnsi="Times New Roman" w:cs="Times New Roman" w:eastAsia="Times New Roman" w:hint="default"/>
                <w:sz w:val="18"/>
                <w:szCs w:val="18"/>
              </w:rPr>
            </w:pPr>
            <w:r>
              <w:rPr>
                <w:rFonts w:ascii="Times New Roman"/>
                <w:sz w:val="18"/>
              </w:rPr>
              <w:t>.81</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60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60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72</w:t>
            </w:r>
          </w:p>
        </w:tc>
      </w:tr>
      <w:tr>
        <w:trPr>
          <w:trHeight w:val="1338" w:hRule="exact"/>
        </w:trPr>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226"/>
              <w:jc w:val="both"/>
              <w:rPr>
                <w:rFonts w:ascii="宋体" w:hAnsi="宋体" w:cs="宋体" w:eastAsia="宋体" w:hint="default"/>
                <w:sz w:val="18"/>
                <w:szCs w:val="18"/>
              </w:rPr>
            </w:pPr>
            <w:r>
              <w:rPr>
                <w:rFonts w:ascii="宋体" w:hAnsi="宋体" w:cs="宋体" w:eastAsia="宋体" w:hint="default"/>
                <w:sz w:val="18"/>
                <w:szCs w:val="18"/>
              </w:rPr>
              <w:t>追溯云信 息发展股 份有限公 司</w:t>
            </w:r>
          </w:p>
        </w:tc>
        <w:tc>
          <w:tcPr>
            <w:tcW w:w="106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19,855,228</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.93</w:t>
            </w:r>
          </w:p>
        </w:tc>
        <w:tc>
          <w:tcPr>
            <w:tcW w:w="10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9,328,564.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55</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9,328,564.</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55</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-1,877,734.</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48</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13,868,050</w:t>
            </w:r>
          </w:p>
          <w:p>
            <w:pPr>
              <w:pStyle w:val="TableParagraph"/>
              <w:spacing w:line="240" w:lineRule="auto" w:before="105"/>
              <w:ind w:right="100"/>
              <w:jc w:val="right"/>
              <w:rPr>
                <w:rFonts w:ascii="Times New Roman" w:hAnsi="Times New Roman" w:cs="Times New Roman" w:eastAsia="Times New Roman" w:hint="default"/>
                <w:sz w:val="18"/>
                <w:szCs w:val="18"/>
              </w:rPr>
            </w:pPr>
            <w:r>
              <w:rPr>
                <w:rFonts w:ascii="Times New Roman"/>
                <w:sz w:val="18"/>
              </w:rPr>
              <w:t>.83</w:t>
            </w:r>
          </w:p>
        </w:tc>
        <w:tc>
          <w:tcPr>
            <w:tcW w:w="1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6,296,677.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40</w:t>
            </w:r>
          </w:p>
        </w:tc>
        <w:tc>
          <w:tcPr>
            <w:tcW w:w="10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6,296,677.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40</w:t>
            </w:r>
          </w:p>
        </w:tc>
        <w:tc>
          <w:tcPr>
            <w:tcW w:w="106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-1,133,577.</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18</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使用企业集团资产和清偿企业集团债务的重大限制" w:id="409"/>
      <w:bookmarkEnd w:id="40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）使用企业集团资产和清偿企业集团债务的重大限制</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5）向纳入合并财务报表范围的结构化主体提供的财务支持或其他支持" w:id="410"/>
      <w:bookmarkEnd w:id="41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）向纳入合并财务报表范围的结构化主体提供的财务支持或其他支持</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在子公司的所有者权益份额发生变化且仍控制子公司的交易" w:id="411"/>
      <w:bookmarkEnd w:id="411"/>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、在子公司的所有者权益份额发生变化且仍控制子公司的交易</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在子公司所有者权益份额发生变化的情况说明" w:id="412"/>
      <w:bookmarkEnd w:id="41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）在子公司所有者权益份额发生变化的情况说明</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2）交易对于少数股东权益及归属于母公司所有者权益的影响" w:id="413"/>
      <w:bookmarkEnd w:id="41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）交易对于少数股东权益及归属于母公司所有者权益的影响</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8"/>
        <w:rPr>
          <w:rFonts w:ascii="宋体" w:hAnsi="宋体" w:cs="宋体" w:eastAsia="宋体" w:hint="default"/>
          <w:sz w:val="7"/>
          <w:szCs w:val="7"/>
        </w:rPr>
      </w:pPr>
    </w:p>
    <w:p>
      <w:pPr>
        <w:spacing w:line="421" w:lineRule="exact"/>
        <w:ind w:left="109" w:right="0" w:firstLine="0"/>
        <w:rPr>
          <w:rFonts w:ascii="宋体" w:hAnsi="宋体" w:cs="宋体" w:eastAsia="宋体" w:hint="default"/>
          <w:sz w:val="20"/>
          <w:szCs w:val="20"/>
        </w:rPr>
      </w:pPr>
      <w:r>
        <w:rPr>
          <w:rFonts w:ascii="宋体" w:hAnsi="宋体" w:cs="宋体" w:eastAsia="宋体" w:hint="default"/>
          <w:position w:val="-7"/>
          <w:sz w:val="20"/>
          <w:szCs w:val="20"/>
        </w:rPr>
        <w:pict>
          <v:group style="width:478.95pt;height:21.1pt;mso-position-horizontal-relative:char;mso-position-vertical-relative:line" coordorigin="0,0" coordsize="9579,422">
            <v:group style="position:absolute;left:10;top:14;width:104;height:393" coordorigin="10,14" coordsize="104,393">
              <v:shape style="position:absolute;left:10;top:14;width:104;height:393" coordorigin="10,14" coordsize="104,393" path="m10,407l113,407,113,14,10,14,10,407xe" filled="true" fillcolor="#d2d2d2" stroked="false">
                <v:path arrowok="t"/>
                <v:fill type="solid"/>
              </v:shape>
            </v:group>
            <v:group style="position:absolute;left:4682;top:14;width:102;height:393" coordorigin="4682,14" coordsize="102,393">
              <v:shape style="position:absolute;left:4682;top:14;width:102;height:393" coordorigin="4682,14" coordsize="102,393" path="m4682,407l4784,407,4784,14,4682,14,4682,407xe" filled="true" fillcolor="#d2d2d2" stroked="false">
                <v:path arrowok="t"/>
                <v:fill type="solid"/>
              </v:shape>
            </v:group>
            <v:group style="position:absolute;left:113;top:14;width:4570;height:393" coordorigin="113,14" coordsize="4570,393">
              <v:shape style="position:absolute;left:113;top:14;width:4570;height:393" coordorigin="113,14" coordsize="4570,393" path="m113,407l4682,407,4682,14,113,14,113,407xe" filled="true" fillcolor="#d2d2d2" stroked="false">
                <v:path arrowok="t"/>
                <v:fill type="solid"/>
              </v:shape>
            </v:group>
            <v:group style="position:absolute;left:4795;top:14;width:104;height:393" coordorigin="4795,14" coordsize="104,393">
              <v:shape style="position:absolute;left:4795;top:14;width:104;height:393" coordorigin="4795,14" coordsize="104,393" path="m4795,407l4898,407,4898,14,4795,14,4795,407xe" filled="true" fillcolor="#e0ffff" stroked="false">
                <v:path arrowok="t"/>
                <v:fill type="solid"/>
              </v:shape>
            </v:group>
            <v:group style="position:absolute;left:9466;top:14;width:104;height:393" coordorigin="9466,14" coordsize="104,393">
              <v:shape style="position:absolute;left:9466;top:14;width:104;height:393" coordorigin="9466,14" coordsize="104,393" path="m9466,407l9569,407,9569,14,9466,14,9466,407xe" filled="true" fillcolor="#e0ffff" stroked="false">
                <v:path arrowok="t"/>
                <v:fill type="solid"/>
              </v:shape>
            </v:group>
            <v:group style="position:absolute;left:4898;top:14;width:4568;height:393" coordorigin="4898,14" coordsize="4568,393">
              <v:shape style="position:absolute;left:4898;top:14;width:4568;height:393" coordorigin="4898,14" coordsize="4568,393" path="m4898,407l9466,407,9466,14,4898,14,4898,407xe" filled="true" fillcolor="#e0ffff" stroked="false">
                <v:path arrowok="t"/>
                <v:fill type="solid"/>
              </v:shape>
            </v:group>
            <v:group style="position:absolute;left:10;top:10;width:4776;height:2" coordorigin="10,10" coordsize="4776,2">
              <v:shape style="position:absolute;left:10;top:10;width:4776;height:2" coordorigin="10,10" coordsize="4776,0" path="m10,10l4785,10e" filled="false" stroked="true" strokeweight=".48001pt" strokecolor="#000000">
                <v:path arrowok="t"/>
              </v:shape>
            </v:group>
            <v:group style="position:absolute;left:4795;top:10;width:4774;height:2" coordorigin="4795,10" coordsize="4774,2">
              <v:shape style="position:absolute;left:4795;top:10;width:4774;height:2" coordorigin="4795,10" coordsize="4774,0" path="m4795,10l9569,10e" filled="false" stroked="true" strokeweight=".48001pt" strokecolor="#000000">
                <v:path arrowok="t"/>
              </v:shape>
            </v:group>
            <v:group style="position:absolute;left:5;top:5;width:2;height:412" coordorigin="5,5" coordsize="2,412">
              <v:shape style="position:absolute;left:5;top:5;width:2;height:412" coordorigin="5,5" coordsize="0,412" path="m5,5l5,417e" filled="false" stroked="true" strokeweight=".48pt" strokecolor="#000000">
                <v:path arrowok="t"/>
              </v:shape>
            </v:group>
            <v:group style="position:absolute;left:10;top:412;width:4776;height:2" coordorigin="10,412" coordsize="4776,2">
              <v:shape style="position:absolute;left:10;top:412;width:4776;height:2" coordorigin="10,412" coordsize="4776,0" path="m10,412l4785,412e" filled="false" stroked="true" strokeweight=".48001pt" strokecolor="#000000">
                <v:path arrowok="t"/>
              </v:shape>
            </v:group>
            <v:group style="position:absolute;left:4790;top:5;width:2;height:412" coordorigin="4790,5" coordsize="2,412">
              <v:shape style="position:absolute;left:4790;top:5;width:2;height:412" coordorigin="4790,5" coordsize="0,412" path="m4790,5l4790,417e" filled="false" stroked="true" strokeweight=".47998pt" strokecolor="#000000">
                <v:path arrowok="t"/>
              </v:shape>
            </v:group>
            <v:group style="position:absolute;left:4795;top:412;width:4774;height:2" coordorigin="4795,412" coordsize="4774,2">
              <v:shape style="position:absolute;left:4795;top:412;width:4774;height:2" coordorigin="4795,412" coordsize="4774,0" path="m4795,412l9569,412e" filled="false" stroked="true" strokeweight=".48001pt" strokecolor="#000000">
                <v:path arrowok="t"/>
              </v:shape>
            </v:group>
            <v:group style="position:absolute;left:9574;top:5;width:2;height:412" coordorigin="9574,5" coordsize="2,412">
              <v:shape style="position:absolute;left:9574;top:5;width:2;height:412" coordorigin="9574,5" coordsize="0,412" path="m9574,5l9574,417e" filled="false" stroked="true" strokeweight=".48004pt" strokecolor="#000000">
                <v:path arrowok="t"/>
              </v:shape>
            </v:group>
          </v:group>
        </w:pict>
      </w:r>
      <w:r>
        <w:rPr>
          <w:rFonts w:ascii="宋体" w:hAnsi="宋体" w:cs="宋体" w:eastAsia="宋体" w:hint="default"/>
          <w:position w:val="-7"/>
          <w:sz w:val="20"/>
          <w:szCs w:val="20"/>
        </w:rPr>
      </w:r>
    </w:p>
    <w:p>
      <w:pPr>
        <w:spacing w:before="47"/>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在合营安排或联营企业中的权益" w:id="414"/>
      <w:bookmarkEnd w:id="414"/>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、在合营安排或联营企业中的权益</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重要的合营企业或联营企业" w:id="415"/>
      <w:bookmarkEnd w:id="41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）重要的合营企业或联营企业</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372"/>
        <w:gridCol w:w="1367"/>
        <w:gridCol w:w="1367"/>
        <w:gridCol w:w="1367"/>
        <w:gridCol w:w="1367"/>
        <w:gridCol w:w="1367"/>
        <w:gridCol w:w="1366"/>
      </w:tblGrid>
      <w:tr>
        <w:trPr>
          <w:trHeight w:val="402" w:hRule="exact"/>
        </w:trPr>
        <w:tc>
          <w:tcPr>
            <w:tcW w:w="137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319" w:lineRule="auto" w:before="128"/>
              <w:ind w:left="230" w:right="141" w:hanging="90"/>
              <w:jc w:val="left"/>
              <w:rPr>
                <w:rFonts w:ascii="宋体" w:hAnsi="宋体" w:cs="宋体" w:eastAsia="宋体" w:hint="default"/>
                <w:sz w:val="18"/>
                <w:szCs w:val="18"/>
              </w:rPr>
            </w:pPr>
            <w:r>
              <w:rPr>
                <w:rFonts w:ascii="宋体" w:hAnsi="宋体" w:cs="宋体" w:eastAsia="宋体" w:hint="default"/>
                <w:sz w:val="18"/>
                <w:szCs w:val="18"/>
              </w:rPr>
              <w:t>合营企业或联 营企业名称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226"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408"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367"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9"/>
              <w:ind w:right="0"/>
              <w:jc w:val="left"/>
              <w:rPr>
                <w:rFonts w:ascii="宋体" w:hAnsi="宋体" w:cs="宋体" w:eastAsia="宋体" w:hint="default"/>
                <w:b/>
                <w:bCs/>
                <w:sz w:val="21"/>
                <w:szCs w:val="21"/>
              </w:rPr>
            </w:pPr>
          </w:p>
          <w:p>
            <w:pPr>
              <w:pStyle w:val="TableParagraph"/>
              <w:spacing w:line="240" w:lineRule="auto"/>
              <w:ind w:left="317"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273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持股比例</w:t>
            </w:r>
          </w:p>
        </w:tc>
        <w:tc>
          <w:tcPr>
            <w:tcW w:w="1366" w:type="dxa"/>
            <w:vMerge w:val="restart"/>
            <w:tcBorders>
              <w:top w:val="single" w:sz="4" w:space="0" w:color="000000"/>
              <w:left w:val="single" w:sz="4" w:space="0" w:color="000000"/>
              <w:right w:val="single" w:sz="4" w:space="0" w:color="000000"/>
            </w:tcBorders>
            <w:shd w:val="clear" w:color="auto" w:fill="D2D2D2"/>
          </w:tcPr>
          <w:p>
            <w:pPr>
              <w:pStyle w:val="TableParagraph"/>
              <w:spacing w:line="319" w:lineRule="auto" w:before="51"/>
              <w:ind w:left="136" w:right="137"/>
              <w:jc w:val="center"/>
              <w:rPr>
                <w:rFonts w:ascii="宋体" w:hAnsi="宋体" w:cs="宋体" w:eastAsia="宋体" w:hint="default"/>
                <w:sz w:val="18"/>
                <w:szCs w:val="18"/>
              </w:rPr>
            </w:pPr>
            <w:r>
              <w:rPr>
                <w:rFonts w:ascii="宋体" w:hAnsi="宋体" w:cs="宋体" w:eastAsia="宋体" w:hint="default"/>
                <w:sz w:val="18"/>
                <w:szCs w:val="18"/>
              </w:rPr>
              <w:t>对合营企业或 联营企业投资 的会计处理方 法</w:t>
            </w:r>
          </w:p>
        </w:tc>
      </w:tr>
      <w:tr>
        <w:trPr>
          <w:trHeight w:val="936" w:hRule="exact"/>
        </w:trPr>
        <w:tc>
          <w:tcPr>
            <w:tcW w:w="1372"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vMerge/>
            <w:tcBorders>
              <w:left w:val="single" w:sz="4" w:space="0" w:color="000000"/>
              <w:bottom w:val="single" w:sz="4" w:space="0" w:color="000000"/>
              <w:right w:val="single" w:sz="4" w:space="0" w:color="000000"/>
            </w:tcBorders>
            <w:shd w:val="clear" w:color="auto" w:fill="D2D2D2"/>
          </w:tcPr>
          <w:p>
            <w:pP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直接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
              <w:ind w:right="0"/>
              <w:jc w:val="left"/>
              <w:rPr>
                <w:rFonts w:ascii="宋体" w:hAnsi="宋体" w:cs="宋体" w:eastAsia="宋体" w:hint="default"/>
                <w:b/>
                <w:bCs/>
                <w:sz w:val="24"/>
                <w:szCs w:val="2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间接</w:t>
            </w:r>
          </w:p>
        </w:tc>
        <w:tc>
          <w:tcPr>
            <w:tcW w:w="1366" w:type="dxa"/>
            <w:vMerge/>
            <w:tcBorders>
              <w:left w:val="single" w:sz="4" w:space="0" w:color="000000"/>
              <w:bottom w:val="single" w:sz="4" w:space="0" w:color="000000"/>
              <w:right w:val="single" w:sz="4" w:space="0" w:color="000000"/>
            </w:tcBorders>
            <w:shd w:val="clear" w:color="auto" w:fill="D2D2D2"/>
          </w:tcPr>
          <w:p>
            <w:pP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在合营企业或联营企业的持股比例不同于表决权比例的说明：</w:t>
      </w:r>
    </w:p>
    <w:p>
      <w:pPr>
        <w:spacing w:before="117"/>
        <w:ind w:left="114" w:right="0" w:firstLine="0"/>
        <w:jc w:val="left"/>
        <w:rPr>
          <w:rFonts w:ascii="宋体" w:hAnsi="宋体" w:cs="宋体" w:eastAsia="宋体" w:hint="default"/>
          <w:sz w:val="18"/>
          <w:szCs w:val="18"/>
        </w:rPr>
      </w:pPr>
      <w:r>
        <w:rPr>
          <w:rFonts w:ascii="宋体" w:hAnsi="宋体" w:cs="宋体" w:eastAsia="宋体" w:hint="default"/>
          <w:sz w:val="18"/>
          <w:szCs w:val="18"/>
        </w:rPr>
        <w:t>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以下表决权但具有重大影响，或者持有</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宋体" w:hAnsi="宋体" w:cs="宋体" w:eastAsia="宋体" w:hint="default"/>
          <w:sz w:val="18"/>
          <w:szCs w:val="18"/>
        </w:rPr>
        <w:t>或以上表决权但不具有重大影响的依据：</w:t>
      </w:r>
    </w:p>
    <w:p>
      <w:pPr>
        <w:spacing w:line="240" w:lineRule="auto" w:before="9"/>
        <w:rPr>
          <w:rFonts w:ascii="宋体" w:hAnsi="宋体" w:cs="宋体" w:eastAsia="宋体" w:hint="default"/>
          <w:sz w:val="25"/>
          <w:szCs w:val="25"/>
        </w:rPr>
      </w:pPr>
    </w:p>
    <w:p>
      <w:pPr>
        <w:spacing w:before="0"/>
        <w:ind w:left="114" w:right="0" w:firstLine="0"/>
        <w:jc w:val="left"/>
        <w:rPr>
          <w:rFonts w:ascii="宋体" w:hAnsi="宋体" w:cs="宋体" w:eastAsia="宋体" w:hint="default"/>
          <w:sz w:val="21"/>
          <w:szCs w:val="21"/>
        </w:rPr>
      </w:pPr>
      <w:bookmarkStart w:name="（2）重要合营企业的主要财务信息" w:id="416"/>
      <w:bookmarkEnd w:id="41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）重要合营企业的主要财务信息</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1"/>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E0FFFF"/>
          </w:tcPr>
          <w:p>
            <w:pP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3）重要联营企业的主要财务信息" w:id="417"/>
      <w:bookmarkEnd w:id="41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）重要联营企业的主要财务信息</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1"/>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5" w:right="0"/>
              <w:jc w:val="left"/>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55" w:right="0"/>
              <w:jc w:val="left"/>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191"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3190" w:type="dxa"/>
            <w:tcBorders>
              <w:top w:val="single" w:sz="4" w:space="0" w:color="000000"/>
              <w:left w:val="single" w:sz="4" w:space="0" w:color="000000"/>
              <w:bottom w:val="single" w:sz="4" w:space="0" w:color="000000"/>
              <w:right w:val="single" w:sz="4" w:space="0" w:color="000000"/>
            </w:tcBorders>
            <w:shd w:val="clear" w:color="auto" w:fill="E0FFFF"/>
          </w:tcPr>
          <w:p>
            <w:pP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不重要的合营企业和联营企业的汇总财务信息" w:id="418"/>
      <w:bookmarkEnd w:id="41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）不重要的合营企业和联营企业的汇总财务信息</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r>
              <w:rPr>
                <w:rFonts w:ascii="Times New Roman" w:hAnsi="Times New Roman" w:cs="Times New Roman" w:eastAsia="Times New Roman" w:hint="default"/>
                <w:sz w:val="18"/>
                <w:szCs w:val="18"/>
              </w:rPr>
              <w:t>/</w:t>
            </w: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r>
              <w:rPr>
                <w:rFonts w:ascii="Times New Roman" w:hAnsi="Times New Roman" w:cs="Times New Roman" w:eastAsia="Times New Roman" w:hint="default"/>
                <w:sz w:val="18"/>
                <w:szCs w:val="18"/>
              </w:rPr>
              <w:t>/</w:t>
            </w:r>
            <w:r>
              <w:rPr>
                <w:rFonts w:ascii="宋体" w:hAnsi="宋体" w:cs="宋体" w:eastAsia="宋体" w:hint="default"/>
                <w:sz w:val="18"/>
                <w:szCs w:val="18"/>
              </w:rPr>
              <w:t>上期发生额</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联营企业：</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下列各项按持股比例计算的合计数</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1"/>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5）合营企业或联营企业向本公司转移资金的能力存在重大限制的说明" w:id="419"/>
      <w:bookmarkEnd w:id="41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）合营企业或联营企业向本公司转移资金的能力存在重大限制的说明</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6）合营企业或联营企业发生的超额亏损" w:id="420"/>
      <w:bookmarkEnd w:id="42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）合营企业或联营企业发生的超额亏损</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1"/>
        <w:gridCol w:w="2392"/>
        <w:gridCol w:w="2392"/>
        <w:gridCol w:w="2394"/>
      </w:tblGrid>
      <w:tr>
        <w:trPr>
          <w:trHeight w:val="714" w:hRule="exact"/>
        </w:trPr>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sz w:val="18"/>
                <w:szCs w:val="18"/>
              </w:rPr>
              <w:t>合营企业或联营企业名称</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100" w:right="111" w:hanging="990"/>
              <w:jc w:val="left"/>
              <w:rPr>
                <w:rFonts w:ascii="宋体" w:hAnsi="宋体" w:cs="宋体" w:eastAsia="宋体" w:hint="default"/>
                <w:sz w:val="18"/>
                <w:szCs w:val="18"/>
              </w:rPr>
            </w:pPr>
            <w:r>
              <w:rPr>
                <w:rFonts w:ascii="宋体" w:hAnsi="宋体" w:cs="宋体" w:eastAsia="宋体" w:hint="default"/>
                <w:sz w:val="18"/>
                <w:szCs w:val="18"/>
              </w:rPr>
              <w:t>累积未确认前期累计认的损 失</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60" w:right="111" w:hanging="450"/>
              <w:jc w:val="left"/>
              <w:rPr>
                <w:rFonts w:ascii="宋体" w:hAnsi="宋体" w:cs="宋体" w:eastAsia="宋体" w:hint="default"/>
                <w:sz w:val="18"/>
                <w:szCs w:val="18"/>
              </w:rPr>
            </w:pPr>
            <w:r>
              <w:rPr>
                <w:rFonts w:ascii="宋体" w:hAnsi="宋体" w:cs="宋体" w:eastAsia="宋体" w:hint="default"/>
                <w:sz w:val="18"/>
                <w:szCs w:val="18"/>
              </w:rPr>
              <w:t>本期未确认的损失（或本期 分享的净利润）</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1" w:right="0"/>
              <w:jc w:val="left"/>
              <w:rPr>
                <w:rFonts w:ascii="宋体" w:hAnsi="宋体" w:cs="宋体" w:eastAsia="宋体" w:hint="default"/>
                <w:sz w:val="18"/>
                <w:szCs w:val="18"/>
              </w:rPr>
            </w:pPr>
            <w:r>
              <w:rPr>
                <w:rFonts w:ascii="宋体" w:hAnsi="宋体" w:cs="宋体" w:eastAsia="宋体" w:hint="default"/>
                <w:sz w:val="18"/>
                <w:szCs w:val="18"/>
              </w:rPr>
              <w:t>本期末累积未确认的损失</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7）与合营企业投资相关的未确认承诺" w:id="421"/>
      <w:bookmarkEnd w:id="42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）与合营企业投资相关的未确认承诺</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8）与合营企业或联营企业投资相关的或有负债" w:id="422"/>
      <w:bookmarkEnd w:id="42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）与合营企业或联营企业投资相关的或有负债</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4、重要的共同经营" w:id="423"/>
      <w:bookmarkEnd w:id="423"/>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、重要的共同经营</w:t>
      </w:r>
      <w:r>
        <w:rPr>
          <w:rFonts w:ascii="宋体" w:hAnsi="宋体" w:cs="宋体" w:eastAsia="宋体" w:hint="default"/>
          <w:sz w:val="21"/>
          <w:szCs w:val="21"/>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1598"/>
        <w:gridCol w:w="1594"/>
        <w:gridCol w:w="1595"/>
        <w:gridCol w:w="1594"/>
        <w:gridCol w:w="1594"/>
        <w:gridCol w:w="1594"/>
      </w:tblGrid>
      <w:tr>
        <w:trPr>
          <w:trHeight w:val="402" w:hRule="exact"/>
        </w:trPr>
        <w:tc>
          <w:tcPr>
            <w:tcW w:w="15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253" w:right="0"/>
              <w:jc w:val="left"/>
              <w:rPr>
                <w:rFonts w:ascii="宋体" w:hAnsi="宋体" w:cs="宋体" w:eastAsia="宋体" w:hint="default"/>
                <w:sz w:val="18"/>
                <w:szCs w:val="18"/>
              </w:rPr>
            </w:pPr>
            <w:r>
              <w:rPr>
                <w:rFonts w:ascii="宋体" w:hAnsi="宋体" w:cs="宋体" w:eastAsia="宋体" w:hint="default"/>
                <w:sz w:val="18"/>
                <w:szCs w:val="18"/>
              </w:rPr>
              <w:t>共同经营名称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341" w:right="0"/>
              <w:jc w:val="left"/>
              <w:rPr>
                <w:rFonts w:ascii="宋体" w:hAnsi="宋体" w:cs="宋体" w:eastAsia="宋体" w:hint="default"/>
                <w:sz w:val="18"/>
                <w:szCs w:val="18"/>
              </w:rPr>
            </w:pPr>
            <w:r>
              <w:rPr>
                <w:rFonts w:ascii="宋体" w:hAnsi="宋体" w:cs="宋体" w:eastAsia="宋体" w:hint="default"/>
                <w:sz w:val="18"/>
                <w:szCs w:val="18"/>
              </w:rPr>
              <w:t>主要经营地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521"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3"/>
              <w:ind w:right="0"/>
              <w:jc w:val="left"/>
              <w:rPr>
                <w:rFonts w:ascii="宋体" w:hAnsi="宋体" w:cs="宋体" w:eastAsia="宋体" w:hint="default"/>
                <w:b/>
                <w:bCs/>
                <w:sz w:val="19"/>
                <w:szCs w:val="19"/>
              </w:rPr>
            </w:pPr>
          </w:p>
          <w:p>
            <w:pPr>
              <w:pStyle w:val="TableParagraph"/>
              <w:spacing w:line="240" w:lineRule="auto"/>
              <w:ind w:left="430"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3188"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53" w:right="0"/>
              <w:jc w:val="left"/>
              <w:rPr>
                <w:rFonts w:ascii="宋体" w:hAnsi="宋体" w:cs="宋体" w:eastAsia="宋体" w:hint="default"/>
                <w:sz w:val="18"/>
                <w:szCs w:val="18"/>
              </w:rPr>
            </w:pPr>
            <w:r>
              <w:rPr>
                <w:rFonts w:ascii="宋体" w:hAnsi="宋体" w:cs="宋体" w:eastAsia="宋体" w:hint="default"/>
                <w:sz w:val="18"/>
                <w:szCs w:val="18"/>
              </w:rPr>
              <w:t>持股比例</w:t>
            </w:r>
            <w:r>
              <w:rPr>
                <w:rFonts w:ascii="Times New Roman" w:hAnsi="Times New Roman" w:cs="Times New Roman" w:eastAsia="Times New Roman" w:hint="default"/>
                <w:sz w:val="18"/>
                <w:szCs w:val="18"/>
              </w:rPr>
              <w:t>/</w:t>
            </w:r>
            <w:r>
              <w:rPr>
                <w:rFonts w:ascii="宋体" w:hAnsi="宋体" w:cs="宋体" w:eastAsia="宋体" w:hint="default"/>
                <w:sz w:val="18"/>
                <w:szCs w:val="18"/>
              </w:rPr>
              <w:t>享有的份额</w:t>
            </w:r>
          </w:p>
        </w:tc>
      </w:tr>
      <w:tr>
        <w:trPr>
          <w:trHeight w:val="402" w:hRule="exact"/>
        </w:trPr>
        <w:tc>
          <w:tcPr>
            <w:tcW w:w="1598"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4" w:type="dxa"/>
            <w:vMerge/>
            <w:tcBorders>
              <w:left w:val="single" w:sz="4" w:space="0" w:color="000000"/>
              <w:bottom w:val="single" w:sz="4" w:space="0" w:color="000000"/>
              <w:right w:val="single" w:sz="4" w:space="0" w:color="000000"/>
            </w:tcBorders>
            <w:shd w:val="clear" w:color="auto" w:fill="D2D2D2"/>
          </w:tcPr>
          <w:p>
            <w:pP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直接</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间接</w:t>
            </w:r>
          </w:p>
        </w:tc>
      </w:tr>
    </w:tbl>
    <w:p>
      <w:pPr>
        <w:spacing w:line="360" w:lineRule="auto" w:before="51"/>
        <w:ind w:left="114" w:right="5532" w:firstLine="0"/>
        <w:jc w:val="left"/>
        <w:rPr>
          <w:rFonts w:ascii="宋体" w:hAnsi="宋体" w:cs="宋体" w:eastAsia="宋体" w:hint="default"/>
          <w:sz w:val="18"/>
          <w:szCs w:val="18"/>
        </w:rPr>
      </w:pPr>
      <w:r>
        <w:rPr>
          <w:rFonts w:ascii="宋体" w:hAnsi="宋体" w:cs="宋体" w:eastAsia="宋体" w:hint="default"/>
          <w:sz w:val="18"/>
          <w:szCs w:val="18"/>
        </w:rPr>
        <w:t>在共同经营中的持股比例或享有的份额不同于表决权比例的说明： 共同经营为单独主体的，分类为共同经营的依据：</w:t>
      </w:r>
    </w:p>
    <w:p>
      <w:pPr>
        <w:spacing w:before="26"/>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5、在未纳入合并财务报表范围的结构化主体中的权益" w:id="424"/>
      <w:bookmarkEnd w:id="424"/>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、在未纳入合并财务报表范围的结构化主体中的权益</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未纳入合并财务报表范围的结构化主体的相关说明：</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6、其他" w:id="425"/>
      <w:bookmarkEnd w:id="425"/>
      <w:r>
        <w:rPr/>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、其他</w:t>
      </w:r>
      <w:r>
        <w:rPr>
          <w:rFonts w:ascii="宋体" w:hAnsi="宋体" w:cs="宋体" w:eastAsia="宋体" w:hint="default"/>
          <w:sz w:val="21"/>
          <w:szCs w:val="21"/>
        </w:rPr>
      </w:r>
    </w:p>
    <w:p>
      <w:pPr>
        <w:spacing w:line="240" w:lineRule="auto" w:before="13"/>
        <w:rPr>
          <w:rFonts w:ascii="宋体" w:hAnsi="宋体" w:cs="宋体" w:eastAsia="宋体" w:hint="default"/>
          <w:b/>
          <w:bCs/>
          <w:sz w:val="22"/>
          <w:szCs w:val="22"/>
        </w:rPr>
      </w:pPr>
    </w:p>
    <w:p>
      <w:pPr>
        <w:pStyle w:val="Heading4"/>
        <w:spacing w:line="240" w:lineRule="auto"/>
        <w:ind w:right="0"/>
        <w:jc w:val="left"/>
        <w:rPr>
          <w:b w:val="0"/>
          <w:bCs w:val="0"/>
        </w:rPr>
      </w:pPr>
      <w:bookmarkStart w:name="十、与金融工具相关的风险" w:id="426"/>
      <w:bookmarkEnd w:id="426"/>
      <w:r>
        <w:rPr>
          <w:b w:val="0"/>
          <w:bCs w:val="0"/>
        </w:rPr>
      </w:r>
      <w:r>
        <w:rPr/>
        <w:t>十、与金融工具相关的风险</w:t>
      </w:r>
      <w:r>
        <w:rPr>
          <w:b w:val="0"/>
          <w:bCs w:val="0"/>
        </w:rPr>
      </w:r>
    </w:p>
    <w:p>
      <w:pPr>
        <w:spacing w:line="240" w:lineRule="auto" w:before="7"/>
        <w:rPr>
          <w:rFonts w:ascii="宋体" w:hAnsi="宋体" w:cs="宋体" w:eastAsia="宋体" w:hint="default"/>
          <w:b/>
          <w:bCs/>
          <w:sz w:val="24"/>
          <w:szCs w:val="24"/>
        </w:rPr>
      </w:pPr>
    </w:p>
    <w:p>
      <w:pPr>
        <w:spacing w:line="273" w:lineRule="auto" w:before="0"/>
        <w:ind w:left="831" w:right="1118" w:firstLine="0"/>
        <w:jc w:val="left"/>
        <w:rPr>
          <w:rFonts w:ascii="宋体" w:hAnsi="宋体" w:cs="宋体" w:eastAsia="宋体" w:hint="default"/>
          <w:sz w:val="21"/>
          <w:szCs w:val="21"/>
        </w:rPr>
      </w:pPr>
      <w:r>
        <w:rPr>
          <w:rFonts w:ascii="宋体" w:hAnsi="宋体" w:cs="宋体" w:eastAsia="宋体" w:hint="default"/>
          <w:sz w:val="21"/>
          <w:szCs w:val="21"/>
        </w:rPr>
        <w:t>本公司董事会全面负责风险管理目标和政策的确定，并对风险管理目标和政策承担最终责任，管</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z w:val="21"/>
          <w:szCs w:val="21"/>
        </w:rPr>
        <w:t>理层对这些风险敞口进行管理和监控以确保将上述风险控制在限定的范围之内。本公司的主要金</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z w:val="21"/>
          <w:szCs w:val="21"/>
        </w:rPr>
        <w:t>融工具包括应收账款、应付账款、短期借款等，各项金融工具的详细情况说明见本附注五相关项</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z w:val="21"/>
          <w:szCs w:val="21"/>
        </w:rPr>
        <w:t>目。与这些金融工具有关的风险，以及本公司为降低这些风险所采取的风险管理政策如下所述： 本公司采用敏感性分析技术分析风险变量的合理性、可能变化对当期损益或股东权益可能产生的</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z w:val="21"/>
          <w:szCs w:val="21"/>
        </w:rPr>
        <w:t>影响。由于任何风险变量很少孤立地发生变化，而变量之间存在的相关性对某一风险变量的变化</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z w:val="21"/>
          <w:szCs w:val="21"/>
        </w:rPr>
        <w:t>的最终影响金额将产生重大作用，因此下述内容是在假设每一变量的变化是在独立的情况下进行</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z w:val="21"/>
          <w:szCs w:val="21"/>
        </w:rPr>
        <w:t>的。 本公司从事风险管理的目标是在风险和收益之间取得适当的平衡，将风险对本公司经营业绩的负</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z w:val="21"/>
          <w:szCs w:val="21"/>
        </w:rPr>
        <w:t>面影响降低到最低水平，使股东及其他权益投资者的利益最大化。基于该风险管理目标，本公司</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z w:val="21"/>
          <w:szCs w:val="21"/>
        </w:rPr>
        <w:t>风险管理的基本策略是确定和分析本公司所面临的各种风险，建立适当的风险承受底线和进行风</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z w:val="21"/>
          <w:szCs w:val="21"/>
        </w:rPr>
        <w:t>险管理，并及时可靠地对各种风险进行监督，在不过度影响公司竞争力和应变力的情况下，制定</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z w:val="21"/>
          <w:szCs w:val="21"/>
        </w:rPr>
        <w:t>尽可能降低风险的风险管理政策。</w:t>
      </w:r>
    </w:p>
    <w:p>
      <w:pPr>
        <w:spacing w:line="240" w:lineRule="auto" w:before="6"/>
        <w:rPr>
          <w:rFonts w:ascii="宋体" w:hAnsi="宋体" w:cs="宋体" w:eastAsia="宋体" w:hint="default"/>
          <w:sz w:val="24"/>
          <w:szCs w:val="24"/>
        </w:rPr>
      </w:pPr>
    </w:p>
    <w:p>
      <w:pPr>
        <w:spacing w:before="0"/>
        <w:ind w:left="463" w:right="0" w:firstLine="0"/>
        <w:jc w:val="left"/>
        <w:rPr>
          <w:rFonts w:ascii="宋体" w:hAnsi="宋体" w:cs="宋体" w:eastAsia="宋体" w:hint="default"/>
          <w:sz w:val="21"/>
          <w:szCs w:val="21"/>
        </w:rPr>
      </w:pPr>
      <w:r>
        <w:rPr>
          <w:rFonts w:ascii="宋体" w:hAnsi="宋体" w:cs="宋体" w:eastAsia="宋体" w:hint="default"/>
          <w:b/>
          <w:bCs/>
          <w:sz w:val="21"/>
          <w:szCs w:val="21"/>
        </w:rPr>
        <w:t>信用风险</w:t>
      </w:r>
      <w:r>
        <w:rPr>
          <w:rFonts w:ascii="宋体" w:hAnsi="宋体" w:cs="宋体" w:eastAsia="宋体" w:hint="default"/>
          <w:sz w:val="21"/>
          <w:szCs w:val="21"/>
        </w:rPr>
      </w:r>
    </w:p>
    <w:p>
      <w:pPr>
        <w:spacing w:line="273" w:lineRule="auto" w:before="37"/>
        <w:ind w:left="831" w:right="0" w:firstLine="0"/>
        <w:jc w:val="left"/>
        <w:rPr>
          <w:rFonts w:ascii="宋体" w:hAnsi="宋体" w:cs="宋体" w:eastAsia="宋体" w:hint="default"/>
          <w:sz w:val="21"/>
          <w:szCs w:val="21"/>
        </w:rPr>
      </w:pPr>
      <w:r>
        <w:rPr>
          <w:rFonts w:ascii="宋体" w:hAnsi="宋体" w:cs="宋体" w:eastAsia="宋体" w:hint="default"/>
          <w:sz w:val="21"/>
          <w:szCs w:val="21"/>
        </w:rPr>
        <w:t>信用风险是指金融工具的一方不履行义务，造成另一方发生财务损失的风险。本公司主要面临赊</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z w:val="21"/>
          <w:szCs w:val="21"/>
        </w:rPr>
        <w:t>销导致的客户信用风险。在签订新合同之前，本公司会对新客户的信用风险进行评估，包括外部</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pacing w:val="-4"/>
          <w:sz w:val="21"/>
          <w:szCs w:val="21"/>
        </w:rPr>
        <w:t>信用评级和在某些情况下的银行资信证明（当此信息可获取时）。</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z w:val="21"/>
          <w:szCs w:val="21"/>
        </w:rPr>
        <w:t>公司通过对已有客户信用评级的季度监控以及应收账款账龄分析的月度审核来确保公司的整体信</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z w:val="21"/>
          <w:szCs w:val="21"/>
        </w:rPr>
        <w:t>用风险在可控的范围内。在监控客户的信用风险时，按照客户的信用特征对其分组。被评为“高</w:t>
      </w:r>
      <w:r>
        <w:rPr>
          <w:rFonts w:ascii="宋体" w:hAnsi="宋体" w:cs="宋体" w:eastAsia="宋体" w:hint="default"/>
          <w:spacing w:val="-22"/>
          <w:sz w:val="21"/>
          <w:szCs w:val="21"/>
        </w:rPr>
        <w:t> </w:t>
      </w:r>
      <w:r>
        <w:rPr>
          <w:rFonts w:ascii="宋体" w:hAnsi="宋体" w:cs="宋体" w:eastAsia="宋体" w:hint="default"/>
          <w:spacing w:val="-22"/>
          <w:sz w:val="21"/>
          <w:szCs w:val="21"/>
        </w:rPr>
      </w:r>
      <w:r>
        <w:rPr>
          <w:rFonts w:ascii="宋体" w:hAnsi="宋体" w:cs="宋体" w:eastAsia="宋体" w:hint="default"/>
          <w:sz w:val="21"/>
          <w:szCs w:val="21"/>
        </w:rPr>
        <w:t>风险”级别的客户会放在受限制客户名单里，并且只有在额外批准的前提下，公司才可在未来期</w:t>
      </w:r>
      <w:r>
        <w:rPr>
          <w:rFonts w:ascii="宋体" w:hAnsi="宋体" w:cs="宋体" w:eastAsia="宋体" w:hint="default"/>
          <w:spacing w:val="-23"/>
          <w:sz w:val="21"/>
          <w:szCs w:val="21"/>
        </w:rPr>
        <w:t> </w:t>
      </w:r>
      <w:r>
        <w:rPr>
          <w:rFonts w:ascii="宋体" w:hAnsi="宋体" w:cs="宋体" w:eastAsia="宋体" w:hint="default"/>
          <w:spacing w:val="-23"/>
          <w:sz w:val="21"/>
          <w:szCs w:val="21"/>
        </w:rPr>
      </w:r>
      <w:r>
        <w:rPr>
          <w:rFonts w:ascii="宋体" w:hAnsi="宋体" w:cs="宋体" w:eastAsia="宋体" w:hint="default"/>
          <w:sz w:val="21"/>
          <w:szCs w:val="21"/>
        </w:rPr>
        <w:t>间内对其赊销，否则必须要求其提前支付相应款项。</w:t>
      </w:r>
    </w:p>
    <w:p>
      <w:pPr>
        <w:spacing w:line="240" w:lineRule="auto" w:before="6"/>
        <w:rPr>
          <w:rFonts w:ascii="宋体" w:hAnsi="宋体" w:cs="宋体" w:eastAsia="宋体" w:hint="default"/>
          <w:sz w:val="24"/>
          <w:szCs w:val="24"/>
        </w:rPr>
      </w:pPr>
    </w:p>
    <w:p>
      <w:pPr>
        <w:spacing w:before="0"/>
        <w:ind w:left="463" w:right="0" w:firstLine="0"/>
        <w:jc w:val="left"/>
        <w:rPr>
          <w:rFonts w:ascii="宋体" w:hAnsi="宋体" w:cs="宋体" w:eastAsia="宋体" w:hint="default"/>
          <w:sz w:val="21"/>
          <w:szCs w:val="21"/>
        </w:rPr>
      </w:pPr>
      <w:r>
        <w:rPr>
          <w:rFonts w:ascii="宋体" w:hAnsi="宋体" w:cs="宋体" w:eastAsia="宋体" w:hint="default"/>
          <w:b/>
          <w:bCs/>
          <w:sz w:val="21"/>
          <w:szCs w:val="21"/>
        </w:rPr>
        <w:t>市场风险</w:t>
      </w:r>
      <w:r>
        <w:rPr>
          <w:rFonts w:ascii="宋体" w:hAnsi="宋体" w:cs="宋体" w:eastAsia="宋体" w:hint="default"/>
          <w:sz w:val="21"/>
          <w:szCs w:val="21"/>
        </w:rPr>
      </w:r>
    </w:p>
    <w:p>
      <w:pPr>
        <w:spacing w:line="273" w:lineRule="auto" w:before="37"/>
        <w:ind w:left="831" w:right="1232" w:firstLine="0"/>
        <w:jc w:val="both"/>
        <w:rPr>
          <w:rFonts w:ascii="宋体" w:hAnsi="宋体" w:cs="宋体" w:eastAsia="宋体" w:hint="default"/>
          <w:sz w:val="21"/>
          <w:szCs w:val="21"/>
        </w:rPr>
      </w:pPr>
      <w:r>
        <w:rPr>
          <w:rFonts w:ascii="宋体" w:hAnsi="宋体" w:cs="宋体" w:eastAsia="宋体" w:hint="default"/>
          <w:sz w:val="21"/>
          <w:szCs w:val="21"/>
        </w:rPr>
        <w:t>金融工具的市场风险，是指金融工具的公允价值或未来现金流量因市场价格变动而发生波动的风 险。利率风险，是指金融工具的公允价值或未来现金流量因市场利率变动而发生波动的风险。本 公司面临的利率风险主要来源于银行借款。公司通过建立良好的银企关系，对授信额度、授信品 种以及授信期限进行合理的设计，保障银行授信额度充足，满足公司各类融资需求。并且通过缩 短单笔借款的期限，特别约定提前还款条款，合理降低利率波动风险。</w:t>
      </w:r>
    </w:p>
    <w:p>
      <w:pPr>
        <w:spacing w:line="240" w:lineRule="auto" w:before="6"/>
        <w:rPr>
          <w:rFonts w:ascii="宋体" w:hAnsi="宋体" w:cs="宋体" w:eastAsia="宋体" w:hint="default"/>
          <w:sz w:val="24"/>
          <w:szCs w:val="24"/>
        </w:rPr>
      </w:pPr>
    </w:p>
    <w:p>
      <w:pPr>
        <w:spacing w:before="0"/>
        <w:ind w:left="463" w:right="0" w:firstLine="0"/>
        <w:jc w:val="left"/>
        <w:rPr>
          <w:rFonts w:ascii="宋体" w:hAnsi="宋体" w:cs="宋体" w:eastAsia="宋体" w:hint="default"/>
          <w:sz w:val="21"/>
          <w:szCs w:val="21"/>
        </w:rPr>
      </w:pPr>
      <w:r>
        <w:rPr>
          <w:rFonts w:ascii="宋体" w:hAnsi="宋体" w:cs="宋体" w:eastAsia="宋体" w:hint="default"/>
          <w:b/>
          <w:bCs/>
          <w:sz w:val="21"/>
          <w:szCs w:val="21"/>
        </w:rPr>
        <w:t>流动性风险</w:t>
      </w:r>
      <w:r>
        <w:rPr>
          <w:rFonts w:ascii="宋体" w:hAnsi="宋体" w:cs="宋体" w:eastAsia="宋体" w:hint="default"/>
          <w:sz w:val="21"/>
          <w:szCs w:val="21"/>
        </w:rPr>
      </w:r>
    </w:p>
    <w:p>
      <w:pPr>
        <w:spacing w:line="266" w:lineRule="auto" w:before="37"/>
        <w:ind w:left="831" w:right="1005" w:firstLine="0"/>
        <w:jc w:val="left"/>
        <w:rPr>
          <w:rFonts w:ascii="宋体" w:hAnsi="宋体" w:cs="宋体" w:eastAsia="宋体" w:hint="default"/>
          <w:sz w:val="21"/>
          <w:szCs w:val="21"/>
        </w:rPr>
      </w:pPr>
      <w:r>
        <w:rPr>
          <w:rFonts w:ascii="宋体" w:hAnsi="宋体" w:cs="宋体" w:eastAsia="宋体" w:hint="default"/>
          <w:sz w:val="21"/>
          <w:szCs w:val="21"/>
        </w:rPr>
        <w:t>流动风险，是指公司在履行以交付现金或其他金融资产的方式结算的义务时发生资金短缺的风险。 本公司的政策是确保拥有充足的现金以偿还到期债务。流动性风险由本公司的财务部门集中控制。 财务部门通过监控现金余额、可随时变现的有价证券以及对未来</w:t>
      </w:r>
      <w:r>
        <w:rPr>
          <w:rFonts w:ascii="Times New Roman" w:hAnsi="Times New Roman" w:cs="Times New Roman" w:eastAsia="Times New Roman" w:hint="default"/>
          <w:sz w:val="21"/>
          <w:szCs w:val="21"/>
        </w:rPr>
        <w:t>12</w:t>
      </w:r>
      <w:r>
        <w:rPr>
          <w:rFonts w:ascii="宋体" w:hAnsi="宋体" w:cs="宋体" w:eastAsia="宋体" w:hint="default"/>
          <w:sz w:val="21"/>
          <w:szCs w:val="21"/>
        </w:rPr>
        <w:t>个月现金流量的滚动预测，确 保公司在所有合理预测的情况下拥有充足的资金偿还债务。</w:t>
      </w:r>
    </w:p>
    <w:p>
      <w:pPr>
        <w:spacing w:after="0" w:line="266"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2"/>
        <w:rPr>
          <w:rFonts w:ascii="宋体" w:hAnsi="宋体" w:cs="宋体" w:eastAsia="宋体" w:hint="default"/>
          <w:sz w:val="17"/>
          <w:szCs w:val="17"/>
        </w:rPr>
      </w:pPr>
    </w:p>
    <w:p>
      <w:pPr>
        <w:pStyle w:val="Heading4"/>
        <w:spacing w:line="240" w:lineRule="auto" w:before="26"/>
        <w:ind w:right="0"/>
        <w:jc w:val="left"/>
        <w:rPr>
          <w:b w:val="0"/>
          <w:bCs w:val="0"/>
        </w:rPr>
      </w:pPr>
      <w:bookmarkStart w:name="十一、公允价值的披露" w:id="427"/>
      <w:bookmarkEnd w:id="427"/>
      <w:r>
        <w:rPr>
          <w:b w:val="0"/>
          <w:bCs w:val="0"/>
        </w:rPr>
      </w:r>
      <w:r>
        <w:rPr/>
        <w:t>十一、公允价值的披露</w:t>
      </w:r>
      <w:r>
        <w:rPr>
          <w:b w:val="0"/>
          <w:bCs w:val="0"/>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以公允价值计量的资产和负债的期末公允价值" w:id="428"/>
      <w:bookmarkEnd w:id="428"/>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、以公允价值计量的资产和负债的期末公允价值</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95"/>
        <w:gridCol w:w="1838"/>
        <w:gridCol w:w="1913"/>
        <w:gridCol w:w="1913"/>
        <w:gridCol w:w="1913"/>
      </w:tblGrid>
      <w:tr>
        <w:trPr>
          <w:trHeight w:val="402" w:hRule="exact"/>
        </w:trPr>
        <w:tc>
          <w:tcPr>
            <w:tcW w:w="19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576"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期末公允价值</w:t>
            </w:r>
          </w:p>
        </w:tc>
      </w:tr>
      <w:tr>
        <w:trPr>
          <w:trHeight w:val="714" w:hRule="exact"/>
        </w:trPr>
        <w:tc>
          <w:tcPr>
            <w:tcW w:w="1995" w:type="dxa"/>
            <w:vMerge/>
            <w:tcBorders>
              <w:left w:val="single" w:sz="4" w:space="0" w:color="000000"/>
              <w:bottom w:val="single" w:sz="4" w:space="0" w:color="000000"/>
              <w:right w:val="single" w:sz="4" w:space="0" w:color="000000"/>
            </w:tcBorders>
            <w:shd w:val="clear" w:color="auto" w:fill="D2D2D2"/>
          </w:tcPr>
          <w:p>
            <w:pP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23" w:right="102" w:hanging="720"/>
              <w:jc w:val="left"/>
              <w:rPr>
                <w:rFonts w:ascii="宋体" w:hAnsi="宋体" w:cs="宋体" w:eastAsia="宋体" w:hint="default"/>
                <w:sz w:val="18"/>
                <w:szCs w:val="18"/>
              </w:rPr>
            </w:pPr>
            <w:r>
              <w:rPr>
                <w:rFonts w:ascii="宋体" w:hAnsi="宋体" w:cs="宋体" w:eastAsia="宋体" w:hint="default"/>
                <w:sz w:val="18"/>
                <w:szCs w:val="18"/>
              </w:rPr>
              <w:t>第一层次公允价值计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60" w:right="140" w:hanging="720"/>
              <w:jc w:val="left"/>
              <w:rPr>
                <w:rFonts w:ascii="宋体" w:hAnsi="宋体" w:cs="宋体" w:eastAsia="宋体" w:hint="default"/>
                <w:sz w:val="18"/>
                <w:szCs w:val="18"/>
              </w:rPr>
            </w:pPr>
            <w:r>
              <w:rPr>
                <w:rFonts w:ascii="宋体" w:hAnsi="宋体" w:cs="宋体" w:eastAsia="宋体" w:hint="default"/>
                <w:sz w:val="18"/>
                <w:szCs w:val="18"/>
              </w:rPr>
              <w:t>第二层次公允价值计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61" w:right="141" w:hanging="720"/>
              <w:jc w:val="left"/>
              <w:rPr>
                <w:rFonts w:ascii="宋体" w:hAnsi="宋体" w:cs="宋体" w:eastAsia="宋体" w:hint="default"/>
                <w:sz w:val="18"/>
                <w:szCs w:val="18"/>
              </w:rPr>
            </w:pPr>
            <w:r>
              <w:rPr>
                <w:rFonts w:ascii="宋体" w:hAnsi="宋体" w:cs="宋体" w:eastAsia="宋体" w:hint="default"/>
                <w:sz w:val="18"/>
                <w:szCs w:val="18"/>
              </w:rPr>
              <w:t>第三层次公允价值计 量</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合计</w:t>
            </w:r>
          </w:p>
        </w:tc>
      </w:tr>
      <w:tr>
        <w:trPr>
          <w:trHeight w:val="714"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01"/>
              <w:jc w:val="left"/>
              <w:rPr>
                <w:rFonts w:ascii="宋体" w:hAnsi="宋体" w:cs="宋体" w:eastAsia="宋体" w:hint="default"/>
                <w:sz w:val="18"/>
                <w:szCs w:val="18"/>
              </w:rPr>
            </w:pPr>
            <w:r>
              <w:rPr>
                <w:rFonts w:ascii="宋体" w:hAnsi="宋体" w:cs="宋体" w:eastAsia="宋体" w:hint="default"/>
                <w:spacing w:val="-3"/>
                <w:sz w:val="18"/>
                <w:szCs w:val="18"/>
              </w:rPr>
              <w:t>一、持续的公允价值计</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量</w:t>
            </w: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r>
        <w:trPr>
          <w:trHeight w:val="714" w:hRule="exact"/>
        </w:trPr>
        <w:tc>
          <w:tcPr>
            <w:tcW w:w="19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01"/>
              <w:jc w:val="left"/>
              <w:rPr>
                <w:rFonts w:ascii="宋体" w:hAnsi="宋体" w:cs="宋体" w:eastAsia="宋体" w:hint="default"/>
                <w:sz w:val="18"/>
                <w:szCs w:val="18"/>
              </w:rPr>
            </w:pPr>
            <w:r>
              <w:rPr>
                <w:rFonts w:ascii="宋体" w:hAnsi="宋体" w:cs="宋体" w:eastAsia="宋体" w:hint="default"/>
                <w:spacing w:val="-3"/>
                <w:sz w:val="18"/>
                <w:szCs w:val="18"/>
              </w:rPr>
              <w:t>二、非持续的公允价值</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计量</w:t>
            </w: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0"/>
              <w:jc w:val="center"/>
              <w:rPr>
                <w:rFonts w:ascii="Times New Roman" w:hAnsi="Times New Roman" w:cs="Times New Roman" w:eastAsia="Times New Roman" w:hint="default"/>
                <w:sz w:val="18"/>
                <w:szCs w:val="18"/>
              </w:rPr>
            </w:pPr>
            <w:r>
              <w:rPr>
                <w:rFonts w:ascii="Times New Roman"/>
                <w:sz w:val="18"/>
              </w:rPr>
              <w:t>--</w:t>
            </w:r>
          </w:p>
        </w:tc>
      </w:tr>
    </w:tbl>
    <w:p>
      <w:pPr>
        <w:spacing w:line="240" w:lineRule="auto" w:before="3"/>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持续和非持续第一层次公允价值计量项目市价的确定依据" w:id="429"/>
      <w:bookmarkEnd w:id="429"/>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、持续和非持续第一层次公允价值计量项目市价的确定依据</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3、持续和非持续第二层次公允价值计量项目，采用的估值技术和重要参数的定性及定量信" w:id="430"/>
      <w:bookmarkEnd w:id="430"/>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、持续和非持续第二层次公允价值计量项目，采用的估值技术和重要参数的定性及定量信息</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4、持续和非持续第三层次公允价值计量项目，采用的估值技术和重要参数的定性及定量信" w:id="431"/>
      <w:bookmarkEnd w:id="431"/>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、持续和非持续第三层次公允价值计量项目，采用的估值技术和重要参数的定性及定量信息</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5、持续的第三层次公允价值计量项目，期初与期末账面价值间的调节信息及不可观察参数" w:id="432"/>
      <w:bookmarkEnd w:id="432"/>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、持续的第三层次公允价值计量项目，期初与期末账面价值间的调节信息及不可观察参数敏感性分析</w:t>
      </w:r>
      <w:r>
        <w:rPr>
          <w:rFonts w:ascii="宋体" w:hAnsi="宋体" w:cs="宋体" w:eastAsia="宋体" w:hint="default"/>
          <w:sz w:val="21"/>
          <w:szCs w:val="21"/>
        </w:rPr>
      </w:r>
    </w:p>
    <w:p>
      <w:pPr>
        <w:spacing w:line="240" w:lineRule="auto" w:before="9"/>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6、持续的公允价值计量项目，本期内发生各层级之间转换的，转换的原因及确定转换时点" w:id="433"/>
      <w:bookmarkEnd w:id="433"/>
      <w:r>
        <w:rPr/>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、持续的公允价值计量项目，本期内发生各层级之间转换的，转换的原因及确定转换时点的政策</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7、本期内发生的估值技术变更及变更原因" w:id="434"/>
      <w:bookmarkEnd w:id="434"/>
      <w:r>
        <w:rPr/>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、本期内发生的估值技术变更及变更原因</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8、不以公允价值计量的金融资产和金融负债的公允价值情况" w:id="435"/>
      <w:bookmarkEnd w:id="435"/>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、不以公允价值计量的金融资产和金融负债的公允价值情况</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line="487" w:lineRule="auto" w:before="0"/>
        <w:ind w:left="114" w:right="7692" w:firstLine="0"/>
        <w:jc w:val="left"/>
        <w:rPr>
          <w:rFonts w:ascii="宋体" w:hAnsi="宋体" w:cs="宋体" w:eastAsia="宋体" w:hint="default"/>
          <w:sz w:val="21"/>
          <w:szCs w:val="21"/>
        </w:rPr>
      </w:pPr>
      <w:bookmarkStart w:name="9、其他" w:id="436"/>
      <w:bookmarkEnd w:id="436"/>
      <w:r>
        <w:rPr/>
      </w:r>
      <w:r>
        <w:rPr>
          <w:rFonts w:ascii="Times New Roman" w:hAnsi="Times New Roman" w:cs="Times New Roman" w:eastAsia="Times New Roman" w:hint="default"/>
          <w:b/>
          <w:bCs/>
          <w:sz w:val="21"/>
          <w:szCs w:val="21"/>
        </w:rPr>
        <w:t>9</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十二、关联方及关联交易" w:id="437"/>
      <w:bookmarkEnd w:id="437"/>
      <w:r>
        <w:rPr>
          <w:rFonts w:ascii="宋体" w:hAnsi="宋体" w:cs="宋体" w:eastAsia="宋体" w:hint="default"/>
          <w:b/>
          <w:bCs/>
          <w:spacing w:val="1"/>
          <w:w w:val="99"/>
          <w:sz w:val="21"/>
          <w:szCs w:val="21"/>
        </w:rPr>
      </w:r>
      <w:r>
        <w:rPr>
          <w:rFonts w:ascii="宋体" w:hAnsi="宋体" w:cs="宋体" w:eastAsia="宋体" w:hint="default"/>
          <w:b/>
          <w:bCs/>
          <w:w w:val="95"/>
          <w:sz w:val="24"/>
          <w:szCs w:val="24"/>
        </w:rPr>
        <w:t>十二、关联方及关联交易</w:t>
      </w:r>
      <w:r>
        <w:rPr>
          <w:rFonts w:ascii="宋体" w:hAnsi="宋体" w:cs="宋体" w:eastAsia="宋体" w:hint="default"/>
          <w:b/>
          <w:bCs/>
          <w:spacing w:val="8"/>
          <w:w w:val="95"/>
          <w:sz w:val="24"/>
          <w:szCs w:val="24"/>
        </w:rPr>
        <w:t> </w:t>
      </w:r>
      <w:r>
        <w:rPr>
          <w:rFonts w:ascii="宋体" w:hAnsi="宋体" w:cs="宋体" w:eastAsia="宋体" w:hint="default"/>
          <w:b/>
          <w:bCs/>
          <w:spacing w:val="8"/>
          <w:w w:val="95"/>
          <w:sz w:val="24"/>
          <w:szCs w:val="24"/>
        </w:rPr>
      </w:r>
      <w:bookmarkStart w:name="1、本企业的母公司情况" w:id="438"/>
      <w:bookmarkEnd w:id="438"/>
      <w:r>
        <w:rPr>
          <w:rFonts w:ascii="宋体" w:hAnsi="宋体" w:cs="宋体" w:eastAsia="宋体" w:hint="default"/>
          <w:b/>
          <w:bCs/>
          <w:spacing w:val="8"/>
          <w:w w:val="95"/>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、本企业的母公司情况</w:t>
      </w:r>
      <w:r>
        <w:rPr>
          <w:rFonts w:ascii="宋体" w:hAnsi="宋体" w:cs="宋体" w:eastAsia="宋体" w:hint="default"/>
          <w:sz w:val="21"/>
          <w:szCs w:val="21"/>
        </w:rPr>
      </w:r>
    </w:p>
    <w:p>
      <w:pPr>
        <w:spacing w:line="240" w:lineRule="auto" w:before="5"/>
        <w:rPr>
          <w:rFonts w:ascii="宋体" w:hAnsi="宋体" w:cs="宋体" w:eastAsia="宋体" w:hint="default"/>
          <w:b/>
          <w:bCs/>
          <w:sz w:val="7"/>
          <w:szCs w:val="7"/>
        </w:rPr>
      </w:pPr>
    </w:p>
    <w:tbl>
      <w:tblPr>
        <w:tblW w:w="0" w:type="auto"/>
        <w:jc w:val="left"/>
        <w:tblInd w:w="109" w:type="dxa"/>
        <w:tblLayout w:type="fixed"/>
        <w:tblCellMar>
          <w:top w:w="0" w:type="dxa"/>
          <w:left w:w="0" w:type="dxa"/>
          <w:bottom w:w="0" w:type="dxa"/>
          <w:right w:w="0" w:type="dxa"/>
        </w:tblCellMar>
        <w:tblLook w:val="01E0"/>
      </w:tblPr>
      <w:tblGrid>
        <w:gridCol w:w="1595"/>
        <w:gridCol w:w="1595"/>
        <w:gridCol w:w="1594"/>
        <w:gridCol w:w="1594"/>
        <w:gridCol w:w="1595"/>
        <w:gridCol w:w="1595"/>
      </w:tblGrid>
      <w:tr>
        <w:trPr>
          <w:trHeight w:val="714" w:hRule="exact"/>
        </w:trPr>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342" w:right="0"/>
              <w:jc w:val="left"/>
              <w:rPr>
                <w:rFonts w:ascii="宋体" w:hAnsi="宋体" w:cs="宋体" w:eastAsia="宋体" w:hint="default"/>
                <w:sz w:val="18"/>
                <w:szCs w:val="18"/>
              </w:rPr>
            </w:pPr>
            <w:r>
              <w:rPr>
                <w:rFonts w:ascii="宋体" w:hAnsi="宋体" w:cs="宋体" w:eastAsia="宋体" w:hint="default"/>
                <w:sz w:val="18"/>
                <w:szCs w:val="18"/>
              </w:rPr>
              <w:t>母公司名称</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注册地</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430" w:right="0"/>
              <w:jc w:val="left"/>
              <w:rPr>
                <w:rFonts w:ascii="宋体" w:hAnsi="宋体" w:cs="宋体" w:eastAsia="宋体" w:hint="default"/>
                <w:sz w:val="18"/>
                <w:szCs w:val="18"/>
              </w:rPr>
            </w:pPr>
            <w:r>
              <w:rPr>
                <w:rFonts w:ascii="宋体" w:hAnsi="宋体" w:cs="宋体" w:eastAsia="宋体" w:hint="default"/>
                <w:sz w:val="18"/>
                <w:szCs w:val="18"/>
              </w:rPr>
              <w:t>业务性质</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注册资本</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42" w:right="161" w:hanging="180"/>
              <w:jc w:val="left"/>
              <w:rPr>
                <w:rFonts w:ascii="宋体" w:hAnsi="宋体" w:cs="宋体" w:eastAsia="宋体" w:hint="default"/>
                <w:sz w:val="18"/>
                <w:szCs w:val="18"/>
              </w:rPr>
            </w:pPr>
            <w:r>
              <w:rPr>
                <w:rFonts w:ascii="宋体" w:hAnsi="宋体" w:cs="宋体" w:eastAsia="宋体" w:hint="default"/>
                <w:sz w:val="18"/>
                <w:szCs w:val="18"/>
              </w:rPr>
              <w:t>母公司对本企业 的持股比例</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50" w:right="162" w:hanging="90"/>
              <w:jc w:val="left"/>
              <w:rPr>
                <w:rFonts w:ascii="宋体" w:hAnsi="宋体" w:cs="宋体" w:eastAsia="宋体" w:hint="default"/>
                <w:sz w:val="18"/>
                <w:szCs w:val="18"/>
              </w:rPr>
            </w:pPr>
            <w:r>
              <w:rPr>
                <w:rFonts w:ascii="宋体" w:hAnsi="宋体" w:cs="宋体" w:eastAsia="宋体" w:hint="default"/>
                <w:sz w:val="18"/>
                <w:szCs w:val="18"/>
              </w:rPr>
              <w:t>母公司对本企业 的表决权比例</w:t>
            </w:r>
          </w:p>
        </w:tc>
      </w:tr>
      <w:tr>
        <w:trPr>
          <w:trHeight w:val="714" w:hRule="exact"/>
        </w:trPr>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20"/>
              <w:jc w:val="left"/>
              <w:rPr>
                <w:rFonts w:ascii="宋体" w:hAnsi="宋体" w:cs="宋体" w:eastAsia="宋体" w:hint="default"/>
                <w:sz w:val="18"/>
                <w:szCs w:val="18"/>
              </w:rPr>
            </w:pPr>
            <w:r>
              <w:rPr>
                <w:rFonts w:ascii="宋体" w:hAnsi="宋体" w:cs="宋体" w:eastAsia="宋体" w:hint="default"/>
                <w:sz w:val="18"/>
                <w:szCs w:val="18"/>
              </w:rPr>
              <w:t>上海中信电子发 展有限公司</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母公司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left="101" w:right="0"/>
              <w:jc w:val="left"/>
              <w:rPr>
                <w:rFonts w:ascii="宋体" w:hAnsi="宋体" w:cs="宋体" w:eastAsia="宋体" w:hint="default"/>
                <w:sz w:val="18"/>
                <w:szCs w:val="18"/>
              </w:rPr>
            </w:pPr>
            <w:r>
              <w:rPr>
                <w:rFonts w:ascii="宋体" w:hAnsi="宋体" w:cs="宋体" w:eastAsia="宋体" w:hint="default"/>
                <w:sz w:val="18"/>
                <w:szCs w:val="18"/>
              </w:rPr>
              <w:t>有限公司</w:t>
            </w:r>
          </w:p>
        </w:tc>
        <w:tc>
          <w:tcPr>
            <w:tcW w:w="159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5"/>
                <w:szCs w:val="15"/>
              </w:rPr>
            </w:pPr>
          </w:p>
          <w:p>
            <w:pPr>
              <w:pStyle w:val="TableParagraph"/>
              <w:spacing w:line="240" w:lineRule="auto"/>
              <w:ind w:right="71"/>
              <w:jc w:val="center"/>
              <w:rPr>
                <w:rFonts w:ascii="宋体" w:hAnsi="宋体" w:cs="宋体" w:eastAsia="宋体" w:hint="default"/>
                <w:sz w:val="18"/>
                <w:szCs w:val="18"/>
              </w:rPr>
            </w:pPr>
            <w:r>
              <w:rPr>
                <w:rFonts w:ascii="宋体" w:hAnsi="宋体" w:cs="宋体" w:eastAsia="宋体" w:hint="default"/>
                <w:sz w:val="18"/>
                <w:szCs w:val="18"/>
              </w:rPr>
              <w:t>人民币 </w:t>
            </w:r>
            <w:r>
              <w:rPr>
                <w:rFonts w:ascii="Times New Roman" w:hAnsi="Times New Roman" w:cs="Times New Roman" w:eastAsia="Times New Roman" w:hint="default"/>
                <w:sz w:val="18"/>
                <w:szCs w:val="18"/>
              </w:rPr>
              <w:t>560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926" w:right="0"/>
              <w:jc w:val="left"/>
              <w:rPr>
                <w:rFonts w:ascii="Times New Roman" w:hAnsi="Times New Roman" w:cs="Times New Roman" w:eastAsia="Times New Roman" w:hint="default"/>
                <w:sz w:val="18"/>
                <w:szCs w:val="18"/>
              </w:rPr>
            </w:pPr>
            <w:r>
              <w:rPr>
                <w:rFonts w:ascii="Times New Roman"/>
                <w:sz w:val="18"/>
              </w:rPr>
              <w:t>30.02%</w:t>
            </w:r>
          </w:p>
        </w:tc>
        <w:tc>
          <w:tcPr>
            <w:tcW w:w="15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b/>
                <w:bCs/>
                <w:sz w:val="18"/>
                <w:szCs w:val="18"/>
              </w:rPr>
            </w:pPr>
          </w:p>
          <w:p>
            <w:pPr>
              <w:pStyle w:val="TableParagraph"/>
              <w:spacing w:line="240" w:lineRule="auto"/>
              <w:ind w:left="926" w:right="0"/>
              <w:jc w:val="left"/>
              <w:rPr>
                <w:rFonts w:ascii="Times New Roman" w:hAnsi="Times New Roman" w:cs="Times New Roman" w:eastAsia="Times New Roman" w:hint="default"/>
                <w:sz w:val="18"/>
                <w:szCs w:val="18"/>
              </w:rPr>
            </w:pPr>
            <w:r>
              <w:rPr>
                <w:rFonts w:ascii="Times New Roman"/>
                <w:sz w:val="18"/>
              </w:rPr>
              <w:t>30.02%</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本企业的母公司情况的说明</w:t>
      </w:r>
    </w:p>
    <w:p>
      <w:pPr>
        <w:spacing w:line="273" w:lineRule="auto" w:before="91"/>
        <w:ind w:left="828" w:right="1218" w:firstLine="0"/>
        <w:jc w:val="left"/>
        <w:rPr>
          <w:rFonts w:ascii="宋体" w:hAnsi="宋体" w:cs="宋体" w:eastAsia="宋体" w:hint="default"/>
          <w:sz w:val="21"/>
          <w:szCs w:val="21"/>
        </w:rPr>
      </w:pPr>
      <w:r>
        <w:rPr>
          <w:rFonts w:ascii="宋体" w:hAnsi="宋体" w:cs="宋体" w:eastAsia="宋体" w:hint="default"/>
          <w:sz w:val="21"/>
          <w:szCs w:val="21"/>
        </w:rPr>
        <w:t>本公司的实际控制人：上海中信电子发展有限公司是张曙华出资成立的一人有限公司，同时张曙 华还直接持有本公司股份</w:t>
      </w:r>
      <w:r>
        <w:rPr>
          <w:rFonts w:ascii="Times New Roman" w:hAnsi="Times New Roman" w:cs="Times New Roman" w:eastAsia="Times New Roman" w:hint="default"/>
          <w:sz w:val="21"/>
          <w:szCs w:val="21"/>
        </w:rPr>
        <w:t>26,486,144.</w:t>
      </w:r>
      <w:r>
        <w:rPr>
          <w:rFonts w:ascii="宋体" w:hAnsi="宋体" w:cs="宋体" w:eastAsia="宋体" w:hint="default"/>
          <w:sz w:val="21"/>
          <w:szCs w:val="21"/>
        </w:rPr>
        <w:t>股，持股比例</w:t>
      </w:r>
      <w:r>
        <w:rPr>
          <w:rFonts w:ascii="宋体" w:hAnsi="宋体" w:cs="宋体" w:eastAsia="宋体" w:hint="default"/>
          <w:sz w:val="21"/>
          <w:szCs w:val="21"/>
        </w:rPr>
        <w:t>21.71</w:t>
      </w:r>
      <w:r>
        <w:rPr>
          <w:rFonts w:ascii="Times New Roman" w:hAnsi="Times New Roman" w:cs="Times New Roman" w:eastAsia="Times New Roman" w:hint="default"/>
          <w:sz w:val="21"/>
          <w:szCs w:val="21"/>
        </w:rPr>
        <w:t>%</w:t>
      </w:r>
      <w:r>
        <w:rPr>
          <w:rFonts w:ascii="宋体" w:hAnsi="宋体" w:cs="宋体" w:eastAsia="宋体" w:hint="default"/>
          <w:sz w:val="21"/>
          <w:szCs w:val="21"/>
        </w:rPr>
        <w:t>，本公司的实际控制人为张曙华。</w:t>
      </w:r>
    </w:p>
    <w:p>
      <w:pPr>
        <w:spacing w:line="240" w:lineRule="auto" w:before="1"/>
        <w:rPr>
          <w:rFonts w:ascii="宋体" w:hAnsi="宋体" w:cs="宋体" w:eastAsia="宋体" w:hint="default"/>
          <w:sz w:val="28"/>
          <w:szCs w:val="28"/>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本企业最终控制方是张曙华。</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3"/>
        <w:rPr>
          <w:rFonts w:ascii="宋体" w:hAnsi="宋体" w:cs="宋体" w:eastAsia="宋体" w:hint="default"/>
          <w:sz w:val="20"/>
          <w:szCs w:val="20"/>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本企业的子公司情况" w:id="439"/>
      <w:bookmarkEnd w:id="439"/>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、本企业的子公司情况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本企业子公司的情况详见附注九。</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本企业合营和联营企业情况" w:id="440"/>
      <w:bookmarkEnd w:id="440"/>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、本企业合营和联营企业情况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line="357" w:lineRule="auto" w:before="0"/>
        <w:ind w:left="114" w:right="2292" w:firstLine="0"/>
        <w:jc w:val="left"/>
        <w:rPr>
          <w:rFonts w:ascii="宋体" w:hAnsi="宋体" w:cs="宋体" w:eastAsia="宋体" w:hint="default"/>
          <w:sz w:val="18"/>
          <w:szCs w:val="18"/>
        </w:rPr>
      </w:pPr>
      <w:r>
        <w:rPr>
          <w:rFonts w:ascii="宋体" w:hAnsi="宋体" w:cs="宋体" w:eastAsia="宋体" w:hint="default"/>
          <w:sz w:val="18"/>
          <w:szCs w:val="18"/>
        </w:rPr>
        <w:t>本企业重要的合营或联营企业详见附注。 本期与本公司发生关联方交易，或前期与本公司发生关联方交易形成余额的其他合营或联营企业情况如下：</w:t>
      </w:r>
    </w:p>
    <w:tbl>
      <w:tblPr>
        <w:tblW w:w="0" w:type="auto"/>
        <w:jc w:val="left"/>
        <w:tblInd w:w="10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576" w:right="0"/>
              <w:jc w:val="left"/>
              <w:rPr>
                <w:rFonts w:ascii="宋体" w:hAnsi="宋体" w:cs="宋体" w:eastAsia="宋体" w:hint="default"/>
                <w:sz w:val="18"/>
                <w:szCs w:val="18"/>
              </w:rPr>
            </w:pPr>
            <w:r>
              <w:rPr>
                <w:rFonts w:ascii="宋体" w:hAnsi="宋体" w:cs="宋体" w:eastAsia="宋体" w:hint="default"/>
                <w:sz w:val="18"/>
                <w:szCs w:val="18"/>
              </w:rPr>
              <w:t>合营或联营企业名称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与本企业关系</w:t>
            </w:r>
          </w:p>
        </w:tc>
      </w:tr>
    </w:tbl>
    <w:p>
      <w:pPr>
        <w:spacing w:before="68"/>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其他关联方情况" w:id="441"/>
      <w:bookmarkEnd w:id="441"/>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、其他关联方情况</w:t>
      </w:r>
      <w:r>
        <w:rPr>
          <w:rFonts w:ascii="宋体" w:hAnsi="宋体" w:cs="宋体" w:eastAsia="宋体" w:hint="default"/>
          <w:sz w:val="21"/>
          <w:szCs w:val="21"/>
        </w:rPr>
      </w:r>
    </w:p>
    <w:p>
      <w:pPr>
        <w:spacing w:line="240" w:lineRule="auto" w:before="10"/>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4783"/>
        <w:gridCol w:w="4786"/>
      </w:tblGrid>
      <w:tr>
        <w:trPr>
          <w:trHeight w:val="402" w:hRule="exact"/>
        </w:trPr>
        <w:tc>
          <w:tcPr>
            <w:tcW w:w="478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47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398" w:right="0"/>
              <w:jc w:val="left"/>
              <w:rPr>
                <w:rFonts w:ascii="宋体" w:hAnsi="宋体" w:cs="宋体" w:eastAsia="宋体" w:hint="default"/>
                <w:sz w:val="18"/>
                <w:szCs w:val="18"/>
              </w:rPr>
            </w:pPr>
            <w:r>
              <w:rPr>
                <w:rFonts w:ascii="宋体" w:hAnsi="宋体" w:cs="宋体" w:eastAsia="宋体" w:hint="default"/>
                <w:sz w:val="18"/>
                <w:szCs w:val="18"/>
              </w:rPr>
              <w:t>其他关联方与本企业关系</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庞文莉</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实际控制人张曙华之配偶</w:t>
            </w:r>
          </w:p>
        </w:tc>
      </w:tr>
      <w:tr>
        <w:trPr>
          <w:trHeight w:val="402" w:hRule="exact"/>
        </w:trPr>
        <w:tc>
          <w:tcPr>
            <w:tcW w:w="478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淘菜猫信息发展股份有限公司</w:t>
            </w:r>
          </w:p>
        </w:tc>
        <w:tc>
          <w:tcPr>
            <w:tcW w:w="478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子公司光典信息发展有限公司持股</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12.50%</w:t>
            </w:r>
            <w:r>
              <w:rPr>
                <w:rFonts w:ascii="宋体" w:hAnsi="宋体" w:cs="宋体" w:eastAsia="宋体" w:hint="default"/>
                <w:sz w:val="18"/>
                <w:szCs w:val="18"/>
              </w:rPr>
              <w:t>的公司</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5、关联交易情况" w:id="442"/>
      <w:bookmarkEnd w:id="442"/>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、关联交易情况</w:t>
      </w:r>
      <w:r>
        <w:rPr>
          <w:rFonts w:ascii="宋体" w:hAnsi="宋体" w:cs="宋体" w:eastAsia="宋体" w:hint="default"/>
          <w:sz w:val="21"/>
          <w:szCs w:val="21"/>
        </w:rPr>
      </w:r>
    </w:p>
    <w:p>
      <w:pPr>
        <w:spacing w:line="240" w:lineRule="auto" w:before="9"/>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购销商品、提供和接受劳务的关联交易" w:id="443"/>
      <w:bookmarkEnd w:id="44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）购销商品、提供和接受劳务的关联交易</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采购商品</w:t>
      </w:r>
      <w:r>
        <w:rPr>
          <w:rFonts w:ascii="Times New Roman" w:hAnsi="Times New Roman" w:cs="Times New Roman" w:eastAsia="Times New Roman" w:hint="default"/>
          <w:sz w:val="18"/>
          <w:szCs w:val="18"/>
        </w:rPr>
        <w:t>/</w:t>
      </w:r>
      <w:r>
        <w:rPr>
          <w:rFonts w:ascii="宋体" w:hAnsi="宋体" w:cs="宋体" w:eastAsia="宋体" w:hint="default"/>
          <w:sz w:val="18"/>
          <w:szCs w:val="18"/>
        </w:rPr>
        <w:t>接受劳务情况表</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540"/>
        <w:gridCol w:w="1454"/>
        <w:gridCol w:w="1455"/>
        <w:gridCol w:w="1706"/>
        <w:gridCol w:w="1708"/>
        <w:gridCol w:w="1706"/>
      </w:tblGrid>
      <w:tr>
        <w:trPr>
          <w:trHeight w:val="402" w:hRule="exact"/>
        </w:trPr>
        <w:tc>
          <w:tcPr>
            <w:tcW w:w="154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94"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14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82"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1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72"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218" w:right="0"/>
              <w:jc w:val="left"/>
              <w:rPr>
                <w:rFonts w:ascii="宋体" w:hAnsi="宋体" w:cs="宋体" w:eastAsia="宋体" w:hint="default"/>
                <w:sz w:val="18"/>
                <w:szCs w:val="18"/>
              </w:rPr>
            </w:pPr>
            <w:r>
              <w:rPr>
                <w:rFonts w:ascii="宋体" w:hAnsi="宋体" w:cs="宋体" w:eastAsia="宋体" w:hint="default"/>
                <w:sz w:val="18"/>
                <w:szCs w:val="18"/>
              </w:rPr>
              <w:t>获批的交易额度</w:t>
            </w:r>
          </w:p>
        </w:tc>
        <w:tc>
          <w:tcPr>
            <w:tcW w:w="170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28" w:right="0"/>
              <w:jc w:val="left"/>
              <w:rPr>
                <w:rFonts w:ascii="宋体" w:hAnsi="宋体" w:cs="宋体" w:eastAsia="宋体" w:hint="default"/>
                <w:sz w:val="18"/>
                <w:szCs w:val="18"/>
              </w:rPr>
            </w:pPr>
            <w:r>
              <w:rPr>
                <w:rFonts w:ascii="宋体" w:hAnsi="宋体" w:cs="宋体" w:eastAsia="宋体" w:hint="default"/>
                <w:sz w:val="18"/>
                <w:szCs w:val="18"/>
              </w:rPr>
              <w:t>是否超过交易额度</w:t>
            </w:r>
          </w:p>
        </w:tc>
        <w:tc>
          <w:tcPr>
            <w:tcW w:w="170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98"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714" w:hRule="exact"/>
        </w:trPr>
        <w:tc>
          <w:tcPr>
            <w:tcW w:w="1540" w:type="dxa"/>
            <w:tcBorders>
              <w:top w:val="single" w:sz="4" w:space="0" w:color="000000"/>
              <w:left w:val="single" w:sz="4" w:space="0" w:color="000000"/>
              <w:bottom w:val="single" w:sz="4" w:space="0" w:color="000000"/>
              <w:right w:val="single" w:sz="4" w:space="0" w:color="000000"/>
            </w:tcBorders>
          </w:tcPr>
          <w:p>
            <w:pPr>
              <w:pStyle w:val="TableParagraph"/>
              <w:spacing w:line="319" w:lineRule="auto" w:before="51"/>
              <w:ind w:left="103" w:right="165"/>
              <w:jc w:val="left"/>
              <w:rPr>
                <w:rFonts w:ascii="宋体" w:hAnsi="宋体" w:cs="宋体" w:eastAsia="宋体" w:hint="default"/>
                <w:sz w:val="18"/>
                <w:szCs w:val="18"/>
              </w:rPr>
            </w:pPr>
            <w:r>
              <w:rPr>
                <w:rFonts w:ascii="宋体" w:hAnsi="宋体" w:cs="宋体" w:eastAsia="宋体" w:hint="default"/>
                <w:sz w:val="18"/>
                <w:szCs w:val="18"/>
              </w:rPr>
              <w:t>淘菜猫信息发展 股份有限公司</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采购商品</w:t>
            </w:r>
          </w:p>
        </w:tc>
        <w:tc>
          <w:tcPr>
            <w:tcW w:w="145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97" w:right="0"/>
              <w:jc w:val="left"/>
              <w:rPr>
                <w:rFonts w:ascii="Times New Roman" w:hAnsi="Times New Roman" w:cs="Times New Roman" w:eastAsia="Times New Roman" w:hint="default"/>
                <w:sz w:val="18"/>
                <w:szCs w:val="18"/>
              </w:rPr>
            </w:pPr>
            <w:r>
              <w:rPr>
                <w:rFonts w:ascii="Times New Roman"/>
                <w:sz w:val="18"/>
              </w:rPr>
              <w:t>2,407,001.60</w:t>
            </w:r>
          </w:p>
        </w:tc>
        <w:tc>
          <w:tcPr>
            <w:tcW w:w="170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650" w:right="0"/>
              <w:jc w:val="left"/>
              <w:rPr>
                <w:rFonts w:ascii="Times New Roman" w:hAnsi="Times New Roman" w:cs="Times New Roman" w:eastAsia="Times New Roman" w:hint="default"/>
                <w:sz w:val="18"/>
                <w:szCs w:val="18"/>
              </w:rPr>
            </w:pPr>
            <w:r>
              <w:rPr>
                <w:rFonts w:ascii="Times New Roman"/>
                <w:sz w:val="18"/>
              </w:rPr>
              <w:t>5,000,000.00</w:t>
            </w:r>
          </w:p>
        </w:tc>
        <w:tc>
          <w:tcPr>
            <w:tcW w:w="17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否</w:t>
            </w:r>
          </w:p>
        </w:tc>
        <w:tc>
          <w:tcPr>
            <w:tcW w:w="1706" w:type="dxa"/>
            <w:tcBorders>
              <w:top w:val="single" w:sz="4" w:space="0" w:color="000000"/>
              <w:left w:val="single" w:sz="4" w:space="0" w:color="000000"/>
              <w:bottom w:val="single" w:sz="4" w:space="0" w:color="000000"/>
              <w:right w:val="single" w:sz="4" w:space="0" w:color="000000"/>
            </w:tcBorders>
          </w:tcPr>
          <w:p>
            <w:pP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出售商品</w:t>
      </w:r>
      <w:r>
        <w:rPr>
          <w:rFonts w:ascii="Times New Roman" w:hAnsi="Times New Roman" w:cs="Times New Roman" w:eastAsia="Times New Roman" w:hint="default"/>
          <w:sz w:val="18"/>
          <w:szCs w:val="18"/>
        </w:rPr>
        <w:t>/</w:t>
      </w:r>
      <w:r>
        <w:rPr>
          <w:rFonts w:ascii="宋体" w:hAnsi="宋体" w:cs="宋体" w:eastAsia="宋体" w:hint="default"/>
          <w:sz w:val="18"/>
          <w:szCs w:val="18"/>
        </w:rPr>
        <w:t>提供劳务情况表</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8"/>
        <w:gridCol w:w="2259"/>
        <w:gridCol w:w="2260"/>
        <w:gridCol w:w="2652"/>
      </w:tblGrid>
      <w:tr>
        <w:trPr>
          <w:trHeight w:val="402" w:hRule="exact"/>
        </w:trPr>
        <w:tc>
          <w:tcPr>
            <w:tcW w:w="23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2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83"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26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74"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6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7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购销商品、提供和接受劳务的关联交易说明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关联受托管理/承包及委托管理/出包情况" w:id="444"/>
      <w:bookmarkEnd w:id="44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）关联受托管理</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承包及委托管理</w:t>
      </w:r>
      <w:r>
        <w:rPr>
          <w:rFonts w:ascii="Times New Roman" w:hAnsi="Times New Roman" w:cs="Times New Roman" w:eastAsia="Times New Roman" w:hint="default"/>
          <w:b/>
          <w:bCs/>
          <w:sz w:val="21"/>
          <w:szCs w:val="21"/>
        </w:rPr>
        <w:t>/</w:t>
      </w:r>
      <w:r>
        <w:rPr>
          <w:rFonts w:ascii="宋体" w:hAnsi="宋体" w:cs="宋体" w:eastAsia="宋体" w:hint="default"/>
          <w:b/>
          <w:bCs/>
          <w:sz w:val="21"/>
          <w:szCs w:val="21"/>
        </w:rPr>
        <w:t>出包情况</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本公司受托管理</w:t>
      </w:r>
      <w:r>
        <w:rPr>
          <w:rFonts w:ascii="Times New Roman" w:hAnsi="Times New Roman" w:cs="Times New Roman" w:eastAsia="Times New Roman" w:hint="default"/>
          <w:sz w:val="18"/>
          <w:szCs w:val="18"/>
        </w:rPr>
        <w:t>/</w:t>
      </w:r>
      <w:r>
        <w:rPr>
          <w:rFonts w:ascii="宋体" w:hAnsi="宋体" w:cs="宋体" w:eastAsia="宋体" w:hint="default"/>
          <w:sz w:val="18"/>
          <w:szCs w:val="18"/>
        </w:rPr>
        <w:t>承包情况表：</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7"/>
        <w:gridCol w:w="1368"/>
        <w:gridCol w:w="1367"/>
        <w:gridCol w:w="1368"/>
        <w:gridCol w:w="1367"/>
        <w:gridCol w:w="1367"/>
      </w:tblGrid>
      <w:tr>
        <w:trPr>
          <w:trHeight w:val="102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499" w:right="113" w:hanging="386"/>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 名称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497" w:right="113" w:hanging="386"/>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 名称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499" w:right="112" w:hanging="386"/>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承包资产 类型</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587" w:right="113" w:hanging="476"/>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承包起始 日</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587" w:right="113" w:hanging="476"/>
              <w:jc w:val="left"/>
              <w:rPr>
                <w:rFonts w:ascii="宋体" w:hAnsi="宋体" w:cs="宋体" w:eastAsia="宋体" w:hint="default"/>
                <w:sz w:val="18"/>
                <w:szCs w:val="18"/>
              </w:rPr>
            </w:pPr>
            <w:r>
              <w:rPr>
                <w:rFonts w:ascii="宋体" w:hAnsi="宋体" w:cs="宋体" w:eastAsia="宋体" w:hint="default"/>
                <w:sz w:val="18"/>
                <w:szCs w:val="18"/>
              </w:rPr>
              <w:t>受托</w:t>
            </w:r>
            <w:r>
              <w:rPr>
                <w:rFonts w:ascii="Times New Roman" w:hAnsi="Times New Roman" w:cs="Times New Roman" w:eastAsia="Times New Roman" w:hint="default"/>
                <w:sz w:val="18"/>
                <w:szCs w:val="18"/>
              </w:rPr>
              <w:t>/</w:t>
            </w:r>
            <w:r>
              <w:rPr>
                <w:rFonts w:ascii="宋体" w:hAnsi="宋体" w:cs="宋体" w:eastAsia="宋体" w:hint="default"/>
                <w:sz w:val="18"/>
                <w:szCs w:val="18"/>
              </w:rPr>
              <w:t>承包终止 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300" w:lineRule="auto"/>
              <w:ind w:left="136" w:right="113" w:hanging="26"/>
              <w:jc w:val="left"/>
              <w:rPr>
                <w:rFonts w:ascii="宋体" w:hAnsi="宋体" w:cs="宋体" w:eastAsia="宋体" w:hint="default"/>
                <w:sz w:val="18"/>
                <w:szCs w:val="18"/>
              </w:rPr>
            </w:pPr>
            <w:r>
              <w:rPr>
                <w:rFonts w:ascii="宋体" w:hAnsi="宋体" w:cs="宋体" w:eastAsia="宋体" w:hint="default"/>
                <w:sz w:val="18"/>
                <w:szCs w:val="18"/>
              </w:rPr>
              <w:t>托管收益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 收益定价依据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9" w:lineRule="auto" w:before="51"/>
              <w:ind w:left="112" w:right="113"/>
              <w:jc w:val="center"/>
              <w:rPr>
                <w:rFonts w:ascii="宋体" w:hAnsi="宋体" w:cs="宋体" w:eastAsia="宋体" w:hint="default"/>
                <w:sz w:val="18"/>
                <w:szCs w:val="18"/>
              </w:rPr>
            </w:pPr>
            <w:r>
              <w:rPr>
                <w:rFonts w:ascii="宋体" w:hAnsi="宋体" w:cs="宋体" w:eastAsia="宋体" w:hint="default"/>
                <w:sz w:val="18"/>
                <w:szCs w:val="18"/>
              </w:rPr>
              <w:t>本期确认的托 管收益</w:t>
            </w:r>
            <w:r>
              <w:rPr>
                <w:rFonts w:ascii="Times New Roman" w:hAnsi="Times New Roman" w:cs="Times New Roman" w:eastAsia="Times New Roman" w:hint="default"/>
                <w:sz w:val="18"/>
                <w:szCs w:val="18"/>
              </w:rPr>
              <w:t>/</w:t>
            </w:r>
            <w:r>
              <w:rPr>
                <w:rFonts w:ascii="宋体" w:hAnsi="宋体" w:cs="宋体" w:eastAsia="宋体" w:hint="default"/>
                <w:sz w:val="18"/>
                <w:szCs w:val="18"/>
              </w:rPr>
              <w:t>承包收 益</w:t>
            </w:r>
          </w:p>
        </w:tc>
      </w:tr>
    </w:tbl>
    <w:p>
      <w:pPr>
        <w:spacing w:after="0" w:line="309" w:lineRule="auto"/>
        <w:jc w:val="center"/>
        <w:rPr>
          <w:rFonts w:ascii="宋体" w:hAnsi="宋体" w:cs="宋体" w:eastAsia="宋体" w:hint="default"/>
          <w:sz w:val="18"/>
          <w:szCs w:val="18"/>
        </w:rPr>
        <w:sectPr>
          <w:pgSz w:w="11910" w:h="16840"/>
          <w:pgMar w:header="889" w:footer="1019" w:top="1140" w:bottom="1200" w:left="1020" w:right="0"/>
        </w:sectPr>
      </w:pPr>
    </w:p>
    <w:p>
      <w:pPr>
        <w:spacing w:line="240" w:lineRule="auto" w:before="3"/>
        <w:rPr>
          <w:rFonts w:ascii="宋体" w:hAnsi="宋体" w:cs="宋体" w:eastAsia="宋体" w:hint="default"/>
          <w:sz w:val="20"/>
          <w:szCs w:val="20"/>
        </w:rPr>
      </w:pPr>
    </w:p>
    <w:p>
      <w:pPr>
        <w:spacing w:after="0" w:line="240" w:lineRule="auto"/>
        <w:rPr>
          <w:rFonts w:ascii="宋体" w:hAnsi="宋体" w:cs="宋体" w:eastAsia="宋体" w:hint="default"/>
          <w:sz w:val="20"/>
          <w:szCs w:val="20"/>
        </w:rPr>
        <w:sectPr>
          <w:pgSz w:w="11910" w:h="16840"/>
          <w:pgMar w:header="889" w:footer="1019" w:top="1140" w:bottom="1200" w:left="1020" w:right="0"/>
        </w:sectPr>
      </w:pPr>
    </w:p>
    <w:p>
      <w:pPr>
        <w:spacing w:line="338" w:lineRule="auto" w:before="44"/>
        <w:ind w:left="114" w:right="-20" w:firstLine="0"/>
        <w:jc w:val="left"/>
        <w:rPr>
          <w:rFonts w:ascii="宋体" w:hAnsi="宋体" w:cs="宋体" w:eastAsia="宋体" w:hint="default"/>
          <w:sz w:val="18"/>
          <w:szCs w:val="18"/>
        </w:rPr>
      </w:pPr>
      <w:r>
        <w:rPr>
          <w:rFonts w:ascii="宋体" w:hAnsi="宋体" w:cs="宋体" w:eastAsia="宋体" w:hint="default"/>
          <w:sz w:val="18"/>
          <w:szCs w:val="18"/>
        </w:rPr>
        <w:t>关联托管</w:t>
      </w:r>
      <w:r>
        <w:rPr>
          <w:rFonts w:ascii="Times New Roman" w:hAnsi="Times New Roman" w:cs="Times New Roman" w:eastAsia="Times New Roman" w:hint="default"/>
          <w:sz w:val="18"/>
          <w:szCs w:val="18"/>
        </w:rPr>
        <w:t>/</w:t>
      </w:r>
      <w:r>
        <w:rPr>
          <w:rFonts w:ascii="宋体" w:hAnsi="宋体" w:cs="宋体" w:eastAsia="宋体" w:hint="default"/>
          <w:sz w:val="18"/>
          <w:szCs w:val="18"/>
        </w:rPr>
        <w:t>承包情况说明 本公司委托管理</w:t>
      </w:r>
      <w:r>
        <w:rPr>
          <w:rFonts w:ascii="Times New Roman" w:hAnsi="Times New Roman" w:cs="Times New Roman" w:eastAsia="Times New Roman" w:hint="default"/>
          <w:sz w:val="18"/>
          <w:szCs w:val="18"/>
        </w:rPr>
        <w:t>/</w:t>
      </w:r>
      <w:r>
        <w:rPr>
          <w:rFonts w:ascii="宋体" w:hAnsi="宋体" w:cs="宋体" w:eastAsia="宋体" w:hint="default"/>
          <w:sz w:val="18"/>
          <w:szCs w:val="18"/>
        </w:rPr>
        <w:t>出包情况表：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3"/>
        <w:rPr>
          <w:rFonts w:ascii="宋体" w:hAnsi="宋体" w:cs="宋体" w:eastAsia="宋体" w:hint="default"/>
          <w:sz w:val="21"/>
          <w:szCs w:val="21"/>
        </w:rPr>
      </w:pPr>
    </w:p>
    <w:p>
      <w:pPr>
        <w:spacing w:before="0"/>
        <w:ind w:left="11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140" w:bottom="1200" w:left="1020" w:right="0"/>
          <w:cols w:num="2" w:equalWidth="0">
            <w:col w:w="2505" w:space="6324"/>
            <w:col w:w="2061"/>
          </w:cols>
        </w:sectPr>
      </w:pP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368"/>
        <w:gridCol w:w="1367"/>
        <w:gridCol w:w="1368"/>
        <w:gridCol w:w="1367"/>
        <w:gridCol w:w="1368"/>
        <w:gridCol w:w="1367"/>
        <w:gridCol w:w="1367"/>
      </w:tblGrid>
      <w:tr>
        <w:trPr>
          <w:trHeight w:val="714"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499" w:right="113" w:hanging="386"/>
              <w:jc w:val="left"/>
              <w:rPr>
                <w:rFonts w:ascii="宋体" w:hAnsi="宋体" w:cs="宋体" w:eastAsia="宋体" w:hint="default"/>
                <w:sz w:val="18"/>
                <w:szCs w:val="18"/>
              </w:rPr>
            </w:pPr>
            <w:r>
              <w:rPr>
                <w:rFonts w:ascii="宋体" w:hAnsi="宋体" w:cs="宋体" w:eastAsia="宋体" w:hint="default"/>
                <w:sz w:val="18"/>
                <w:szCs w:val="18"/>
              </w:rPr>
              <w:t>委托方</w:t>
            </w:r>
            <w:r>
              <w:rPr>
                <w:rFonts w:ascii="Times New Roman" w:hAnsi="Times New Roman" w:cs="Times New Roman" w:eastAsia="Times New Roman" w:hint="default"/>
                <w:sz w:val="18"/>
                <w:szCs w:val="18"/>
              </w:rPr>
              <w:t>/</w:t>
            </w:r>
            <w:r>
              <w:rPr>
                <w:rFonts w:ascii="宋体" w:hAnsi="宋体" w:cs="宋体" w:eastAsia="宋体" w:hint="default"/>
                <w:sz w:val="18"/>
                <w:szCs w:val="18"/>
              </w:rPr>
              <w:t>出包方 名称</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497" w:right="113" w:hanging="386"/>
              <w:jc w:val="left"/>
              <w:rPr>
                <w:rFonts w:ascii="宋体" w:hAnsi="宋体" w:cs="宋体" w:eastAsia="宋体" w:hint="default"/>
                <w:sz w:val="18"/>
                <w:szCs w:val="18"/>
              </w:rPr>
            </w:pPr>
            <w:r>
              <w:rPr>
                <w:rFonts w:ascii="宋体" w:hAnsi="宋体" w:cs="宋体" w:eastAsia="宋体" w:hint="default"/>
                <w:sz w:val="18"/>
                <w:szCs w:val="18"/>
              </w:rPr>
              <w:t>受托方</w:t>
            </w:r>
            <w:r>
              <w:rPr>
                <w:rFonts w:ascii="Times New Roman" w:hAnsi="Times New Roman" w:cs="Times New Roman" w:eastAsia="Times New Roman" w:hint="default"/>
                <w:sz w:val="18"/>
                <w:szCs w:val="18"/>
              </w:rPr>
              <w:t>/</w:t>
            </w:r>
            <w:r>
              <w:rPr>
                <w:rFonts w:ascii="宋体" w:hAnsi="宋体" w:cs="宋体" w:eastAsia="宋体" w:hint="default"/>
                <w:sz w:val="18"/>
                <w:szCs w:val="18"/>
              </w:rPr>
              <w:t>承包方 名称</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499" w:right="112" w:hanging="386"/>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出包资产 类型</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587" w:right="113" w:hanging="476"/>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出包起始 日</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587" w:right="113" w:hanging="476"/>
              <w:jc w:val="left"/>
              <w:rPr>
                <w:rFonts w:ascii="宋体" w:hAnsi="宋体" w:cs="宋体" w:eastAsia="宋体" w:hint="default"/>
                <w:sz w:val="18"/>
                <w:szCs w:val="18"/>
              </w:rPr>
            </w:pPr>
            <w:r>
              <w:rPr>
                <w:rFonts w:ascii="宋体" w:hAnsi="宋体" w:cs="宋体" w:eastAsia="宋体" w:hint="default"/>
                <w:sz w:val="18"/>
                <w:szCs w:val="18"/>
              </w:rPr>
              <w:t>委托</w:t>
            </w:r>
            <w:r>
              <w:rPr>
                <w:rFonts w:ascii="Times New Roman" w:hAnsi="Times New Roman" w:cs="Times New Roman" w:eastAsia="Times New Roman" w:hint="default"/>
                <w:sz w:val="18"/>
                <w:szCs w:val="18"/>
              </w:rPr>
              <w:t>/</w:t>
            </w:r>
            <w:r>
              <w:rPr>
                <w:rFonts w:ascii="宋体" w:hAnsi="宋体" w:cs="宋体" w:eastAsia="宋体" w:hint="default"/>
                <w:sz w:val="18"/>
                <w:szCs w:val="18"/>
              </w:rPr>
              <w:t>出包终止 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02" w:lineRule="auto" w:before="51"/>
              <w:ind w:left="317" w:right="113" w:hanging="206"/>
              <w:jc w:val="left"/>
              <w:rPr>
                <w:rFonts w:ascii="宋体" w:hAnsi="宋体" w:cs="宋体" w:eastAsia="宋体" w:hint="default"/>
                <w:sz w:val="18"/>
                <w:szCs w:val="18"/>
              </w:rPr>
            </w:pPr>
            <w:r>
              <w:rPr>
                <w:rFonts w:ascii="宋体" w:hAnsi="宋体" w:cs="宋体" w:eastAsia="宋体" w:hint="default"/>
                <w:sz w:val="18"/>
                <w:szCs w:val="18"/>
              </w:rPr>
              <w:t>托管费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 定价依据</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02" w:right="137" w:hanging="65"/>
              <w:jc w:val="left"/>
              <w:rPr>
                <w:rFonts w:ascii="宋体" w:hAnsi="宋体" w:cs="宋体" w:eastAsia="宋体" w:hint="default"/>
                <w:sz w:val="18"/>
                <w:szCs w:val="18"/>
              </w:rPr>
            </w:pPr>
            <w:r>
              <w:rPr>
                <w:rFonts w:ascii="宋体" w:hAnsi="宋体" w:cs="宋体" w:eastAsia="宋体" w:hint="default"/>
                <w:sz w:val="18"/>
                <w:szCs w:val="18"/>
              </w:rPr>
              <w:t>本期确认的托 管费</w:t>
            </w:r>
            <w:r>
              <w:rPr>
                <w:rFonts w:ascii="Times New Roman" w:hAnsi="Times New Roman" w:cs="Times New Roman" w:eastAsia="Times New Roman" w:hint="default"/>
                <w:sz w:val="18"/>
                <w:szCs w:val="18"/>
              </w:rPr>
              <w:t>/</w:t>
            </w:r>
            <w:r>
              <w:rPr>
                <w:rFonts w:ascii="宋体" w:hAnsi="宋体" w:cs="宋体" w:eastAsia="宋体" w:hint="default"/>
                <w:sz w:val="18"/>
                <w:szCs w:val="18"/>
              </w:rPr>
              <w:t>出包费</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关联管理</w:t>
      </w:r>
      <w:r>
        <w:rPr>
          <w:rFonts w:ascii="Times New Roman" w:hAnsi="Times New Roman" w:cs="Times New Roman" w:eastAsia="Times New Roman" w:hint="default"/>
          <w:sz w:val="18"/>
          <w:szCs w:val="18"/>
        </w:rPr>
        <w:t>/</w:t>
      </w:r>
      <w:r>
        <w:rPr>
          <w:rFonts w:ascii="宋体" w:hAnsi="宋体" w:cs="宋体" w:eastAsia="宋体" w:hint="default"/>
          <w:sz w:val="18"/>
          <w:szCs w:val="18"/>
        </w:rPr>
        <w:t>出包情况说明</w:t>
      </w:r>
    </w:p>
    <w:p>
      <w:pPr>
        <w:spacing w:line="240" w:lineRule="auto" w:before="10"/>
        <w:rPr>
          <w:rFonts w:ascii="宋体" w:hAnsi="宋体" w:cs="宋体" w:eastAsia="宋体" w:hint="default"/>
          <w:sz w:val="25"/>
          <w:szCs w:val="25"/>
        </w:rPr>
      </w:pPr>
    </w:p>
    <w:p>
      <w:pPr>
        <w:spacing w:before="0"/>
        <w:ind w:left="114" w:right="0" w:firstLine="0"/>
        <w:jc w:val="left"/>
        <w:rPr>
          <w:rFonts w:ascii="宋体" w:hAnsi="宋体" w:cs="宋体" w:eastAsia="宋体" w:hint="default"/>
          <w:sz w:val="21"/>
          <w:szCs w:val="21"/>
        </w:rPr>
      </w:pPr>
      <w:bookmarkStart w:name="（3）关联租赁情况" w:id="445"/>
      <w:bookmarkEnd w:id="44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）关联租赁情况</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本公司作为出租方：</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88"/>
        <w:gridCol w:w="2394"/>
        <w:gridCol w:w="2393"/>
        <w:gridCol w:w="2393"/>
      </w:tblGrid>
      <w:tr>
        <w:trPr>
          <w:trHeight w:val="402" w:hRule="exact"/>
        </w:trPr>
        <w:tc>
          <w:tcPr>
            <w:tcW w:w="238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39" w:right="0"/>
              <w:jc w:val="left"/>
              <w:rPr>
                <w:rFonts w:ascii="宋体" w:hAnsi="宋体" w:cs="宋体" w:eastAsia="宋体" w:hint="default"/>
                <w:sz w:val="18"/>
                <w:szCs w:val="18"/>
              </w:rPr>
            </w:pPr>
            <w:r>
              <w:rPr>
                <w:rFonts w:ascii="宋体" w:hAnsi="宋体" w:cs="宋体" w:eastAsia="宋体" w:hint="default"/>
                <w:sz w:val="18"/>
                <w:szCs w:val="18"/>
              </w:rPr>
              <w:t>承租方名称</w:t>
            </w:r>
          </w:p>
        </w:tc>
        <w:tc>
          <w:tcPr>
            <w:tcW w:w="23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651"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1" w:right="0"/>
              <w:jc w:val="left"/>
              <w:rPr>
                <w:rFonts w:ascii="宋体" w:hAnsi="宋体" w:cs="宋体" w:eastAsia="宋体" w:hint="default"/>
                <w:sz w:val="18"/>
                <w:szCs w:val="18"/>
              </w:rPr>
            </w:pPr>
            <w:r>
              <w:rPr>
                <w:rFonts w:ascii="宋体" w:hAnsi="宋体" w:cs="宋体" w:eastAsia="宋体" w:hint="default"/>
                <w:sz w:val="18"/>
                <w:szCs w:val="18"/>
              </w:rPr>
              <w:t>本期确认的租赁收入</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381" w:right="0"/>
              <w:jc w:val="left"/>
              <w:rPr>
                <w:rFonts w:ascii="宋体" w:hAnsi="宋体" w:cs="宋体" w:eastAsia="宋体" w:hint="default"/>
                <w:sz w:val="18"/>
                <w:szCs w:val="18"/>
              </w:rPr>
            </w:pPr>
            <w:r>
              <w:rPr>
                <w:rFonts w:ascii="宋体" w:hAnsi="宋体" w:cs="宋体" w:eastAsia="宋体" w:hint="default"/>
                <w:sz w:val="18"/>
                <w:szCs w:val="18"/>
              </w:rPr>
              <w:t>上期确认的租赁收入</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本公司作为承租方：</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出租方名称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租赁资产种类</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本期确认的租赁费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70" w:right="0"/>
              <w:jc w:val="left"/>
              <w:rPr>
                <w:rFonts w:ascii="宋体" w:hAnsi="宋体" w:cs="宋体" w:eastAsia="宋体" w:hint="default"/>
                <w:sz w:val="18"/>
                <w:szCs w:val="18"/>
              </w:rPr>
            </w:pPr>
            <w:r>
              <w:rPr>
                <w:rFonts w:ascii="宋体" w:hAnsi="宋体" w:cs="宋体" w:eastAsia="宋体" w:hint="default"/>
                <w:sz w:val="18"/>
                <w:szCs w:val="18"/>
              </w:rPr>
              <w:t>上期确认的租赁费</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关联租赁情况说明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关联担保情况" w:id="446"/>
      <w:bookmarkEnd w:id="44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）关联担保情况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本公司作为担保方</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714"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被担保方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861" w:right="140" w:hanging="720"/>
              <w:jc w:val="left"/>
              <w:rPr>
                <w:rFonts w:ascii="宋体" w:hAnsi="宋体" w:cs="宋体" w:eastAsia="宋体" w:hint="default"/>
                <w:sz w:val="18"/>
                <w:szCs w:val="18"/>
              </w:rPr>
            </w:pPr>
            <w:r>
              <w:rPr>
                <w:rFonts w:ascii="宋体" w:hAnsi="宋体" w:cs="宋体" w:eastAsia="宋体" w:hint="default"/>
                <w:sz w:val="18"/>
                <w:szCs w:val="18"/>
              </w:rPr>
              <w:t>担保是否已经履行完 毕</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光典信息</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7" w:right="0"/>
              <w:jc w:val="left"/>
              <w:rPr>
                <w:rFonts w:ascii="Times New Roman" w:hAnsi="Times New Roman" w:cs="Times New Roman" w:eastAsia="Times New Roman" w:hint="default"/>
                <w:sz w:val="18"/>
                <w:szCs w:val="18"/>
              </w:rPr>
            </w:pPr>
            <w:r>
              <w:rPr>
                <w:rFonts w:ascii="Times New Roman"/>
                <w:sz w:val="18"/>
              </w:rPr>
              <w:t>165,000,000.00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本公司作为被担保方</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3"/>
        <w:gridCol w:w="1916"/>
        <w:gridCol w:w="1914"/>
        <w:gridCol w:w="1914"/>
        <w:gridCol w:w="1914"/>
      </w:tblGrid>
      <w:tr>
        <w:trPr>
          <w:trHeight w:val="713"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担保方</w:t>
            </w:r>
          </w:p>
        </w:tc>
        <w:tc>
          <w:tcPr>
            <w:tcW w:w="191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担保金额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担保起始日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01" w:right="0"/>
              <w:jc w:val="left"/>
              <w:rPr>
                <w:rFonts w:ascii="宋体" w:hAnsi="宋体" w:cs="宋体" w:eastAsia="宋体" w:hint="default"/>
                <w:sz w:val="18"/>
                <w:szCs w:val="18"/>
              </w:rPr>
            </w:pPr>
            <w:r>
              <w:rPr>
                <w:rFonts w:ascii="宋体" w:hAnsi="宋体" w:cs="宋体" w:eastAsia="宋体" w:hint="default"/>
                <w:sz w:val="18"/>
                <w:szCs w:val="18"/>
              </w:rPr>
              <w:t>担保到期日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61" w:right="140" w:hanging="720"/>
              <w:jc w:val="left"/>
              <w:rPr>
                <w:rFonts w:ascii="宋体" w:hAnsi="宋体" w:cs="宋体" w:eastAsia="宋体" w:hint="default"/>
                <w:sz w:val="18"/>
                <w:szCs w:val="18"/>
              </w:rPr>
            </w:pPr>
            <w:r>
              <w:rPr>
                <w:rFonts w:ascii="宋体" w:hAnsi="宋体" w:cs="宋体" w:eastAsia="宋体" w:hint="default"/>
                <w:sz w:val="18"/>
                <w:szCs w:val="18"/>
              </w:rPr>
              <w:t>担保是否已经履行完 毕</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张曙华</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100,000,000.00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张曙华</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42,900,000.00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张曙华、庞文莉</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55,000,000.00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张曙华、庞文莉</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86,000,000.00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2019</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07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张曙华</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55,000,000.00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04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05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张曙华、庞文莉</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72,000,000.00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是</w:t>
            </w:r>
          </w:p>
        </w:tc>
      </w:tr>
      <w:tr>
        <w:trPr>
          <w:trHeight w:val="402"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张曙华、庞文莉</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30,000,000.00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2017</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08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09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r>
        <w:trPr>
          <w:trHeight w:val="403" w:hRule="exact"/>
        </w:trPr>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张曙华、庞文莉</w:t>
            </w:r>
          </w:p>
        </w:tc>
        <w:tc>
          <w:tcPr>
            <w:tcW w:w="191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25,000,000.00</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03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2021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02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tc>
        <w:tc>
          <w:tcPr>
            <w:tcW w:w="19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否</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关联担保情况说明</w:t>
      </w:r>
    </w:p>
    <w:p>
      <w:pPr>
        <w:spacing w:after="0"/>
        <w:jc w:val="left"/>
        <w:rPr>
          <w:rFonts w:ascii="宋体" w:hAnsi="宋体" w:cs="宋体" w:eastAsia="宋体" w:hint="default"/>
          <w:sz w:val="18"/>
          <w:szCs w:val="18"/>
        </w:rPr>
        <w:sectPr>
          <w:type w:val="continuous"/>
          <w:pgSz w:w="11910" w:h="16840"/>
          <w:pgMar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5）关联方资金拆借" w:id="447"/>
      <w:bookmarkEnd w:id="44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）关联方资金拆借</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3"/>
        <w:gridCol w:w="1914"/>
        <w:gridCol w:w="1915"/>
        <w:gridCol w:w="1914"/>
        <w:gridCol w:w="1914"/>
      </w:tblGrid>
      <w:tr>
        <w:trPr>
          <w:trHeight w:val="402" w:hRule="exact"/>
        </w:trPr>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591" w:right="0"/>
              <w:jc w:val="left"/>
              <w:rPr>
                <w:rFonts w:ascii="宋体" w:hAnsi="宋体" w:cs="宋体" w:eastAsia="宋体" w:hint="default"/>
                <w:sz w:val="18"/>
                <w:szCs w:val="18"/>
              </w:rPr>
            </w:pPr>
            <w:r>
              <w:rPr>
                <w:rFonts w:ascii="宋体" w:hAnsi="宋体" w:cs="宋体" w:eastAsia="宋体" w:hint="default"/>
                <w:sz w:val="18"/>
                <w:szCs w:val="18"/>
              </w:rPr>
              <w:t>拆借金额</w:t>
            </w:r>
          </w:p>
        </w:tc>
        <w:tc>
          <w:tcPr>
            <w:tcW w:w="19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起始日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到期日</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957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拆入</w:t>
            </w:r>
          </w:p>
        </w:tc>
      </w:tr>
      <w:tr>
        <w:trPr>
          <w:trHeight w:val="402" w:hRule="exact"/>
        </w:trPr>
        <w:tc>
          <w:tcPr>
            <w:tcW w:w="9571"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拆出</w:t>
            </w:r>
          </w:p>
        </w:tc>
      </w:tr>
    </w:tbl>
    <w:p>
      <w:pPr>
        <w:spacing w:line="240" w:lineRule="auto" w:before="3"/>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6）关联方资产转让、债务重组情况" w:id="448"/>
      <w:bookmarkEnd w:id="44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）关联方资产转让、债务重组情况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关联交易内容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本期发生额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40" w:right="0"/>
              <w:jc w:val="left"/>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7）关键管理人员报酬" w:id="449"/>
      <w:bookmarkEnd w:id="44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）关键管理人员报酬</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189"/>
        <w:gridCol w:w="3190"/>
        <w:gridCol w:w="3191"/>
      </w:tblGrid>
      <w:tr>
        <w:trPr>
          <w:trHeight w:val="402" w:hRule="exact"/>
        </w:trPr>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8）其他关联交易" w:id="450"/>
      <w:bookmarkEnd w:id="45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）其他关联交易</w:t>
      </w:r>
      <w:r>
        <w:rPr>
          <w:rFonts w:ascii="宋体" w:hAnsi="宋体" w:cs="宋体" w:eastAsia="宋体" w:hint="default"/>
          <w:sz w:val="21"/>
          <w:szCs w:val="21"/>
        </w:rPr>
      </w:r>
    </w:p>
    <w:p>
      <w:pPr>
        <w:spacing w:line="240" w:lineRule="auto" w:before="7"/>
        <w:rPr>
          <w:rFonts w:ascii="宋体" w:hAnsi="宋体" w:cs="宋体" w:eastAsia="宋体" w:hint="default"/>
          <w:b/>
          <w:bCs/>
          <w:sz w:val="24"/>
          <w:szCs w:val="24"/>
        </w:rPr>
      </w:pPr>
    </w:p>
    <w:p>
      <w:pPr>
        <w:spacing w:line="261" w:lineRule="auto" w:before="0"/>
        <w:ind w:left="1276" w:right="1130" w:firstLine="0"/>
        <w:jc w:val="both"/>
        <w:rPr>
          <w:rFonts w:ascii="宋体" w:hAnsi="宋体" w:cs="宋体" w:eastAsia="宋体" w:hint="default"/>
          <w:sz w:val="21"/>
          <w:szCs w:val="21"/>
        </w:rPr>
      </w:pPr>
      <w:r>
        <w:rPr>
          <w:rFonts w:ascii="Times New Roman" w:hAnsi="Times New Roman" w:cs="Times New Roman" w:eastAsia="Times New Roman" w:hint="default"/>
          <w:spacing w:val="-1"/>
          <w:sz w:val="21"/>
          <w:szCs w:val="21"/>
        </w:rPr>
        <w:t>2018</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7</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20</w:t>
      </w:r>
      <w:r>
        <w:rPr>
          <w:rFonts w:ascii="宋体" w:hAnsi="宋体" w:cs="宋体" w:eastAsia="宋体" w:hint="default"/>
          <w:spacing w:val="-1"/>
          <w:sz w:val="21"/>
          <w:szCs w:val="21"/>
        </w:rPr>
        <w:t>日，张曙华、上海中信电子发展有限公司与本公司、上海众至企业管理咨询合伙</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宋体" w:hAnsi="宋体" w:cs="宋体" w:eastAsia="宋体" w:hint="default"/>
          <w:spacing w:val="-4"/>
          <w:sz w:val="21"/>
          <w:szCs w:val="21"/>
        </w:rPr>
        <w:t>企业（有限合伙）、上海成城企业管理咨询合伙企业（有限合伙）签订股权转让协议，协议约</w:t>
      </w:r>
      <w:r>
        <w:rPr>
          <w:rFonts w:ascii="宋体" w:hAnsi="宋体" w:cs="宋体" w:eastAsia="宋体" w:hint="default"/>
          <w:spacing w:val="-81"/>
          <w:sz w:val="21"/>
          <w:szCs w:val="21"/>
        </w:rPr>
        <w:t> </w:t>
      </w:r>
      <w:r>
        <w:rPr>
          <w:rFonts w:ascii="宋体" w:hAnsi="宋体" w:cs="宋体" w:eastAsia="宋体" w:hint="default"/>
          <w:spacing w:val="-81"/>
          <w:sz w:val="21"/>
          <w:szCs w:val="21"/>
        </w:rPr>
      </w:r>
      <w:r>
        <w:rPr>
          <w:rFonts w:ascii="宋体" w:hAnsi="宋体" w:cs="宋体" w:eastAsia="宋体" w:hint="default"/>
          <w:spacing w:val="-1"/>
          <w:sz w:val="21"/>
          <w:szCs w:val="21"/>
        </w:rPr>
        <w:t>定：本公司分别以</w:t>
      </w:r>
      <w:r>
        <w:rPr>
          <w:rFonts w:ascii="Times New Roman" w:hAnsi="Times New Roman" w:cs="Times New Roman" w:eastAsia="Times New Roman" w:hint="default"/>
          <w:spacing w:val="-1"/>
          <w:sz w:val="21"/>
          <w:szCs w:val="21"/>
        </w:rPr>
        <w:t>0</w:t>
      </w:r>
      <w:r>
        <w:rPr>
          <w:rFonts w:ascii="宋体" w:hAnsi="宋体" w:cs="宋体" w:eastAsia="宋体" w:hint="default"/>
          <w:spacing w:val="-1"/>
          <w:sz w:val="21"/>
          <w:szCs w:val="21"/>
        </w:rPr>
        <w:t>元价格受让张曙华及上海中信电子发展有限公司持有的信发资产管理有限</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责任公司各</w:t>
      </w:r>
      <w:r>
        <w:rPr>
          <w:rFonts w:ascii="Times New Roman" w:hAnsi="Times New Roman" w:cs="Times New Roman" w:eastAsia="Times New Roman" w:hint="default"/>
          <w:spacing w:val="-2"/>
          <w:sz w:val="21"/>
          <w:szCs w:val="21"/>
        </w:rPr>
        <w:t>30%</w:t>
      </w:r>
      <w:r>
        <w:rPr>
          <w:rFonts w:ascii="宋体" w:hAnsi="宋体" w:cs="宋体" w:eastAsia="宋体" w:hint="default"/>
          <w:spacing w:val="-2"/>
          <w:sz w:val="21"/>
          <w:szCs w:val="21"/>
        </w:rPr>
        <w:t>的股权。此次股权转让完成后，本公司持有信发资产管理有限责任公司</w:t>
      </w:r>
      <w:r>
        <w:rPr>
          <w:rFonts w:ascii="Times New Roman" w:hAnsi="Times New Roman" w:cs="Times New Roman" w:eastAsia="Times New Roman" w:hint="default"/>
          <w:spacing w:val="-2"/>
          <w:sz w:val="21"/>
          <w:szCs w:val="21"/>
        </w:rPr>
        <w:t>60%</w:t>
      </w:r>
      <w:r>
        <w:rPr>
          <w:rFonts w:ascii="宋体" w:hAnsi="宋体" w:cs="宋体" w:eastAsia="宋体" w:hint="default"/>
          <w:spacing w:val="-2"/>
          <w:sz w:val="21"/>
          <w:szCs w:val="21"/>
        </w:rPr>
        <w:t>的</w:t>
      </w:r>
      <w:r>
        <w:rPr>
          <w:rFonts w:ascii="宋体" w:hAnsi="宋体" w:cs="宋体" w:eastAsia="宋体" w:hint="default"/>
          <w:spacing w:val="-85"/>
          <w:sz w:val="21"/>
          <w:szCs w:val="21"/>
        </w:rPr>
        <w:t> </w:t>
      </w:r>
      <w:r>
        <w:rPr>
          <w:rFonts w:ascii="宋体" w:hAnsi="宋体" w:cs="宋体" w:eastAsia="宋体" w:hint="default"/>
          <w:sz w:val="21"/>
          <w:szCs w:val="21"/>
        </w:rPr>
        <w:t>股权。</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58"/>
        <w:ind w:left="114" w:right="0" w:firstLine="0"/>
        <w:jc w:val="left"/>
        <w:rPr>
          <w:rFonts w:ascii="宋体" w:hAnsi="宋体" w:cs="宋体" w:eastAsia="宋体" w:hint="default"/>
          <w:sz w:val="21"/>
          <w:szCs w:val="21"/>
        </w:rPr>
      </w:pPr>
      <w:bookmarkStart w:name="6、关联方应收应付款项" w:id="451"/>
      <w:bookmarkEnd w:id="451"/>
      <w:r>
        <w:rPr/>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、关联方应收应付款项</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应收项目" w:id="452"/>
      <w:bookmarkEnd w:id="45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）应收项目</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595"/>
        <w:gridCol w:w="1595"/>
        <w:gridCol w:w="1595"/>
        <w:gridCol w:w="1594"/>
        <w:gridCol w:w="1594"/>
        <w:gridCol w:w="1595"/>
      </w:tblGrid>
      <w:tr>
        <w:trPr>
          <w:trHeight w:val="402" w:hRule="exact"/>
        </w:trPr>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项目名称</w:t>
            </w:r>
          </w:p>
        </w:tc>
        <w:tc>
          <w:tcPr>
            <w:tcW w:w="159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522"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vMerge/>
            <w:tcBorders>
              <w:left w:val="single" w:sz="4" w:space="0" w:color="000000"/>
              <w:bottom w:val="single" w:sz="4" w:space="0" w:color="000000"/>
              <w:right w:val="single" w:sz="4" w:space="0" w:color="000000"/>
            </w:tcBorders>
            <w:shd w:val="clear" w:color="auto" w:fill="D2D2D2"/>
          </w:tcPr>
          <w:p>
            <w:pP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431" w:right="0"/>
              <w:jc w:val="left"/>
              <w:rPr>
                <w:rFonts w:ascii="宋体" w:hAnsi="宋体" w:cs="宋体" w:eastAsia="宋体" w:hint="default"/>
                <w:sz w:val="18"/>
                <w:szCs w:val="18"/>
              </w:rPr>
            </w:pPr>
            <w:r>
              <w:rPr>
                <w:rFonts w:ascii="宋体" w:hAnsi="宋体" w:cs="宋体" w:eastAsia="宋体" w:hint="default"/>
                <w:sz w:val="18"/>
                <w:szCs w:val="18"/>
              </w:rPr>
              <w:t>坏账准备</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应付项目" w:id="453"/>
      <w:bookmarkEnd w:id="453"/>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）应付项目</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392"/>
        <w:gridCol w:w="2393"/>
        <w:gridCol w:w="2392"/>
        <w:gridCol w:w="2392"/>
      </w:tblGrid>
      <w:tr>
        <w:trPr>
          <w:trHeight w:val="402" w:hRule="exact"/>
        </w:trPr>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项目名称</w:t>
            </w:r>
          </w:p>
        </w:tc>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关联方</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50"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bl>
    <w:p>
      <w:pPr>
        <w:spacing w:after="0" w:line="240" w:lineRule="auto"/>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3"/>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7、关联方承诺" w:id="454"/>
      <w:bookmarkEnd w:id="454"/>
      <w:r>
        <w:rPr/>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、关联方承诺</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line="487" w:lineRule="auto" w:before="0"/>
        <w:ind w:left="114" w:right="8750" w:firstLine="0"/>
        <w:jc w:val="left"/>
        <w:rPr>
          <w:rFonts w:ascii="宋体" w:hAnsi="宋体" w:cs="宋体" w:eastAsia="宋体" w:hint="default"/>
          <w:sz w:val="21"/>
          <w:szCs w:val="21"/>
        </w:rPr>
      </w:pPr>
      <w:bookmarkStart w:name="8、其他" w:id="455"/>
      <w:bookmarkEnd w:id="455"/>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十三、股份支付" w:id="456"/>
      <w:bookmarkEnd w:id="456"/>
      <w:r>
        <w:rPr>
          <w:rFonts w:ascii="宋体" w:hAnsi="宋体" w:cs="宋体" w:eastAsia="宋体" w:hint="default"/>
          <w:b/>
          <w:bCs/>
          <w:spacing w:val="1"/>
          <w:w w:val="99"/>
          <w:sz w:val="21"/>
          <w:szCs w:val="21"/>
        </w:rPr>
      </w:r>
      <w:r>
        <w:rPr>
          <w:rFonts w:ascii="宋体" w:hAnsi="宋体" w:cs="宋体" w:eastAsia="宋体" w:hint="default"/>
          <w:b/>
          <w:bCs/>
          <w:sz w:val="24"/>
          <w:szCs w:val="24"/>
        </w:rPr>
        <w:t>十三、股份支付</w:t>
      </w:r>
      <w:r>
        <w:rPr>
          <w:rFonts w:ascii="宋体" w:hAnsi="宋体" w:cs="宋体" w:eastAsia="宋体" w:hint="default"/>
          <w:b/>
          <w:bCs/>
          <w:w w:val="99"/>
          <w:sz w:val="24"/>
          <w:szCs w:val="24"/>
        </w:rPr>
        <w:t> </w:t>
      </w:r>
      <w:bookmarkStart w:name="1、股份支付总体情况" w:id="457"/>
      <w:bookmarkEnd w:id="457"/>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、股份支付总体情况</w:t>
      </w:r>
      <w:r>
        <w:rPr>
          <w:rFonts w:ascii="宋体" w:hAnsi="宋体" w:cs="宋体" w:eastAsia="宋体" w:hint="default"/>
          <w:sz w:val="21"/>
          <w:szCs w:val="21"/>
        </w:rPr>
      </w:r>
    </w:p>
    <w:p>
      <w:pPr>
        <w:spacing w:before="108"/>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5455"/>
        <w:gridCol w:w="4114"/>
      </w:tblGrid>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公司本期授予的各项权益工具总额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公司本期行权的各项权益工具总额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公司本期失效的各项权益工具总额</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0.00</w:t>
            </w:r>
          </w:p>
        </w:tc>
      </w:tr>
      <w:tr>
        <w:trPr>
          <w:trHeight w:val="3210"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1"/>
                <w:szCs w:val="21"/>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公司期末发行在外的股票期权行权价格的范围和合同剩余期限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302" w:lineRule="auto" w:before="51"/>
              <w:ind w:left="103" w:right="11"/>
              <w:jc w:val="left"/>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1</w:t>
            </w:r>
            <w:r>
              <w:rPr>
                <w:rFonts w:ascii="宋体" w:hAnsi="宋体" w:cs="宋体" w:eastAsia="宋体" w:hint="default"/>
                <w:sz w:val="18"/>
                <w:szCs w:val="18"/>
              </w:rPr>
              <w:t>）根据公司《关于首期限制性股票授予完成的 </w:t>
            </w:r>
            <w:r>
              <w:rPr>
                <w:rFonts w:ascii="宋体" w:hAnsi="宋体" w:cs="宋体" w:eastAsia="宋体" w:hint="default"/>
                <w:spacing w:val="-22"/>
                <w:sz w:val="18"/>
                <w:szCs w:val="18"/>
              </w:rPr>
              <w:t>公告》，公司于</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2016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月完成向激励对象授予限 </w:t>
            </w:r>
            <w:r>
              <w:rPr>
                <w:rFonts w:ascii="宋体" w:hAnsi="宋体" w:cs="宋体" w:eastAsia="宋体" w:hint="default"/>
                <w:spacing w:val="-7"/>
                <w:sz w:val="18"/>
                <w:szCs w:val="18"/>
              </w:rPr>
              <w:t>制性股票。（</w:t>
            </w:r>
            <w:r>
              <w:rPr>
                <w:rFonts w:ascii="Times New Roman" w:hAnsi="Times New Roman" w:cs="Times New Roman" w:eastAsia="Times New Roman" w:hint="default"/>
                <w:spacing w:val="-7"/>
                <w:sz w:val="18"/>
                <w:szCs w:val="18"/>
              </w:rPr>
              <w:t>2</w:t>
            </w:r>
            <w:r>
              <w:rPr>
                <w:rFonts w:ascii="宋体" w:hAnsi="宋体" w:cs="宋体" w:eastAsia="宋体" w:hint="default"/>
                <w:spacing w:val="-7"/>
                <w:sz w:val="18"/>
                <w:szCs w:val="18"/>
              </w:rPr>
              <w:t>）信息发展限制性股票激励计划拟在</w:t>
            </w:r>
            <w:r>
              <w:rPr>
                <w:rFonts w:ascii="宋体" w:hAnsi="宋体" w:cs="宋体" w:eastAsia="宋体" w:hint="default"/>
                <w:spacing w:val="-84"/>
                <w:sz w:val="18"/>
                <w:szCs w:val="18"/>
              </w:rPr>
              <w:t> </w:t>
            </w:r>
            <w:r>
              <w:rPr>
                <w:rFonts w:ascii="宋体" w:hAnsi="宋体" w:cs="宋体" w:eastAsia="宋体" w:hint="default"/>
                <w:spacing w:val="-84"/>
                <w:sz w:val="18"/>
                <w:szCs w:val="18"/>
              </w:rPr>
            </w:r>
            <w:r>
              <w:rPr>
                <w:rFonts w:ascii="宋体" w:hAnsi="宋体" w:cs="宋体" w:eastAsia="宋体" w:hint="default"/>
                <w:sz w:val="18"/>
                <w:szCs w:val="18"/>
              </w:rPr>
              <w:t>授予日的</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pacing w:val="-5"/>
                <w:sz w:val="18"/>
                <w:szCs w:val="18"/>
              </w:rPr>
              <w:t>个月后、</w:t>
            </w:r>
            <w:r>
              <w:rPr>
                <w:rFonts w:ascii="Times New Roman" w:hAnsi="Times New Roman" w:cs="Times New Roman" w:eastAsia="Times New Roman" w:hint="default"/>
                <w:spacing w:val="-5"/>
                <w:sz w:val="18"/>
                <w:szCs w:val="18"/>
              </w:rPr>
              <w:t>24</w:t>
            </w:r>
            <w:r>
              <w:rPr>
                <w:rFonts w:ascii="Times New Roman" w:hAnsi="Times New Roman" w:cs="Times New Roman" w:eastAsia="Times New Roman" w:hint="default"/>
                <w:spacing w:val="-1"/>
                <w:sz w:val="18"/>
                <w:szCs w:val="18"/>
              </w:rPr>
              <w:t> </w:t>
            </w:r>
            <w:r>
              <w:rPr>
                <w:rFonts w:ascii="宋体" w:hAnsi="宋体" w:cs="宋体" w:eastAsia="宋体" w:hint="default"/>
                <w:spacing w:val="-6"/>
                <w:sz w:val="18"/>
                <w:szCs w:val="18"/>
              </w:rPr>
              <w:t>个月后、</w:t>
            </w:r>
            <w:r>
              <w:rPr>
                <w:rFonts w:ascii="Times New Roman" w:hAnsi="Times New Roman" w:cs="Times New Roman" w:eastAsia="Times New Roman" w:hint="default"/>
                <w:spacing w:val="-6"/>
                <w:sz w:val="18"/>
                <w:szCs w:val="18"/>
              </w:rPr>
              <w:t>36</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个月后分三次</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pacing w:val="-3"/>
                <w:sz w:val="18"/>
                <w:szCs w:val="18"/>
              </w:rPr>
              <w:t>解锁，每次解锁的限制性股票比例分别为授予总量</w:t>
            </w:r>
            <w:r>
              <w:rPr>
                <w:rFonts w:ascii="宋体" w:hAnsi="宋体" w:cs="宋体" w:eastAsia="宋体" w:hint="default"/>
                <w:spacing w:val="-87"/>
                <w:sz w:val="18"/>
                <w:szCs w:val="18"/>
              </w:rPr>
              <w:t> </w:t>
            </w:r>
            <w:r>
              <w:rPr>
                <w:rFonts w:ascii="宋体" w:hAnsi="宋体" w:cs="宋体" w:eastAsia="宋体" w:hint="default"/>
                <w:spacing w:val="-87"/>
                <w:sz w:val="18"/>
                <w:szCs w:val="18"/>
              </w:rPr>
            </w:r>
            <w:r>
              <w:rPr>
                <w:rFonts w:ascii="宋体" w:hAnsi="宋体" w:cs="宋体" w:eastAsia="宋体" w:hint="default"/>
                <w:sz w:val="18"/>
                <w:szCs w:val="18"/>
              </w:rPr>
              <w:t>的</w:t>
            </w:r>
            <w:r>
              <w:rPr>
                <w:rFonts w:ascii="宋体" w:hAnsi="宋体" w:cs="宋体" w:eastAsia="宋体" w:hint="default"/>
                <w:spacing w:val="-41"/>
                <w:sz w:val="18"/>
                <w:szCs w:val="18"/>
              </w:rPr>
              <w:t> </w:t>
            </w:r>
            <w:r>
              <w:rPr>
                <w:rFonts w:ascii="Times New Roman" w:hAnsi="Times New Roman" w:cs="Times New Roman" w:eastAsia="Times New Roman" w:hint="default"/>
                <w:spacing w:val="-5"/>
                <w:sz w:val="18"/>
                <w:szCs w:val="18"/>
              </w:rPr>
              <w:t>30%</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30%</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40%</w:t>
            </w:r>
            <w:r>
              <w:rPr>
                <w:rFonts w:ascii="宋体" w:hAnsi="宋体" w:cs="宋体" w:eastAsia="宋体" w:hint="default"/>
                <w:spacing w:val="-5"/>
                <w:sz w:val="18"/>
                <w:szCs w:val="18"/>
              </w:rPr>
              <w:t>。（</w:t>
            </w:r>
            <w:r>
              <w:rPr>
                <w:rFonts w:ascii="Times New Roman" w:hAnsi="Times New Roman" w:cs="Times New Roman" w:eastAsia="Times New Roman" w:hint="default"/>
                <w:spacing w:val="-5"/>
                <w:sz w:val="18"/>
                <w:szCs w:val="18"/>
              </w:rPr>
              <w:t>3</w:t>
            </w:r>
            <w:r>
              <w:rPr>
                <w:rFonts w:ascii="宋体" w:hAnsi="宋体" w:cs="宋体" w:eastAsia="宋体" w:hint="default"/>
                <w:spacing w:val="-5"/>
                <w:sz w:val="18"/>
                <w:szCs w:val="18"/>
              </w:rPr>
              <w:t>）限制性股票激励计划中</w:t>
            </w:r>
            <w:r>
              <w:rPr>
                <w:rFonts w:ascii="宋体" w:hAnsi="宋体" w:cs="宋体" w:eastAsia="宋体" w:hint="default"/>
                <w:spacing w:val="-79"/>
                <w:sz w:val="18"/>
                <w:szCs w:val="18"/>
              </w:rPr>
              <w:t> </w:t>
            </w:r>
            <w:r>
              <w:rPr>
                <w:rFonts w:ascii="宋体" w:hAnsi="宋体" w:cs="宋体" w:eastAsia="宋体" w:hint="default"/>
                <w:spacing w:val="-79"/>
                <w:sz w:val="18"/>
                <w:szCs w:val="18"/>
              </w:rPr>
            </w:r>
            <w:r>
              <w:rPr>
                <w:rFonts w:ascii="宋体" w:hAnsi="宋体" w:cs="宋体" w:eastAsia="宋体" w:hint="default"/>
                <w:sz w:val="18"/>
                <w:szCs w:val="18"/>
              </w:rPr>
              <w:t>的解锁业绩条件为信息发展相比</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2015</w:t>
            </w:r>
            <w:r>
              <w:rPr>
                <w:rFonts w:ascii="Times New Roman" w:hAnsi="Times New Roman" w:cs="Times New Roman" w:eastAsia="Times New Roman" w:hint="default"/>
                <w:spacing w:val="-6"/>
                <w:sz w:val="18"/>
                <w:szCs w:val="18"/>
              </w:rPr>
              <w:t> </w:t>
            </w:r>
            <w:r>
              <w:rPr>
                <w:rFonts w:ascii="宋体" w:hAnsi="宋体" w:cs="宋体" w:eastAsia="宋体" w:hint="default"/>
                <w:spacing w:val="-15"/>
                <w:sz w:val="18"/>
                <w:szCs w:val="18"/>
              </w:rPr>
              <w:t>年，</w:t>
            </w:r>
            <w:r>
              <w:rPr>
                <w:rFonts w:ascii="Times New Roman" w:hAnsi="Times New Roman" w:cs="Times New Roman" w:eastAsia="Times New Roman" w:hint="default"/>
                <w:spacing w:val="-15"/>
                <w:sz w:val="18"/>
                <w:szCs w:val="18"/>
              </w:rPr>
              <w:t>2016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 </w:t>
            </w:r>
            <w:r>
              <w:rPr>
                <w:rFonts w:ascii="Times New Roman" w:hAnsi="Times New Roman" w:cs="Times New Roman" w:eastAsia="Times New Roman" w:hint="default"/>
                <w:sz w:val="18"/>
                <w:szCs w:val="18"/>
              </w:rPr>
              <w:t>2017 </w:t>
            </w:r>
            <w:r>
              <w:rPr>
                <w:rFonts w:ascii="宋体" w:hAnsi="宋体" w:cs="宋体" w:eastAsia="宋体" w:hint="default"/>
                <w:sz w:val="18"/>
                <w:szCs w:val="18"/>
              </w:rPr>
              <w:t>年、</w:t>
            </w:r>
            <w:r>
              <w:rPr>
                <w:rFonts w:ascii="Times New Roman" w:hAnsi="Times New Roman" w:cs="Times New Roman" w:eastAsia="Times New Roman" w:hint="default"/>
                <w:sz w:val="18"/>
                <w:szCs w:val="18"/>
              </w:rPr>
              <w:t>2018</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年扣除非经常性损益和股份支付费 用影响后的净利润增长率分别不低于</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w:t>
            </w:r>
            <w:r>
              <w:rPr>
                <w:rFonts w:ascii="Times New Roman" w:hAnsi="Times New Roman" w:cs="Times New Roman" w:eastAsia="Times New Roman" w:hint="default"/>
                <w:sz w:val="18"/>
                <w:szCs w:val="18"/>
              </w:rPr>
              <w:t>30%</w:t>
            </w:r>
            <w:r>
              <w:rPr>
                <w:rFonts w:ascii="宋体" w:hAnsi="宋体" w:cs="宋体" w:eastAsia="宋体" w:hint="default"/>
                <w:sz w:val="18"/>
                <w:szCs w:val="18"/>
              </w:rPr>
              <w:t>、 </w:t>
            </w:r>
            <w:r>
              <w:rPr>
                <w:rFonts w:ascii="Times New Roman" w:hAnsi="Times New Roman" w:cs="Times New Roman" w:eastAsia="Times New Roman" w:hint="default"/>
                <w:sz w:val="18"/>
                <w:szCs w:val="18"/>
              </w:rPr>
              <w:t>60%</w:t>
            </w:r>
            <w:r>
              <w:rPr>
                <w:rFonts w:ascii="宋体" w:hAnsi="宋体" w:cs="宋体" w:eastAsia="宋体" w:hint="default"/>
                <w:sz w:val="18"/>
                <w:szCs w:val="18"/>
              </w:rPr>
              <w:t>。</w:t>
            </w:r>
          </w:p>
        </w:tc>
      </w:tr>
      <w:tr>
        <w:trPr>
          <w:trHeight w:val="402" w:hRule="exact"/>
        </w:trPr>
        <w:tc>
          <w:tcPr>
            <w:tcW w:w="545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公司期末发行在外的其他权益工具行权价格的范围和合同剩余期限</w:t>
            </w:r>
          </w:p>
        </w:tc>
        <w:tc>
          <w:tcPr>
            <w:tcW w:w="41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无</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以权益结算的股份支付情况" w:id="458"/>
      <w:bookmarkEnd w:id="458"/>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、以权益结算的股份支付情况</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4984"/>
        <w:gridCol w:w="4585"/>
      </w:tblGrid>
      <w:tr>
        <w:trPr>
          <w:trHeight w:val="403"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授予日权益工具公允价值的确定方法</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布莱克</w:t>
            </w:r>
            <w:r>
              <w:rPr>
                <w:rFonts w:ascii="Times New Roman" w:hAnsi="Times New Roman" w:cs="Times New Roman" w:eastAsia="Times New Roman" w:hint="default"/>
                <w:sz w:val="18"/>
                <w:szCs w:val="18"/>
              </w:rPr>
              <w:t>-</w:t>
            </w:r>
            <w:r>
              <w:rPr>
                <w:rFonts w:ascii="宋体" w:hAnsi="宋体" w:cs="宋体" w:eastAsia="宋体" w:hint="default"/>
                <w:sz w:val="18"/>
                <w:szCs w:val="18"/>
              </w:rPr>
              <w:t>斯科尔斯（</w:t>
            </w:r>
            <w:r>
              <w:rPr>
                <w:rFonts w:ascii="Times New Roman" w:hAnsi="Times New Roman" w:cs="Times New Roman" w:eastAsia="Times New Roman" w:hint="default"/>
                <w:sz w:val="18"/>
                <w:szCs w:val="18"/>
              </w:rPr>
              <w:t>B-S</w:t>
            </w:r>
            <w:r>
              <w:rPr>
                <w:rFonts w:ascii="宋体" w:hAnsi="宋体" w:cs="宋体" w:eastAsia="宋体" w:hint="default"/>
                <w:sz w:val="18"/>
                <w:szCs w:val="18"/>
              </w:rPr>
              <w:t>）期权定价模型</w:t>
            </w:r>
          </w:p>
        </w:tc>
      </w:tr>
      <w:tr>
        <w:trPr>
          <w:trHeight w:val="1650"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可行权权益工具数量的确定依据</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2"/>
              <w:ind w:left="102" w:right="101"/>
              <w:jc w:val="both"/>
              <w:rPr>
                <w:rFonts w:ascii="宋体" w:hAnsi="宋体" w:cs="宋体" w:eastAsia="宋体" w:hint="default"/>
                <w:sz w:val="18"/>
                <w:szCs w:val="18"/>
              </w:rPr>
            </w:pPr>
            <w:r>
              <w:rPr>
                <w:rFonts w:ascii="宋体" w:hAnsi="宋体" w:cs="宋体" w:eastAsia="宋体" w:hint="default"/>
                <w:sz w:val="18"/>
                <w:szCs w:val="18"/>
              </w:rPr>
              <w:t>依据《公司法</w:t>
            </w:r>
            <w:r>
              <w:rPr>
                <w:rFonts w:ascii="宋体" w:hAnsi="宋体" w:cs="宋体" w:eastAsia="宋体" w:hint="default"/>
                <w:spacing w:val="-90"/>
                <w:sz w:val="18"/>
                <w:szCs w:val="18"/>
              </w:rPr>
              <w:t>》、</w:t>
            </w:r>
            <w:r>
              <w:rPr>
                <w:rFonts w:ascii="宋体" w:hAnsi="宋体" w:cs="宋体" w:eastAsia="宋体" w:hint="default"/>
                <w:sz w:val="18"/>
                <w:szCs w:val="18"/>
              </w:rPr>
              <w:t>《证券法</w:t>
            </w:r>
            <w:r>
              <w:rPr>
                <w:rFonts w:ascii="宋体" w:hAnsi="宋体" w:cs="宋体" w:eastAsia="宋体" w:hint="default"/>
                <w:spacing w:val="-90"/>
                <w:sz w:val="18"/>
                <w:szCs w:val="18"/>
              </w:rPr>
              <w:t>》、</w:t>
            </w:r>
            <w:r>
              <w:rPr>
                <w:rFonts w:ascii="宋体" w:hAnsi="宋体" w:cs="宋体" w:eastAsia="宋体" w:hint="default"/>
                <w:sz w:val="18"/>
                <w:szCs w:val="18"/>
              </w:rPr>
              <w:t>《上市公司股权激励管理办</w:t>
            </w:r>
            <w:r>
              <w:rPr>
                <w:rFonts w:ascii="宋体" w:hAnsi="宋体" w:cs="宋体" w:eastAsia="宋体" w:hint="default"/>
                <w:sz w:val="18"/>
                <w:szCs w:val="18"/>
              </w:rPr>
              <w:t> </w:t>
            </w:r>
            <w:r>
              <w:rPr>
                <w:rFonts w:ascii="宋体" w:hAnsi="宋体" w:cs="宋体" w:eastAsia="宋体" w:hint="default"/>
                <w:spacing w:val="-14"/>
                <w:sz w:val="18"/>
                <w:szCs w:val="18"/>
              </w:rPr>
              <w:t>法</w:t>
            </w:r>
            <w:r>
              <w:rPr>
                <w:rFonts w:ascii="宋体" w:hAnsi="宋体" w:cs="宋体" w:eastAsia="宋体" w:hint="default"/>
                <w:sz w:val="18"/>
                <w:szCs w:val="18"/>
              </w:rPr>
              <w:t>（试行</w:t>
            </w:r>
            <w:r>
              <w:rPr>
                <w:rFonts w:ascii="宋体" w:hAnsi="宋体" w:cs="宋体" w:eastAsia="宋体" w:hint="default"/>
                <w:spacing w:val="-90"/>
                <w:sz w:val="18"/>
                <w:szCs w:val="18"/>
              </w:rPr>
              <w:t>）》</w:t>
            </w:r>
            <w:r>
              <w:rPr>
                <w:rFonts w:ascii="宋体" w:hAnsi="宋体" w:cs="宋体" w:eastAsia="宋体" w:hint="default"/>
                <w:spacing w:val="-104"/>
                <w:sz w:val="18"/>
                <w:szCs w:val="18"/>
              </w:rPr>
              <w:t>、</w:t>
            </w:r>
            <w:r>
              <w:rPr>
                <w:rFonts w:ascii="宋体" w:hAnsi="宋体" w:cs="宋体" w:eastAsia="宋体" w:hint="default"/>
                <w:spacing w:val="-2"/>
                <w:sz w:val="18"/>
                <w:szCs w:val="18"/>
              </w:rPr>
              <w:t>《</w:t>
            </w:r>
            <w:r>
              <w:rPr>
                <w:rFonts w:ascii="宋体" w:hAnsi="宋体" w:cs="宋体" w:eastAsia="宋体" w:hint="default"/>
                <w:sz w:val="18"/>
                <w:szCs w:val="18"/>
              </w:rPr>
              <w:t>股权激励有关事项备忘录</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 </w:t>
            </w:r>
            <w:r>
              <w:rPr>
                <w:rFonts w:ascii="宋体" w:hAnsi="宋体" w:cs="宋体" w:eastAsia="宋体" w:hint="default"/>
                <w:sz w:val="18"/>
                <w:szCs w:val="18"/>
              </w:rPr>
              <w:t>号</w:t>
            </w:r>
            <w:r>
              <w:rPr>
                <w:rFonts w:ascii="宋体" w:hAnsi="宋体" w:cs="宋体" w:eastAsia="宋体" w:hint="default"/>
                <w:spacing w:val="-90"/>
                <w:sz w:val="18"/>
                <w:szCs w:val="18"/>
              </w:rPr>
              <w:t>》</w:t>
            </w:r>
            <w:r>
              <w:rPr>
                <w:rFonts w:ascii="宋体" w:hAnsi="宋体" w:cs="宋体" w:eastAsia="宋体" w:hint="default"/>
                <w:spacing w:val="-104"/>
                <w:sz w:val="18"/>
                <w:szCs w:val="18"/>
              </w:rPr>
              <w:t>、</w:t>
            </w:r>
            <w:r>
              <w:rPr>
                <w:rFonts w:ascii="宋体" w:hAnsi="宋体" w:cs="宋体" w:eastAsia="宋体" w:hint="default"/>
                <w:sz w:val="18"/>
                <w:szCs w:val="18"/>
              </w:rPr>
              <w:t>《股权激</w:t>
            </w:r>
          </w:p>
          <w:p>
            <w:pPr>
              <w:pStyle w:val="TableParagraph"/>
              <w:spacing w:line="309" w:lineRule="auto"/>
              <w:ind w:left="102" w:right="150"/>
              <w:jc w:val="both"/>
              <w:rPr>
                <w:rFonts w:ascii="宋体" w:hAnsi="宋体" w:cs="宋体" w:eastAsia="宋体" w:hint="default"/>
                <w:sz w:val="18"/>
                <w:szCs w:val="18"/>
              </w:rPr>
            </w:pPr>
            <w:r>
              <w:rPr>
                <w:rFonts w:ascii="宋体" w:hAnsi="宋体" w:cs="宋体" w:eastAsia="宋体" w:hint="default"/>
                <w:sz w:val="18"/>
                <w:szCs w:val="18"/>
              </w:rPr>
              <w:t>励有关事项备忘录</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pacing w:val="-12"/>
                <w:sz w:val="18"/>
                <w:szCs w:val="18"/>
              </w:rPr>
              <w:t>号》、《股权激励有关事项备忘录</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 </w:t>
            </w:r>
            <w:r>
              <w:rPr>
                <w:rFonts w:ascii="宋体" w:hAnsi="宋体" w:cs="宋体" w:eastAsia="宋体" w:hint="default"/>
                <w:sz w:val="18"/>
                <w:szCs w:val="18"/>
              </w:rPr>
              <w:t>号》及《上海中信信息发展股份有限公司章程》的相关 规定，并结合公司实际情况确定。</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本期估计与上期估计有重大差异的原因</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2" w:right="0"/>
              <w:jc w:val="left"/>
              <w:rPr>
                <w:rFonts w:ascii="宋体" w:hAnsi="宋体" w:cs="宋体" w:eastAsia="宋体" w:hint="default"/>
                <w:sz w:val="18"/>
                <w:szCs w:val="18"/>
              </w:rPr>
            </w:pPr>
            <w:r>
              <w:rPr>
                <w:rFonts w:ascii="宋体" w:hAnsi="宋体" w:cs="宋体" w:eastAsia="宋体" w:hint="default"/>
                <w:sz w:val="18"/>
                <w:szCs w:val="18"/>
              </w:rPr>
              <w:t>无</w:t>
            </w:r>
          </w:p>
        </w:tc>
      </w:tr>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以权益结算的股份支付计入资本公积的累计金额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13,824,200.00</w:t>
            </w:r>
          </w:p>
        </w:tc>
      </w:tr>
      <w:tr>
        <w:trPr>
          <w:trHeight w:val="403"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本期以权益结算的股份支付确认的费用总额</w:t>
            </w:r>
          </w:p>
        </w:tc>
        <w:tc>
          <w:tcPr>
            <w:tcW w:w="458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-1,406,800.00</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3、以现金结算的股份支付情况" w:id="459"/>
      <w:bookmarkEnd w:id="459"/>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、以现金结算的股份支付情况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4、股份支付的修改、终止情况" w:id="460"/>
      <w:bookmarkEnd w:id="460"/>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、股份支付的修改、终止情况</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line="261" w:lineRule="auto" w:before="0"/>
        <w:ind w:left="828" w:right="1008" w:firstLine="0"/>
        <w:jc w:val="left"/>
        <w:rPr>
          <w:rFonts w:ascii="宋体" w:hAnsi="宋体" w:cs="宋体" w:eastAsia="宋体" w:hint="default"/>
          <w:sz w:val="21"/>
          <w:szCs w:val="21"/>
        </w:rPr>
      </w:pPr>
      <w:r>
        <w:rPr>
          <w:rFonts w:ascii="宋体" w:hAnsi="宋体" w:cs="宋体" w:eastAsia="宋体" w:hint="default"/>
          <w:sz w:val="21"/>
          <w:szCs w:val="21"/>
        </w:rPr>
        <w:t>公司于</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月</w:t>
      </w:r>
      <w:r>
        <w:rPr>
          <w:rFonts w:ascii="Times New Roman" w:hAnsi="Times New Roman" w:cs="Times New Roman" w:eastAsia="Times New Roman" w:hint="default"/>
          <w:sz w:val="21"/>
          <w:szCs w:val="21"/>
        </w:rPr>
        <w:t>15</w:t>
      </w:r>
      <w:r>
        <w:rPr>
          <w:rFonts w:ascii="宋体" w:hAnsi="宋体" w:cs="宋体" w:eastAsia="宋体" w:hint="default"/>
          <w:sz w:val="21"/>
          <w:szCs w:val="21"/>
        </w:rPr>
        <w:t>日召开的第四届董事会第十四次会议，审议通过了《关于首期限制性股票激励 </w:t>
      </w:r>
      <w:r>
        <w:rPr>
          <w:rFonts w:ascii="宋体" w:hAnsi="宋体" w:cs="宋体" w:eastAsia="宋体" w:hint="default"/>
          <w:spacing w:val="-3"/>
          <w:sz w:val="21"/>
          <w:szCs w:val="21"/>
        </w:rPr>
        <w:t>计划第一个解锁限售期解除限售条件成就的议案》。董事会根据公司</w:t>
      </w:r>
      <w:r>
        <w:rPr>
          <w:rFonts w:ascii="Times New Roman" w:hAnsi="Times New Roman" w:cs="Times New Roman" w:eastAsia="Times New Roman" w:hint="default"/>
          <w:spacing w:val="-3"/>
          <w:sz w:val="21"/>
          <w:szCs w:val="21"/>
        </w:rPr>
        <w:t>2016</w:t>
      </w:r>
      <w:r>
        <w:rPr>
          <w:rFonts w:ascii="宋体" w:hAnsi="宋体" w:cs="宋体" w:eastAsia="宋体" w:hint="default"/>
          <w:spacing w:val="-3"/>
          <w:sz w:val="21"/>
          <w:szCs w:val="21"/>
        </w:rPr>
        <w:t>年第一次临时股东大会之</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授权，同意按照股权激励计划的相关规定办理限制性股票第一个解锁期解锁的相关事宜，可申请 解锁的限制性股票数量为</w:t>
      </w:r>
      <w:r>
        <w:rPr>
          <w:rFonts w:ascii="Times New Roman" w:hAnsi="Times New Roman" w:cs="Times New Roman" w:eastAsia="Times New Roman" w:hint="default"/>
          <w:sz w:val="21"/>
          <w:szCs w:val="21"/>
        </w:rPr>
        <w:t>417,600</w:t>
      </w:r>
      <w:r>
        <w:rPr>
          <w:rFonts w:ascii="宋体" w:hAnsi="宋体" w:cs="宋体" w:eastAsia="宋体" w:hint="default"/>
          <w:sz w:val="21"/>
          <w:szCs w:val="21"/>
        </w:rPr>
        <w:t>股，实际可上市流通的股票数量为</w:t>
      </w:r>
      <w:r>
        <w:rPr>
          <w:rFonts w:ascii="Times New Roman" w:hAnsi="Times New Roman" w:cs="Times New Roman" w:eastAsia="Times New Roman" w:hint="default"/>
          <w:sz w:val="21"/>
          <w:szCs w:val="21"/>
        </w:rPr>
        <w:t>410,600</w:t>
      </w:r>
      <w:r>
        <w:rPr>
          <w:rFonts w:ascii="宋体" w:hAnsi="宋体" w:cs="宋体" w:eastAsia="宋体" w:hint="default"/>
          <w:sz w:val="21"/>
          <w:szCs w:val="21"/>
        </w:rPr>
        <w:t>股。 </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16</w:t>
      </w:r>
      <w:r>
        <w:rPr>
          <w:rFonts w:ascii="宋体" w:hAnsi="宋体" w:cs="宋体" w:eastAsia="宋体" w:hint="default"/>
          <w:sz w:val="21"/>
          <w:szCs w:val="21"/>
        </w:rPr>
        <w:t>日，公司召开第四届董事会第十次会议，审议通过了《关于回购注销部分限制性股票 </w:t>
      </w:r>
      <w:r>
        <w:rPr>
          <w:rFonts w:ascii="宋体" w:hAnsi="宋体" w:cs="宋体" w:eastAsia="宋体" w:hint="default"/>
          <w:spacing w:val="-4"/>
          <w:sz w:val="21"/>
          <w:szCs w:val="21"/>
        </w:rPr>
        <w:t>的议案》和《关于减少公司注册资本并修改</w:t>
      </w:r>
      <w:r>
        <w:rPr>
          <w:rFonts w:ascii="Times New Roman" w:hAnsi="Times New Roman" w:cs="Times New Roman" w:eastAsia="Times New Roman" w:hint="default"/>
          <w:spacing w:val="-4"/>
          <w:sz w:val="21"/>
          <w:szCs w:val="21"/>
        </w:rPr>
        <w:t>&lt;</w:t>
      </w:r>
      <w:r>
        <w:rPr>
          <w:rFonts w:ascii="宋体" w:hAnsi="宋体" w:cs="宋体" w:eastAsia="宋体" w:hint="default"/>
          <w:spacing w:val="-4"/>
          <w:sz w:val="21"/>
          <w:szCs w:val="21"/>
        </w:rPr>
        <w:t>公司章程</w:t>
      </w:r>
      <w:r>
        <w:rPr>
          <w:rFonts w:ascii="Times New Roman" w:hAnsi="Times New Roman" w:cs="Times New Roman" w:eastAsia="Times New Roman" w:hint="default"/>
          <w:spacing w:val="-4"/>
          <w:sz w:val="21"/>
          <w:szCs w:val="21"/>
        </w:rPr>
        <w:t>&gt;</w:t>
      </w:r>
      <w:r>
        <w:rPr>
          <w:rFonts w:ascii="宋体" w:hAnsi="宋体" w:cs="宋体" w:eastAsia="宋体" w:hint="default"/>
          <w:spacing w:val="-4"/>
          <w:sz w:val="21"/>
          <w:szCs w:val="21"/>
        </w:rPr>
        <w:t>的议案》，鉴于公司首期限制性股票激励计</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z w:val="21"/>
          <w:szCs w:val="21"/>
        </w:rPr>
        <w:t>划及首期授予方案第一个解锁期内，</w:t>
      </w:r>
      <w:r>
        <w:rPr>
          <w:rFonts w:ascii="Times New Roman" w:hAnsi="Times New Roman" w:cs="Times New Roman" w:eastAsia="Times New Roman" w:hint="default"/>
          <w:sz w:val="21"/>
          <w:szCs w:val="21"/>
        </w:rPr>
        <w:t>8</w:t>
      </w:r>
      <w:r>
        <w:rPr>
          <w:rFonts w:ascii="宋体" w:hAnsi="宋体" w:cs="宋体" w:eastAsia="宋体" w:hint="default"/>
          <w:sz w:val="21"/>
          <w:szCs w:val="21"/>
        </w:rPr>
        <w:t>名激励对象因离职应予回购注销其已获授但尚未解锁的 </w:t>
      </w:r>
      <w:r>
        <w:rPr>
          <w:rFonts w:ascii="Times New Roman" w:hAnsi="Times New Roman" w:cs="Times New Roman" w:eastAsia="Times New Roman" w:hint="default"/>
          <w:sz w:val="21"/>
          <w:szCs w:val="21"/>
        </w:rPr>
        <w:t>108,000</w:t>
      </w:r>
      <w:r>
        <w:rPr>
          <w:rFonts w:ascii="宋体" w:hAnsi="宋体" w:cs="宋体" w:eastAsia="宋体" w:hint="default"/>
          <w:sz w:val="21"/>
          <w:szCs w:val="21"/>
        </w:rPr>
        <w:t>股限制性股票，因部分与</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2</w:t>
      </w:r>
      <w:r>
        <w:rPr>
          <w:rFonts w:ascii="宋体" w:hAnsi="宋体" w:cs="宋体" w:eastAsia="宋体" w:hint="default"/>
          <w:sz w:val="21"/>
          <w:szCs w:val="21"/>
        </w:rPr>
        <w:t>月</w:t>
      </w:r>
      <w:r>
        <w:rPr>
          <w:rFonts w:ascii="Times New Roman" w:hAnsi="Times New Roman" w:cs="Times New Roman" w:eastAsia="Times New Roman" w:hint="default"/>
          <w:sz w:val="21"/>
          <w:szCs w:val="21"/>
        </w:rPr>
        <w:t>27</w:t>
      </w:r>
      <w:r>
        <w:rPr>
          <w:rFonts w:ascii="宋体" w:hAnsi="宋体" w:cs="宋体" w:eastAsia="宋体" w:hint="default"/>
          <w:sz w:val="21"/>
          <w:szCs w:val="21"/>
        </w:rPr>
        <w:t>日的回购股份数重叠，合并计算共计回购</w:t>
      </w:r>
      <w:r>
        <w:rPr>
          <w:rFonts w:ascii="Times New Roman" w:hAnsi="Times New Roman" w:cs="Times New Roman" w:eastAsia="Times New Roman" w:hint="default"/>
          <w:sz w:val="21"/>
          <w:szCs w:val="21"/>
        </w:rPr>
        <w:t>525,600</w:t>
      </w:r>
      <w:r>
        <w:rPr>
          <w:rFonts w:ascii="宋体" w:hAnsi="宋体" w:cs="宋体" w:eastAsia="宋体" w:hint="default"/>
          <w:sz w:val="21"/>
          <w:szCs w:val="21"/>
        </w:rPr>
        <w:t>股， 并于</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5</w:t>
      </w:r>
      <w:r>
        <w:rPr>
          <w:rFonts w:ascii="宋体" w:hAnsi="宋体" w:cs="宋体" w:eastAsia="宋体" w:hint="default"/>
          <w:sz w:val="21"/>
          <w:szCs w:val="21"/>
        </w:rPr>
        <w:t>月</w:t>
      </w:r>
      <w:r>
        <w:rPr>
          <w:rFonts w:ascii="Times New Roman" w:hAnsi="Times New Roman" w:cs="Times New Roman" w:eastAsia="Times New Roman" w:hint="default"/>
          <w:sz w:val="21"/>
          <w:szCs w:val="21"/>
        </w:rPr>
        <w:t>8</w:t>
      </w:r>
      <w:r>
        <w:rPr>
          <w:rFonts w:ascii="宋体" w:hAnsi="宋体" w:cs="宋体" w:eastAsia="宋体" w:hint="default"/>
          <w:sz w:val="21"/>
          <w:szCs w:val="21"/>
        </w:rPr>
        <w:t>日召开的</w:t>
      </w:r>
      <w:r>
        <w:rPr>
          <w:rFonts w:ascii="Times New Roman" w:hAnsi="Times New Roman" w:cs="Times New Roman" w:eastAsia="Times New Roman" w:hint="default"/>
          <w:sz w:val="21"/>
          <w:szCs w:val="21"/>
        </w:rPr>
        <w:t>2017</w:t>
      </w:r>
      <w:r>
        <w:rPr>
          <w:rFonts w:ascii="宋体" w:hAnsi="宋体" w:cs="宋体" w:eastAsia="宋体" w:hint="default"/>
          <w:sz w:val="21"/>
          <w:szCs w:val="21"/>
        </w:rPr>
        <w:t>年年度股东大会会议审议通过。 </w:t>
      </w:r>
      <w:r>
        <w:rPr>
          <w:rFonts w:ascii="Times New Roman" w:hAnsi="Times New Roman" w:cs="Times New Roman" w:eastAsia="Times New Roman" w:hint="default"/>
          <w:sz w:val="21"/>
          <w:szCs w:val="21"/>
        </w:rPr>
        <w:t>2019</w:t>
      </w:r>
      <w:r>
        <w:rPr>
          <w:rFonts w:ascii="宋体" w:hAnsi="宋体" w:cs="宋体" w:eastAsia="宋体" w:hint="default"/>
          <w:sz w:val="21"/>
          <w:szCs w:val="21"/>
        </w:rPr>
        <w:t>年</w:t>
      </w:r>
      <w:r>
        <w:rPr>
          <w:rFonts w:ascii="Times New Roman" w:hAnsi="Times New Roman" w:cs="Times New Roman" w:eastAsia="Times New Roman" w:hint="default"/>
          <w:sz w:val="21"/>
          <w:szCs w:val="21"/>
        </w:rPr>
        <w:t>2</w:t>
      </w:r>
      <w:r>
        <w:rPr>
          <w:rFonts w:ascii="宋体" w:hAnsi="宋体" w:cs="宋体" w:eastAsia="宋体" w:hint="default"/>
          <w:sz w:val="21"/>
          <w:szCs w:val="21"/>
        </w:rPr>
        <w:t>月</w:t>
      </w:r>
      <w:r>
        <w:rPr>
          <w:rFonts w:ascii="Times New Roman" w:hAnsi="Times New Roman" w:cs="Times New Roman" w:eastAsia="Times New Roman" w:hint="default"/>
          <w:sz w:val="21"/>
          <w:szCs w:val="21"/>
        </w:rPr>
        <w:t>27</w:t>
      </w:r>
      <w:r>
        <w:rPr>
          <w:rFonts w:ascii="宋体" w:hAnsi="宋体" w:cs="宋体" w:eastAsia="宋体" w:hint="default"/>
          <w:sz w:val="21"/>
          <w:szCs w:val="21"/>
        </w:rPr>
        <w:t>日，公司召开第四届董事会第二十四次会议，审议通过了《关于调整限制性股票回购 </w:t>
      </w:r>
      <w:r>
        <w:rPr>
          <w:rFonts w:ascii="宋体" w:hAnsi="宋体" w:cs="宋体" w:eastAsia="宋体" w:hint="default"/>
          <w:spacing w:val="-3"/>
          <w:sz w:val="21"/>
          <w:szCs w:val="21"/>
        </w:rPr>
        <w:t>价格及回购注销部分限制性股票的议案》，根据《</w:t>
      </w:r>
      <w:r>
        <w:rPr>
          <w:rFonts w:ascii="Times New Roman" w:hAnsi="Times New Roman" w:cs="Times New Roman" w:eastAsia="Times New Roman" w:hint="default"/>
          <w:spacing w:val="-3"/>
          <w:sz w:val="21"/>
          <w:szCs w:val="21"/>
        </w:rPr>
        <w:t>2018</w:t>
      </w:r>
      <w:r>
        <w:rPr>
          <w:rFonts w:ascii="宋体" w:hAnsi="宋体" w:cs="宋体" w:eastAsia="宋体" w:hint="default"/>
          <w:spacing w:val="-3"/>
          <w:sz w:val="21"/>
          <w:szCs w:val="21"/>
        </w:rPr>
        <w:t>年业绩快报》出具的数据，按照《上海中信</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pacing w:val="-3"/>
          <w:sz w:val="21"/>
          <w:szCs w:val="21"/>
        </w:rPr>
        <w:t>信息发展股份有限公司首期限制性股票激励计划（草案）》的相关规定，公司董事会认定首次授予</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限制性股票未达到第三个解锁期公司层面业绩考核条件，将依据公司股东大会的授权，按相关程 序办理回购注销未达到第三个解锁期解锁条件的首次授予限制性股票。 因公司于</w:t>
      </w:r>
      <w:r>
        <w:rPr>
          <w:rFonts w:ascii="Times New Roman" w:hAnsi="Times New Roman" w:cs="Times New Roman" w:eastAsia="Times New Roman" w:hint="default"/>
          <w:sz w:val="21"/>
          <w:szCs w:val="21"/>
        </w:rPr>
        <w:t>2017</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月</w:t>
      </w:r>
      <w:r>
        <w:rPr>
          <w:rFonts w:ascii="Times New Roman" w:hAnsi="Times New Roman" w:cs="Times New Roman" w:eastAsia="Times New Roman" w:hint="default"/>
          <w:sz w:val="21"/>
          <w:szCs w:val="21"/>
        </w:rPr>
        <w:t>19</w:t>
      </w:r>
      <w:r>
        <w:rPr>
          <w:rFonts w:ascii="宋体" w:hAnsi="宋体" w:cs="宋体" w:eastAsia="宋体" w:hint="default"/>
          <w:sz w:val="21"/>
          <w:szCs w:val="21"/>
        </w:rPr>
        <w:t>日实施</w:t>
      </w:r>
      <w:r>
        <w:rPr>
          <w:rFonts w:ascii="Times New Roman" w:hAnsi="Times New Roman" w:cs="Times New Roman" w:eastAsia="Times New Roman" w:hint="default"/>
          <w:sz w:val="21"/>
          <w:szCs w:val="21"/>
        </w:rPr>
        <w:t>2016</w:t>
      </w:r>
      <w:r>
        <w:rPr>
          <w:rFonts w:ascii="宋体" w:hAnsi="宋体" w:cs="宋体" w:eastAsia="宋体" w:hint="default"/>
          <w:sz w:val="21"/>
          <w:szCs w:val="21"/>
        </w:rPr>
        <w:t>年度权益分派、</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7</w:t>
      </w:r>
      <w:r>
        <w:rPr>
          <w:rFonts w:ascii="宋体" w:hAnsi="宋体" w:cs="宋体" w:eastAsia="宋体" w:hint="default"/>
          <w:sz w:val="21"/>
          <w:szCs w:val="21"/>
        </w:rPr>
        <w:t>月</w:t>
      </w:r>
      <w:r>
        <w:rPr>
          <w:rFonts w:ascii="Times New Roman" w:hAnsi="Times New Roman" w:cs="Times New Roman" w:eastAsia="Times New Roman" w:hint="default"/>
          <w:sz w:val="21"/>
          <w:szCs w:val="21"/>
        </w:rPr>
        <w:t>4</w:t>
      </w:r>
      <w:r>
        <w:rPr>
          <w:rFonts w:ascii="宋体" w:hAnsi="宋体" w:cs="宋体" w:eastAsia="宋体" w:hint="default"/>
          <w:sz w:val="21"/>
          <w:szCs w:val="21"/>
        </w:rPr>
        <w:t>日实施</w:t>
      </w:r>
      <w:r>
        <w:rPr>
          <w:rFonts w:ascii="Times New Roman" w:hAnsi="Times New Roman" w:cs="Times New Roman" w:eastAsia="Times New Roman" w:hint="default"/>
          <w:sz w:val="21"/>
          <w:szCs w:val="21"/>
        </w:rPr>
        <w:t>2017</w:t>
      </w:r>
      <w:r>
        <w:rPr>
          <w:rFonts w:ascii="宋体" w:hAnsi="宋体" w:cs="宋体" w:eastAsia="宋体" w:hint="default"/>
          <w:sz w:val="21"/>
          <w:szCs w:val="21"/>
        </w:rPr>
        <w:t>年度权益分派，根据《公 </w:t>
      </w:r>
      <w:r>
        <w:rPr>
          <w:rFonts w:ascii="宋体" w:hAnsi="宋体" w:cs="宋体" w:eastAsia="宋体" w:hint="default"/>
          <w:spacing w:val="-6"/>
          <w:sz w:val="21"/>
          <w:szCs w:val="21"/>
        </w:rPr>
        <w:t>司</w:t>
      </w:r>
      <w:r>
        <w:rPr>
          <w:rFonts w:ascii="Times New Roman" w:hAnsi="Times New Roman" w:cs="Times New Roman" w:eastAsia="Times New Roman" w:hint="default"/>
          <w:spacing w:val="-6"/>
          <w:sz w:val="21"/>
          <w:szCs w:val="21"/>
        </w:rPr>
        <w:t>&lt;</w:t>
      </w:r>
      <w:r>
        <w:rPr>
          <w:rFonts w:ascii="宋体" w:hAnsi="宋体" w:cs="宋体" w:eastAsia="宋体" w:hint="default"/>
          <w:spacing w:val="-6"/>
          <w:sz w:val="21"/>
          <w:szCs w:val="21"/>
        </w:rPr>
        <w:t>首期限制性股票激励计划（草案）</w:t>
      </w:r>
      <w:r>
        <w:rPr>
          <w:rFonts w:ascii="Times New Roman" w:hAnsi="Times New Roman" w:cs="Times New Roman" w:eastAsia="Times New Roman" w:hint="default"/>
          <w:spacing w:val="-6"/>
          <w:sz w:val="21"/>
          <w:szCs w:val="21"/>
        </w:rPr>
        <w:t>&gt;</w:t>
      </w:r>
      <w:r>
        <w:rPr>
          <w:rFonts w:ascii="宋体" w:hAnsi="宋体" w:cs="宋体" w:eastAsia="宋体" w:hint="default"/>
          <w:spacing w:val="-6"/>
          <w:sz w:val="21"/>
          <w:szCs w:val="21"/>
        </w:rPr>
        <w:t>及其摘要的议案》，限制性股票的回购价格应相应予以调整，</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同意限制性股票的回购价格由</w:t>
      </w:r>
      <w:r>
        <w:rPr>
          <w:rFonts w:ascii="Times New Roman" w:hAnsi="Times New Roman" w:cs="Times New Roman" w:eastAsia="Times New Roman" w:hint="default"/>
          <w:sz w:val="21"/>
          <w:szCs w:val="21"/>
        </w:rPr>
        <w:t>5.7900</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股调整为</w:t>
      </w:r>
      <w:r>
        <w:rPr>
          <w:rFonts w:ascii="Times New Roman" w:hAnsi="Times New Roman" w:cs="Times New Roman" w:eastAsia="Times New Roman" w:hint="default"/>
          <w:sz w:val="21"/>
          <w:szCs w:val="21"/>
        </w:rPr>
        <w:t>30.8778</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股。回购注销股份数量由</w:t>
      </w:r>
      <w:r>
        <w:rPr>
          <w:rFonts w:ascii="Times New Roman" w:hAnsi="Times New Roman" w:cs="Times New Roman" w:eastAsia="Times New Roman" w:hint="default"/>
          <w:sz w:val="21"/>
          <w:szCs w:val="21"/>
        </w:rPr>
        <w:t>556,800</w:t>
      </w:r>
      <w:r>
        <w:rPr>
          <w:rFonts w:ascii="宋体" w:hAnsi="宋体" w:cs="宋体" w:eastAsia="宋体" w:hint="default"/>
          <w:sz w:val="21"/>
          <w:szCs w:val="21"/>
        </w:rPr>
        <w:t>股（包 括因员工离职应予回购注销的股份）转增至</w:t>
      </w:r>
      <w:r>
        <w:rPr>
          <w:rFonts w:ascii="Times New Roman" w:hAnsi="Times New Roman" w:cs="Times New Roman" w:eastAsia="Times New Roman" w:hint="default"/>
          <w:sz w:val="21"/>
          <w:szCs w:val="21"/>
        </w:rPr>
        <w:t>1,002,240</w:t>
      </w:r>
      <w:r>
        <w:rPr>
          <w:rFonts w:ascii="宋体" w:hAnsi="宋体" w:cs="宋体" w:eastAsia="宋体" w:hint="default"/>
          <w:sz w:val="21"/>
          <w:szCs w:val="21"/>
        </w:rPr>
        <w:t>股。回购总金额为</w:t>
      </w:r>
      <w:r>
        <w:rPr>
          <w:rFonts w:ascii="Times New Roman" w:hAnsi="Times New Roman" w:cs="Times New Roman" w:eastAsia="Times New Roman" w:hint="default"/>
          <w:sz w:val="21"/>
          <w:szCs w:val="21"/>
        </w:rPr>
        <w:t>30,946,966.27</w:t>
      </w:r>
      <w:r>
        <w:rPr>
          <w:rFonts w:ascii="宋体" w:hAnsi="宋体" w:cs="宋体" w:eastAsia="宋体" w:hint="default"/>
          <w:sz w:val="21"/>
          <w:szCs w:val="21"/>
        </w:rPr>
        <w:t>元，回购资金 为公司自有资金。</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487" w:lineRule="auto" w:before="158"/>
        <w:ind w:left="114" w:right="8343" w:firstLine="0"/>
        <w:jc w:val="left"/>
        <w:rPr>
          <w:rFonts w:ascii="宋体" w:hAnsi="宋体" w:cs="宋体" w:eastAsia="宋体" w:hint="default"/>
          <w:sz w:val="21"/>
          <w:szCs w:val="21"/>
        </w:rPr>
      </w:pPr>
      <w:bookmarkStart w:name="5、其他" w:id="461"/>
      <w:bookmarkEnd w:id="461"/>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十四、承诺及或有事项" w:id="462"/>
      <w:bookmarkEnd w:id="462"/>
      <w:r>
        <w:rPr>
          <w:rFonts w:ascii="宋体" w:hAnsi="宋体" w:cs="宋体" w:eastAsia="宋体" w:hint="default"/>
          <w:b/>
          <w:bCs/>
          <w:spacing w:val="1"/>
          <w:w w:val="99"/>
          <w:sz w:val="21"/>
          <w:szCs w:val="21"/>
        </w:rPr>
      </w:r>
      <w:r>
        <w:rPr>
          <w:rFonts w:ascii="宋体" w:hAnsi="宋体" w:cs="宋体" w:eastAsia="宋体" w:hint="default"/>
          <w:b/>
          <w:bCs/>
          <w:sz w:val="24"/>
          <w:szCs w:val="24"/>
        </w:rPr>
        <w:t>十四、承诺及或有事项</w:t>
      </w:r>
      <w:r>
        <w:rPr>
          <w:rFonts w:ascii="宋体" w:hAnsi="宋体" w:cs="宋体" w:eastAsia="宋体" w:hint="default"/>
          <w:b/>
          <w:bCs/>
          <w:w w:val="99"/>
          <w:sz w:val="24"/>
          <w:szCs w:val="24"/>
        </w:rPr>
        <w:t> </w:t>
      </w:r>
      <w:bookmarkStart w:name="1、重要承诺事项" w:id="463"/>
      <w:bookmarkEnd w:id="463"/>
      <w:r>
        <w:rPr>
          <w:rFonts w:ascii="宋体" w:hAnsi="宋体" w:cs="宋体" w:eastAsia="宋体" w:hint="default"/>
          <w:b/>
          <w:bCs/>
          <w:w w:val="99"/>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、重要承诺事项</w:t>
      </w:r>
      <w:r>
        <w:rPr>
          <w:rFonts w:ascii="宋体" w:hAnsi="宋体" w:cs="宋体" w:eastAsia="宋体" w:hint="default"/>
          <w:sz w:val="21"/>
          <w:szCs w:val="21"/>
        </w:rPr>
      </w:r>
    </w:p>
    <w:p>
      <w:pPr>
        <w:spacing w:before="108"/>
        <w:ind w:left="114" w:right="0" w:firstLine="0"/>
        <w:jc w:val="left"/>
        <w:rPr>
          <w:rFonts w:ascii="宋体" w:hAnsi="宋体" w:cs="宋体" w:eastAsia="宋体" w:hint="default"/>
          <w:sz w:val="18"/>
          <w:szCs w:val="18"/>
        </w:rPr>
      </w:pPr>
      <w:r>
        <w:rPr>
          <w:rFonts w:ascii="宋体" w:hAnsi="宋体" w:cs="宋体" w:eastAsia="宋体" w:hint="default"/>
          <w:sz w:val="18"/>
          <w:szCs w:val="18"/>
        </w:rPr>
        <w:t>资产负债表日存在的重要承诺</w:t>
      </w:r>
    </w:p>
    <w:p>
      <w:pPr>
        <w:spacing w:before="90"/>
        <w:ind w:left="1608" w:right="0" w:firstLine="0"/>
        <w:jc w:val="left"/>
        <w:rPr>
          <w:rFonts w:ascii="宋体" w:hAnsi="宋体" w:cs="宋体" w:eastAsia="宋体" w:hint="default"/>
          <w:sz w:val="21"/>
          <w:szCs w:val="21"/>
        </w:rPr>
      </w:pPr>
      <w:r>
        <w:rPr>
          <w:rFonts w:ascii="宋体" w:hAnsi="宋体" w:cs="宋体" w:eastAsia="宋体" w:hint="default"/>
          <w:sz w:val="21"/>
          <w:szCs w:val="21"/>
        </w:rPr>
        <w:t>截止</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日，本公司开具的尚未到期保函如下：</w:t>
      </w:r>
    </w:p>
    <w:p>
      <w:pPr>
        <w:spacing w:line="240" w:lineRule="auto" w:before="4"/>
        <w:rPr>
          <w:rFonts w:ascii="宋体" w:hAnsi="宋体" w:cs="宋体" w:eastAsia="宋体" w:hint="default"/>
          <w:sz w:val="7"/>
          <w:szCs w:val="7"/>
        </w:rPr>
      </w:pPr>
    </w:p>
    <w:tbl>
      <w:tblPr>
        <w:tblW w:w="0" w:type="auto"/>
        <w:jc w:val="left"/>
        <w:tblInd w:w="530" w:type="dxa"/>
        <w:tblLayout w:type="fixed"/>
        <w:tblCellMar>
          <w:top w:w="0" w:type="dxa"/>
          <w:left w:w="0" w:type="dxa"/>
          <w:bottom w:w="0" w:type="dxa"/>
          <w:right w:w="0" w:type="dxa"/>
        </w:tblCellMar>
        <w:tblLook w:val="01E0"/>
      </w:tblPr>
      <w:tblGrid>
        <w:gridCol w:w="1495"/>
        <w:gridCol w:w="2501"/>
        <w:gridCol w:w="1539"/>
        <w:gridCol w:w="1247"/>
        <w:gridCol w:w="1276"/>
      </w:tblGrid>
      <w:tr>
        <w:trPr>
          <w:trHeight w:val="271" w:hRule="exact"/>
        </w:trPr>
        <w:tc>
          <w:tcPr>
            <w:tcW w:w="1495" w:type="dxa"/>
            <w:tcBorders>
              <w:top w:val="nil" w:sz="6" w:space="0" w:color="auto"/>
              <w:left w:val="nil" w:sz="6" w:space="0" w:color="auto"/>
              <w:bottom w:val="nil" w:sz="6" w:space="0" w:color="auto"/>
              <w:right w:val="nil" w:sz="6" w:space="0" w:color="auto"/>
            </w:tcBorders>
          </w:tcPr>
          <w:p>
            <w:pPr>
              <w:pStyle w:val="TableParagraph"/>
              <w:spacing w:line="210" w:lineRule="exact"/>
              <w:ind w:left="496" w:right="0"/>
              <w:jc w:val="left"/>
              <w:rPr>
                <w:rFonts w:ascii="宋体" w:hAnsi="宋体" w:cs="宋体" w:eastAsia="宋体" w:hint="default"/>
                <w:sz w:val="21"/>
                <w:szCs w:val="21"/>
              </w:rPr>
            </w:pPr>
            <w:r>
              <w:rPr>
                <w:rFonts w:ascii="宋体" w:hAnsi="宋体" w:cs="宋体" w:eastAsia="宋体" w:hint="default"/>
                <w:sz w:val="21"/>
                <w:szCs w:val="21"/>
              </w:rPr>
              <w:t>保函类别</w:t>
            </w:r>
          </w:p>
        </w:tc>
        <w:tc>
          <w:tcPr>
            <w:tcW w:w="2501" w:type="dxa"/>
            <w:tcBorders>
              <w:top w:val="nil" w:sz="6" w:space="0" w:color="auto"/>
              <w:left w:val="nil" w:sz="6" w:space="0" w:color="auto"/>
              <w:bottom w:val="nil" w:sz="6" w:space="0" w:color="auto"/>
              <w:right w:val="nil" w:sz="6" w:space="0" w:color="auto"/>
            </w:tcBorders>
          </w:tcPr>
          <w:p>
            <w:pPr>
              <w:pStyle w:val="TableParagraph"/>
              <w:spacing w:line="210" w:lineRule="exact"/>
              <w:ind w:left="737" w:right="0"/>
              <w:jc w:val="left"/>
              <w:rPr>
                <w:rFonts w:ascii="宋体" w:hAnsi="宋体" w:cs="宋体" w:eastAsia="宋体" w:hint="default"/>
                <w:sz w:val="21"/>
                <w:szCs w:val="21"/>
              </w:rPr>
            </w:pPr>
            <w:r>
              <w:rPr>
                <w:rFonts w:ascii="宋体" w:hAnsi="宋体" w:cs="宋体" w:eastAsia="宋体" w:hint="default"/>
                <w:sz w:val="21"/>
                <w:szCs w:val="21"/>
              </w:rPr>
              <w:t>保函受益人</w:t>
            </w:r>
          </w:p>
        </w:tc>
        <w:tc>
          <w:tcPr>
            <w:tcW w:w="1539" w:type="dxa"/>
            <w:tcBorders>
              <w:top w:val="nil" w:sz="6" w:space="0" w:color="auto"/>
              <w:left w:val="nil" w:sz="6" w:space="0" w:color="auto"/>
              <w:bottom w:val="nil" w:sz="6" w:space="0" w:color="auto"/>
              <w:right w:val="nil" w:sz="6" w:space="0" w:color="auto"/>
            </w:tcBorders>
          </w:tcPr>
          <w:p>
            <w:pPr>
              <w:pStyle w:val="TableParagraph"/>
              <w:spacing w:line="210" w:lineRule="exact"/>
              <w:ind w:left="241" w:right="0"/>
              <w:jc w:val="left"/>
              <w:rPr>
                <w:rFonts w:ascii="宋体" w:hAnsi="宋体" w:cs="宋体" w:eastAsia="宋体" w:hint="default"/>
                <w:sz w:val="21"/>
                <w:szCs w:val="21"/>
              </w:rPr>
            </w:pPr>
            <w:r>
              <w:rPr>
                <w:rFonts w:ascii="宋体" w:hAnsi="宋体" w:cs="宋体" w:eastAsia="宋体" w:hint="default"/>
                <w:sz w:val="21"/>
                <w:szCs w:val="21"/>
              </w:rPr>
              <w:t>保函金额</w:t>
            </w:r>
          </w:p>
        </w:tc>
        <w:tc>
          <w:tcPr>
            <w:tcW w:w="1247" w:type="dxa"/>
            <w:tcBorders>
              <w:top w:val="nil" w:sz="6" w:space="0" w:color="auto"/>
              <w:left w:val="nil" w:sz="6" w:space="0" w:color="auto"/>
              <w:bottom w:val="nil" w:sz="6" w:space="0" w:color="auto"/>
              <w:right w:val="nil" w:sz="6" w:space="0" w:color="auto"/>
            </w:tcBorders>
          </w:tcPr>
          <w:p>
            <w:pPr>
              <w:pStyle w:val="TableParagraph"/>
              <w:spacing w:line="210" w:lineRule="exact"/>
              <w:ind w:left="274" w:right="0"/>
              <w:jc w:val="left"/>
              <w:rPr>
                <w:rFonts w:ascii="宋体" w:hAnsi="宋体" w:cs="宋体" w:eastAsia="宋体" w:hint="default"/>
                <w:sz w:val="21"/>
                <w:szCs w:val="21"/>
              </w:rPr>
            </w:pPr>
            <w:r>
              <w:rPr>
                <w:rFonts w:ascii="宋体" w:hAnsi="宋体" w:cs="宋体" w:eastAsia="宋体" w:hint="default"/>
                <w:sz w:val="21"/>
                <w:szCs w:val="21"/>
              </w:rPr>
              <w:t>起始日</w:t>
            </w:r>
          </w:p>
        </w:tc>
        <w:tc>
          <w:tcPr>
            <w:tcW w:w="1276" w:type="dxa"/>
            <w:tcBorders>
              <w:top w:val="nil" w:sz="6" w:space="0" w:color="auto"/>
              <w:left w:val="nil" w:sz="6" w:space="0" w:color="auto"/>
              <w:bottom w:val="nil" w:sz="6" w:space="0" w:color="auto"/>
              <w:right w:val="nil" w:sz="6" w:space="0" w:color="auto"/>
            </w:tcBorders>
          </w:tcPr>
          <w:p>
            <w:pPr>
              <w:pStyle w:val="TableParagraph"/>
              <w:spacing w:line="210" w:lineRule="exact"/>
              <w:ind w:right="32"/>
              <w:jc w:val="center"/>
              <w:rPr>
                <w:rFonts w:ascii="宋体" w:hAnsi="宋体" w:cs="宋体" w:eastAsia="宋体" w:hint="default"/>
                <w:sz w:val="21"/>
                <w:szCs w:val="21"/>
              </w:rPr>
            </w:pPr>
            <w:r>
              <w:rPr>
                <w:rFonts w:ascii="宋体" w:hAnsi="宋体" w:cs="宋体" w:eastAsia="宋体" w:hint="default"/>
                <w:sz w:val="21"/>
                <w:szCs w:val="21"/>
              </w:rPr>
              <w:t>到期日</w:t>
            </w:r>
          </w:p>
        </w:tc>
      </w:tr>
      <w:tr>
        <w:trPr>
          <w:trHeight w:val="644" w:hRule="exact"/>
        </w:trPr>
        <w:tc>
          <w:tcPr>
            <w:tcW w:w="1495" w:type="dxa"/>
            <w:tcBorders>
              <w:top w:val="nil" w:sz="6" w:space="0" w:color="auto"/>
              <w:left w:val="nil" w:sz="6" w:space="0" w:color="auto"/>
              <w:bottom w:val="nil" w:sz="6" w:space="0" w:color="auto"/>
              <w:right w:val="nil" w:sz="6" w:space="0" w:color="auto"/>
            </w:tcBorders>
          </w:tcPr>
          <w:p>
            <w:pPr>
              <w:pStyle w:val="TableParagraph"/>
              <w:spacing w:line="271"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01" w:type="dxa"/>
            <w:tcBorders>
              <w:top w:val="nil" w:sz="6" w:space="0" w:color="auto"/>
              <w:left w:val="nil" w:sz="6" w:space="0" w:color="auto"/>
              <w:bottom w:val="nil" w:sz="6" w:space="0" w:color="auto"/>
              <w:right w:val="nil" w:sz="6" w:space="0" w:color="auto"/>
            </w:tcBorders>
          </w:tcPr>
          <w:p>
            <w:pPr>
              <w:pStyle w:val="TableParagraph"/>
              <w:spacing w:line="273" w:lineRule="auto"/>
              <w:ind w:left="158" w:right="241"/>
              <w:jc w:val="left"/>
              <w:rPr>
                <w:rFonts w:ascii="宋体" w:hAnsi="宋体" w:cs="宋体" w:eastAsia="宋体" w:hint="default"/>
                <w:sz w:val="21"/>
                <w:szCs w:val="21"/>
              </w:rPr>
            </w:pPr>
            <w:r>
              <w:rPr>
                <w:rFonts w:ascii="宋体" w:hAnsi="宋体" w:cs="宋体" w:eastAsia="宋体" w:hint="default"/>
                <w:sz w:val="21"/>
                <w:szCs w:val="21"/>
              </w:rPr>
              <w:t>上海市民防指挥信息保 障中心</w:t>
            </w:r>
          </w:p>
        </w:tc>
        <w:tc>
          <w:tcPr>
            <w:tcW w:w="1539" w:type="dxa"/>
            <w:tcBorders>
              <w:top w:val="nil" w:sz="6" w:space="0" w:color="auto"/>
              <w:left w:val="nil" w:sz="6" w:space="0" w:color="auto"/>
              <w:bottom w:val="nil" w:sz="6" w:space="0" w:color="auto"/>
              <w:right w:val="nil" w:sz="6" w:space="0" w:color="auto"/>
            </w:tcBorders>
          </w:tcPr>
          <w:p>
            <w:pPr>
              <w:pStyle w:val="TableParagraph"/>
              <w:spacing w:line="271" w:lineRule="exact"/>
              <w:ind w:right="97"/>
              <w:jc w:val="right"/>
              <w:rPr>
                <w:rFonts w:ascii="宋体" w:hAnsi="宋体" w:cs="宋体" w:eastAsia="宋体" w:hint="default"/>
                <w:sz w:val="21"/>
                <w:szCs w:val="21"/>
              </w:rPr>
            </w:pPr>
            <w:r>
              <w:rPr>
                <w:rFonts w:ascii="宋体"/>
                <w:sz w:val="21"/>
              </w:rPr>
              <w:t>23,450.00</w:t>
            </w:r>
          </w:p>
        </w:tc>
        <w:tc>
          <w:tcPr>
            <w:tcW w:w="1247" w:type="dxa"/>
            <w:tcBorders>
              <w:top w:val="nil" w:sz="6" w:space="0" w:color="auto"/>
              <w:left w:val="nil" w:sz="6" w:space="0" w:color="auto"/>
              <w:bottom w:val="nil" w:sz="6" w:space="0" w:color="auto"/>
              <w:right w:val="nil" w:sz="6" w:space="0" w:color="auto"/>
            </w:tcBorders>
          </w:tcPr>
          <w:p>
            <w:pPr>
              <w:pStyle w:val="TableParagraph"/>
              <w:spacing w:line="287" w:lineRule="exact"/>
              <w:ind w:left="152"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w:t>
            </w:r>
            <w:r>
              <w:rPr>
                <w:rFonts w:ascii="Times New Roman"/>
                <w:sz w:val="21"/>
              </w:rPr>
              <w:t>-</w:t>
            </w:r>
            <w:r>
              <w:rPr>
                <w:rFonts w:ascii="宋体"/>
                <w:sz w:val="21"/>
              </w:rPr>
              <w:t>31</w:t>
            </w:r>
          </w:p>
        </w:tc>
        <w:tc>
          <w:tcPr>
            <w:tcW w:w="1276" w:type="dxa"/>
            <w:tcBorders>
              <w:top w:val="nil" w:sz="6" w:space="0" w:color="auto"/>
              <w:left w:val="nil" w:sz="6" w:space="0" w:color="auto"/>
              <w:bottom w:val="nil" w:sz="6" w:space="0" w:color="auto"/>
              <w:right w:val="nil" w:sz="6" w:space="0" w:color="auto"/>
            </w:tcBorders>
          </w:tcPr>
          <w:p>
            <w:pPr>
              <w:pStyle w:val="TableParagraph"/>
              <w:spacing w:line="287" w:lineRule="exact"/>
              <w:ind w:right="31"/>
              <w:jc w:val="center"/>
              <w:rPr>
                <w:rFonts w:ascii="宋体" w:hAnsi="宋体" w:cs="宋体" w:eastAsia="宋体" w:hint="default"/>
                <w:sz w:val="21"/>
                <w:szCs w:val="21"/>
              </w:rPr>
            </w:pPr>
            <w:r>
              <w:rPr>
                <w:rFonts w:ascii="宋体"/>
                <w:sz w:val="21"/>
              </w:rPr>
              <w:t>2019-1</w:t>
            </w:r>
            <w:r>
              <w:rPr>
                <w:rFonts w:ascii="Times New Roman"/>
                <w:sz w:val="21"/>
              </w:rPr>
              <w:t>-</w:t>
            </w:r>
            <w:r>
              <w:rPr>
                <w:rFonts w:ascii="宋体"/>
                <w:sz w:val="21"/>
              </w:rPr>
              <w:t>25</w:t>
            </w:r>
          </w:p>
        </w:tc>
      </w:tr>
      <w:tr>
        <w:trPr>
          <w:trHeight w:val="338" w:hRule="exact"/>
        </w:trPr>
        <w:tc>
          <w:tcPr>
            <w:tcW w:w="1495" w:type="dxa"/>
            <w:tcBorders>
              <w:top w:val="nil" w:sz="6" w:space="0" w:color="auto"/>
              <w:left w:val="nil" w:sz="6" w:space="0" w:color="auto"/>
              <w:bottom w:val="nil" w:sz="6" w:space="0" w:color="auto"/>
              <w:right w:val="nil" w:sz="6" w:space="0" w:color="auto"/>
            </w:tcBorders>
          </w:tcPr>
          <w:p>
            <w:pPr>
              <w:pStyle w:val="TableParagraph"/>
              <w:spacing w:line="271"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01" w:type="dxa"/>
            <w:tcBorders>
              <w:top w:val="nil" w:sz="6" w:space="0" w:color="auto"/>
              <w:left w:val="nil" w:sz="6" w:space="0" w:color="auto"/>
              <w:bottom w:val="nil" w:sz="6" w:space="0" w:color="auto"/>
              <w:right w:val="nil" w:sz="6" w:space="0" w:color="auto"/>
            </w:tcBorders>
          </w:tcPr>
          <w:p>
            <w:pPr>
              <w:pStyle w:val="TableParagraph"/>
              <w:spacing w:line="271" w:lineRule="exact"/>
              <w:ind w:left="158" w:right="0"/>
              <w:jc w:val="left"/>
              <w:rPr>
                <w:rFonts w:ascii="宋体" w:hAnsi="宋体" w:cs="宋体" w:eastAsia="宋体" w:hint="default"/>
                <w:sz w:val="21"/>
                <w:szCs w:val="21"/>
              </w:rPr>
            </w:pPr>
            <w:r>
              <w:rPr>
                <w:rFonts w:ascii="宋体" w:hAnsi="宋体" w:cs="宋体" w:eastAsia="宋体" w:hint="default"/>
                <w:sz w:val="21"/>
                <w:szCs w:val="21"/>
              </w:rPr>
              <w:t>上海市档案馆</w:t>
            </w:r>
          </w:p>
        </w:tc>
        <w:tc>
          <w:tcPr>
            <w:tcW w:w="1539" w:type="dxa"/>
            <w:tcBorders>
              <w:top w:val="nil" w:sz="6" w:space="0" w:color="auto"/>
              <w:left w:val="nil" w:sz="6" w:space="0" w:color="auto"/>
              <w:bottom w:val="nil" w:sz="6" w:space="0" w:color="auto"/>
              <w:right w:val="nil" w:sz="6" w:space="0" w:color="auto"/>
            </w:tcBorders>
          </w:tcPr>
          <w:p>
            <w:pPr>
              <w:pStyle w:val="TableParagraph"/>
              <w:spacing w:line="271" w:lineRule="exact"/>
              <w:ind w:right="97"/>
              <w:jc w:val="right"/>
              <w:rPr>
                <w:rFonts w:ascii="宋体" w:hAnsi="宋体" w:cs="宋体" w:eastAsia="宋体" w:hint="default"/>
                <w:sz w:val="21"/>
                <w:szCs w:val="21"/>
              </w:rPr>
            </w:pPr>
            <w:r>
              <w:rPr>
                <w:rFonts w:ascii="宋体"/>
                <w:sz w:val="21"/>
              </w:rPr>
              <w:t>86,000.00</w:t>
            </w:r>
          </w:p>
        </w:tc>
        <w:tc>
          <w:tcPr>
            <w:tcW w:w="1247" w:type="dxa"/>
            <w:tcBorders>
              <w:top w:val="nil" w:sz="6" w:space="0" w:color="auto"/>
              <w:left w:val="nil" w:sz="6" w:space="0" w:color="auto"/>
              <w:bottom w:val="nil" w:sz="6" w:space="0" w:color="auto"/>
              <w:right w:val="nil" w:sz="6" w:space="0" w:color="auto"/>
            </w:tcBorders>
          </w:tcPr>
          <w:p>
            <w:pPr>
              <w:pStyle w:val="TableParagraph"/>
              <w:spacing w:line="286" w:lineRule="exact"/>
              <w:ind w:left="135" w:right="0"/>
              <w:jc w:val="left"/>
              <w:rPr>
                <w:rFonts w:ascii="宋体" w:hAnsi="宋体" w:cs="宋体" w:eastAsia="宋体" w:hint="default"/>
                <w:sz w:val="21"/>
                <w:szCs w:val="21"/>
              </w:rPr>
            </w:pPr>
            <w:r>
              <w:rPr>
                <w:rFonts w:ascii="宋体"/>
                <w:sz w:val="21"/>
              </w:rPr>
              <w:t>2018-6</w:t>
            </w:r>
            <w:r>
              <w:rPr>
                <w:rFonts w:ascii="Times New Roman"/>
                <w:sz w:val="21"/>
              </w:rPr>
              <w:t>-</w:t>
            </w:r>
            <w:r>
              <w:rPr>
                <w:rFonts w:ascii="宋体"/>
                <w:sz w:val="21"/>
              </w:rPr>
              <w:t>20</w:t>
            </w:r>
          </w:p>
        </w:tc>
        <w:tc>
          <w:tcPr>
            <w:tcW w:w="1276" w:type="dxa"/>
            <w:tcBorders>
              <w:top w:val="nil" w:sz="6" w:space="0" w:color="auto"/>
              <w:left w:val="nil" w:sz="6" w:space="0" w:color="auto"/>
              <w:bottom w:val="nil" w:sz="6" w:space="0" w:color="auto"/>
              <w:right w:val="nil" w:sz="6" w:space="0" w:color="auto"/>
            </w:tcBorders>
          </w:tcPr>
          <w:p>
            <w:pPr>
              <w:pStyle w:val="TableParagraph"/>
              <w:spacing w:line="286" w:lineRule="exact"/>
              <w:ind w:right="32"/>
              <w:jc w:val="center"/>
              <w:rPr>
                <w:rFonts w:ascii="宋体" w:hAnsi="宋体" w:cs="宋体" w:eastAsia="宋体" w:hint="default"/>
                <w:sz w:val="21"/>
                <w:szCs w:val="21"/>
              </w:rPr>
            </w:pPr>
            <w:r>
              <w:rPr>
                <w:rFonts w:ascii="宋体"/>
                <w:sz w:val="21"/>
              </w:rPr>
              <w:t>2019</w:t>
            </w:r>
            <w:r>
              <w:rPr>
                <w:rFonts w:ascii="Times New Roman"/>
                <w:sz w:val="21"/>
              </w:rPr>
              <w:t>-</w:t>
            </w:r>
            <w:r>
              <w:rPr>
                <w:rFonts w:ascii="宋体"/>
                <w:sz w:val="21"/>
              </w:rPr>
              <w:t>6</w:t>
            </w:r>
            <w:r>
              <w:rPr>
                <w:rFonts w:ascii="Times New Roman"/>
                <w:sz w:val="21"/>
              </w:rPr>
              <w:t>-0</w:t>
            </w:r>
            <w:r>
              <w:rPr>
                <w:rFonts w:ascii="宋体"/>
                <w:sz w:val="21"/>
              </w:rPr>
              <w:t>5</w:t>
            </w:r>
          </w:p>
        </w:tc>
      </w:tr>
      <w:tr>
        <w:trPr>
          <w:trHeight w:val="333" w:hRule="exact"/>
        </w:trPr>
        <w:tc>
          <w:tcPr>
            <w:tcW w:w="1495" w:type="dxa"/>
            <w:tcBorders>
              <w:top w:val="nil" w:sz="6" w:space="0" w:color="auto"/>
              <w:left w:val="nil" w:sz="6" w:space="0" w:color="auto"/>
              <w:bottom w:val="nil" w:sz="6" w:space="0" w:color="auto"/>
              <w:right w:val="nil" w:sz="6" w:space="0" w:color="auto"/>
            </w:tcBorders>
          </w:tcPr>
          <w:p>
            <w:pPr>
              <w:pStyle w:val="TableParagraph"/>
              <w:spacing w:line="266"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01" w:type="dxa"/>
            <w:tcBorders>
              <w:top w:val="nil" w:sz="6" w:space="0" w:color="auto"/>
              <w:left w:val="nil" w:sz="6" w:space="0" w:color="auto"/>
              <w:bottom w:val="nil" w:sz="6" w:space="0" w:color="auto"/>
              <w:right w:val="nil" w:sz="6" w:space="0" w:color="auto"/>
            </w:tcBorders>
          </w:tcPr>
          <w:p>
            <w:pPr>
              <w:pStyle w:val="TableParagraph"/>
              <w:spacing w:line="266" w:lineRule="exact"/>
              <w:ind w:left="158" w:right="0"/>
              <w:jc w:val="left"/>
              <w:rPr>
                <w:rFonts w:ascii="宋体" w:hAnsi="宋体" w:cs="宋体" w:eastAsia="宋体" w:hint="default"/>
                <w:sz w:val="21"/>
                <w:szCs w:val="21"/>
              </w:rPr>
            </w:pPr>
            <w:r>
              <w:rPr>
                <w:rFonts w:ascii="宋体" w:hAnsi="宋体" w:cs="宋体" w:eastAsia="宋体" w:hint="default"/>
                <w:sz w:val="21"/>
                <w:szCs w:val="21"/>
              </w:rPr>
              <w:t>上海市档案局</w:t>
            </w:r>
          </w:p>
        </w:tc>
        <w:tc>
          <w:tcPr>
            <w:tcW w:w="1539" w:type="dxa"/>
            <w:tcBorders>
              <w:top w:val="nil" w:sz="6" w:space="0" w:color="auto"/>
              <w:left w:val="nil" w:sz="6" w:space="0" w:color="auto"/>
              <w:bottom w:val="nil" w:sz="6" w:space="0" w:color="auto"/>
              <w:right w:val="nil" w:sz="6" w:space="0" w:color="auto"/>
            </w:tcBorders>
          </w:tcPr>
          <w:p>
            <w:pPr>
              <w:pStyle w:val="TableParagraph"/>
              <w:spacing w:line="266" w:lineRule="exact"/>
              <w:ind w:right="97"/>
              <w:jc w:val="right"/>
              <w:rPr>
                <w:rFonts w:ascii="宋体" w:hAnsi="宋体" w:cs="宋体" w:eastAsia="宋体" w:hint="default"/>
                <w:sz w:val="21"/>
                <w:szCs w:val="21"/>
              </w:rPr>
            </w:pPr>
            <w:r>
              <w:rPr>
                <w:rFonts w:ascii="宋体"/>
                <w:sz w:val="21"/>
              </w:rPr>
              <w:t>516,000.00</w:t>
            </w:r>
          </w:p>
        </w:tc>
        <w:tc>
          <w:tcPr>
            <w:tcW w:w="1247" w:type="dxa"/>
            <w:tcBorders>
              <w:top w:val="nil" w:sz="6" w:space="0" w:color="auto"/>
              <w:left w:val="nil" w:sz="6" w:space="0" w:color="auto"/>
              <w:bottom w:val="nil" w:sz="6" w:space="0" w:color="auto"/>
              <w:right w:val="nil" w:sz="6" w:space="0" w:color="auto"/>
            </w:tcBorders>
          </w:tcPr>
          <w:p>
            <w:pPr>
              <w:pStyle w:val="TableParagraph"/>
              <w:spacing w:line="282" w:lineRule="exact"/>
              <w:ind w:left="99"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11</w:t>
            </w:r>
            <w:r>
              <w:rPr>
                <w:rFonts w:ascii="Times New Roman"/>
                <w:sz w:val="21"/>
              </w:rPr>
              <w:t>-</w:t>
            </w:r>
            <w:r>
              <w:rPr>
                <w:rFonts w:ascii="宋体"/>
                <w:sz w:val="21"/>
              </w:rPr>
              <w:t>30</w:t>
            </w:r>
          </w:p>
        </w:tc>
        <w:tc>
          <w:tcPr>
            <w:tcW w:w="1276" w:type="dxa"/>
            <w:tcBorders>
              <w:top w:val="nil" w:sz="6" w:space="0" w:color="auto"/>
              <w:left w:val="nil" w:sz="6" w:space="0" w:color="auto"/>
              <w:bottom w:val="nil" w:sz="6" w:space="0" w:color="auto"/>
              <w:right w:val="nil" w:sz="6" w:space="0" w:color="auto"/>
            </w:tcBorders>
          </w:tcPr>
          <w:p>
            <w:pPr>
              <w:pStyle w:val="TableParagraph"/>
              <w:spacing w:line="282" w:lineRule="exact"/>
              <w:ind w:right="32"/>
              <w:jc w:val="center"/>
              <w:rPr>
                <w:rFonts w:ascii="宋体" w:hAnsi="宋体" w:cs="宋体" w:eastAsia="宋体" w:hint="default"/>
                <w:sz w:val="21"/>
                <w:szCs w:val="21"/>
              </w:rPr>
            </w:pPr>
            <w:r>
              <w:rPr>
                <w:rFonts w:ascii="宋体"/>
                <w:sz w:val="21"/>
              </w:rPr>
              <w:t>2019</w:t>
            </w:r>
            <w:r>
              <w:rPr>
                <w:rFonts w:ascii="Times New Roman"/>
                <w:sz w:val="21"/>
              </w:rPr>
              <w:t>-</w:t>
            </w:r>
            <w:r>
              <w:rPr>
                <w:rFonts w:ascii="宋体"/>
                <w:sz w:val="21"/>
              </w:rPr>
              <w:t>6</w:t>
            </w:r>
            <w:r>
              <w:rPr>
                <w:rFonts w:ascii="Times New Roman"/>
                <w:sz w:val="21"/>
              </w:rPr>
              <w:t>-</w:t>
            </w:r>
            <w:r>
              <w:rPr>
                <w:rFonts w:ascii="宋体"/>
                <w:sz w:val="21"/>
              </w:rPr>
              <w:t>30</w:t>
            </w:r>
          </w:p>
        </w:tc>
      </w:tr>
      <w:tr>
        <w:trPr>
          <w:trHeight w:val="638" w:hRule="exact"/>
        </w:trPr>
        <w:tc>
          <w:tcPr>
            <w:tcW w:w="1495"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01" w:type="dxa"/>
            <w:tcBorders>
              <w:top w:val="nil" w:sz="6" w:space="0" w:color="auto"/>
              <w:left w:val="nil" w:sz="6" w:space="0" w:color="auto"/>
              <w:bottom w:val="nil" w:sz="6" w:space="0" w:color="auto"/>
              <w:right w:val="nil" w:sz="6" w:space="0" w:color="auto"/>
            </w:tcBorders>
          </w:tcPr>
          <w:p>
            <w:pPr>
              <w:pStyle w:val="TableParagraph"/>
              <w:spacing w:line="273" w:lineRule="auto"/>
              <w:ind w:left="158" w:right="241"/>
              <w:jc w:val="left"/>
              <w:rPr>
                <w:rFonts w:ascii="宋体" w:hAnsi="宋体" w:cs="宋体" w:eastAsia="宋体" w:hint="default"/>
                <w:sz w:val="21"/>
                <w:szCs w:val="21"/>
              </w:rPr>
            </w:pPr>
            <w:r>
              <w:rPr>
                <w:rFonts w:ascii="宋体" w:hAnsi="宋体" w:cs="宋体" w:eastAsia="宋体" w:hint="default"/>
                <w:sz w:val="21"/>
                <w:szCs w:val="21"/>
              </w:rPr>
              <w:t>中共上海市纪律检查委 员会办公厅</w:t>
            </w:r>
          </w:p>
        </w:tc>
        <w:tc>
          <w:tcPr>
            <w:tcW w:w="1539"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866,800.00</w:t>
            </w:r>
          </w:p>
        </w:tc>
        <w:tc>
          <w:tcPr>
            <w:tcW w:w="1247" w:type="dxa"/>
            <w:tcBorders>
              <w:top w:val="nil" w:sz="6" w:space="0" w:color="auto"/>
              <w:left w:val="nil" w:sz="6" w:space="0" w:color="auto"/>
              <w:bottom w:val="nil" w:sz="6" w:space="0" w:color="auto"/>
              <w:right w:val="nil" w:sz="6" w:space="0" w:color="auto"/>
            </w:tcBorders>
          </w:tcPr>
          <w:p>
            <w:pPr>
              <w:pStyle w:val="TableParagraph"/>
              <w:spacing w:line="281" w:lineRule="exact"/>
              <w:ind w:left="99"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12</w:t>
            </w:r>
            <w:r>
              <w:rPr>
                <w:rFonts w:ascii="Times New Roman"/>
                <w:sz w:val="21"/>
              </w:rPr>
              <w:t>-</w:t>
            </w:r>
            <w:r>
              <w:rPr>
                <w:rFonts w:ascii="宋体"/>
                <w:sz w:val="21"/>
              </w:rPr>
              <w:t>11</w:t>
            </w:r>
          </w:p>
        </w:tc>
        <w:tc>
          <w:tcPr>
            <w:tcW w:w="1276" w:type="dxa"/>
            <w:tcBorders>
              <w:top w:val="nil" w:sz="6" w:space="0" w:color="auto"/>
              <w:left w:val="nil" w:sz="6" w:space="0" w:color="auto"/>
              <w:bottom w:val="nil" w:sz="6" w:space="0" w:color="auto"/>
              <w:right w:val="nil" w:sz="6" w:space="0" w:color="auto"/>
            </w:tcBorders>
          </w:tcPr>
          <w:p>
            <w:pPr>
              <w:pStyle w:val="TableParagraph"/>
              <w:spacing w:line="281" w:lineRule="exact"/>
              <w:ind w:right="32"/>
              <w:jc w:val="center"/>
              <w:rPr>
                <w:rFonts w:ascii="宋体" w:hAnsi="宋体" w:cs="宋体" w:eastAsia="宋体" w:hint="default"/>
                <w:sz w:val="21"/>
                <w:szCs w:val="21"/>
              </w:rPr>
            </w:pPr>
            <w:r>
              <w:rPr>
                <w:rFonts w:ascii="宋体"/>
                <w:sz w:val="21"/>
              </w:rPr>
              <w:t>2019</w:t>
            </w:r>
            <w:r>
              <w:rPr>
                <w:rFonts w:ascii="Times New Roman"/>
                <w:sz w:val="21"/>
              </w:rPr>
              <w:t>-</w:t>
            </w:r>
            <w:r>
              <w:rPr>
                <w:rFonts w:ascii="宋体"/>
                <w:sz w:val="21"/>
              </w:rPr>
              <w:t>2</w:t>
            </w:r>
            <w:r>
              <w:rPr>
                <w:rFonts w:ascii="Times New Roman"/>
                <w:sz w:val="21"/>
              </w:rPr>
              <w:t>-</w:t>
            </w:r>
            <w:r>
              <w:rPr>
                <w:rFonts w:ascii="宋体"/>
                <w:sz w:val="21"/>
              </w:rPr>
              <w:t>28</w:t>
            </w:r>
          </w:p>
        </w:tc>
      </w:tr>
      <w:tr>
        <w:trPr>
          <w:trHeight w:val="282" w:hRule="exact"/>
        </w:trPr>
        <w:tc>
          <w:tcPr>
            <w:tcW w:w="1495" w:type="dxa"/>
            <w:tcBorders>
              <w:top w:val="nil" w:sz="6" w:space="0" w:color="auto"/>
              <w:left w:val="nil" w:sz="6" w:space="0" w:color="auto"/>
              <w:bottom w:val="nil" w:sz="6" w:space="0" w:color="auto"/>
              <w:right w:val="nil" w:sz="6" w:space="0" w:color="auto"/>
            </w:tcBorders>
          </w:tcPr>
          <w:p>
            <w:pPr>
              <w:pStyle w:val="TableParagraph"/>
              <w:spacing w:line="271"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01" w:type="dxa"/>
            <w:tcBorders>
              <w:top w:val="nil" w:sz="6" w:space="0" w:color="auto"/>
              <w:left w:val="nil" w:sz="6" w:space="0" w:color="auto"/>
              <w:bottom w:val="nil" w:sz="6" w:space="0" w:color="auto"/>
              <w:right w:val="nil" w:sz="6" w:space="0" w:color="auto"/>
            </w:tcBorders>
          </w:tcPr>
          <w:p>
            <w:pPr>
              <w:pStyle w:val="TableParagraph"/>
              <w:spacing w:line="271" w:lineRule="exact"/>
              <w:ind w:left="158" w:right="0"/>
              <w:jc w:val="left"/>
              <w:rPr>
                <w:rFonts w:ascii="宋体" w:hAnsi="宋体" w:cs="宋体" w:eastAsia="宋体" w:hint="default"/>
                <w:sz w:val="21"/>
                <w:szCs w:val="21"/>
              </w:rPr>
            </w:pPr>
            <w:r>
              <w:rPr>
                <w:rFonts w:ascii="宋体" w:hAnsi="宋体" w:cs="宋体" w:eastAsia="宋体" w:hint="default"/>
                <w:sz w:val="21"/>
                <w:szCs w:val="21"/>
              </w:rPr>
              <w:t>上海市戒毒管理局</w:t>
            </w:r>
          </w:p>
        </w:tc>
        <w:tc>
          <w:tcPr>
            <w:tcW w:w="1539" w:type="dxa"/>
            <w:tcBorders>
              <w:top w:val="nil" w:sz="6" w:space="0" w:color="auto"/>
              <w:left w:val="nil" w:sz="6" w:space="0" w:color="auto"/>
              <w:bottom w:val="nil" w:sz="6" w:space="0" w:color="auto"/>
              <w:right w:val="nil" w:sz="6" w:space="0" w:color="auto"/>
            </w:tcBorders>
          </w:tcPr>
          <w:p>
            <w:pPr>
              <w:pStyle w:val="TableParagraph"/>
              <w:spacing w:line="271" w:lineRule="exact"/>
              <w:ind w:right="97"/>
              <w:jc w:val="right"/>
              <w:rPr>
                <w:rFonts w:ascii="宋体" w:hAnsi="宋体" w:cs="宋体" w:eastAsia="宋体" w:hint="default"/>
                <w:sz w:val="21"/>
                <w:szCs w:val="21"/>
              </w:rPr>
            </w:pPr>
            <w:r>
              <w:rPr>
                <w:rFonts w:ascii="宋体"/>
                <w:sz w:val="21"/>
              </w:rPr>
              <w:t>2,607.00</w:t>
            </w:r>
          </w:p>
        </w:tc>
        <w:tc>
          <w:tcPr>
            <w:tcW w:w="1247" w:type="dxa"/>
            <w:tcBorders>
              <w:top w:val="nil" w:sz="6" w:space="0" w:color="auto"/>
              <w:left w:val="nil" w:sz="6" w:space="0" w:color="auto"/>
              <w:bottom w:val="nil" w:sz="6" w:space="0" w:color="auto"/>
              <w:right w:val="nil" w:sz="6" w:space="0" w:color="auto"/>
            </w:tcBorders>
          </w:tcPr>
          <w:p>
            <w:pPr>
              <w:pStyle w:val="TableParagraph"/>
              <w:spacing w:line="286" w:lineRule="exact"/>
              <w:ind w:left="99"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12</w:t>
            </w:r>
            <w:r>
              <w:rPr>
                <w:rFonts w:ascii="Times New Roman"/>
                <w:sz w:val="21"/>
              </w:rPr>
              <w:t>-</w:t>
            </w:r>
            <w:r>
              <w:rPr>
                <w:rFonts w:ascii="宋体"/>
                <w:sz w:val="21"/>
              </w:rPr>
              <w:t>11</w:t>
            </w:r>
          </w:p>
        </w:tc>
        <w:tc>
          <w:tcPr>
            <w:tcW w:w="1276" w:type="dxa"/>
            <w:tcBorders>
              <w:top w:val="nil" w:sz="6" w:space="0" w:color="auto"/>
              <w:left w:val="nil" w:sz="6" w:space="0" w:color="auto"/>
              <w:bottom w:val="nil" w:sz="6" w:space="0" w:color="auto"/>
              <w:right w:val="nil" w:sz="6" w:space="0" w:color="auto"/>
            </w:tcBorders>
          </w:tcPr>
          <w:p>
            <w:pPr>
              <w:pStyle w:val="TableParagraph"/>
              <w:spacing w:line="286" w:lineRule="exact"/>
              <w:ind w:right="32"/>
              <w:jc w:val="center"/>
              <w:rPr>
                <w:rFonts w:ascii="宋体" w:hAnsi="宋体" w:cs="宋体" w:eastAsia="宋体" w:hint="default"/>
                <w:sz w:val="21"/>
                <w:szCs w:val="21"/>
              </w:rPr>
            </w:pPr>
            <w:r>
              <w:rPr>
                <w:rFonts w:ascii="宋体"/>
                <w:sz w:val="21"/>
              </w:rPr>
              <w:t>2019</w:t>
            </w:r>
            <w:r>
              <w:rPr>
                <w:rFonts w:ascii="Times New Roman"/>
                <w:sz w:val="21"/>
              </w:rPr>
              <w:t>-</w:t>
            </w:r>
            <w:r>
              <w:rPr>
                <w:rFonts w:ascii="宋体"/>
                <w:sz w:val="21"/>
              </w:rPr>
              <w:t>12</w:t>
            </w:r>
            <w:r>
              <w:rPr>
                <w:rFonts w:ascii="Times New Roman"/>
                <w:sz w:val="21"/>
              </w:rPr>
              <w:t>-</w:t>
            </w:r>
            <w:r>
              <w:rPr>
                <w:rFonts w:ascii="宋体"/>
                <w:sz w:val="21"/>
              </w:rPr>
              <w:t>9</w:t>
            </w:r>
          </w:p>
        </w:tc>
      </w:tr>
    </w:tbl>
    <w:p>
      <w:pPr>
        <w:spacing w:after="0" w:line="286" w:lineRule="exact"/>
        <w:jc w:val="center"/>
        <w:rPr>
          <w:rFonts w:ascii="宋体" w:hAnsi="宋体" w:cs="宋体" w:eastAsia="宋体" w:hint="default"/>
          <w:sz w:val="21"/>
          <w:szCs w:val="21"/>
        </w:rPr>
        <w:sectPr>
          <w:pgSz w:w="11910" w:h="16840"/>
          <w:pgMar w:header="889" w:footer="1019" w:top="1140" w:bottom="1200" w:left="102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1"/>
          <w:szCs w:val="11"/>
        </w:rPr>
      </w:pPr>
    </w:p>
    <w:tbl>
      <w:tblPr>
        <w:tblW w:w="0" w:type="auto"/>
        <w:jc w:val="left"/>
        <w:tblInd w:w="530" w:type="dxa"/>
        <w:tblLayout w:type="fixed"/>
        <w:tblCellMar>
          <w:top w:w="0" w:type="dxa"/>
          <w:left w:w="0" w:type="dxa"/>
          <w:bottom w:w="0" w:type="dxa"/>
          <w:right w:w="0" w:type="dxa"/>
        </w:tblCellMar>
        <w:tblLook w:val="01E0"/>
      </w:tblPr>
      <w:tblGrid>
        <w:gridCol w:w="1452"/>
        <w:gridCol w:w="2514"/>
        <w:gridCol w:w="1570"/>
        <w:gridCol w:w="1229"/>
        <w:gridCol w:w="1330"/>
      </w:tblGrid>
      <w:tr>
        <w:trPr>
          <w:trHeight w:val="277"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10"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10"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上海市戒毒管理局</w:t>
            </w:r>
          </w:p>
        </w:tc>
        <w:tc>
          <w:tcPr>
            <w:tcW w:w="1570" w:type="dxa"/>
            <w:tcBorders>
              <w:top w:val="nil" w:sz="6" w:space="0" w:color="auto"/>
              <w:left w:val="nil" w:sz="6" w:space="0" w:color="auto"/>
              <w:bottom w:val="nil" w:sz="6" w:space="0" w:color="auto"/>
              <w:right w:val="nil" w:sz="6" w:space="0" w:color="auto"/>
            </w:tcBorders>
          </w:tcPr>
          <w:p>
            <w:pPr>
              <w:pStyle w:val="TableParagraph"/>
              <w:spacing w:line="210" w:lineRule="exact"/>
              <w:ind w:right="98"/>
              <w:jc w:val="right"/>
              <w:rPr>
                <w:rFonts w:ascii="宋体" w:hAnsi="宋体" w:cs="宋体" w:eastAsia="宋体" w:hint="default"/>
                <w:sz w:val="21"/>
                <w:szCs w:val="21"/>
              </w:rPr>
            </w:pPr>
            <w:r>
              <w:rPr>
                <w:rFonts w:ascii="宋体"/>
                <w:sz w:val="21"/>
              </w:rPr>
              <w:t>5,550.00</w:t>
            </w:r>
          </w:p>
        </w:tc>
        <w:tc>
          <w:tcPr>
            <w:tcW w:w="1229" w:type="dxa"/>
            <w:tcBorders>
              <w:top w:val="nil" w:sz="6" w:space="0" w:color="auto"/>
              <w:left w:val="nil" w:sz="6" w:space="0" w:color="auto"/>
              <w:bottom w:val="nil" w:sz="6" w:space="0" w:color="auto"/>
              <w:right w:val="nil" w:sz="6" w:space="0" w:color="auto"/>
            </w:tcBorders>
          </w:tcPr>
          <w:p>
            <w:pPr>
              <w:pStyle w:val="TableParagraph"/>
              <w:spacing w:line="226" w:lineRule="exact"/>
              <w:ind w:left="98"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12</w:t>
            </w:r>
            <w:r>
              <w:rPr>
                <w:rFonts w:ascii="Times New Roman"/>
                <w:sz w:val="21"/>
              </w:rPr>
              <w:t>-</w:t>
            </w:r>
            <w:r>
              <w:rPr>
                <w:rFonts w:ascii="宋体"/>
                <w:sz w:val="21"/>
              </w:rPr>
              <w:t>11</w:t>
            </w:r>
          </w:p>
        </w:tc>
        <w:tc>
          <w:tcPr>
            <w:tcW w:w="1330" w:type="dxa"/>
            <w:tcBorders>
              <w:top w:val="nil" w:sz="6" w:space="0" w:color="auto"/>
              <w:left w:val="nil" w:sz="6" w:space="0" w:color="auto"/>
              <w:bottom w:val="nil" w:sz="6" w:space="0" w:color="auto"/>
              <w:right w:val="nil" w:sz="6" w:space="0" w:color="auto"/>
            </w:tcBorders>
          </w:tcPr>
          <w:p>
            <w:pPr>
              <w:pStyle w:val="TableParagraph"/>
              <w:spacing w:line="226" w:lineRule="exact"/>
              <w:ind w:left="201"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12</w:t>
            </w:r>
            <w:r>
              <w:rPr>
                <w:rFonts w:ascii="Times New Roman"/>
                <w:sz w:val="21"/>
              </w:rPr>
              <w:t>-</w:t>
            </w:r>
            <w:r>
              <w:rPr>
                <w:rFonts w:ascii="宋体"/>
                <w:sz w:val="21"/>
              </w:rPr>
              <w:t>9</w:t>
            </w:r>
          </w:p>
        </w:tc>
      </w:tr>
      <w:tr>
        <w:trPr>
          <w:trHeight w:val="639"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73" w:lineRule="auto"/>
              <w:ind w:left="202" w:right="209"/>
              <w:jc w:val="left"/>
              <w:rPr>
                <w:rFonts w:ascii="宋体" w:hAnsi="宋体" w:cs="宋体" w:eastAsia="宋体" w:hint="default"/>
                <w:sz w:val="21"/>
                <w:szCs w:val="21"/>
              </w:rPr>
            </w:pPr>
            <w:r>
              <w:rPr>
                <w:rFonts w:ascii="宋体" w:hAnsi="宋体" w:cs="宋体" w:eastAsia="宋体" w:hint="default"/>
                <w:sz w:val="21"/>
                <w:szCs w:val="21"/>
              </w:rPr>
              <w:t>上海天华信息发展有限 公司</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21,931.00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2017</w:t>
            </w:r>
            <w:r>
              <w:rPr>
                <w:rFonts w:ascii="Times New Roman"/>
                <w:sz w:val="21"/>
              </w:rPr>
              <w:t>-</w:t>
            </w:r>
            <w:r>
              <w:rPr>
                <w:rFonts w:ascii="宋体"/>
                <w:sz w:val="21"/>
              </w:rPr>
              <w:t>12</w:t>
            </w:r>
            <w:r>
              <w:rPr>
                <w:rFonts w:ascii="Times New Roman"/>
                <w:sz w:val="21"/>
              </w:rPr>
              <w:t>-</w:t>
            </w:r>
            <w:r>
              <w:rPr>
                <w:rFonts w:ascii="宋体"/>
                <w:sz w:val="21"/>
              </w:rPr>
              <w:t>26</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148"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12</w:t>
            </w:r>
            <w:r>
              <w:rPr>
                <w:rFonts w:ascii="Times New Roman"/>
                <w:sz w:val="21"/>
              </w:rPr>
              <w:t>-</w:t>
            </w:r>
            <w:r>
              <w:rPr>
                <w:rFonts w:ascii="宋体"/>
                <w:sz w:val="21"/>
              </w:rPr>
              <w:t>24</w:t>
            </w:r>
          </w:p>
        </w:tc>
      </w:tr>
      <w:tr>
        <w:trPr>
          <w:trHeight w:val="644"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71"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73" w:lineRule="auto"/>
              <w:ind w:left="202" w:right="209"/>
              <w:jc w:val="left"/>
              <w:rPr>
                <w:rFonts w:ascii="宋体" w:hAnsi="宋体" w:cs="宋体" w:eastAsia="宋体" w:hint="default"/>
                <w:sz w:val="21"/>
                <w:szCs w:val="21"/>
              </w:rPr>
            </w:pPr>
            <w:r>
              <w:rPr>
                <w:rFonts w:ascii="宋体" w:hAnsi="宋体" w:cs="宋体" w:eastAsia="宋体" w:hint="default"/>
                <w:sz w:val="21"/>
                <w:szCs w:val="21"/>
              </w:rPr>
              <w:t>中国人民政治协商会议 上海市委员会办公厅</w:t>
            </w:r>
          </w:p>
        </w:tc>
        <w:tc>
          <w:tcPr>
            <w:tcW w:w="1570" w:type="dxa"/>
            <w:tcBorders>
              <w:top w:val="nil" w:sz="6" w:space="0" w:color="auto"/>
              <w:left w:val="nil" w:sz="6" w:space="0" w:color="auto"/>
              <w:bottom w:val="nil" w:sz="6" w:space="0" w:color="auto"/>
              <w:right w:val="nil" w:sz="6" w:space="0" w:color="auto"/>
            </w:tcBorders>
          </w:tcPr>
          <w:p>
            <w:pPr>
              <w:pStyle w:val="TableParagraph"/>
              <w:spacing w:line="271" w:lineRule="exact"/>
              <w:ind w:right="97"/>
              <w:jc w:val="right"/>
              <w:rPr>
                <w:rFonts w:ascii="宋体" w:hAnsi="宋体" w:cs="宋体" w:eastAsia="宋体" w:hint="default"/>
                <w:sz w:val="21"/>
                <w:szCs w:val="21"/>
              </w:rPr>
            </w:pPr>
            <w:r>
              <w:rPr>
                <w:rFonts w:ascii="宋体"/>
                <w:sz w:val="21"/>
              </w:rPr>
              <w:t>39,950.00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7" w:lineRule="exact"/>
              <w:ind w:left="204" w:right="0"/>
              <w:jc w:val="left"/>
              <w:rPr>
                <w:rFonts w:ascii="宋体" w:hAnsi="宋体" w:cs="宋体" w:eastAsia="宋体" w:hint="default"/>
                <w:sz w:val="21"/>
                <w:szCs w:val="21"/>
              </w:rPr>
            </w:pPr>
            <w:r>
              <w:rPr>
                <w:rFonts w:ascii="宋体"/>
                <w:sz w:val="21"/>
              </w:rPr>
              <w:t>2017</w:t>
            </w:r>
            <w:r>
              <w:rPr>
                <w:rFonts w:ascii="Times New Roman"/>
                <w:sz w:val="21"/>
              </w:rPr>
              <w:t>-</w:t>
            </w:r>
            <w:r>
              <w:rPr>
                <w:rFonts w:ascii="宋体"/>
                <w:sz w:val="21"/>
              </w:rPr>
              <w:t>1</w:t>
            </w:r>
            <w:r>
              <w:rPr>
                <w:rFonts w:ascii="Times New Roman"/>
                <w:sz w:val="21"/>
              </w:rPr>
              <w:t>-</w:t>
            </w:r>
            <w:r>
              <w:rPr>
                <w:rFonts w:ascii="宋体"/>
                <w:sz w:val="21"/>
              </w:rPr>
              <w:t>5</w:t>
            </w:r>
          </w:p>
        </w:tc>
        <w:tc>
          <w:tcPr>
            <w:tcW w:w="1330" w:type="dxa"/>
            <w:tcBorders>
              <w:top w:val="nil" w:sz="6" w:space="0" w:color="auto"/>
              <w:left w:val="nil" w:sz="6" w:space="0" w:color="auto"/>
              <w:bottom w:val="nil" w:sz="6" w:space="0" w:color="auto"/>
              <w:right w:val="nil" w:sz="6" w:space="0" w:color="auto"/>
            </w:tcBorders>
          </w:tcPr>
          <w:p>
            <w:pPr>
              <w:pStyle w:val="TableParagraph"/>
              <w:spacing w:line="287" w:lineRule="exact"/>
              <w:ind w:left="253"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7</w:t>
            </w:r>
            <w:r>
              <w:rPr>
                <w:rFonts w:ascii="Times New Roman"/>
                <w:sz w:val="21"/>
              </w:rPr>
              <w:t>-</w:t>
            </w:r>
            <w:r>
              <w:rPr>
                <w:rFonts w:ascii="宋体"/>
                <w:sz w:val="21"/>
              </w:rPr>
              <w:t>4</w:t>
            </w:r>
          </w:p>
        </w:tc>
      </w:tr>
      <w:tr>
        <w:trPr>
          <w:trHeight w:val="338"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71"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71" w:lineRule="exact"/>
              <w:ind w:left="202" w:right="0"/>
              <w:jc w:val="left"/>
              <w:rPr>
                <w:rFonts w:ascii="宋体" w:hAnsi="宋体" w:cs="宋体" w:eastAsia="宋体" w:hint="default"/>
                <w:sz w:val="21"/>
                <w:szCs w:val="21"/>
              </w:rPr>
            </w:pPr>
            <w:r>
              <w:rPr>
                <w:rFonts w:ascii="宋体" w:hAnsi="宋体" w:cs="宋体" w:eastAsia="宋体" w:hint="default"/>
                <w:sz w:val="21"/>
                <w:szCs w:val="21"/>
              </w:rPr>
              <w:t>常州市金坛区档案馆</w:t>
            </w:r>
          </w:p>
        </w:tc>
        <w:tc>
          <w:tcPr>
            <w:tcW w:w="1570" w:type="dxa"/>
            <w:tcBorders>
              <w:top w:val="nil" w:sz="6" w:space="0" w:color="auto"/>
              <w:left w:val="nil" w:sz="6" w:space="0" w:color="auto"/>
              <w:bottom w:val="nil" w:sz="6" w:space="0" w:color="auto"/>
              <w:right w:val="nil" w:sz="6" w:space="0" w:color="auto"/>
            </w:tcBorders>
          </w:tcPr>
          <w:p>
            <w:pPr>
              <w:pStyle w:val="TableParagraph"/>
              <w:spacing w:line="271" w:lineRule="exact"/>
              <w:ind w:right="97"/>
              <w:jc w:val="right"/>
              <w:rPr>
                <w:rFonts w:ascii="宋体" w:hAnsi="宋体" w:cs="宋体" w:eastAsia="宋体" w:hint="default"/>
                <w:sz w:val="21"/>
                <w:szCs w:val="21"/>
              </w:rPr>
            </w:pPr>
            <w:r>
              <w:rPr>
                <w:rFonts w:ascii="宋体"/>
                <w:sz w:val="21"/>
              </w:rPr>
              <w:t>82,500.00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6" w:lineRule="exact"/>
              <w:ind w:left="204"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2</w:t>
            </w:r>
            <w:r>
              <w:rPr>
                <w:rFonts w:ascii="Times New Roman"/>
                <w:sz w:val="21"/>
              </w:rPr>
              <w:t>-</w:t>
            </w:r>
            <w:r>
              <w:rPr>
                <w:rFonts w:ascii="宋体"/>
                <w:sz w:val="21"/>
              </w:rPr>
              <w:t>6</w:t>
            </w:r>
          </w:p>
        </w:tc>
        <w:tc>
          <w:tcPr>
            <w:tcW w:w="1330" w:type="dxa"/>
            <w:tcBorders>
              <w:top w:val="nil" w:sz="6" w:space="0" w:color="auto"/>
              <w:left w:val="nil" w:sz="6" w:space="0" w:color="auto"/>
              <w:bottom w:val="nil" w:sz="6" w:space="0" w:color="auto"/>
              <w:right w:val="nil" w:sz="6" w:space="0" w:color="auto"/>
            </w:tcBorders>
          </w:tcPr>
          <w:p>
            <w:pPr>
              <w:pStyle w:val="TableParagraph"/>
              <w:spacing w:line="286" w:lineRule="exact"/>
              <w:ind w:left="201"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7</w:t>
            </w:r>
            <w:r>
              <w:rPr>
                <w:rFonts w:ascii="Times New Roman"/>
                <w:sz w:val="21"/>
              </w:rPr>
              <w:t>-</w:t>
            </w:r>
            <w:r>
              <w:rPr>
                <w:rFonts w:ascii="宋体"/>
                <w:sz w:val="21"/>
              </w:rPr>
              <w:t>31</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福州市商务局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498,046.90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2</w:t>
            </w:r>
            <w:r>
              <w:rPr>
                <w:rFonts w:ascii="Times New Roman"/>
                <w:sz w:val="21"/>
              </w:rPr>
              <w:t>-</w:t>
            </w:r>
            <w:r>
              <w:rPr>
                <w:rFonts w:ascii="宋体"/>
                <w:sz w:val="21"/>
              </w:rPr>
              <w:t>26</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2021</w:t>
            </w:r>
            <w:r>
              <w:rPr>
                <w:rFonts w:ascii="Times New Roman"/>
                <w:sz w:val="21"/>
              </w:rPr>
              <w:t>-</w:t>
            </w:r>
            <w:r>
              <w:rPr>
                <w:rFonts w:ascii="宋体"/>
                <w:sz w:val="21"/>
              </w:rPr>
              <w:t>2</w:t>
            </w:r>
            <w:r>
              <w:rPr>
                <w:rFonts w:ascii="Times New Roman"/>
                <w:sz w:val="21"/>
              </w:rPr>
              <w:t>-</w:t>
            </w:r>
            <w:r>
              <w:rPr>
                <w:rFonts w:ascii="宋体"/>
                <w:sz w:val="21"/>
              </w:rPr>
              <w:t>22</w:t>
            </w:r>
          </w:p>
        </w:tc>
      </w:tr>
      <w:tr>
        <w:trPr>
          <w:trHeight w:val="638"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73" w:lineRule="auto"/>
              <w:ind w:left="202" w:right="209"/>
              <w:jc w:val="left"/>
              <w:rPr>
                <w:rFonts w:ascii="宋体" w:hAnsi="宋体" w:cs="宋体" w:eastAsia="宋体" w:hint="default"/>
                <w:sz w:val="21"/>
                <w:szCs w:val="21"/>
              </w:rPr>
            </w:pPr>
            <w:r>
              <w:rPr>
                <w:rFonts w:ascii="宋体" w:hAnsi="宋体" w:cs="宋体" w:eastAsia="宋体" w:hint="default"/>
                <w:sz w:val="21"/>
                <w:szCs w:val="21"/>
              </w:rPr>
              <w:t>苏州市工商档案管理中 心</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162,500.00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204"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3</w:t>
            </w:r>
            <w:r>
              <w:rPr>
                <w:rFonts w:ascii="Times New Roman"/>
                <w:sz w:val="21"/>
              </w:rPr>
              <w:t>-</w:t>
            </w:r>
            <w:r>
              <w:rPr>
                <w:rFonts w:ascii="宋体"/>
                <w:sz w:val="21"/>
              </w:rPr>
              <w:t>7</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53"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3</w:t>
            </w:r>
            <w:r>
              <w:rPr>
                <w:rFonts w:ascii="Times New Roman"/>
                <w:sz w:val="21"/>
              </w:rPr>
              <w:t>-</w:t>
            </w:r>
            <w:r>
              <w:rPr>
                <w:rFonts w:ascii="宋体"/>
                <w:sz w:val="21"/>
              </w:rPr>
              <w:t>6</w:t>
            </w:r>
          </w:p>
        </w:tc>
      </w:tr>
      <w:tr>
        <w:trPr>
          <w:trHeight w:val="338"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71"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71"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上海市商务委员会</w:t>
            </w:r>
          </w:p>
        </w:tc>
        <w:tc>
          <w:tcPr>
            <w:tcW w:w="1570" w:type="dxa"/>
            <w:tcBorders>
              <w:top w:val="nil" w:sz="6" w:space="0" w:color="auto"/>
              <w:left w:val="nil" w:sz="6" w:space="0" w:color="auto"/>
              <w:bottom w:val="nil" w:sz="6" w:space="0" w:color="auto"/>
              <w:right w:val="nil" w:sz="6" w:space="0" w:color="auto"/>
            </w:tcBorders>
          </w:tcPr>
          <w:p>
            <w:pPr>
              <w:pStyle w:val="TableParagraph"/>
              <w:spacing w:line="271" w:lineRule="exact"/>
              <w:ind w:right="98"/>
              <w:jc w:val="right"/>
              <w:rPr>
                <w:rFonts w:ascii="宋体" w:hAnsi="宋体" w:cs="宋体" w:eastAsia="宋体" w:hint="default"/>
                <w:sz w:val="21"/>
                <w:szCs w:val="21"/>
              </w:rPr>
            </w:pPr>
            <w:r>
              <w:rPr>
                <w:rFonts w:ascii="宋体"/>
                <w:sz w:val="21"/>
              </w:rPr>
              <w:t>1,778,600.00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6" w:lineRule="exact"/>
              <w:ind w:left="151"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4</w:t>
            </w:r>
            <w:r>
              <w:rPr>
                <w:rFonts w:ascii="Times New Roman"/>
                <w:sz w:val="21"/>
              </w:rPr>
              <w:t>-</w:t>
            </w:r>
            <w:r>
              <w:rPr>
                <w:rFonts w:ascii="宋体"/>
                <w:sz w:val="21"/>
              </w:rPr>
              <w:t>18</w:t>
            </w:r>
          </w:p>
        </w:tc>
        <w:tc>
          <w:tcPr>
            <w:tcW w:w="1330" w:type="dxa"/>
            <w:tcBorders>
              <w:top w:val="nil" w:sz="6" w:space="0" w:color="auto"/>
              <w:left w:val="nil" w:sz="6" w:space="0" w:color="auto"/>
              <w:bottom w:val="nil" w:sz="6" w:space="0" w:color="auto"/>
              <w:right w:val="nil" w:sz="6" w:space="0" w:color="auto"/>
            </w:tcBorders>
          </w:tcPr>
          <w:p>
            <w:pPr>
              <w:pStyle w:val="TableParagraph"/>
              <w:spacing w:line="286" w:lineRule="exact"/>
              <w:ind w:left="201"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4</w:t>
            </w:r>
            <w:r>
              <w:rPr>
                <w:rFonts w:ascii="Times New Roman"/>
                <w:sz w:val="21"/>
              </w:rPr>
              <w:t>-</w:t>
            </w:r>
            <w:r>
              <w:rPr>
                <w:rFonts w:ascii="宋体"/>
                <w:sz w:val="21"/>
              </w:rPr>
              <w:t>17</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黑龙江省档案局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500,000.00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7</w:t>
            </w:r>
            <w:r>
              <w:rPr>
                <w:rFonts w:ascii="Times New Roman"/>
                <w:sz w:val="21"/>
              </w:rPr>
              <w:t>-</w:t>
            </w:r>
            <w:r>
              <w:rPr>
                <w:rFonts w:ascii="宋体"/>
                <w:sz w:val="21"/>
              </w:rPr>
              <w:t>24</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12</w:t>
            </w:r>
            <w:r>
              <w:rPr>
                <w:rFonts w:ascii="Times New Roman"/>
                <w:sz w:val="21"/>
              </w:rPr>
              <w:t>-</w:t>
            </w:r>
            <w:r>
              <w:rPr>
                <w:rFonts w:ascii="宋体"/>
                <w:sz w:val="21"/>
              </w:rPr>
              <w:t>5</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沈阳市服务业委员会</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164,927.50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10</w:t>
            </w:r>
            <w:r>
              <w:rPr>
                <w:rFonts w:ascii="Times New Roman"/>
                <w:sz w:val="21"/>
              </w:rPr>
              <w:t>-</w:t>
            </w:r>
            <w:r>
              <w:rPr>
                <w:rFonts w:ascii="宋体"/>
                <w:sz w:val="21"/>
              </w:rPr>
              <w:t>25</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148"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12</w:t>
            </w:r>
            <w:r>
              <w:rPr>
                <w:rFonts w:ascii="Times New Roman"/>
                <w:sz w:val="21"/>
              </w:rPr>
              <w:t>-</w:t>
            </w:r>
            <w:r>
              <w:rPr>
                <w:rFonts w:ascii="宋体"/>
                <w:sz w:val="21"/>
              </w:rPr>
              <w:t>31</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上海市商务委员会</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533,580.00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11</w:t>
            </w:r>
            <w:r>
              <w:rPr>
                <w:rFonts w:ascii="Times New Roman"/>
                <w:sz w:val="21"/>
              </w:rPr>
              <w:t>-</w:t>
            </w:r>
            <w:r>
              <w:rPr>
                <w:rFonts w:ascii="宋体"/>
                <w:sz w:val="21"/>
              </w:rPr>
              <w:t>12</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148"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10</w:t>
            </w:r>
            <w:r>
              <w:rPr>
                <w:rFonts w:ascii="Times New Roman"/>
                <w:sz w:val="21"/>
              </w:rPr>
              <w:t>-</w:t>
            </w:r>
            <w:r>
              <w:rPr>
                <w:rFonts w:ascii="宋体"/>
                <w:sz w:val="21"/>
              </w:rPr>
              <w:t>29</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呼和浩特市商务局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1,949,000.00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2016</w:t>
            </w:r>
            <w:r>
              <w:rPr>
                <w:rFonts w:ascii="Times New Roman"/>
                <w:sz w:val="21"/>
              </w:rPr>
              <w:t>-</w:t>
            </w:r>
            <w:r>
              <w:rPr>
                <w:rFonts w:ascii="宋体"/>
                <w:sz w:val="21"/>
              </w:rPr>
              <w:t>12</w:t>
            </w:r>
            <w:r>
              <w:rPr>
                <w:rFonts w:ascii="Times New Roman"/>
                <w:sz w:val="21"/>
              </w:rPr>
              <w:t>-</w:t>
            </w:r>
            <w:r>
              <w:rPr>
                <w:rFonts w:ascii="宋体"/>
                <w:sz w:val="21"/>
              </w:rPr>
              <w:t>2</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148"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11</w:t>
            </w:r>
            <w:r>
              <w:rPr>
                <w:rFonts w:ascii="Times New Roman"/>
                <w:sz w:val="21"/>
              </w:rPr>
              <w:t>-</w:t>
            </w:r>
            <w:r>
              <w:rPr>
                <w:rFonts w:ascii="宋体"/>
                <w:sz w:val="21"/>
              </w:rPr>
              <w:t>30</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呼和浩特市商务局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357,600.00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2016</w:t>
            </w:r>
            <w:r>
              <w:rPr>
                <w:rFonts w:ascii="Times New Roman"/>
                <w:sz w:val="21"/>
              </w:rPr>
              <w:t>-</w:t>
            </w:r>
            <w:r>
              <w:rPr>
                <w:rFonts w:ascii="宋体"/>
                <w:sz w:val="21"/>
              </w:rPr>
              <w:t>12</w:t>
            </w:r>
            <w:r>
              <w:rPr>
                <w:rFonts w:ascii="Times New Roman"/>
                <w:sz w:val="21"/>
              </w:rPr>
              <w:t>-</w:t>
            </w:r>
            <w:r>
              <w:rPr>
                <w:rFonts w:ascii="宋体"/>
                <w:sz w:val="21"/>
              </w:rPr>
              <w:t>2</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148"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11</w:t>
            </w:r>
            <w:r>
              <w:rPr>
                <w:rFonts w:ascii="Times New Roman"/>
                <w:sz w:val="21"/>
              </w:rPr>
              <w:t>-</w:t>
            </w:r>
            <w:r>
              <w:rPr>
                <w:rFonts w:ascii="宋体"/>
                <w:sz w:val="21"/>
              </w:rPr>
              <w:t>30</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太原市商务局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2,988,106.60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2017</w:t>
            </w:r>
            <w:r>
              <w:rPr>
                <w:rFonts w:ascii="Times New Roman"/>
                <w:sz w:val="21"/>
              </w:rPr>
              <w:t>-</w:t>
            </w:r>
            <w:r>
              <w:rPr>
                <w:rFonts w:ascii="宋体"/>
                <w:sz w:val="21"/>
              </w:rPr>
              <w:t>3</w:t>
            </w:r>
            <w:r>
              <w:rPr>
                <w:rFonts w:ascii="Times New Roman"/>
                <w:sz w:val="21"/>
              </w:rPr>
              <w:t>-</w:t>
            </w:r>
            <w:r>
              <w:rPr>
                <w:rFonts w:ascii="宋体"/>
                <w:sz w:val="21"/>
              </w:rPr>
              <w:t>27</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2020</w:t>
            </w:r>
            <w:r>
              <w:rPr>
                <w:rFonts w:ascii="Times New Roman"/>
                <w:sz w:val="21"/>
              </w:rPr>
              <w:t>-</w:t>
            </w:r>
            <w:r>
              <w:rPr>
                <w:rFonts w:ascii="宋体"/>
                <w:sz w:val="21"/>
              </w:rPr>
              <w:t>3</w:t>
            </w:r>
            <w:r>
              <w:rPr>
                <w:rFonts w:ascii="Times New Roman"/>
                <w:sz w:val="21"/>
              </w:rPr>
              <w:t>-</w:t>
            </w:r>
            <w:r>
              <w:rPr>
                <w:rFonts w:ascii="宋体"/>
                <w:sz w:val="21"/>
              </w:rPr>
              <w:t>26</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常州市金坛区档案馆</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95,500.00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2017</w:t>
            </w:r>
            <w:r>
              <w:rPr>
                <w:rFonts w:ascii="Times New Roman"/>
                <w:sz w:val="21"/>
              </w:rPr>
              <w:t>-</w:t>
            </w:r>
            <w:r>
              <w:rPr>
                <w:rFonts w:ascii="宋体"/>
                <w:sz w:val="21"/>
              </w:rPr>
              <w:t>4</w:t>
            </w:r>
            <w:r>
              <w:rPr>
                <w:rFonts w:ascii="Times New Roman"/>
                <w:sz w:val="21"/>
              </w:rPr>
              <w:t>-</w:t>
            </w:r>
            <w:r>
              <w:rPr>
                <w:rFonts w:ascii="宋体"/>
                <w:sz w:val="21"/>
              </w:rPr>
              <w:t>13</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4</w:t>
            </w:r>
            <w:r>
              <w:rPr>
                <w:rFonts w:ascii="Times New Roman"/>
                <w:sz w:val="21"/>
              </w:rPr>
              <w:t>-</w:t>
            </w:r>
            <w:r>
              <w:rPr>
                <w:rFonts w:ascii="宋体"/>
                <w:sz w:val="21"/>
              </w:rPr>
              <w:t>12</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上海市青浦监狱</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10,033.00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2017</w:t>
            </w:r>
            <w:r>
              <w:rPr>
                <w:rFonts w:ascii="Times New Roman"/>
                <w:sz w:val="21"/>
              </w:rPr>
              <w:t>-</w:t>
            </w:r>
            <w:r>
              <w:rPr>
                <w:rFonts w:ascii="宋体"/>
                <w:sz w:val="21"/>
              </w:rPr>
              <w:t>4</w:t>
            </w:r>
            <w:r>
              <w:rPr>
                <w:rFonts w:ascii="Times New Roman"/>
                <w:sz w:val="21"/>
              </w:rPr>
              <w:t>-</w:t>
            </w:r>
            <w:r>
              <w:rPr>
                <w:rFonts w:ascii="宋体"/>
                <w:sz w:val="21"/>
              </w:rPr>
              <w:t>19</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2020</w:t>
            </w:r>
            <w:r>
              <w:rPr>
                <w:rFonts w:ascii="Times New Roman"/>
                <w:sz w:val="21"/>
              </w:rPr>
              <w:t>-</w:t>
            </w:r>
            <w:r>
              <w:rPr>
                <w:rFonts w:ascii="宋体"/>
                <w:sz w:val="21"/>
              </w:rPr>
              <w:t>4</w:t>
            </w:r>
            <w:r>
              <w:rPr>
                <w:rFonts w:ascii="Times New Roman"/>
                <w:sz w:val="21"/>
              </w:rPr>
              <w:t>-</w:t>
            </w:r>
            <w:r>
              <w:rPr>
                <w:rFonts w:ascii="宋体"/>
                <w:sz w:val="21"/>
              </w:rPr>
              <w:t>17</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上海市公安局奉贤分局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24,150.00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2017</w:t>
            </w:r>
            <w:r>
              <w:rPr>
                <w:rFonts w:ascii="Times New Roman"/>
                <w:sz w:val="21"/>
              </w:rPr>
              <w:t>-</w:t>
            </w:r>
            <w:r>
              <w:rPr>
                <w:rFonts w:ascii="宋体"/>
                <w:sz w:val="21"/>
              </w:rPr>
              <w:t>11</w:t>
            </w:r>
            <w:r>
              <w:rPr>
                <w:rFonts w:ascii="Times New Roman"/>
                <w:sz w:val="21"/>
              </w:rPr>
              <w:t>-</w:t>
            </w:r>
            <w:r>
              <w:rPr>
                <w:rFonts w:ascii="宋体"/>
                <w:sz w:val="21"/>
              </w:rPr>
              <w:t>1</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2020</w:t>
            </w:r>
            <w:r>
              <w:rPr>
                <w:rFonts w:ascii="Times New Roman"/>
                <w:sz w:val="21"/>
              </w:rPr>
              <w:t>-</w:t>
            </w:r>
            <w:r>
              <w:rPr>
                <w:rFonts w:ascii="宋体"/>
                <w:sz w:val="21"/>
              </w:rPr>
              <w:t>6</w:t>
            </w:r>
            <w:r>
              <w:rPr>
                <w:rFonts w:ascii="Times New Roman"/>
                <w:sz w:val="21"/>
              </w:rPr>
              <w:t>-</w:t>
            </w:r>
            <w:r>
              <w:rPr>
                <w:rFonts w:ascii="宋体"/>
                <w:sz w:val="21"/>
              </w:rPr>
              <w:t>28</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上海市吴家洼监狱</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25,760.00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2016</w:t>
            </w:r>
            <w:r>
              <w:rPr>
                <w:rFonts w:ascii="Times New Roman"/>
                <w:sz w:val="21"/>
              </w:rPr>
              <w:t>-</w:t>
            </w:r>
            <w:r>
              <w:rPr>
                <w:rFonts w:ascii="宋体"/>
                <w:sz w:val="21"/>
              </w:rPr>
              <w:t>11</w:t>
            </w:r>
            <w:r>
              <w:rPr>
                <w:rFonts w:ascii="Times New Roman"/>
                <w:sz w:val="21"/>
              </w:rPr>
              <w:t>-</w:t>
            </w:r>
            <w:r>
              <w:rPr>
                <w:rFonts w:ascii="宋体"/>
                <w:sz w:val="21"/>
              </w:rPr>
              <w:t>14</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148"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11</w:t>
            </w:r>
            <w:r>
              <w:rPr>
                <w:rFonts w:ascii="Times New Roman"/>
                <w:sz w:val="21"/>
              </w:rPr>
              <w:t>-</w:t>
            </w:r>
            <w:r>
              <w:rPr>
                <w:rFonts w:ascii="宋体"/>
                <w:sz w:val="21"/>
              </w:rPr>
              <w:t>14</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上海市司法警官学校</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64,583.87</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2016</w:t>
            </w:r>
            <w:r>
              <w:rPr>
                <w:rFonts w:ascii="Times New Roman"/>
                <w:sz w:val="21"/>
              </w:rPr>
              <w:t>-</w:t>
            </w:r>
            <w:r>
              <w:rPr>
                <w:rFonts w:ascii="宋体"/>
                <w:sz w:val="21"/>
              </w:rPr>
              <w:t>11</w:t>
            </w:r>
            <w:r>
              <w:rPr>
                <w:rFonts w:ascii="Times New Roman"/>
                <w:sz w:val="21"/>
              </w:rPr>
              <w:t>-</w:t>
            </w:r>
            <w:r>
              <w:rPr>
                <w:rFonts w:ascii="宋体"/>
                <w:sz w:val="21"/>
              </w:rPr>
              <w:t>14</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148"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11</w:t>
            </w:r>
            <w:r>
              <w:rPr>
                <w:rFonts w:ascii="Times New Roman"/>
                <w:sz w:val="21"/>
              </w:rPr>
              <w:t>-</w:t>
            </w:r>
            <w:r>
              <w:rPr>
                <w:rFonts w:ascii="宋体"/>
                <w:sz w:val="21"/>
              </w:rPr>
              <w:t>14</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上海市青浦监狱</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41,500.00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2016</w:t>
            </w:r>
            <w:r>
              <w:rPr>
                <w:rFonts w:ascii="Times New Roman"/>
                <w:sz w:val="21"/>
              </w:rPr>
              <w:t>-</w:t>
            </w:r>
            <w:r>
              <w:rPr>
                <w:rFonts w:ascii="宋体"/>
                <w:sz w:val="21"/>
              </w:rPr>
              <w:t>11</w:t>
            </w:r>
            <w:r>
              <w:rPr>
                <w:rFonts w:ascii="Times New Roman"/>
                <w:sz w:val="21"/>
              </w:rPr>
              <w:t>-</w:t>
            </w:r>
            <w:r>
              <w:rPr>
                <w:rFonts w:ascii="宋体"/>
                <w:sz w:val="21"/>
              </w:rPr>
              <w:t>24</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148"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11</w:t>
            </w:r>
            <w:r>
              <w:rPr>
                <w:rFonts w:ascii="Times New Roman"/>
                <w:sz w:val="21"/>
              </w:rPr>
              <w:t>-</w:t>
            </w:r>
            <w:r>
              <w:rPr>
                <w:rFonts w:ascii="宋体"/>
                <w:sz w:val="21"/>
              </w:rPr>
              <w:t>24</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上海市未成年犯管教所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80,000.00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2017</w:t>
            </w:r>
            <w:r>
              <w:rPr>
                <w:rFonts w:ascii="Times New Roman"/>
                <w:sz w:val="21"/>
              </w:rPr>
              <w:t>-</w:t>
            </w:r>
            <w:r>
              <w:rPr>
                <w:rFonts w:ascii="宋体"/>
                <w:sz w:val="21"/>
              </w:rPr>
              <w:t>11</w:t>
            </w:r>
            <w:r>
              <w:rPr>
                <w:rFonts w:ascii="Times New Roman"/>
                <w:sz w:val="21"/>
              </w:rPr>
              <w:t>-</w:t>
            </w:r>
            <w:r>
              <w:rPr>
                <w:rFonts w:ascii="宋体"/>
                <w:sz w:val="21"/>
              </w:rPr>
              <w:t>16</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148" w:right="0"/>
              <w:jc w:val="left"/>
              <w:rPr>
                <w:rFonts w:ascii="宋体" w:hAnsi="宋体" w:cs="宋体" w:eastAsia="宋体" w:hint="default"/>
                <w:sz w:val="21"/>
                <w:szCs w:val="21"/>
              </w:rPr>
            </w:pPr>
            <w:r>
              <w:rPr>
                <w:rFonts w:ascii="宋体"/>
                <w:sz w:val="21"/>
              </w:rPr>
              <w:t>2022</w:t>
            </w:r>
            <w:r>
              <w:rPr>
                <w:rFonts w:ascii="Times New Roman"/>
                <w:sz w:val="21"/>
              </w:rPr>
              <w:t>-</w:t>
            </w:r>
            <w:r>
              <w:rPr>
                <w:rFonts w:ascii="宋体"/>
                <w:sz w:val="21"/>
              </w:rPr>
              <w:t>11</w:t>
            </w:r>
            <w:r>
              <w:rPr>
                <w:rFonts w:ascii="Times New Roman"/>
                <w:sz w:val="21"/>
              </w:rPr>
              <w:t>-</w:t>
            </w:r>
            <w:r>
              <w:rPr>
                <w:rFonts w:ascii="宋体"/>
                <w:sz w:val="21"/>
              </w:rPr>
              <w:t>16</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广州市增城区人民法院</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38,777.00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2017</w:t>
            </w:r>
            <w:r>
              <w:rPr>
                <w:rFonts w:ascii="Times New Roman"/>
                <w:sz w:val="21"/>
              </w:rPr>
              <w:t>-</w:t>
            </w:r>
            <w:r>
              <w:rPr>
                <w:rFonts w:ascii="宋体"/>
                <w:sz w:val="21"/>
              </w:rPr>
              <w:t>12</w:t>
            </w:r>
            <w:r>
              <w:rPr>
                <w:rFonts w:ascii="Times New Roman"/>
                <w:sz w:val="21"/>
              </w:rPr>
              <w:t>-</w:t>
            </w:r>
            <w:r>
              <w:rPr>
                <w:rFonts w:ascii="宋体"/>
                <w:sz w:val="21"/>
              </w:rPr>
              <w:t>6</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53" w:right="0"/>
              <w:jc w:val="left"/>
              <w:rPr>
                <w:rFonts w:ascii="宋体" w:hAnsi="宋体" w:cs="宋体" w:eastAsia="宋体" w:hint="default"/>
                <w:sz w:val="21"/>
                <w:szCs w:val="21"/>
              </w:rPr>
            </w:pPr>
            <w:r>
              <w:rPr>
                <w:rFonts w:ascii="宋体"/>
                <w:sz w:val="21"/>
              </w:rPr>
              <w:t>2021</w:t>
            </w:r>
            <w:r>
              <w:rPr>
                <w:rFonts w:ascii="Times New Roman"/>
                <w:sz w:val="21"/>
              </w:rPr>
              <w:t>-</w:t>
            </w:r>
            <w:r>
              <w:rPr>
                <w:rFonts w:ascii="宋体"/>
                <w:sz w:val="21"/>
              </w:rPr>
              <w:t>6</w:t>
            </w:r>
            <w:r>
              <w:rPr>
                <w:rFonts w:ascii="Times New Roman"/>
                <w:sz w:val="21"/>
              </w:rPr>
              <w:t>-</w:t>
            </w:r>
            <w:r>
              <w:rPr>
                <w:rFonts w:ascii="宋体"/>
                <w:sz w:val="21"/>
              </w:rPr>
              <w:t>6</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宁波市档案局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79,500.00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2017</w:t>
            </w:r>
            <w:r>
              <w:rPr>
                <w:rFonts w:ascii="Times New Roman"/>
                <w:sz w:val="21"/>
              </w:rPr>
              <w:t>-</w:t>
            </w:r>
            <w:r>
              <w:rPr>
                <w:rFonts w:ascii="宋体"/>
                <w:sz w:val="21"/>
              </w:rPr>
              <w:t>9</w:t>
            </w:r>
            <w:r>
              <w:rPr>
                <w:rFonts w:ascii="Times New Roman"/>
                <w:sz w:val="21"/>
              </w:rPr>
              <w:t>-</w:t>
            </w:r>
            <w:r>
              <w:rPr>
                <w:rFonts w:ascii="宋体"/>
                <w:sz w:val="21"/>
              </w:rPr>
              <w:t>11</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5</w:t>
            </w:r>
            <w:r>
              <w:rPr>
                <w:rFonts w:ascii="Times New Roman"/>
                <w:sz w:val="21"/>
              </w:rPr>
              <w:t>-</w:t>
            </w:r>
            <w:r>
              <w:rPr>
                <w:rFonts w:ascii="宋体"/>
                <w:sz w:val="21"/>
              </w:rPr>
              <w:t>30</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上海市青浦监狱</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187,500.00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2017</w:t>
            </w:r>
            <w:r>
              <w:rPr>
                <w:rFonts w:ascii="Times New Roman"/>
                <w:sz w:val="21"/>
              </w:rPr>
              <w:t>-</w:t>
            </w:r>
            <w:r>
              <w:rPr>
                <w:rFonts w:ascii="宋体"/>
                <w:sz w:val="21"/>
              </w:rPr>
              <w:t>11</w:t>
            </w:r>
            <w:r>
              <w:rPr>
                <w:rFonts w:ascii="Times New Roman"/>
                <w:sz w:val="21"/>
              </w:rPr>
              <w:t>-</w:t>
            </w:r>
            <w:r>
              <w:rPr>
                <w:rFonts w:ascii="宋体"/>
                <w:sz w:val="21"/>
              </w:rPr>
              <w:t>13</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148" w:right="0"/>
              <w:jc w:val="left"/>
              <w:rPr>
                <w:rFonts w:ascii="宋体" w:hAnsi="宋体" w:cs="宋体" w:eastAsia="宋体" w:hint="default"/>
                <w:sz w:val="21"/>
                <w:szCs w:val="21"/>
              </w:rPr>
            </w:pPr>
            <w:r>
              <w:rPr>
                <w:rFonts w:ascii="宋体"/>
                <w:sz w:val="21"/>
              </w:rPr>
              <w:t>2020</w:t>
            </w:r>
            <w:r>
              <w:rPr>
                <w:rFonts w:ascii="Times New Roman"/>
                <w:sz w:val="21"/>
              </w:rPr>
              <w:t>-</w:t>
            </w:r>
            <w:r>
              <w:rPr>
                <w:rFonts w:ascii="宋体"/>
                <w:sz w:val="21"/>
              </w:rPr>
              <w:t>11</w:t>
            </w:r>
            <w:r>
              <w:rPr>
                <w:rFonts w:ascii="Times New Roman"/>
                <w:sz w:val="21"/>
              </w:rPr>
              <w:t>-</w:t>
            </w:r>
            <w:r>
              <w:rPr>
                <w:rFonts w:ascii="宋体"/>
                <w:sz w:val="21"/>
              </w:rPr>
              <w:t>10</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上海市青浦监狱</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25,500.00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2017</w:t>
            </w:r>
            <w:r>
              <w:rPr>
                <w:rFonts w:ascii="Times New Roman"/>
                <w:sz w:val="21"/>
              </w:rPr>
              <w:t>-</w:t>
            </w:r>
            <w:r>
              <w:rPr>
                <w:rFonts w:ascii="宋体"/>
                <w:sz w:val="21"/>
              </w:rPr>
              <w:t>11</w:t>
            </w:r>
            <w:r>
              <w:rPr>
                <w:rFonts w:ascii="Times New Roman"/>
                <w:sz w:val="21"/>
              </w:rPr>
              <w:t>-</w:t>
            </w:r>
            <w:r>
              <w:rPr>
                <w:rFonts w:ascii="宋体"/>
                <w:sz w:val="21"/>
              </w:rPr>
              <w:t>13</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148" w:right="0"/>
              <w:jc w:val="left"/>
              <w:rPr>
                <w:rFonts w:ascii="宋体" w:hAnsi="宋体" w:cs="宋体" w:eastAsia="宋体" w:hint="default"/>
                <w:sz w:val="21"/>
                <w:szCs w:val="21"/>
              </w:rPr>
            </w:pPr>
            <w:r>
              <w:rPr>
                <w:rFonts w:ascii="宋体"/>
                <w:sz w:val="21"/>
              </w:rPr>
              <w:t>2020</w:t>
            </w:r>
            <w:r>
              <w:rPr>
                <w:rFonts w:ascii="Times New Roman"/>
                <w:sz w:val="21"/>
              </w:rPr>
              <w:t>-</w:t>
            </w:r>
            <w:r>
              <w:rPr>
                <w:rFonts w:ascii="宋体"/>
                <w:sz w:val="21"/>
              </w:rPr>
              <w:t>11</w:t>
            </w:r>
            <w:r>
              <w:rPr>
                <w:rFonts w:ascii="Times New Roman"/>
                <w:sz w:val="21"/>
              </w:rPr>
              <w:t>-</w:t>
            </w:r>
            <w:r>
              <w:rPr>
                <w:rFonts w:ascii="宋体"/>
                <w:sz w:val="21"/>
              </w:rPr>
              <w:t>10</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中国丝绸博物馆</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97,500.00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2017</w:t>
            </w:r>
            <w:r>
              <w:rPr>
                <w:rFonts w:ascii="Times New Roman"/>
                <w:sz w:val="21"/>
              </w:rPr>
              <w:t>-</w:t>
            </w:r>
            <w:r>
              <w:rPr>
                <w:rFonts w:ascii="宋体"/>
                <w:sz w:val="21"/>
              </w:rPr>
              <w:t>11</w:t>
            </w:r>
            <w:r>
              <w:rPr>
                <w:rFonts w:ascii="Times New Roman"/>
                <w:sz w:val="21"/>
              </w:rPr>
              <w:t>-</w:t>
            </w:r>
            <w:r>
              <w:rPr>
                <w:rFonts w:ascii="宋体"/>
                <w:sz w:val="21"/>
              </w:rPr>
              <w:t>30</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5</w:t>
            </w:r>
            <w:r>
              <w:rPr>
                <w:rFonts w:ascii="Times New Roman"/>
                <w:sz w:val="21"/>
              </w:rPr>
              <w:t>-</w:t>
            </w:r>
            <w:r>
              <w:rPr>
                <w:rFonts w:ascii="宋体"/>
                <w:sz w:val="21"/>
              </w:rPr>
              <w:t>30</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东莞市档案局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268,000.00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2017</w:t>
            </w:r>
            <w:r>
              <w:rPr>
                <w:rFonts w:ascii="Times New Roman"/>
                <w:sz w:val="21"/>
              </w:rPr>
              <w:t>-</w:t>
            </w:r>
            <w:r>
              <w:rPr>
                <w:rFonts w:ascii="宋体"/>
                <w:sz w:val="21"/>
              </w:rPr>
              <w:t>12</w:t>
            </w:r>
            <w:r>
              <w:rPr>
                <w:rFonts w:ascii="Times New Roman"/>
                <w:sz w:val="21"/>
              </w:rPr>
              <w:t>-</w:t>
            </w:r>
            <w:r>
              <w:rPr>
                <w:rFonts w:ascii="宋体"/>
                <w:sz w:val="21"/>
              </w:rPr>
              <w:t>6</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148" w:right="0"/>
              <w:jc w:val="left"/>
              <w:rPr>
                <w:rFonts w:ascii="宋体" w:hAnsi="宋体" w:cs="宋体" w:eastAsia="宋体" w:hint="default"/>
                <w:sz w:val="21"/>
                <w:szCs w:val="21"/>
              </w:rPr>
            </w:pPr>
            <w:r>
              <w:rPr>
                <w:rFonts w:ascii="宋体"/>
                <w:sz w:val="21"/>
              </w:rPr>
              <w:t>2020</w:t>
            </w:r>
            <w:r>
              <w:rPr>
                <w:rFonts w:ascii="Times New Roman"/>
                <w:sz w:val="21"/>
              </w:rPr>
              <w:t>-</w:t>
            </w:r>
            <w:r>
              <w:rPr>
                <w:rFonts w:ascii="宋体"/>
                <w:sz w:val="21"/>
              </w:rPr>
              <w:t>11</w:t>
            </w:r>
            <w:r>
              <w:rPr>
                <w:rFonts w:ascii="Times New Roman"/>
                <w:sz w:val="21"/>
              </w:rPr>
              <w:t>-</w:t>
            </w:r>
            <w:r>
              <w:rPr>
                <w:rFonts w:ascii="宋体"/>
                <w:sz w:val="21"/>
              </w:rPr>
              <w:t>29</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海东市商务局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449,000.00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2017</w:t>
            </w:r>
            <w:r>
              <w:rPr>
                <w:rFonts w:ascii="Times New Roman"/>
                <w:sz w:val="21"/>
              </w:rPr>
              <w:t>-</w:t>
            </w:r>
            <w:r>
              <w:rPr>
                <w:rFonts w:ascii="宋体"/>
                <w:sz w:val="21"/>
              </w:rPr>
              <w:t>12</w:t>
            </w:r>
            <w:r>
              <w:rPr>
                <w:rFonts w:ascii="Times New Roman"/>
                <w:sz w:val="21"/>
              </w:rPr>
              <w:t>-</w:t>
            </w:r>
            <w:r>
              <w:rPr>
                <w:rFonts w:ascii="宋体"/>
                <w:sz w:val="21"/>
              </w:rPr>
              <w:t>13</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148" w:right="0"/>
              <w:jc w:val="left"/>
              <w:rPr>
                <w:rFonts w:ascii="宋体" w:hAnsi="宋体" w:cs="宋体" w:eastAsia="宋体" w:hint="default"/>
                <w:sz w:val="21"/>
                <w:szCs w:val="21"/>
              </w:rPr>
            </w:pPr>
            <w:r>
              <w:rPr>
                <w:rFonts w:ascii="宋体"/>
                <w:sz w:val="21"/>
              </w:rPr>
              <w:t>2020</w:t>
            </w:r>
            <w:r>
              <w:rPr>
                <w:rFonts w:ascii="Times New Roman"/>
                <w:sz w:val="21"/>
              </w:rPr>
              <w:t>-</w:t>
            </w:r>
            <w:r>
              <w:rPr>
                <w:rFonts w:ascii="宋体"/>
                <w:sz w:val="21"/>
              </w:rPr>
              <w:t>12</w:t>
            </w:r>
            <w:r>
              <w:rPr>
                <w:rFonts w:ascii="Times New Roman"/>
                <w:sz w:val="21"/>
              </w:rPr>
              <w:t>-</w:t>
            </w:r>
            <w:r>
              <w:rPr>
                <w:rFonts w:ascii="宋体"/>
                <w:sz w:val="21"/>
              </w:rPr>
              <w:t>11</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海东市商务局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190,000.00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2017</w:t>
            </w:r>
            <w:r>
              <w:rPr>
                <w:rFonts w:ascii="Times New Roman"/>
                <w:sz w:val="21"/>
              </w:rPr>
              <w:t>-</w:t>
            </w:r>
            <w:r>
              <w:rPr>
                <w:rFonts w:ascii="宋体"/>
                <w:sz w:val="21"/>
              </w:rPr>
              <w:t>12</w:t>
            </w:r>
            <w:r>
              <w:rPr>
                <w:rFonts w:ascii="Times New Roman"/>
                <w:sz w:val="21"/>
              </w:rPr>
              <w:t>-</w:t>
            </w:r>
            <w:r>
              <w:rPr>
                <w:rFonts w:ascii="宋体"/>
                <w:sz w:val="21"/>
              </w:rPr>
              <w:t>13</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148" w:right="0"/>
              <w:jc w:val="left"/>
              <w:rPr>
                <w:rFonts w:ascii="宋体" w:hAnsi="宋体" w:cs="宋体" w:eastAsia="宋体" w:hint="default"/>
                <w:sz w:val="21"/>
                <w:szCs w:val="21"/>
              </w:rPr>
            </w:pPr>
            <w:r>
              <w:rPr>
                <w:rFonts w:ascii="宋体"/>
                <w:sz w:val="21"/>
              </w:rPr>
              <w:t>2020</w:t>
            </w:r>
            <w:r>
              <w:rPr>
                <w:rFonts w:ascii="Times New Roman"/>
                <w:sz w:val="21"/>
              </w:rPr>
              <w:t>-</w:t>
            </w:r>
            <w:r>
              <w:rPr>
                <w:rFonts w:ascii="宋体"/>
                <w:sz w:val="21"/>
              </w:rPr>
              <w:t>12</w:t>
            </w:r>
            <w:r>
              <w:rPr>
                <w:rFonts w:ascii="Times New Roman"/>
                <w:sz w:val="21"/>
              </w:rPr>
              <w:t>-</w:t>
            </w:r>
            <w:r>
              <w:rPr>
                <w:rFonts w:ascii="宋体"/>
                <w:sz w:val="21"/>
              </w:rPr>
              <w:t>11</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佛山市商务局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93,650.00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3</w:t>
            </w:r>
            <w:r>
              <w:rPr>
                <w:rFonts w:ascii="Times New Roman"/>
                <w:sz w:val="21"/>
              </w:rPr>
              <w:t>-</w:t>
            </w:r>
            <w:r>
              <w:rPr>
                <w:rFonts w:ascii="宋体"/>
                <w:sz w:val="21"/>
              </w:rPr>
              <w:t>23</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2021</w:t>
            </w:r>
            <w:r>
              <w:rPr>
                <w:rFonts w:ascii="Times New Roman"/>
                <w:sz w:val="21"/>
              </w:rPr>
              <w:t>-</w:t>
            </w:r>
            <w:r>
              <w:rPr>
                <w:rFonts w:ascii="宋体"/>
                <w:sz w:val="21"/>
              </w:rPr>
              <w:t>3</w:t>
            </w:r>
            <w:r>
              <w:rPr>
                <w:rFonts w:ascii="Times New Roman"/>
                <w:sz w:val="21"/>
              </w:rPr>
              <w:t>-</w:t>
            </w:r>
            <w:r>
              <w:rPr>
                <w:rFonts w:ascii="宋体"/>
                <w:sz w:val="21"/>
              </w:rPr>
              <w:t>22</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上海市杨浦区档案局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185,300.00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4</w:t>
            </w:r>
            <w:r>
              <w:rPr>
                <w:rFonts w:ascii="Times New Roman"/>
                <w:sz w:val="21"/>
              </w:rPr>
              <w:t>-</w:t>
            </w:r>
            <w:r>
              <w:rPr>
                <w:rFonts w:ascii="宋体"/>
                <w:sz w:val="21"/>
              </w:rPr>
              <w:t>23</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4</w:t>
            </w:r>
            <w:r>
              <w:rPr>
                <w:rFonts w:ascii="Times New Roman"/>
                <w:sz w:val="21"/>
              </w:rPr>
              <w:t>-</w:t>
            </w:r>
            <w:r>
              <w:rPr>
                <w:rFonts w:ascii="宋体"/>
                <w:sz w:val="21"/>
              </w:rPr>
              <w:t>19</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上海市杨浦区档案局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64,800.00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4</w:t>
            </w:r>
            <w:r>
              <w:rPr>
                <w:rFonts w:ascii="Times New Roman"/>
                <w:sz w:val="21"/>
              </w:rPr>
              <w:t>-</w:t>
            </w:r>
            <w:r>
              <w:rPr>
                <w:rFonts w:ascii="宋体"/>
                <w:sz w:val="21"/>
              </w:rPr>
              <w:t>23</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4</w:t>
            </w:r>
            <w:r>
              <w:rPr>
                <w:rFonts w:ascii="Times New Roman"/>
                <w:sz w:val="21"/>
              </w:rPr>
              <w:t>-</w:t>
            </w:r>
            <w:r>
              <w:rPr>
                <w:rFonts w:ascii="宋体"/>
                <w:sz w:val="21"/>
              </w:rPr>
              <w:t>19</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上海市杨浦区档案局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82,796.00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4</w:t>
            </w:r>
            <w:r>
              <w:rPr>
                <w:rFonts w:ascii="Times New Roman"/>
                <w:sz w:val="21"/>
              </w:rPr>
              <w:t>-</w:t>
            </w:r>
            <w:r>
              <w:rPr>
                <w:rFonts w:ascii="宋体"/>
                <w:sz w:val="21"/>
              </w:rPr>
              <w:t>23</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4</w:t>
            </w:r>
            <w:r>
              <w:rPr>
                <w:rFonts w:ascii="Times New Roman"/>
                <w:sz w:val="21"/>
              </w:rPr>
              <w:t>-</w:t>
            </w:r>
            <w:r>
              <w:rPr>
                <w:rFonts w:ascii="宋体"/>
                <w:sz w:val="21"/>
              </w:rPr>
              <w:t>19</w:t>
            </w:r>
          </w:p>
        </w:tc>
      </w:tr>
      <w:tr>
        <w:trPr>
          <w:trHeight w:val="638"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73" w:lineRule="auto"/>
              <w:ind w:left="202" w:right="209"/>
              <w:jc w:val="left"/>
              <w:rPr>
                <w:rFonts w:ascii="宋体" w:hAnsi="宋体" w:cs="宋体" w:eastAsia="宋体" w:hint="default"/>
                <w:sz w:val="21"/>
                <w:szCs w:val="21"/>
              </w:rPr>
            </w:pPr>
            <w:r>
              <w:rPr>
                <w:rFonts w:ascii="宋体" w:hAnsi="宋体" w:cs="宋体" w:eastAsia="宋体" w:hint="default"/>
                <w:sz w:val="21"/>
                <w:szCs w:val="21"/>
              </w:rPr>
              <w:t>中共上海市委党校第三 分校</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301,900.00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204"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5</w:t>
            </w:r>
            <w:r>
              <w:rPr>
                <w:rFonts w:ascii="Times New Roman"/>
                <w:sz w:val="21"/>
              </w:rPr>
              <w:t>-</w:t>
            </w:r>
            <w:r>
              <w:rPr>
                <w:rFonts w:ascii="宋体"/>
                <w:sz w:val="21"/>
              </w:rPr>
              <w:t>9</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53"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5</w:t>
            </w:r>
            <w:r>
              <w:rPr>
                <w:rFonts w:ascii="Times New Roman"/>
                <w:sz w:val="21"/>
              </w:rPr>
              <w:t>-</w:t>
            </w:r>
            <w:r>
              <w:rPr>
                <w:rFonts w:ascii="宋体"/>
                <w:sz w:val="21"/>
              </w:rPr>
              <w:t>7</w:t>
            </w:r>
          </w:p>
        </w:tc>
      </w:tr>
      <w:tr>
        <w:trPr>
          <w:trHeight w:val="338"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71" w:lineRule="exact"/>
              <w:ind w:left="200" w:right="0"/>
              <w:jc w:val="left"/>
              <w:rPr>
                <w:rFonts w:ascii="宋体" w:hAnsi="宋体" w:cs="宋体" w:eastAsia="宋体" w:hint="default"/>
                <w:sz w:val="21"/>
                <w:szCs w:val="21"/>
              </w:rPr>
            </w:pPr>
            <w:r>
              <w:rPr>
                <w:rFonts w:ascii="宋体" w:hAnsi="宋体" w:cs="宋体" w:eastAsia="宋体" w:hint="default"/>
                <w:sz w:val="21"/>
                <w:szCs w:val="21"/>
              </w:rPr>
              <w:t>预付款保函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71" w:lineRule="exact"/>
              <w:ind w:left="202" w:right="0"/>
              <w:jc w:val="left"/>
              <w:rPr>
                <w:rFonts w:ascii="宋体" w:hAnsi="宋体" w:cs="宋体" w:eastAsia="宋体" w:hint="default"/>
                <w:sz w:val="21"/>
                <w:szCs w:val="21"/>
              </w:rPr>
            </w:pPr>
            <w:r>
              <w:rPr>
                <w:rFonts w:ascii="宋体" w:hAnsi="宋体" w:cs="宋体" w:eastAsia="宋体" w:hint="default"/>
                <w:sz w:val="21"/>
                <w:szCs w:val="21"/>
              </w:rPr>
              <w:t>马尾区档案局</w:t>
            </w:r>
          </w:p>
        </w:tc>
        <w:tc>
          <w:tcPr>
            <w:tcW w:w="1570" w:type="dxa"/>
            <w:tcBorders>
              <w:top w:val="nil" w:sz="6" w:space="0" w:color="auto"/>
              <w:left w:val="nil" w:sz="6" w:space="0" w:color="auto"/>
              <w:bottom w:val="nil" w:sz="6" w:space="0" w:color="auto"/>
              <w:right w:val="nil" w:sz="6" w:space="0" w:color="auto"/>
            </w:tcBorders>
          </w:tcPr>
          <w:p>
            <w:pPr>
              <w:pStyle w:val="TableParagraph"/>
              <w:spacing w:line="271" w:lineRule="exact"/>
              <w:ind w:right="98"/>
              <w:jc w:val="right"/>
              <w:rPr>
                <w:rFonts w:ascii="宋体" w:hAnsi="宋体" w:cs="宋体" w:eastAsia="宋体" w:hint="default"/>
                <w:sz w:val="21"/>
                <w:szCs w:val="21"/>
              </w:rPr>
            </w:pPr>
            <w:r>
              <w:rPr>
                <w:rFonts w:ascii="宋体"/>
                <w:sz w:val="21"/>
              </w:rPr>
              <w:t>281,400.00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6" w:lineRule="exact"/>
              <w:ind w:left="151"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5</w:t>
            </w:r>
            <w:r>
              <w:rPr>
                <w:rFonts w:ascii="Times New Roman"/>
                <w:sz w:val="21"/>
              </w:rPr>
              <w:t>-</w:t>
            </w:r>
            <w:r>
              <w:rPr>
                <w:rFonts w:ascii="宋体"/>
                <w:sz w:val="21"/>
              </w:rPr>
              <w:t>22</w:t>
            </w:r>
          </w:p>
        </w:tc>
        <w:tc>
          <w:tcPr>
            <w:tcW w:w="1330" w:type="dxa"/>
            <w:tcBorders>
              <w:top w:val="nil" w:sz="6" w:space="0" w:color="auto"/>
              <w:left w:val="nil" w:sz="6" w:space="0" w:color="auto"/>
              <w:bottom w:val="nil" w:sz="6" w:space="0" w:color="auto"/>
              <w:right w:val="nil" w:sz="6" w:space="0" w:color="auto"/>
            </w:tcBorders>
          </w:tcPr>
          <w:p>
            <w:pPr>
              <w:pStyle w:val="TableParagraph"/>
              <w:spacing w:line="286" w:lineRule="exact"/>
              <w:ind w:left="201" w:right="0"/>
              <w:jc w:val="left"/>
              <w:rPr>
                <w:rFonts w:ascii="宋体" w:hAnsi="宋体" w:cs="宋体" w:eastAsia="宋体" w:hint="default"/>
                <w:sz w:val="21"/>
                <w:szCs w:val="21"/>
              </w:rPr>
            </w:pPr>
            <w:r>
              <w:rPr>
                <w:rFonts w:ascii="宋体"/>
                <w:sz w:val="21"/>
              </w:rPr>
              <w:t>2020</w:t>
            </w:r>
            <w:r>
              <w:rPr>
                <w:rFonts w:ascii="Times New Roman"/>
                <w:sz w:val="21"/>
              </w:rPr>
              <w:t>-</w:t>
            </w:r>
            <w:r>
              <w:rPr>
                <w:rFonts w:ascii="宋体"/>
                <w:sz w:val="21"/>
              </w:rPr>
              <w:t>5</w:t>
            </w:r>
            <w:r>
              <w:rPr>
                <w:rFonts w:ascii="Times New Roman"/>
                <w:sz w:val="21"/>
              </w:rPr>
              <w:t>-</w:t>
            </w:r>
            <w:r>
              <w:rPr>
                <w:rFonts w:ascii="宋体"/>
                <w:sz w:val="21"/>
              </w:rPr>
              <w:t>31</w:t>
            </w:r>
          </w:p>
        </w:tc>
      </w:tr>
      <w:tr>
        <w:trPr>
          <w:trHeight w:val="639"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6"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73" w:lineRule="auto"/>
              <w:ind w:left="202" w:right="209"/>
              <w:jc w:val="left"/>
              <w:rPr>
                <w:rFonts w:ascii="宋体" w:hAnsi="宋体" w:cs="宋体" w:eastAsia="宋体" w:hint="default"/>
                <w:sz w:val="21"/>
                <w:szCs w:val="21"/>
              </w:rPr>
            </w:pPr>
            <w:r>
              <w:rPr>
                <w:rFonts w:ascii="宋体" w:hAnsi="宋体" w:cs="宋体" w:eastAsia="宋体" w:hint="default"/>
                <w:sz w:val="21"/>
                <w:szCs w:val="21"/>
              </w:rPr>
              <w:t>上海市民防指挥信息保 障中心</w:t>
            </w:r>
          </w:p>
        </w:tc>
        <w:tc>
          <w:tcPr>
            <w:tcW w:w="1570" w:type="dxa"/>
            <w:tcBorders>
              <w:top w:val="nil" w:sz="6" w:space="0" w:color="auto"/>
              <w:left w:val="nil" w:sz="6" w:space="0" w:color="auto"/>
              <w:bottom w:val="nil" w:sz="6" w:space="0" w:color="auto"/>
              <w:right w:val="nil" w:sz="6" w:space="0" w:color="auto"/>
            </w:tcBorders>
          </w:tcPr>
          <w:p>
            <w:pPr>
              <w:pStyle w:val="TableParagraph"/>
              <w:spacing w:line="266" w:lineRule="exact"/>
              <w:ind w:right="97"/>
              <w:jc w:val="right"/>
              <w:rPr>
                <w:rFonts w:ascii="宋体" w:hAnsi="宋体" w:cs="宋体" w:eastAsia="宋体" w:hint="default"/>
                <w:sz w:val="21"/>
                <w:szCs w:val="21"/>
              </w:rPr>
            </w:pPr>
            <w:r>
              <w:rPr>
                <w:rFonts w:ascii="宋体"/>
                <w:sz w:val="21"/>
              </w:rPr>
              <w:t>18,350.00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2" w:lineRule="exact"/>
              <w:ind w:left="151"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5</w:t>
            </w:r>
            <w:r>
              <w:rPr>
                <w:rFonts w:ascii="Times New Roman"/>
                <w:sz w:val="21"/>
              </w:rPr>
              <w:t>-</w:t>
            </w:r>
            <w:r>
              <w:rPr>
                <w:rFonts w:ascii="宋体"/>
                <w:sz w:val="21"/>
              </w:rPr>
              <w:t>29</w:t>
            </w:r>
          </w:p>
        </w:tc>
        <w:tc>
          <w:tcPr>
            <w:tcW w:w="1330" w:type="dxa"/>
            <w:tcBorders>
              <w:top w:val="nil" w:sz="6" w:space="0" w:color="auto"/>
              <w:left w:val="nil" w:sz="6" w:space="0" w:color="auto"/>
              <w:bottom w:val="nil" w:sz="6" w:space="0" w:color="auto"/>
              <w:right w:val="nil" w:sz="6" w:space="0" w:color="auto"/>
            </w:tcBorders>
          </w:tcPr>
          <w:p>
            <w:pPr>
              <w:pStyle w:val="TableParagraph"/>
              <w:spacing w:line="282" w:lineRule="exact"/>
              <w:ind w:left="201"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5</w:t>
            </w:r>
            <w:r>
              <w:rPr>
                <w:rFonts w:ascii="Times New Roman"/>
                <w:sz w:val="21"/>
              </w:rPr>
              <w:t>-</w:t>
            </w:r>
            <w:r>
              <w:rPr>
                <w:rFonts w:ascii="宋体"/>
                <w:sz w:val="21"/>
              </w:rPr>
              <w:t>28</w:t>
            </w:r>
          </w:p>
        </w:tc>
      </w:tr>
      <w:tr>
        <w:trPr>
          <w:trHeight w:val="338"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71"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71" w:lineRule="exact"/>
              <w:ind w:left="202" w:right="0"/>
              <w:jc w:val="left"/>
              <w:rPr>
                <w:rFonts w:ascii="宋体" w:hAnsi="宋体" w:cs="宋体" w:eastAsia="宋体" w:hint="default"/>
                <w:sz w:val="21"/>
                <w:szCs w:val="21"/>
              </w:rPr>
            </w:pPr>
            <w:r>
              <w:rPr>
                <w:rFonts w:ascii="宋体" w:hAnsi="宋体" w:cs="宋体" w:eastAsia="宋体" w:hint="default"/>
                <w:sz w:val="21"/>
                <w:szCs w:val="21"/>
              </w:rPr>
              <w:t>北京市档案馆</w:t>
            </w:r>
          </w:p>
        </w:tc>
        <w:tc>
          <w:tcPr>
            <w:tcW w:w="1570" w:type="dxa"/>
            <w:tcBorders>
              <w:top w:val="nil" w:sz="6" w:space="0" w:color="auto"/>
              <w:left w:val="nil" w:sz="6" w:space="0" w:color="auto"/>
              <w:bottom w:val="nil" w:sz="6" w:space="0" w:color="auto"/>
              <w:right w:val="nil" w:sz="6" w:space="0" w:color="auto"/>
            </w:tcBorders>
          </w:tcPr>
          <w:p>
            <w:pPr>
              <w:pStyle w:val="TableParagraph"/>
              <w:spacing w:line="271" w:lineRule="exact"/>
              <w:ind w:right="97"/>
              <w:jc w:val="right"/>
              <w:rPr>
                <w:rFonts w:ascii="宋体" w:hAnsi="宋体" w:cs="宋体" w:eastAsia="宋体" w:hint="default"/>
                <w:sz w:val="21"/>
                <w:szCs w:val="21"/>
              </w:rPr>
            </w:pPr>
            <w:r>
              <w:rPr>
                <w:rFonts w:ascii="宋体"/>
                <w:sz w:val="21"/>
              </w:rPr>
              <w:t>99,500.00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7" w:lineRule="exact"/>
              <w:ind w:left="204"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7</w:t>
            </w:r>
            <w:r>
              <w:rPr>
                <w:rFonts w:ascii="Times New Roman"/>
                <w:sz w:val="21"/>
              </w:rPr>
              <w:t>-</w:t>
            </w:r>
            <w:r>
              <w:rPr>
                <w:rFonts w:ascii="宋体"/>
                <w:sz w:val="21"/>
              </w:rPr>
              <w:t>6</w:t>
            </w:r>
          </w:p>
        </w:tc>
        <w:tc>
          <w:tcPr>
            <w:tcW w:w="1330" w:type="dxa"/>
            <w:tcBorders>
              <w:top w:val="nil" w:sz="6" w:space="0" w:color="auto"/>
              <w:left w:val="nil" w:sz="6" w:space="0" w:color="auto"/>
              <w:bottom w:val="nil" w:sz="6" w:space="0" w:color="auto"/>
              <w:right w:val="nil" w:sz="6" w:space="0" w:color="auto"/>
            </w:tcBorders>
          </w:tcPr>
          <w:p>
            <w:pPr>
              <w:pStyle w:val="TableParagraph"/>
              <w:spacing w:line="287" w:lineRule="exact"/>
              <w:ind w:left="253"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7</w:t>
            </w:r>
            <w:r>
              <w:rPr>
                <w:rFonts w:ascii="Times New Roman"/>
                <w:sz w:val="21"/>
              </w:rPr>
              <w:t>-</w:t>
            </w:r>
            <w:r>
              <w:rPr>
                <w:rFonts w:ascii="宋体"/>
                <w:sz w:val="21"/>
              </w:rPr>
              <w:t>5</w:t>
            </w:r>
          </w:p>
        </w:tc>
      </w:tr>
      <w:tr>
        <w:trPr>
          <w:trHeight w:val="276"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上海市人力资源和社会</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242,400.00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204"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8</w:t>
            </w:r>
            <w:r>
              <w:rPr>
                <w:rFonts w:ascii="Times New Roman"/>
                <w:sz w:val="21"/>
              </w:rPr>
              <w:t>-</w:t>
            </w:r>
            <w:r>
              <w:rPr>
                <w:rFonts w:ascii="宋体"/>
                <w:sz w:val="21"/>
              </w:rPr>
              <w:t>6</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53"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2</w:t>
            </w:r>
            <w:r>
              <w:rPr>
                <w:rFonts w:ascii="Times New Roman"/>
                <w:sz w:val="21"/>
              </w:rPr>
              <w:t>-</w:t>
            </w:r>
            <w:r>
              <w:rPr>
                <w:rFonts w:ascii="宋体"/>
                <w:sz w:val="21"/>
              </w:rPr>
              <w:t>4</w:t>
            </w:r>
          </w:p>
        </w:tc>
      </w:tr>
    </w:tbl>
    <w:p>
      <w:pPr>
        <w:spacing w:after="0" w:line="281" w:lineRule="exact"/>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11"/>
          <w:szCs w:val="11"/>
        </w:rPr>
      </w:pPr>
    </w:p>
    <w:tbl>
      <w:tblPr>
        <w:tblW w:w="0" w:type="auto"/>
        <w:jc w:val="left"/>
        <w:tblInd w:w="530" w:type="dxa"/>
        <w:tblLayout w:type="fixed"/>
        <w:tblCellMar>
          <w:top w:w="0" w:type="dxa"/>
          <w:left w:w="0" w:type="dxa"/>
          <w:bottom w:w="0" w:type="dxa"/>
          <w:right w:w="0" w:type="dxa"/>
        </w:tblCellMar>
        <w:tblLook w:val="01E0"/>
      </w:tblPr>
      <w:tblGrid>
        <w:gridCol w:w="1452"/>
        <w:gridCol w:w="2514"/>
        <w:gridCol w:w="1570"/>
        <w:gridCol w:w="1229"/>
        <w:gridCol w:w="1330"/>
      </w:tblGrid>
      <w:tr>
        <w:trPr>
          <w:trHeight w:val="271" w:hRule="exact"/>
        </w:trPr>
        <w:tc>
          <w:tcPr>
            <w:tcW w:w="1452" w:type="dxa"/>
            <w:tcBorders>
              <w:top w:val="nil" w:sz="6" w:space="0" w:color="auto"/>
              <w:left w:val="nil" w:sz="6" w:space="0" w:color="auto"/>
              <w:bottom w:val="nil" w:sz="6" w:space="0" w:color="auto"/>
              <w:right w:val="nil" w:sz="6" w:space="0" w:color="auto"/>
            </w:tcBorders>
          </w:tcPr>
          <w:p>
            <w:pPr/>
          </w:p>
        </w:tc>
        <w:tc>
          <w:tcPr>
            <w:tcW w:w="2514" w:type="dxa"/>
            <w:tcBorders>
              <w:top w:val="nil" w:sz="6" w:space="0" w:color="auto"/>
              <w:left w:val="nil" w:sz="6" w:space="0" w:color="auto"/>
              <w:bottom w:val="nil" w:sz="6" w:space="0" w:color="auto"/>
              <w:right w:val="nil" w:sz="6" w:space="0" w:color="auto"/>
            </w:tcBorders>
          </w:tcPr>
          <w:p>
            <w:pPr>
              <w:pStyle w:val="TableParagraph"/>
              <w:spacing w:line="210" w:lineRule="exact"/>
              <w:ind w:left="202" w:right="0"/>
              <w:jc w:val="left"/>
              <w:rPr>
                <w:rFonts w:ascii="宋体" w:hAnsi="宋体" w:cs="宋体" w:eastAsia="宋体" w:hint="default"/>
                <w:sz w:val="21"/>
                <w:szCs w:val="21"/>
              </w:rPr>
            </w:pPr>
            <w:r>
              <w:rPr>
                <w:rFonts w:ascii="宋体" w:hAnsi="宋体" w:cs="宋体" w:eastAsia="宋体" w:hint="default"/>
                <w:sz w:val="21"/>
                <w:szCs w:val="21"/>
              </w:rPr>
              <w:t>保障局信息中心</w:t>
            </w:r>
          </w:p>
        </w:tc>
        <w:tc>
          <w:tcPr>
            <w:tcW w:w="1570" w:type="dxa"/>
            <w:tcBorders>
              <w:top w:val="nil" w:sz="6" w:space="0" w:color="auto"/>
              <w:left w:val="nil" w:sz="6" w:space="0" w:color="auto"/>
              <w:bottom w:val="nil" w:sz="6" w:space="0" w:color="auto"/>
              <w:right w:val="nil" w:sz="6" w:space="0" w:color="auto"/>
            </w:tcBorders>
          </w:tcPr>
          <w:p>
            <w:pPr/>
          </w:p>
        </w:tc>
        <w:tc>
          <w:tcPr>
            <w:tcW w:w="1229"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
        </w:tc>
      </w:tr>
      <w:tr>
        <w:trPr>
          <w:trHeight w:val="338"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71"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71"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上海市司法局</w:t>
            </w:r>
          </w:p>
        </w:tc>
        <w:tc>
          <w:tcPr>
            <w:tcW w:w="1570" w:type="dxa"/>
            <w:tcBorders>
              <w:top w:val="nil" w:sz="6" w:space="0" w:color="auto"/>
              <w:left w:val="nil" w:sz="6" w:space="0" w:color="auto"/>
              <w:bottom w:val="nil" w:sz="6" w:space="0" w:color="auto"/>
              <w:right w:val="nil" w:sz="6" w:space="0" w:color="auto"/>
            </w:tcBorders>
          </w:tcPr>
          <w:p>
            <w:pPr>
              <w:pStyle w:val="TableParagraph"/>
              <w:spacing w:line="271" w:lineRule="exact"/>
              <w:ind w:right="98"/>
              <w:jc w:val="right"/>
              <w:rPr>
                <w:rFonts w:ascii="宋体" w:hAnsi="宋体" w:cs="宋体" w:eastAsia="宋体" w:hint="default"/>
                <w:sz w:val="21"/>
                <w:szCs w:val="21"/>
              </w:rPr>
            </w:pPr>
            <w:r>
              <w:rPr>
                <w:rFonts w:ascii="宋体"/>
                <w:sz w:val="21"/>
              </w:rPr>
              <w:t>280,800.00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7" w:lineRule="exact"/>
              <w:ind w:left="98"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10</w:t>
            </w:r>
            <w:r>
              <w:rPr>
                <w:rFonts w:ascii="Times New Roman"/>
                <w:sz w:val="21"/>
              </w:rPr>
              <w:t>-</w:t>
            </w:r>
            <w:r>
              <w:rPr>
                <w:rFonts w:ascii="宋体"/>
                <w:sz w:val="21"/>
              </w:rPr>
              <w:t>30</w:t>
            </w:r>
          </w:p>
        </w:tc>
        <w:tc>
          <w:tcPr>
            <w:tcW w:w="1330" w:type="dxa"/>
            <w:tcBorders>
              <w:top w:val="nil" w:sz="6" w:space="0" w:color="auto"/>
              <w:left w:val="nil" w:sz="6" w:space="0" w:color="auto"/>
              <w:bottom w:val="nil" w:sz="6" w:space="0" w:color="auto"/>
              <w:right w:val="nil" w:sz="6" w:space="0" w:color="auto"/>
            </w:tcBorders>
          </w:tcPr>
          <w:p>
            <w:pPr>
              <w:pStyle w:val="TableParagraph"/>
              <w:spacing w:line="287" w:lineRule="exact"/>
              <w:ind w:left="201"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2</w:t>
            </w:r>
            <w:r>
              <w:rPr>
                <w:rFonts w:ascii="Times New Roman"/>
                <w:sz w:val="21"/>
              </w:rPr>
              <w:t>-</w:t>
            </w:r>
            <w:r>
              <w:rPr>
                <w:rFonts w:ascii="宋体"/>
                <w:sz w:val="21"/>
              </w:rPr>
              <w:t>28</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上海海事法院</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473,724.60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11</w:t>
            </w:r>
            <w:r>
              <w:rPr>
                <w:rFonts w:ascii="Times New Roman"/>
                <w:sz w:val="21"/>
              </w:rPr>
              <w:t>-</w:t>
            </w:r>
            <w:r>
              <w:rPr>
                <w:rFonts w:ascii="宋体"/>
                <w:sz w:val="21"/>
              </w:rPr>
              <w:t>5</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53"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3</w:t>
            </w:r>
            <w:r>
              <w:rPr>
                <w:rFonts w:ascii="Times New Roman"/>
                <w:sz w:val="21"/>
              </w:rPr>
              <w:t>-</w:t>
            </w:r>
            <w:r>
              <w:rPr>
                <w:rFonts w:ascii="宋体"/>
                <w:sz w:val="21"/>
              </w:rPr>
              <w:t>4</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预付款保函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上海海事法院</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149,332.80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11</w:t>
            </w:r>
            <w:r>
              <w:rPr>
                <w:rFonts w:ascii="Times New Roman"/>
                <w:sz w:val="21"/>
              </w:rPr>
              <w:t>-</w:t>
            </w:r>
            <w:r>
              <w:rPr>
                <w:rFonts w:ascii="宋体"/>
                <w:sz w:val="21"/>
              </w:rPr>
              <w:t>5</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53"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2</w:t>
            </w:r>
            <w:r>
              <w:rPr>
                <w:rFonts w:ascii="Times New Roman"/>
                <w:sz w:val="21"/>
              </w:rPr>
              <w:t>-</w:t>
            </w:r>
            <w:r>
              <w:rPr>
                <w:rFonts w:ascii="宋体"/>
                <w:sz w:val="21"/>
              </w:rPr>
              <w:t>4</w:t>
            </w:r>
          </w:p>
        </w:tc>
      </w:tr>
      <w:tr>
        <w:trPr>
          <w:trHeight w:val="639"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6"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73" w:lineRule="auto"/>
              <w:ind w:left="202" w:right="209"/>
              <w:jc w:val="left"/>
              <w:rPr>
                <w:rFonts w:ascii="宋体" w:hAnsi="宋体" w:cs="宋体" w:eastAsia="宋体" w:hint="default"/>
                <w:sz w:val="21"/>
                <w:szCs w:val="21"/>
              </w:rPr>
            </w:pPr>
            <w:r>
              <w:rPr>
                <w:rFonts w:ascii="宋体" w:hAnsi="宋体" w:cs="宋体" w:eastAsia="宋体" w:hint="default"/>
                <w:sz w:val="21"/>
                <w:szCs w:val="21"/>
              </w:rPr>
              <w:t>上海市人民检察院第一 分院</w:t>
            </w:r>
          </w:p>
        </w:tc>
        <w:tc>
          <w:tcPr>
            <w:tcW w:w="1570" w:type="dxa"/>
            <w:tcBorders>
              <w:top w:val="nil" w:sz="6" w:space="0" w:color="auto"/>
              <w:left w:val="nil" w:sz="6" w:space="0" w:color="auto"/>
              <w:bottom w:val="nil" w:sz="6" w:space="0" w:color="auto"/>
              <w:right w:val="nil" w:sz="6" w:space="0" w:color="auto"/>
            </w:tcBorders>
          </w:tcPr>
          <w:p>
            <w:pPr>
              <w:pStyle w:val="TableParagraph"/>
              <w:spacing w:line="266" w:lineRule="exact"/>
              <w:ind w:right="98"/>
              <w:jc w:val="right"/>
              <w:rPr>
                <w:rFonts w:ascii="宋体" w:hAnsi="宋体" w:cs="宋体" w:eastAsia="宋体" w:hint="default"/>
                <w:sz w:val="21"/>
                <w:szCs w:val="21"/>
              </w:rPr>
            </w:pPr>
            <w:r>
              <w:rPr>
                <w:rFonts w:ascii="宋体"/>
                <w:sz w:val="21"/>
              </w:rPr>
              <w:t>291,000.00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2" w:lineRule="exact"/>
              <w:ind w:left="98"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11</w:t>
            </w:r>
            <w:r>
              <w:rPr>
                <w:rFonts w:ascii="Times New Roman"/>
                <w:sz w:val="21"/>
              </w:rPr>
              <w:t>-</w:t>
            </w:r>
            <w:r>
              <w:rPr>
                <w:rFonts w:ascii="宋体"/>
                <w:sz w:val="21"/>
              </w:rPr>
              <w:t>19</w:t>
            </w:r>
          </w:p>
        </w:tc>
        <w:tc>
          <w:tcPr>
            <w:tcW w:w="1330" w:type="dxa"/>
            <w:tcBorders>
              <w:top w:val="nil" w:sz="6" w:space="0" w:color="auto"/>
              <w:left w:val="nil" w:sz="6" w:space="0" w:color="auto"/>
              <w:bottom w:val="nil" w:sz="6" w:space="0" w:color="auto"/>
              <w:right w:val="nil" w:sz="6" w:space="0" w:color="auto"/>
            </w:tcBorders>
          </w:tcPr>
          <w:p>
            <w:pPr>
              <w:pStyle w:val="TableParagraph"/>
              <w:spacing w:line="282" w:lineRule="exact"/>
              <w:ind w:left="201"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5</w:t>
            </w:r>
            <w:r>
              <w:rPr>
                <w:rFonts w:ascii="Times New Roman"/>
                <w:sz w:val="21"/>
              </w:rPr>
              <w:t>-</w:t>
            </w:r>
            <w:r>
              <w:rPr>
                <w:rFonts w:ascii="宋体"/>
                <w:sz w:val="21"/>
              </w:rPr>
              <w:t>19</w:t>
            </w:r>
          </w:p>
        </w:tc>
      </w:tr>
      <w:tr>
        <w:trPr>
          <w:trHeight w:val="338"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71" w:lineRule="exact"/>
              <w:ind w:left="200" w:right="0"/>
              <w:jc w:val="left"/>
              <w:rPr>
                <w:rFonts w:ascii="宋体" w:hAnsi="宋体" w:cs="宋体" w:eastAsia="宋体" w:hint="default"/>
                <w:sz w:val="21"/>
                <w:szCs w:val="21"/>
              </w:rPr>
            </w:pPr>
            <w:r>
              <w:rPr>
                <w:rFonts w:ascii="宋体" w:hAnsi="宋体" w:cs="宋体" w:eastAsia="宋体" w:hint="default"/>
                <w:sz w:val="21"/>
                <w:szCs w:val="21"/>
              </w:rPr>
              <w:t>预付款保函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71" w:lineRule="exact"/>
              <w:ind w:left="202" w:right="0"/>
              <w:jc w:val="left"/>
              <w:rPr>
                <w:rFonts w:ascii="宋体" w:hAnsi="宋体" w:cs="宋体" w:eastAsia="宋体" w:hint="default"/>
                <w:sz w:val="21"/>
                <w:szCs w:val="21"/>
              </w:rPr>
            </w:pPr>
            <w:r>
              <w:rPr>
                <w:rFonts w:ascii="宋体" w:hAnsi="宋体" w:cs="宋体" w:eastAsia="宋体" w:hint="default"/>
                <w:sz w:val="21"/>
                <w:szCs w:val="21"/>
              </w:rPr>
              <w:t>宁波市档案局</w:t>
            </w:r>
          </w:p>
        </w:tc>
        <w:tc>
          <w:tcPr>
            <w:tcW w:w="1570" w:type="dxa"/>
            <w:tcBorders>
              <w:top w:val="nil" w:sz="6" w:space="0" w:color="auto"/>
              <w:left w:val="nil" w:sz="6" w:space="0" w:color="auto"/>
              <w:bottom w:val="nil" w:sz="6" w:space="0" w:color="auto"/>
              <w:right w:val="nil" w:sz="6" w:space="0" w:color="auto"/>
            </w:tcBorders>
          </w:tcPr>
          <w:p>
            <w:pPr>
              <w:pStyle w:val="TableParagraph"/>
              <w:spacing w:line="271" w:lineRule="exact"/>
              <w:ind w:right="97"/>
              <w:jc w:val="right"/>
              <w:rPr>
                <w:rFonts w:ascii="宋体" w:hAnsi="宋体" w:cs="宋体" w:eastAsia="宋体" w:hint="default"/>
                <w:sz w:val="21"/>
                <w:szCs w:val="21"/>
              </w:rPr>
            </w:pPr>
            <w:r>
              <w:rPr>
                <w:rFonts w:ascii="宋体"/>
                <w:sz w:val="21"/>
              </w:rPr>
              <w:t>31,625.00</w:t>
            </w:r>
          </w:p>
        </w:tc>
        <w:tc>
          <w:tcPr>
            <w:tcW w:w="1229" w:type="dxa"/>
            <w:tcBorders>
              <w:top w:val="nil" w:sz="6" w:space="0" w:color="auto"/>
              <w:left w:val="nil" w:sz="6" w:space="0" w:color="auto"/>
              <w:bottom w:val="nil" w:sz="6" w:space="0" w:color="auto"/>
              <w:right w:val="nil" w:sz="6" w:space="0" w:color="auto"/>
            </w:tcBorders>
          </w:tcPr>
          <w:p>
            <w:pPr>
              <w:pStyle w:val="TableParagraph"/>
              <w:spacing w:line="287" w:lineRule="exact"/>
              <w:ind w:left="151"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12</w:t>
            </w:r>
            <w:r>
              <w:rPr>
                <w:rFonts w:ascii="Times New Roman"/>
                <w:sz w:val="21"/>
              </w:rPr>
              <w:t>-</w:t>
            </w:r>
            <w:r>
              <w:rPr>
                <w:rFonts w:ascii="宋体"/>
                <w:sz w:val="21"/>
              </w:rPr>
              <w:t>3</w:t>
            </w:r>
          </w:p>
        </w:tc>
        <w:tc>
          <w:tcPr>
            <w:tcW w:w="1330" w:type="dxa"/>
            <w:tcBorders>
              <w:top w:val="nil" w:sz="6" w:space="0" w:color="auto"/>
              <w:left w:val="nil" w:sz="6" w:space="0" w:color="auto"/>
              <w:bottom w:val="nil" w:sz="6" w:space="0" w:color="auto"/>
              <w:right w:val="nil" w:sz="6" w:space="0" w:color="auto"/>
            </w:tcBorders>
          </w:tcPr>
          <w:p>
            <w:pPr>
              <w:pStyle w:val="TableParagraph"/>
              <w:spacing w:line="287" w:lineRule="exact"/>
              <w:ind w:left="148"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11</w:t>
            </w:r>
            <w:r>
              <w:rPr>
                <w:rFonts w:ascii="Times New Roman"/>
                <w:sz w:val="21"/>
              </w:rPr>
              <w:t>-</w:t>
            </w:r>
            <w:r>
              <w:rPr>
                <w:rFonts w:ascii="宋体"/>
                <w:sz w:val="21"/>
              </w:rPr>
              <w:t>30</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预付款保函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宁波市档案局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31,625.00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12</w:t>
            </w:r>
            <w:r>
              <w:rPr>
                <w:rFonts w:ascii="Times New Roman"/>
                <w:sz w:val="21"/>
              </w:rPr>
              <w:t>-</w:t>
            </w:r>
            <w:r>
              <w:rPr>
                <w:rFonts w:ascii="宋体"/>
                <w:sz w:val="21"/>
              </w:rPr>
              <w:t>3</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2020</w:t>
            </w:r>
            <w:r>
              <w:rPr>
                <w:rFonts w:ascii="Times New Roman"/>
                <w:sz w:val="21"/>
              </w:rPr>
              <w:t>-</w:t>
            </w:r>
            <w:r>
              <w:rPr>
                <w:rFonts w:ascii="宋体"/>
                <w:sz w:val="21"/>
              </w:rPr>
              <w:t>1</w:t>
            </w:r>
            <w:r>
              <w:rPr>
                <w:rFonts w:ascii="Times New Roman"/>
                <w:sz w:val="21"/>
              </w:rPr>
              <w:t>-</w:t>
            </w:r>
            <w:r>
              <w:rPr>
                <w:rFonts w:ascii="宋体"/>
                <w:sz w:val="21"/>
              </w:rPr>
              <w:t>31</w:t>
            </w:r>
          </w:p>
        </w:tc>
      </w:tr>
      <w:tr>
        <w:trPr>
          <w:trHeight w:val="639"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预付款保函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73" w:lineRule="auto"/>
              <w:ind w:left="202" w:right="209"/>
              <w:jc w:val="left"/>
              <w:rPr>
                <w:rFonts w:ascii="宋体" w:hAnsi="宋体" w:cs="宋体" w:eastAsia="宋体" w:hint="default"/>
                <w:sz w:val="21"/>
                <w:szCs w:val="21"/>
              </w:rPr>
            </w:pPr>
            <w:r>
              <w:rPr>
                <w:rFonts w:ascii="宋体" w:hAnsi="宋体" w:cs="宋体" w:eastAsia="宋体" w:hint="default"/>
                <w:sz w:val="21"/>
                <w:szCs w:val="21"/>
              </w:rPr>
              <w:t>中共上海市委党校第五 分校</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22,944.40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151"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12</w:t>
            </w:r>
            <w:r>
              <w:rPr>
                <w:rFonts w:ascii="Times New Roman"/>
                <w:sz w:val="21"/>
              </w:rPr>
              <w:t>-</w:t>
            </w:r>
            <w:r>
              <w:rPr>
                <w:rFonts w:ascii="宋体"/>
                <w:sz w:val="21"/>
              </w:rPr>
              <w:t>5</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53"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6</w:t>
            </w:r>
            <w:r>
              <w:rPr>
                <w:rFonts w:ascii="Times New Roman"/>
                <w:sz w:val="21"/>
              </w:rPr>
              <w:t>-</w:t>
            </w:r>
            <w:r>
              <w:rPr>
                <w:rFonts w:ascii="宋体"/>
                <w:sz w:val="21"/>
              </w:rPr>
              <w:t>4</w:t>
            </w:r>
          </w:p>
        </w:tc>
      </w:tr>
      <w:tr>
        <w:trPr>
          <w:trHeight w:val="338"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71" w:lineRule="exact"/>
              <w:ind w:left="200" w:right="0"/>
              <w:jc w:val="left"/>
              <w:rPr>
                <w:rFonts w:ascii="宋体" w:hAnsi="宋体" w:cs="宋体" w:eastAsia="宋体" w:hint="default"/>
                <w:sz w:val="21"/>
                <w:szCs w:val="21"/>
              </w:rPr>
            </w:pPr>
            <w:r>
              <w:rPr>
                <w:rFonts w:ascii="宋体" w:hAnsi="宋体" w:cs="宋体" w:eastAsia="宋体" w:hint="default"/>
                <w:sz w:val="21"/>
                <w:szCs w:val="21"/>
              </w:rPr>
              <w:t>预付款保函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71" w:lineRule="exact"/>
              <w:ind w:left="202" w:right="0"/>
              <w:jc w:val="left"/>
              <w:rPr>
                <w:rFonts w:ascii="宋体" w:hAnsi="宋体" w:cs="宋体" w:eastAsia="宋体" w:hint="default"/>
                <w:sz w:val="21"/>
                <w:szCs w:val="21"/>
              </w:rPr>
            </w:pPr>
            <w:r>
              <w:rPr>
                <w:rFonts w:ascii="宋体" w:hAnsi="宋体" w:cs="宋体" w:eastAsia="宋体" w:hint="default"/>
                <w:sz w:val="21"/>
                <w:szCs w:val="21"/>
              </w:rPr>
              <w:t>启东市行政审批局</w:t>
            </w:r>
          </w:p>
        </w:tc>
        <w:tc>
          <w:tcPr>
            <w:tcW w:w="1570" w:type="dxa"/>
            <w:tcBorders>
              <w:top w:val="nil" w:sz="6" w:space="0" w:color="auto"/>
              <w:left w:val="nil" w:sz="6" w:space="0" w:color="auto"/>
              <w:bottom w:val="nil" w:sz="6" w:space="0" w:color="auto"/>
              <w:right w:val="nil" w:sz="6" w:space="0" w:color="auto"/>
            </w:tcBorders>
          </w:tcPr>
          <w:p>
            <w:pPr>
              <w:pStyle w:val="TableParagraph"/>
              <w:spacing w:line="271" w:lineRule="exact"/>
              <w:ind w:right="97"/>
              <w:jc w:val="right"/>
              <w:rPr>
                <w:rFonts w:ascii="宋体" w:hAnsi="宋体" w:cs="宋体" w:eastAsia="宋体" w:hint="default"/>
                <w:sz w:val="21"/>
                <w:szCs w:val="21"/>
              </w:rPr>
            </w:pPr>
            <w:r>
              <w:rPr>
                <w:rFonts w:ascii="宋体"/>
                <w:sz w:val="21"/>
              </w:rPr>
              <w:t>30,000.00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7" w:lineRule="exact"/>
              <w:ind w:left="151"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12</w:t>
            </w:r>
            <w:r>
              <w:rPr>
                <w:rFonts w:ascii="Times New Roman"/>
                <w:sz w:val="21"/>
              </w:rPr>
              <w:t>-</w:t>
            </w:r>
            <w:r>
              <w:rPr>
                <w:rFonts w:ascii="宋体"/>
                <w:sz w:val="21"/>
              </w:rPr>
              <w:t>5</w:t>
            </w:r>
          </w:p>
        </w:tc>
        <w:tc>
          <w:tcPr>
            <w:tcW w:w="1330" w:type="dxa"/>
            <w:tcBorders>
              <w:top w:val="nil" w:sz="6" w:space="0" w:color="auto"/>
              <w:left w:val="nil" w:sz="6" w:space="0" w:color="auto"/>
              <w:bottom w:val="nil" w:sz="6" w:space="0" w:color="auto"/>
              <w:right w:val="nil" w:sz="6" w:space="0" w:color="auto"/>
            </w:tcBorders>
          </w:tcPr>
          <w:p>
            <w:pPr>
              <w:pStyle w:val="TableParagraph"/>
              <w:spacing w:line="287" w:lineRule="exact"/>
              <w:ind w:left="148"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12</w:t>
            </w:r>
            <w:r>
              <w:rPr>
                <w:rFonts w:ascii="Times New Roman"/>
                <w:sz w:val="21"/>
              </w:rPr>
              <w:t>-</w:t>
            </w:r>
            <w:r>
              <w:rPr>
                <w:rFonts w:ascii="宋体"/>
                <w:sz w:val="21"/>
              </w:rPr>
              <w:t>31</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上海市档案馆</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154,000.00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12</w:t>
            </w:r>
            <w:r>
              <w:rPr>
                <w:rFonts w:ascii="Times New Roman"/>
                <w:sz w:val="21"/>
              </w:rPr>
              <w:t>-</w:t>
            </w:r>
            <w:r>
              <w:rPr>
                <w:rFonts w:ascii="宋体"/>
                <w:sz w:val="21"/>
              </w:rPr>
              <w:t>12</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4</w:t>
            </w:r>
            <w:r>
              <w:rPr>
                <w:rFonts w:ascii="Times New Roman"/>
                <w:sz w:val="21"/>
              </w:rPr>
              <w:t>-</w:t>
            </w:r>
            <w:r>
              <w:rPr>
                <w:rFonts w:ascii="宋体"/>
                <w:sz w:val="21"/>
              </w:rPr>
              <w:t>30</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晋中市商务粮食局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1,399,234.50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12</w:t>
            </w:r>
            <w:r>
              <w:rPr>
                <w:rFonts w:ascii="Times New Roman"/>
                <w:sz w:val="21"/>
              </w:rPr>
              <w:t>-</w:t>
            </w:r>
            <w:r>
              <w:rPr>
                <w:rFonts w:ascii="宋体"/>
                <w:sz w:val="21"/>
              </w:rPr>
              <w:t>12</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2020</w:t>
            </w:r>
            <w:r>
              <w:rPr>
                <w:rFonts w:ascii="Times New Roman"/>
                <w:sz w:val="21"/>
              </w:rPr>
              <w:t>-</w:t>
            </w:r>
            <w:r>
              <w:rPr>
                <w:rFonts w:ascii="宋体"/>
                <w:sz w:val="21"/>
              </w:rPr>
              <w:t>6</w:t>
            </w:r>
            <w:r>
              <w:rPr>
                <w:rFonts w:ascii="Times New Roman"/>
                <w:sz w:val="21"/>
              </w:rPr>
              <w:t>-</w:t>
            </w:r>
            <w:r>
              <w:rPr>
                <w:rFonts w:ascii="宋体"/>
                <w:sz w:val="21"/>
              </w:rPr>
              <w:t>30</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北京市监狱管理局</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2,230,046.90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12</w:t>
            </w:r>
            <w:r>
              <w:rPr>
                <w:rFonts w:ascii="Times New Roman"/>
                <w:sz w:val="21"/>
              </w:rPr>
              <w:t>-</w:t>
            </w:r>
            <w:r>
              <w:rPr>
                <w:rFonts w:ascii="宋体"/>
                <w:sz w:val="21"/>
              </w:rPr>
              <w:t>19</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148"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12</w:t>
            </w:r>
            <w:r>
              <w:rPr>
                <w:rFonts w:ascii="Times New Roman"/>
                <w:sz w:val="21"/>
              </w:rPr>
              <w:t>-</w:t>
            </w:r>
            <w:r>
              <w:rPr>
                <w:rFonts w:ascii="宋体"/>
                <w:sz w:val="21"/>
              </w:rPr>
              <w:t>17</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天津市政府采购中心</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78,600.00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12</w:t>
            </w:r>
            <w:r>
              <w:rPr>
                <w:rFonts w:ascii="Times New Roman"/>
                <w:sz w:val="21"/>
              </w:rPr>
              <w:t>-</w:t>
            </w:r>
            <w:r>
              <w:rPr>
                <w:rFonts w:ascii="宋体"/>
                <w:sz w:val="21"/>
              </w:rPr>
              <w:t>20</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6</w:t>
            </w:r>
            <w:r>
              <w:rPr>
                <w:rFonts w:ascii="Times New Roman"/>
                <w:sz w:val="21"/>
              </w:rPr>
              <w:t>-</w:t>
            </w:r>
            <w:r>
              <w:rPr>
                <w:rFonts w:ascii="宋体"/>
                <w:sz w:val="21"/>
              </w:rPr>
              <w:t>19</w:t>
            </w:r>
          </w:p>
        </w:tc>
      </w:tr>
      <w:tr>
        <w:trPr>
          <w:trHeight w:val="332"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65" w:lineRule="exact"/>
              <w:ind w:left="202" w:right="0"/>
              <w:jc w:val="left"/>
              <w:rPr>
                <w:rFonts w:ascii="宋体" w:hAnsi="宋体" w:cs="宋体" w:eastAsia="宋体" w:hint="default"/>
                <w:sz w:val="21"/>
                <w:szCs w:val="21"/>
              </w:rPr>
            </w:pPr>
            <w:r>
              <w:rPr>
                <w:rFonts w:ascii="宋体" w:hAnsi="宋体" w:cs="宋体" w:eastAsia="宋体" w:hint="default"/>
                <w:sz w:val="21"/>
                <w:szCs w:val="21"/>
              </w:rPr>
              <w:t>沈阳市服务业委员会</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1,999,023.45</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12</w:t>
            </w:r>
            <w:r>
              <w:rPr>
                <w:rFonts w:ascii="Times New Roman"/>
                <w:sz w:val="21"/>
              </w:rPr>
              <w:t>-</w:t>
            </w:r>
            <w:r>
              <w:rPr>
                <w:rFonts w:ascii="宋体"/>
                <w:sz w:val="21"/>
              </w:rPr>
              <w:t>20</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2020</w:t>
            </w:r>
            <w:r>
              <w:rPr>
                <w:rFonts w:ascii="Times New Roman"/>
                <w:sz w:val="21"/>
              </w:rPr>
              <w:t>-</w:t>
            </w:r>
            <w:r>
              <w:rPr>
                <w:rFonts w:ascii="宋体"/>
                <w:sz w:val="21"/>
              </w:rPr>
              <w:t>9</w:t>
            </w:r>
            <w:r>
              <w:rPr>
                <w:rFonts w:ascii="Times New Roman"/>
                <w:sz w:val="21"/>
              </w:rPr>
              <w:t>-</w:t>
            </w:r>
            <w:r>
              <w:rPr>
                <w:rFonts w:ascii="宋体"/>
                <w:sz w:val="21"/>
              </w:rPr>
              <w:t>12</w:t>
            </w:r>
          </w:p>
        </w:tc>
      </w:tr>
      <w:tr>
        <w:trPr>
          <w:trHeight w:val="638"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履约保函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73" w:lineRule="auto"/>
              <w:ind w:left="202" w:right="209"/>
              <w:jc w:val="left"/>
              <w:rPr>
                <w:rFonts w:ascii="宋体" w:hAnsi="宋体" w:cs="宋体" w:eastAsia="宋体" w:hint="default"/>
                <w:sz w:val="21"/>
                <w:szCs w:val="21"/>
              </w:rPr>
            </w:pPr>
            <w:r>
              <w:rPr>
                <w:rFonts w:ascii="宋体" w:hAnsi="宋体" w:cs="宋体" w:eastAsia="宋体" w:hint="default"/>
                <w:sz w:val="21"/>
                <w:szCs w:val="21"/>
              </w:rPr>
              <w:t>江苏盱眙龙虾产业发展 股份有限公司</w:t>
            </w: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8"/>
              <w:jc w:val="right"/>
              <w:rPr>
                <w:rFonts w:ascii="宋体" w:hAnsi="宋体" w:cs="宋体" w:eastAsia="宋体" w:hint="default"/>
                <w:sz w:val="21"/>
                <w:szCs w:val="21"/>
              </w:rPr>
            </w:pPr>
            <w:r>
              <w:rPr>
                <w:rFonts w:ascii="宋体"/>
                <w:sz w:val="21"/>
              </w:rPr>
              <w:t>178,000.00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1" w:lineRule="exact"/>
              <w:ind w:left="98"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12</w:t>
            </w:r>
            <w:r>
              <w:rPr>
                <w:rFonts w:ascii="Times New Roman"/>
                <w:sz w:val="21"/>
              </w:rPr>
              <w:t>-</w:t>
            </w:r>
            <w:r>
              <w:rPr>
                <w:rFonts w:ascii="宋体"/>
                <w:sz w:val="21"/>
              </w:rPr>
              <w:t>26</w:t>
            </w:r>
          </w:p>
        </w:tc>
        <w:tc>
          <w:tcPr>
            <w:tcW w:w="1330" w:type="dxa"/>
            <w:tcBorders>
              <w:top w:val="nil" w:sz="6" w:space="0" w:color="auto"/>
              <w:left w:val="nil" w:sz="6" w:space="0" w:color="auto"/>
              <w:bottom w:val="nil" w:sz="6" w:space="0" w:color="auto"/>
              <w:right w:val="nil" w:sz="6" w:space="0" w:color="auto"/>
            </w:tcBorders>
          </w:tcPr>
          <w:p>
            <w:pPr>
              <w:pStyle w:val="TableParagraph"/>
              <w:spacing w:line="281" w:lineRule="exact"/>
              <w:ind w:left="201"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8</w:t>
            </w:r>
            <w:r>
              <w:rPr>
                <w:rFonts w:ascii="Times New Roman"/>
                <w:sz w:val="21"/>
              </w:rPr>
              <w:t>-</w:t>
            </w:r>
            <w:r>
              <w:rPr>
                <w:rFonts w:ascii="宋体"/>
                <w:sz w:val="21"/>
              </w:rPr>
              <w:t>25</w:t>
            </w:r>
          </w:p>
        </w:tc>
      </w:tr>
      <w:tr>
        <w:trPr>
          <w:trHeight w:val="338"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71" w:lineRule="exact"/>
              <w:ind w:left="200" w:right="0"/>
              <w:jc w:val="left"/>
              <w:rPr>
                <w:rFonts w:ascii="宋体" w:hAnsi="宋体" w:cs="宋体" w:eastAsia="宋体" w:hint="default"/>
                <w:sz w:val="21"/>
                <w:szCs w:val="21"/>
              </w:rPr>
            </w:pPr>
            <w:r>
              <w:rPr>
                <w:rFonts w:ascii="宋体" w:hAnsi="宋体" w:cs="宋体" w:eastAsia="宋体" w:hint="default"/>
                <w:sz w:val="21"/>
                <w:szCs w:val="21"/>
              </w:rPr>
              <w:t>质量保函</w:t>
            </w:r>
          </w:p>
        </w:tc>
        <w:tc>
          <w:tcPr>
            <w:tcW w:w="2514" w:type="dxa"/>
            <w:tcBorders>
              <w:top w:val="nil" w:sz="6" w:space="0" w:color="auto"/>
              <w:left w:val="nil" w:sz="6" w:space="0" w:color="auto"/>
              <w:bottom w:val="nil" w:sz="6" w:space="0" w:color="auto"/>
              <w:right w:val="nil" w:sz="6" w:space="0" w:color="auto"/>
            </w:tcBorders>
          </w:tcPr>
          <w:p>
            <w:pPr>
              <w:pStyle w:val="TableParagraph"/>
              <w:spacing w:line="271" w:lineRule="exact"/>
              <w:ind w:left="202" w:right="0"/>
              <w:jc w:val="left"/>
              <w:rPr>
                <w:rFonts w:ascii="宋体" w:hAnsi="宋体" w:cs="宋体" w:eastAsia="宋体" w:hint="default"/>
                <w:sz w:val="21"/>
                <w:szCs w:val="21"/>
              </w:rPr>
            </w:pPr>
            <w:r>
              <w:rPr>
                <w:rFonts w:ascii="宋体" w:hAnsi="宋体" w:cs="宋体" w:eastAsia="宋体" w:hint="default"/>
                <w:sz w:val="21"/>
                <w:szCs w:val="21"/>
              </w:rPr>
              <w:t>国家档案局</w:t>
            </w:r>
          </w:p>
        </w:tc>
        <w:tc>
          <w:tcPr>
            <w:tcW w:w="1570" w:type="dxa"/>
            <w:tcBorders>
              <w:top w:val="nil" w:sz="6" w:space="0" w:color="auto"/>
              <w:left w:val="nil" w:sz="6" w:space="0" w:color="auto"/>
              <w:bottom w:val="nil" w:sz="6" w:space="0" w:color="auto"/>
              <w:right w:val="nil" w:sz="6" w:space="0" w:color="auto"/>
            </w:tcBorders>
          </w:tcPr>
          <w:p>
            <w:pPr>
              <w:pStyle w:val="TableParagraph"/>
              <w:spacing w:line="271" w:lineRule="exact"/>
              <w:ind w:right="97"/>
              <w:jc w:val="right"/>
              <w:rPr>
                <w:rFonts w:ascii="宋体" w:hAnsi="宋体" w:cs="宋体" w:eastAsia="宋体" w:hint="default"/>
                <w:sz w:val="21"/>
                <w:szCs w:val="21"/>
              </w:rPr>
            </w:pPr>
            <w:r>
              <w:rPr>
                <w:rFonts w:ascii="宋体"/>
                <w:sz w:val="21"/>
              </w:rPr>
              <w:t>30,000.00</w:t>
            </w:r>
          </w:p>
        </w:tc>
        <w:tc>
          <w:tcPr>
            <w:tcW w:w="1229" w:type="dxa"/>
            <w:tcBorders>
              <w:top w:val="nil" w:sz="6" w:space="0" w:color="auto"/>
              <w:left w:val="nil" w:sz="6" w:space="0" w:color="auto"/>
              <w:bottom w:val="nil" w:sz="6" w:space="0" w:color="auto"/>
              <w:right w:val="nil" w:sz="6" w:space="0" w:color="auto"/>
            </w:tcBorders>
          </w:tcPr>
          <w:p>
            <w:pPr>
              <w:pStyle w:val="TableParagraph"/>
              <w:spacing w:line="286" w:lineRule="exact"/>
              <w:ind w:left="151" w:right="0"/>
              <w:jc w:val="left"/>
              <w:rPr>
                <w:rFonts w:ascii="宋体" w:hAnsi="宋体" w:cs="宋体" w:eastAsia="宋体" w:hint="default"/>
                <w:sz w:val="21"/>
                <w:szCs w:val="21"/>
              </w:rPr>
            </w:pPr>
            <w:r>
              <w:rPr>
                <w:rFonts w:ascii="宋体"/>
                <w:sz w:val="21"/>
              </w:rPr>
              <w:t>2018</w:t>
            </w:r>
            <w:r>
              <w:rPr>
                <w:rFonts w:ascii="Times New Roman"/>
                <w:sz w:val="21"/>
              </w:rPr>
              <w:t>-</w:t>
            </w:r>
            <w:r>
              <w:rPr>
                <w:rFonts w:ascii="宋体"/>
                <w:sz w:val="21"/>
              </w:rPr>
              <w:t>6</w:t>
            </w:r>
            <w:r>
              <w:rPr>
                <w:rFonts w:ascii="Times New Roman"/>
                <w:sz w:val="21"/>
              </w:rPr>
              <w:t>-</w:t>
            </w:r>
            <w:r>
              <w:rPr>
                <w:rFonts w:ascii="宋体"/>
                <w:sz w:val="21"/>
              </w:rPr>
              <w:t>29</w:t>
            </w:r>
          </w:p>
        </w:tc>
        <w:tc>
          <w:tcPr>
            <w:tcW w:w="1330" w:type="dxa"/>
            <w:tcBorders>
              <w:top w:val="nil" w:sz="6" w:space="0" w:color="auto"/>
              <w:left w:val="nil" w:sz="6" w:space="0" w:color="auto"/>
              <w:bottom w:val="nil" w:sz="6" w:space="0" w:color="auto"/>
              <w:right w:val="nil" w:sz="6" w:space="0" w:color="auto"/>
            </w:tcBorders>
          </w:tcPr>
          <w:p>
            <w:pPr>
              <w:pStyle w:val="TableParagraph"/>
              <w:spacing w:line="286" w:lineRule="exact"/>
              <w:ind w:left="253" w:right="0"/>
              <w:jc w:val="left"/>
              <w:rPr>
                <w:rFonts w:ascii="宋体" w:hAnsi="宋体" w:cs="宋体" w:eastAsia="宋体" w:hint="default"/>
                <w:sz w:val="21"/>
                <w:szCs w:val="21"/>
              </w:rPr>
            </w:pPr>
            <w:r>
              <w:rPr>
                <w:rFonts w:ascii="宋体"/>
                <w:sz w:val="21"/>
              </w:rPr>
              <w:t>2019</w:t>
            </w:r>
            <w:r>
              <w:rPr>
                <w:rFonts w:ascii="Times New Roman"/>
                <w:sz w:val="21"/>
              </w:rPr>
              <w:t>-</w:t>
            </w:r>
            <w:r>
              <w:rPr>
                <w:rFonts w:ascii="宋体"/>
                <w:sz w:val="21"/>
              </w:rPr>
              <w:t>1</w:t>
            </w:r>
            <w:r>
              <w:rPr>
                <w:rFonts w:ascii="Times New Roman"/>
                <w:sz w:val="21"/>
              </w:rPr>
              <w:t>-</w:t>
            </w:r>
            <w:r>
              <w:rPr>
                <w:rFonts w:ascii="宋体"/>
                <w:sz w:val="21"/>
              </w:rPr>
              <w:t>1</w:t>
            </w:r>
          </w:p>
        </w:tc>
      </w:tr>
      <w:tr>
        <w:trPr>
          <w:trHeight w:val="265" w:hRule="exact"/>
        </w:trPr>
        <w:tc>
          <w:tcPr>
            <w:tcW w:w="1452" w:type="dxa"/>
            <w:tcBorders>
              <w:top w:val="nil" w:sz="6" w:space="0" w:color="auto"/>
              <w:left w:val="nil" w:sz="6" w:space="0" w:color="auto"/>
              <w:bottom w:val="nil" w:sz="6" w:space="0" w:color="auto"/>
              <w:right w:val="nil" w:sz="6" w:space="0" w:color="auto"/>
            </w:tcBorders>
          </w:tcPr>
          <w:p>
            <w:pPr>
              <w:pStyle w:val="TableParagraph"/>
              <w:spacing w:line="265" w:lineRule="exact"/>
              <w:ind w:left="601" w:right="0"/>
              <w:jc w:val="left"/>
              <w:rPr>
                <w:rFonts w:ascii="宋体" w:hAnsi="宋体" w:cs="宋体" w:eastAsia="宋体" w:hint="default"/>
                <w:sz w:val="21"/>
                <w:szCs w:val="21"/>
              </w:rPr>
            </w:pPr>
            <w:r>
              <w:rPr>
                <w:rFonts w:ascii="宋体" w:hAnsi="宋体" w:cs="宋体" w:eastAsia="宋体" w:hint="default"/>
                <w:sz w:val="21"/>
                <w:szCs w:val="21"/>
              </w:rPr>
              <w:t>合计数</w:t>
            </w:r>
          </w:p>
        </w:tc>
        <w:tc>
          <w:tcPr>
            <w:tcW w:w="2514" w:type="dxa"/>
            <w:tcBorders>
              <w:top w:val="nil" w:sz="6" w:space="0" w:color="auto"/>
              <w:left w:val="nil" w:sz="6" w:space="0" w:color="auto"/>
              <w:bottom w:val="nil" w:sz="6" w:space="0" w:color="auto"/>
              <w:right w:val="nil" w:sz="6" w:space="0" w:color="auto"/>
            </w:tcBorders>
          </w:tcPr>
          <w:p>
            <w:pPr/>
          </w:p>
        </w:tc>
        <w:tc>
          <w:tcPr>
            <w:tcW w:w="1570" w:type="dxa"/>
            <w:tcBorders>
              <w:top w:val="nil" w:sz="6" w:space="0" w:color="auto"/>
              <w:left w:val="nil" w:sz="6" w:space="0" w:color="auto"/>
              <w:bottom w:val="nil" w:sz="6" w:space="0" w:color="auto"/>
              <w:right w:val="nil" w:sz="6" w:space="0" w:color="auto"/>
            </w:tcBorders>
          </w:tcPr>
          <w:p>
            <w:pPr>
              <w:pStyle w:val="TableParagraph"/>
              <w:spacing w:line="265" w:lineRule="exact"/>
              <w:ind w:right="97"/>
              <w:jc w:val="right"/>
              <w:rPr>
                <w:rFonts w:ascii="宋体" w:hAnsi="宋体" w:cs="宋体" w:eastAsia="宋体" w:hint="default"/>
                <w:sz w:val="21"/>
                <w:szCs w:val="21"/>
              </w:rPr>
            </w:pPr>
            <w:r>
              <w:rPr>
                <w:rFonts w:ascii="宋体"/>
                <w:sz w:val="21"/>
              </w:rPr>
              <w:t>21,004,505.52</w:t>
            </w:r>
          </w:p>
        </w:tc>
        <w:tc>
          <w:tcPr>
            <w:tcW w:w="1229" w:type="dxa"/>
            <w:tcBorders>
              <w:top w:val="nil" w:sz="6" w:space="0" w:color="auto"/>
              <w:left w:val="nil" w:sz="6" w:space="0" w:color="auto"/>
              <w:bottom w:val="nil" w:sz="6" w:space="0" w:color="auto"/>
              <w:right w:val="nil" w:sz="6" w:space="0" w:color="auto"/>
            </w:tcBorders>
          </w:tcPr>
          <w:p>
            <w:pPr/>
          </w:p>
        </w:tc>
        <w:tc>
          <w:tcPr>
            <w:tcW w:w="1330" w:type="dxa"/>
            <w:tcBorders>
              <w:top w:val="nil" w:sz="6" w:space="0" w:color="auto"/>
              <w:left w:val="nil" w:sz="6" w:space="0" w:color="auto"/>
              <w:bottom w:val="nil" w:sz="6" w:space="0" w:color="auto"/>
              <w:right w:val="nil" w:sz="6" w:space="0" w:color="auto"/>
            </w:tcBorders>
          </w:tcPr>
          <w:p>
            <w:pPr/>
          </w:p>
        </w:tc>
      </w:tr>
    </w:tbl>
    <w:p>
      <w:pPr>
        <w:spacing w:line="256" w:lineRule="auto" w:before="46"/>
        <w:ind w:left="1390" w:right="1124" w:firstLine="0"/>
        <w:jc w:val="left"/>
        <w:rPr>
          <w:rFonts w:ascii="宋体" w:hAnsi="宋体" w:cs="宋体" w:eastAsia="宋体" w:hint="default"/>
          <w:sz w:val="21"/>
          <w:szCs w:val="21"/>
        </w:rPr>
      </w:pPr>
      <w:r>
        <w:rPr>
          <w:rFonts w:ascii="宋体" w:hAnsi="宋体" w:cs="宋体" w:eastAsia="宋体" w:hint="default"/>
          <w:sz w:val="21"/>
          <w:szCs w:val="21"/>
        </w:rPr>
        <w:t>开具上述保函，公司存入的保证金金额为</w:t>
      </w:r>
      <w:r>
        <w:rPr>
          <w:rFonts w:ascii="Times New Roman" w:hAnsi="Times New Roman" w:cs="Times New Roman" w:eastAsia="Times New Roman" w:hint="default"/>
          <w:sz w:val="21"/>
          <w:szCs w:val="21"/>
        </w:rPr>
        <w:t>4,568,759.10</w:t>
      </w:r>
      <w:r>
        <w:rPr>
          <w:rFonts w:ascii="宋体" w:hAnsi="宋体" w:cs="宋体" w:eastAsia="宋体" w:hint="default"/>
          <w:sz w:val="21"/>
          <w:szCs w:val="21"/>
        </w:rPr>
        <w:t>元。 </w:t>
      </w:r>
      <w:r>
        <w:rPr>
          <w:rFonts w:ascii="宋体" w:hAnsi="宋体" w:cs="宋体" w:eastAsia="宋体" w:hint="default"/>
          <w:spacing w:val="-1"/>
          <w:sz w:val="21"/>
          <w:szCs w:val="21"/>
        </w:rPr>
        <w:t>此外，公司与上海银行签订编号为《</w:t>
      </w:r>
      <w:r>
        <w:rPr>
          <w:rFonts w:ascii="Times New Roman" w:hAnsi="Times New Roman" w:cs="Times New Roman" w:eastAsia="Times New Roman" w:hint="default"/>
          <w:spacing w:val="-1"/>
          <w:sz w:val="21"/>
          <w:szCs w:val="21"/>
        </w:rPr>
        <w:t>212180041002</w:t>
      </w:r>
      <w:r>
        <w:rPr>
          <w:rFonts w:ascii="宋体" w:hAnsi="宋体" w:cs="宋体" w:eastAsia="宋体" w:hint="default"/>
          <w:spacing w:val="-1"/>
          <w:sz w:val="21"/>
          <w:szCs w:val="21"/>
        </w:rPr>
        <w:t>》的银行承兑汇票承兑合同，截止</w:t>
      </w:r>
      <w:r>
        <w:rPr>
          <w:rFonts w:ascii="Times New Roman" w:hAnsi="Times New Roman" w:cs="Times New Roman" w:eastAsia="Times New Roman" w:hint="default"/>
          <w:spacing w:val="-1"/>
          <w:sz w:val="21"/>
          <w:szCs w:val="21"/>
        </w:rPr>
        <w:t>2018</w:t>
      </w:r>
      <w:r>
        <w:rPr>
          <w:rFonts w:ascii="宋体" w:hAnsi="宋体" w:cs="宋体" w:eastAsia="宋体" w:hint="default"/>
          <w:spacing w:val="-1"/>
          <w:sz w:val="21"/>
          <w:szCs w:val="21"/>
        </w:rPr>
        <w:t>年</w:t>
      </w:r>
      <w:r>
        <w:rPr>
          <w:rFonts w:ascii="宋体" w:hAnsi="宋体" w:cs="宋体" w:eastAsia="宋体" w:hint="default"/>
          <w:spacing w:val="-95"/>
          <w:sz w:val="21"/>
          <w:szCs w:val="21"/>
        </w:rPr>
        <w:t> </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日，银行承兑汇票保证金余额为</w:t>
      </w:r>
      <w:r>
        <w:rPr>
          <w:rFonts w:ascii="Times New Roman" w:hAnsi="Times New Roman" w:cs="Times New Roman" w:eastAsia="Times New Roman" w:hint="default"/>
          <w:sz w:val="21"/>
          <w:szCs w:val="21"/>
        </w:rPr>
        <w:t>3,000,000</w:t>
      </w:r>
      <w:r>
        <w:rPr>
          <w:rFonts w:ascii="宋体" w:hAnsi="宋体" w:cs="宋体" w:eastAsia="宋体" w:hint="default"/>
          <w:sz w:val="21"/>
          <w:szCs w:val="21"/>
        </w:rPr>
        <w:t>元。</w:t>
      </w:r>
    </w:p>
    <w:p>
      <w:pPr>
        <w:spacing w:line="240" w:lineRule="auto" w:before="3"/>
        <w:rPr>
          <w:rFonts w:ascii="宋体" w:hAnsi="宋体" w:cs="宋体" w:eastAsia="宋体" w:hint="default"/>
          <w:sz w:val="24"/>
          <w:szCs w:val="24"/>
        </w:rPr>
      </w:pPr>
    </w:p>
    <w:p>
      <w:pPr>
        <w:spacing w:line="261" w:lineRule="auto" w:before="0"/>
        <w:ind w:left="1390" w:right="1011" w:firstLine="0"/>
        <w:jc w:val="left"/>
        <w:rPr>
          <w:rFonts w:ascii="宋体" w:hAnsi="宋体" w:cs="宋体" w:eastAsia="宋体" w:hint="default"/>
          <w:sz w:val="21"/>
          <w:szCs w:val="21"/>
        </w:rPr>
      </w:pPr>
      <w:r>
        <w:rPr>
          <w:rFonts w:ascii="宋体" w:hAnsi="宋体" w:cs="宋体" w:eastAsia="宋体" w:hint="default"/>
          <w:sz w:val="21"/>
          <w:szCs w:val="21"/>
        </w:rPr>
        <w:t>（</w:t>
      </w:r>
      <w:r>
        <w:rPr>
          <w:rFonts w:ascii="Times New Roman" w:hAnsi="Times New Roman" w:cs="Times New Roman" w:eastAsia="Times New Roman" w:hint="default"/>
          <w:sz w:val="21"/>
          <w:szCs w:val="21"/>
        </w:rPr>
        <w:t>2</w:t>
      </w:r>
      <w:r>
        <w:rPr>
          <w:rFonts w:ascii="宋体" w:hAnsi="宋体" w:cs="宋体" w:eastAsia="宋体" w:hint="default"/>
          <w:sz w:val="21"/>
          <w:szCs w:val="21"/>
        </w:rPr>
        <w:t>）截止</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日，抵押资产的情况 </w:t>
      </w:r>
      <w:r>
        <w:rPr>
          <w:rFonts w:ascii="宋体" w:hAnsi="宋体" w:cs="宋体" w:eastAsia="宋体" w:hint="default"/>
          <w:spacing w:val="-1"/>
          <w:sz w:val="21"/>
          <w:szCs w:val="21"/>
        </w:rPr>
        <w:t>子公司光典信息发展有限公司新建“光典智能物联网、档案数据处理中试基地新建厂房”项</w:t>
      </w:r>
      <w:r>
        <w:rPr>
          <w:rFonts w:ascii="宋体" w:hAnsi="宋体" w:cs="宋体" w:eastAsia="宋体" w:hint="default"/>
          <w:sz w:val="21"/>
          <w:szCs w:val="21"/>
        </w:rPr>
        <w:t> </w:t>
      </w:r>
      <w:r>
        <w:rPr>
          <w:rFonts w:ascii="宋体" w:hAnsi="宋体" w:cs="宋体" w:eastAsia="宋体" w:hint="default"/>
          <w:spacing w:val="-1"/>
          <w:sz w:val="21"/>
          <w:szCs w:val="21"/>
        </w:rPr>
        <w:t>目，该项目位于青浦区崧泽大道</w:t>
      </w:r>
      <w:r>
        <w:rPr>
          <w:rFonts w:ascii="Times New Roman" w:hAnsi="Times New Roman" w:cs="Times New Roman" w:eastAsia="Times New Roman" w:hint="default"/>
          <w:spacing w:val="-1"/>
          <w:sz w:val="21"/>
          <w:szCs w:val="21"/>
        </w:rPr>
        <w:t>6011</w:t>
      </w:r>
      <w:r>
        <w:rPr>
          <w:rFonts w:ascii="宋体" w:hAnsi="宋体" w:cs="宋体" w:eastAsia="宋体" w:hint="default"/>
          <w:spacing w:val="-1"/>
          <w:sz w:val="21"/>
          <w:szCs w:val="21"/>
        </w:rPr>
        <w:t>号，土地面积</w:t>
      </w:r>
      <w:r>
        <w:rPr>
          <w:rFonts w:ascii="Times New Roman" w:hAnsi="Times New Roman" w:cs="Times New Roman" w:eastAsia="Times New Roman" w:hint="default"/>
          <w:spacing w:val="-1"/>
          <w:sz w:val="21"/>
          <w:szCs w:val="21"/>
        </w:rPr>
        <w:t>29,926.30</w:t>
      </w:r>
      <w:r>
        <w:rPr>
          <w:rFonts w:ascii="宋体" w:hAnsi="宋体" w:cs="宋体" w:eastAsia="宋体" w:hint="default"/>
          <w:spacing w:val="-1"/>
          <w:sz w:val="21"/>
          <w:szCs w:val="21"/>
        </w:rPr>
        <w:t>平方米，在建厂房面积</w:t>
      </w:r>
      <w:r>
        <w:rPr>
          <w:rFonts w:ascii="Times New Roman" w:hAnsi="Times New Roman" w:cs="Times New Roman" w:eastAsia="Times New Roman" w:hint="default"/>
          <w:spacing w:val="-1"/>
          <w:sz w:val="21"/>
          <w:szCs w:val="21"/>
        </w:rPr>
        <w:t>81,650.75</w:t>
      </w:r>
      <w:r>
        <w:rPr>
          <w:rFonts w:ascii="Times New Roman" w:hAnsi="Times New Roman" w:cs="Times New Roman" w:eastAsia="Times New Roman" w:hint="default"/>
          <w:spacing w:val="-42"/>
          <w:sz w:val="21"/>
          <w:szCs w:val="21"/>
        </w:rPr>
        <w:t> </w:t>
      </w:r>
      <w:r>
        <w:rPr>
          <w:rFonts w:ascii="宋体" w:hAnsi="宋体" w:cs="宋体" w:eastAsia="宋体" w:hint="default"/>
          <w:spacing w:val="-1"/>
          <w:sz w:val="21"/>
          <w:szCs w:val="21"/>
        </w:rPr>
        <w:t>平方米，土地产权证：沪房地青字（</w:t>
      </w:r>
      <w:r>
        <w:rPr>
          <w:rFonts w:ascii="Times New Roman" w:hAnsi="Times New Roman" w:cs="Times New Roman" w:eastAsia="Times New Roman" w:hint="default"/>
          <w:spacing w:val="-1"/>
          <w:sz w:val="21"/>
          <w:szCs w:val="21"/>
        </w:rPr>
        <w:t>2014</w:t>
      </w:r>
      <w:r>
        <w:rPr>
          <w:rFonts w:ascii="宋体" w:hAnsi="宋体" w:cs="宋体" w:eastAsia="宋体" w:hint="default"/>
          <w:spacing w:val="-1"/>
          <w:sz w:val="21"/>
          <w:szCs w:val="21"/>
        </w:rPr>
        <w:t>）第</w:t>
      </w:r>
      <w:r>
        <w:rPr>
          <w:rFonts w:ascii="Times New Roman" w:hAnsi="Times New Roman" w:cs="Times New Roman" w:eastAsia="Times New Roman" w:hint="default"/>
          <w:spacing w:val="-1"/>
          <w:sz w:val="21"/>
          <w:szCs w:val="21"/>
        </w:rPr>
        <w:t>015219</w:t>
      </w:r>
      <w:r>
        <w:rPr>
          <w:rFonts w:ascii="宋体" w:hAnsi="宋体" w:cs="宋体" w:eastAsia="宋体" w:hint="default"/>
          <w:spacing w:val="-1"/>
          <w:sz w:val="21"/>
          <w:szCs w:val="21"/>
        </w:rPr>
        <w:t>号。光典信息发展有限公司以此土地产</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1"/>
          <w:sz w:val="21"/>
          <w:szCs w:val="21"/>
        </w:rPr>
        <w:t>权证及在建工程作为抵押，向中国建设银行股份有限公司上海静安支行申请办理了固定资产</w:t>
      </w:r>
      <w:r>
        <w:rPr>
          <w:rFonts w:ascii="宋体" w:hAnsi="宋体" w:cs="宋体" w:eastAsia="宋体" w:hint="default"/>
          <w:sz w:val="21"/>
          <w:szCs w:val="21"/>
        </w:rPr>
        <w:t> </w:t>
      </w:r>
      <w:r>
        <w:rPr>
          <w:rFonts w:ascii="宋体" w:hAnsi="宋体" w:cs="宋体" w:eastAsia="宋体" w:hint="default"/>
          <w:spacing w:val="-1"/>
          <w:sz w:val="21"/>
          <w:szCs w:val="21"/>
        </w:rPr>
        <w:t>贷款，贷款用途为投资“光典智能物联网、档案数据处理中试基地新建厂房”项目，贷款总</w:t>
      </w:r>
      <w:r>
        <w:rPr>
          <w:rFonts w:ascii="宋体" w:hAnsi="宋体" w:cs="宋体" w:eastAsia="宋体" w:hint="default"/>
          <w:sz w:val="21"/>
          <w:szCs w:val="21"/>
        </w:rPr>
        <w:t> </w:t>
      </w:r>
      <w:r>
        <w:rPr>
          <w:rFonts w:ascii="宋体" w:hAnsi="宋体" w:cs="宋体" w:eastAsia="宋体" w:hint="default"/>
          <w:spacing w:val="-2"/>
          <w:sz w:val="21"/>
          <w:szCs w:val="21"/>
        </w:rPr>
        <w:t>金额为人民币</w:t>
      </w:r>
      <w:r>
        <w:rPr>
          <w:rFonts w:ascii="Times New Roman" w:hAnsi="Times New Roman" w:cs="Times New Roman" w:eastAsia="Times New Roman" w:hint="default"/>
          <w:spacing w:val="-2"/>
          <w:sz w:val="21"/>
          <w:szCs w:val="21"/>
        </w:rPr>
        <w:t>165,000,000.00</w:t>
      </w:r>
      <w:r>
        <w:rPr>
          <w:rFonts w:ascii="宋体" w:hAnsi="宋体" w:cs="宋体" w:eastAsia="宋体" w:hint="default"/>
          <w:spacing w:val="-2"/>
          <w:sz w:val="21"/>
          <w:szCs w:val="21"/>
        </w:rPr>
        <w:t>元，贷款总期限为</w:t>
      </w:r>
      <w:r>
        <w:rPr>
          <w:rFonts w:ascii="Times New Roman" w:hAnsi="Times New Roman" w:cs="Times New Roman" w:eastAsia="Times New Roman" w:hint="default"/>
          <w:spacing w:val="-2"/>
          <w:sz w:val="21"/>
          <w:szCs w:val="21"/>
        </w:rPr>
        <w:t>2017</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5</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11</w:t>
      </w:r>
      <w:r>
        <w:rPr>
          <w:rFonts w:ascii="宋体" w:hAnsi="宋体" w:cs="宋体" w:eastAsia="宋体" w:hint="default"/>
          <w:spacing w:val="-2"/>
          <w:sz w:val="21"/>
          <w:szCs w:val="21"/>
        </w:rPr>
        <w:t>日至</w:t>
      </w:r>
      <w:r>
        <w:rPr>
          <w:rFonts w:ascii="Times New Roman" w:hAnsi="Times New Roman" w:cs="Times New Roman" w:eastAsia="Times New Roman" w:hint="default"/>
          <w:spacing w:val="-2"/>
          <w:sz w:val="21"/>
          <w:szCs w:val="21"/>
        </w:rPr>
        <w:t>2022</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5</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10</w:t>
      </w:r>
      <w:r>
        <w:rPr>
          <w:rFonts w:ascii="宋体" w:hAnsi="宋体" w:cs="宋体" w:eastAsia="宋体" w:hint="default"/>
          <w:spacing w:val="-2"/>
          <w:sz w:val="21"/>
          <w:szCs w:val="21"/>
        </w:rPr>
        <w:t>日，还款方式为</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按还款计划进行还款。本公司、法定代表人张曙华及其配偶庞文莉为光典信息发展有限公司</w:t>
      </w:r>
      <w:r>
        <w:rPr>
          <w:rFonts w:ascii="宋体" w:hAnsi="宋体" w:cs="宋体" w:eastAsia="宋体" w:hint="default"/>
          <w:sz w:val="21"/>
          <w:szCs w:val="21"/>
        </w:rPr>
        <w:t> </w:t>
      </w:r>
      <w:r>
        <w:rPr>
          <w:rFonts w:ascii="宋体" w:hAnsi="宋体" w:cs="宋体" w:eastAsia="宋体" w:hint="default"/>
          <w:spacing w:val="2"/>
          <w:sz w:val="21"/>
          <w:szCs w:val="21"/>
        </w:rPr>
        <w:t>提供连带责任保证，保证金额为人民币</w:t>
      </w:r>
      <w:r>
        <w:rPr>
          <w:rFonts w:ascii="Times New Roman" w:hAnsi="Times New Roman" w:cs="Times New Roman" w:eastAsia="Times New Roman" w:hint="default"/>
          <w:spacing w:val="2"/>
          <w:sz w:val="21"/>
          <w:szCs w:val="21"/>
        </w:rPr>
        <w:t>165,000,000.00</w:t>
      </w:r>
      <w:r>
        <w:rPr>
          <w:rFonts w:ascii="宋体" w:hAnsi="宋体" w:cs="宋体" w:eastAsia="宋体" w:hint="default"/>
          <w:spacing w:val="2"/>
          <w:sz w:val="21"/>
          <w:szCs w:val="21"/>
        </w:rPr>
        <w:t>元，期限自</w:t>
      </w:r>
      <w:r>
        <w:rPr>
          <w:rFonts w:ascii="Times New Roman" w:hAnsi="Times New Roman" w:cs="Times New Roman" w:eastAsia="Times New Roman" w:hint="default"/>
          <w:spacing w:val="2"/>
          <w:sz w:val="21"/>
          <w:szCs w:val="21"/>
        </w:rPr>
        <w:t>2017</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4</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16</w:t>
      </w:r>
      <w:r>
        <w:rPr>
          <w:rFonts w:ascii="宋体" w:hAnsi="宋体" w:cs="宋体" w:eastAsia="宋体" w:hint="default"/>
          <w:spacing w:val="2"/>
          <w:sz w:val="21"/>
          <w:szCs w:val="21"/>
        </w:rPr>
        <w:t>日至</w:t>
      </w:r>
      <w:r>
        <w:rPr>
          <w:rFonts w:ascii="Times New Roman" w:hAnsi="Times New Roman" w:cs="Times New Roman" w:eastAsia="Times New Roman" w:hint="default"/>
          <w:spacing w:val="2"/>
          <w:sz w:val="21"/>
          <w:szCs w:val="21"/>
        </w:rPr>
        <w:t>2024</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5</w:t>
      </w:r>
      <w:r>
        <w:rPr>
          <w:rFonts w:ascii="Times New Roman" w:hAnsi="Times New Roman" w:cs="Times New Roman" w:eastAsia="Times New Roman" w:hint="default"/>
          <w:sz w:val="21"/>
          <w:szCs w:val="21"/>
        </w:rPr>
        <w:t> </w:t>
      </w:r>
      <w:r>
        <w:rPr>
          <w:rFonts w:ascii="宋体" w:hAnsi="宋体" w:cs="宋体" w:eastAsia="宋体" w:hint="default"/>
          <w:sz w:val="21"/>
          <w:szCs w:val="21"/>
        </w:rPr>
        <w:t>月</w:t>
      </w:r>
      <w:r>
        <w:rPr>
          <w:rFonts w:ascii="Times New Roman" w:hAnsi="Times New Roman" w:cs="Times New Roman" w:eastAsia="Times New Roman" w:hint="default"/>
          <w:sz w:val="21"/>
          <w:szCs w:val="21"/>
        </w:rPr>
        <w:t>10</w:t>
      </w:r>
      <w:r>
        <w:rPr>
          <w:rFonts w:ascii="宋体" w:hAnsi="宋体" w:cs="宋体" w:eastAsia="宋体" w:hint="default"/>
          <w:sz w:val="21"/>
          <w:szCs w:val="21"/>
        </w:rPr>
        <w:t>日。 </w:t>
      </w:r>
      <w:r>
        <w:rPr>
          <w:rFonts w:ascii="宋体" w:hAnsi="宋体" w:cs="宋体" w:eastAsia="宋体" w:hint="default"/>
          <w:spacing w:val="-2"/>
          <w:sz w:val="21"/>
          <w:szCs w:val="21"/>
        </w:rPr>
        <w:t>截止</w:t>
      </w:r>
      <w:r>
        <w:rPr>
          <w:rFonts w:ascii="Times New Roman" w:hAnsi="Times New Roman" w:cs="Times New Roman" w:eastAsia="Times New Roman" w:hint="default"/>
          <w:spacing w:val="-2"/>
          <w:sz w:val="21"/>
          <w:szCs w:val="21"/>
        </w:rPr>
        <w:t>2018</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12</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31</w:t>
      </w:r>
      <w:r>
        <w:rPr>
          <w:rFonts w:ascii="宋体" w:hAnsi="宋体" w:cs="宋体" w:eastAsia="宋体" w:hint="default"/>
          <w:spacing w:val="-2"/>
          <w:sz w:val="21"/>
          <w:szCs w:val="21"/>
        </w:rPr>
        <w:t>日，该长期借款已拨款人民币</w:t>
      </w:r>
      <w:r>
        <w:rPr>
          <w:rFonts w:ascii="Times New Roman" w:hAnsi="Times New Roman" w:cs="Times New Roman" w:eastAsia="Times New Roman" w:hint="default"/>
          <w:spacing w:val="-2"/>
          <w:sz w:val="21"/>
          <w:szCs w:val="21"/>
        </w:rPr>
        <w:t>165,000,000.00</w:t>
      </w:r>
      <w:r>
        <w:rPr>
          <w:rFonts w:ascii="宋体" w:hAnsi="宋体" w:cs="宋体" w:eastAsia="宋体" w:hint="default"/>
          <w:spacing w:val="-2"/>
          <w:sz w:val="21"/>
          <w:szCs w:val="21"/>
        </w:rPr>
        <w:t>元，其中记入一年内到期的金</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1"/>
          <w:sz w:val="21"/>
          <w:szCs w:val="21"/>
        </w:rPr>
        <w:t>额为</w:t>
      </w:r>
      <w:r>
        <w:rPr>
          <w:rFonts w:ascii="宋体" w:hAnsi="宋体" w:cs="宋体" w:eastAsia="宋体" w:hint="default"/>
          <w:spacing w:val="-81"/>
          <w:sz w:val="21"/>
          <w:szCs w:val="21"/>
        </w:rPr>
        <w:t> </w:t>
      </w:r>
      <w:r>
        <w:rPr>
          <w:rFonts w:ascii="Times New Roman" w:hAnsi="Times New Roman" w:cs="Times New Roman" w:eastAsia="Times New Roman" w:hint="default"/>
          <w:sz w:val="21"/>
          <w:szCs w:val="21"/>
        </w:rPr>
        <w:t>300</w:t>
      </w:r>
      <w:r>
        <w:rPr>
          <w:rFonts w:ascii="Times New Roman" w:hAnsi="Times New Roman" w:cs="Times New Roman" w:eastAsia="Times New Roman" w:hint="default"/>
          <w:spacing w:val="-28"/>
          <w:sz w:val="21"/>
          <w:szCs w:val="21"/>
        </w:rPr>
        <w:t> </w:t>
      </w:r>
      <w:r>
        <w:rPr>
          <w:rFonts w:ascii="宋体" w:hAnsi="宋体" w:cs="宋体" w:eastAsia="宋体" w:hint="default"/>
          <w:spacing w:val="14"/>
          <w:sz w:val="21"/>
          <w:szCs w:val="21"/>
        </w:rPr>
        <w:t>万元，</w:t>
      </w:r>
      <w:r>
        <w:rPr>
          <w:rFonts w:ascii="宋体" w:hAnsi="宋体" w:cs="宋体" w:eastAsia="宋体" w:hint="default"/>
          <w:spacing w:val="-81"/>
          <w:sz w:val="21"/>
          <w:szCs w:val="21"/>
        </w:rPr>
        <w:t> </w:t>
      </w:r>
      <w:r>
        <w:rPr>
          <w:rFonts w:ascii="宋体" w:hAnsi="宋体" w:cs="宋体" w:eastAsia="宋体" w:hint="default"/>
          <w:spacing w:val="19"/>
          <w:sz w:val="21"/>
          <w:szCs w:val="21"/>
        </w:rPr>
        <w:t>记入长期借款的金额为</w:t>
      </w:r>
      <w:r>
        <w:rPr>
          <w:rFonts w:ascii="宋体" w:hAnsi="宋体" w:cs="宋体" w:eastAsia="宋体" w:hint="default"/>
          <w:spacing w:val="-78"/>
          <w:sz w:val="21"/>
          <w:szCs w:val="21"/>
        </w:rPr>
        <w:t> </w:t>
      </w:r>
      <w:r>
        <w:rPr>
          <w:rFonts w:ascii="Times New Roman" w:hAnsi="Times New Roman" w:cs="Times New Roman" w:eastAsia="Times New Roman" w:hint="default"/>
          <w:sz w:val="21"/>
          <w:szCs w:val="21"/>
        </w:rPr>
        <w:t>16,200</w:t>
      </w:r>
      <w:r>
        <w:rPr>
          <w:rFonts w:ascii="Times New Roman" w:hAnsi="Times New Roman" w:cs="Times New Roman" w:eastAsia="Times New Roman" w:hint="default"/>
          <w:spacing w:val="-29"/>
          <w:sz w:val="21"/>
          <w:szCs w:val="21"/>
        </w:rPr>
        <w:t> </w:t>
      </w:r>
      <w:r>
        <w:rPr>
          <w:rFonts w:ascii="宋体" w:hAnsi="宋体" w:cs="宋体" w:eastAsia="宋体" w:hint="default"/>
          <w:spacing w:val="20"/>
          <w:sz w:val="21"/>
          <w:szCs w:val="21"/>
        </w:rPr>
        <w:t>万元。上述抵押中在建工程合计人民币</w:t>
      </w:r>
      <w:r>
        <w:rPr>
          <w:rFonts w:ascii="宋体" w:hAnsi="宋体" w:cs="宋体" w:eastAsia="宋体" w:hint="default"/>
          <w:spacing w:val="-99"/>
          <w:sz w:val="21"/>
          <w:szCs w:val="21"/>
        </w:rPr>
        <w:t> </w:t>
      </w:r>
      <w:r>
        <w:rPr>
          <w:rFonts w:ascii="Times New Roman" w:hAnsi="Times New Roman" w:cs="Times New Roman" w:eastAsia="Times New Roman" w:hint="default"/>
          <w:sz w:val="21"/>
          <w:szCs w:val="21"/>
        </w:rPr>
        <w:t>264,264,548.88</w:t>
      </w:r>
      <w:r>
        <w:rPr>
          <w:rFonts w:ascii="宋体" w:hAnsi="宋体" w:cs="宋体" w:eastAsia="宋体" w:hint="default"/>
          <w:sz w:val="21"/>
          <w:szCs w:val="21"/>
        </w:rPr>
        <w:t>元，无形资产的原值人民币</w:t>
      </w:r>
      <w:r>
        <w:rPr>
          <w:rFonts w:ascii="Times New Roman" w:hAnsi="Times New Roman" w:cs="Times New Roman" w:eastAsia="Times New Roman" w:hint="default"/>
          <w:sz w:val="21"/>
          <w:szCs w:val="21"/>
        </w:rPr>
        <w:t>32,388,620.00</w:t>
      </w:r>
      <w:r>
        <w:rPr>
          <w:rFonts w:ascii="宋体" w:hAnsi="宋体" w:cs="宋体" w:eastAsia="宋体" w:hint="default"/>
          <w:sz w:val="21"/>
          <w:szCs w:val="21"/>
        </w:rPr>
        <w:t>元、净值人民币</w:t>
      </w:r>
      <w:r>
        <w:rPr>
          <w:rFonts w:ascii="Times New Roman" w:hAnsi="Times New Roman" w:cs="Times New Roman" w:eastAsia="Times New Roman" w:hint="default"/>
          <w:sz w:val="21"/>
          <w:szCs w:val="21"/>
        </w:rPr>
        <w:t>29,149,758.01</w:t>
      </w:r>
      <w:r>
        <w:rPr>
          <w:rFonts w:ascii="宋体" w:hAnsi="宋体" w:cs="宋体" w:eastAsia="宋体" w:hint="default"/>
          <w:sz w:val="21"/>
          <w:szCs w:val="21"/>
        </w:rPr>
        <w:t>元，固</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定资产的原值人民币</w:t>
      </w:r>
      <w:r>
        <w:rPr>
          <w:rFonts w:ascii="Times New Roman" w:hAnsi="Times New Roman" w:cs="Times New Roman" w:eastAsia="Times New Roman" w:hint="default"/>
          <w:sz w:val="21"/>
          <w:szCs w:val="21"/>
        </w:rPr>
        <w:t>3,307,146.69</w:t>
      </w:r>
      <w:r>
        <w:rPr>
          <w:rFonts w:ascii="宋体" w:hAnsi="宋体" w:cs="宋体" w:eastAsia="宋体" w:hint="default"/>
          <w:sz w:val="21"/>
          <w:szCs w:val="21"/>
        </w:rPr>
        <w:t>元、净值人民币</w:t>
      </w:r>
      <w:r>
        <w:rPr>
          <w:rFonts w:ascii="Times New Roman" w:hAnsi="Times New Roman" w:cs="Times New Roman" w:eastAsia="Times New Roman" w:hint="default"/>
          <w:sz w:val="21"/>
          <w:szCs w:val="21"/>
        </w:rPr>
        <w:t>3,307,146.69</w:t>
      </w:r>
      <w:r>
        <w:rPr>
          <w:rFonts w:ascii="宋体" w:hAnsi="宋体" w:cs="宋体" w:eastAsia="宋体" w:hint="default"/>
          <w:sz w:val="21"/>
          <w:szCs w:val="21"/>
        </w:rPr>
        <w:t>元。</w:t>
      </w:r>
    </w:p>
    <w:p>
      <w:pPr>
        <w:spacing w:after="0" w:line="261"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3"/>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2、或有事项" w:id="464"/>
      <w:bookmarkEnd w:id="464"/>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、或有事项</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line="506" w:lineRule="auto" w:before="0"/>
        <w:ind w:left="114" w:right="5712" w:firstLine="0"/>
        <w:jc w:val="left"/>
        <w:rPr>
          <w:rFonts w:ascii="宋体" w:hAnsi="宋体" w:cs="宋体" w:eastAsia="宋体" w:hint="default"/>
          <w:sz w:val="21"/>
          <w:szCs w:val="21"/>
        </w:rPr>
      </w:pPr>
      <w:bookmarkStart w:name="（1）资产负债表日存在的重要或有事项" w:id="465"/>
      <w:bookmarkEnd w:id="46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）资产负债表日存在的重要或有事项</w:t>
      </w:r>
      <w:r>
        <w:rPr>
          <w:rFonts w:ascii="宋体" w:hAnsi="宋体" w:cs="宋体" w:eastAsia="宋体" w:hint="default"/>
          <w:b/>
          <w:bCs/>
          <w:w w:val="99"/>
          <w:sz w:val="21"/>
          <w:szCs w:val="21"/>
        </w:rPr>
        <w:t> </w:t>
      </w:r>
      <w:r>
        <w:rPr>
          <w:rFonts w:ascii="宋体" w:hAnsi="宋体" w:cs="宋体" w:eastAsia="宋体" w:hint="default"/>
          <w:sz w:val="21"/>
          <w:szCs w:val="21"/>
        </w:rPr>
        <w:t>截止</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日，本公司无需要披露的或有事项。</w:t>
      </w:r>
    </w:p>
    <w:p>
      <w:pPr>
        <w:spacing w:line="240" w:lineRule="auto" w:before="10"/>
        <w:rPr>
          <w:rFonts w:ascii="宋体" w:hAnsi="宋体" w:cs="宋体" w:eastAsia="宋体" w:hint="default"/>
          <w:sz w:val="28"/>
          <w:szCs w:val="28"/>
        </w:rPr>
      </w:pPr>
    </w:p>
    <w:p>
      <w:pPr>
        <w:spacing w:before="0"/>
        <w:ind w:left="114" w:right="0" w:firstLine="0"/>
        <w:jc w:val="left"/>
        <w:rPr>
          <w:rFonts w:ascii="宋体" w:hAnsi="宋体" w:cs="宋体" w:eastAsia="宋体" w:hint="default"/>
          <w:sz w:val="21"/>
          <w:szCs w:val="21"/>
        </w:rPr>
      </w:pPr>
      <w:bookmarkStart w:name="（2）公司没有需要披露的重要或有事项，也应予以说明" w:id="466"/>
      <w:bookmarkEnd w:id="46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）公司没有需要披露的重要或有事项，也应予以说明</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公司不存在需要披露的重要或有事项。</w:t>
      </w:r>
    </w:p>
    <w:p>
      <w:pPr>
        <w:spacing w:line="240" w:lineRule="auto" w:before="11"/>
        <w:rPr>
          <w:rFonts w:ascii="宋体" w:hAnsi="宋体" w:cs="宋体" w:eastAsia="宋体" w:hint="default"/>
          <w:sz w:val="26"/>
          <w:szCs w:val="26"/>
        </w:rPr>
      </w:pPr>
    </w:p>
    <w:p>
      <w:pPr>
        <w:spacing w:line="487" w:lineRule="auto" w:before="0"/>
        <w:ind w:left="114" w:right="7692" w:firstLine="0"/>
        <w:jc w:val="left"/>
        <w:rPr>
          <w:rFonts w:ascii="宋体" w:hAnsi="宋体" w:cs="宋体" w:eastAsia="宋体" w:hint="default"/>
          <w:sz w:val="21"/>
          <w:szCs w:val="21"/>
        </w:rPr>
      </w:pPr>
      <w:bookmarkStart w:name="3、其他" w:id="467"/>
      <w:bookmarkEnd w:id="467"/>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w:t>
      </w:r>
      <w:r>
        <w:rPr>
          <w:rFonts w:ascii="宋体" w:hAnsi="宋体" w:cs="宋体" w:eastAsia="宋体" w:hint="default"/>
          <w:b/>
          <w:bCs/>
          <w:spacing w:val="1"/>
          <w:w w:val="99"/>
          <w:sz w:val="21"/>
          <w:szCs w:val="21"/>
        </w:rPr>
        <w:t> </w:t>
      </w:r>
      <w:bookmarkStart w:name="十五、资产负债表日后事项" w:id="468"/>
      <w:bookmarkEnd w:id="468"/>
      <w:r>
        <w:rPr>
          <w:rFonts w:ascii="宋体" w:hAnsi="宋体" w:cs="宋体" w:eastAsia="宋体" w:hint="default"/>
          <w:b/>
          <w:bCs/>
          <w:spacing w:val="1"/>
          <w:w w:val="99"/>
          <w:sz w:val="21"/>
          <w:szCs w:val="21"/>
        </w:rPr>
      </w:r>
      <w:r>
        <w:rPr>
          <w:rFonts w:ascii="宋体" w:hAnsi="宋体" w:cs="宋体" w:eastAsia="宋体" w:hint="default"/>
          <w:b/>
          <w:bCs/>
          <w:w w:val="95"/>
          <w:sz w:val="24"/>
          <w:szCs w:val="24"/>
        </w:rPr>
        <w:t>十五、资产负债表日后事项</w:t>
      </w:r>
      <w:r>
        <w:rPr>
          <w:rFonts w:ascii="宋体" w:hAnsi="宋体" w:cs="宋体" w:eastAsia="宋体" w:hint="default"/>
          <w:b/>
          <w:bCs/>
          <w:spacing w:val="18"/>
          <w:w w:val="95"/>
          <w:sz w:val="24"/>
          <w:szCs w:val="24"/>
        </w:rPr>
        <w:t> </w:t>
      </w:r>
      <w:r>
        <w:rPr>
          <w:rFonts w:ascii="宋体" w:hAnsi="宋体" w:cs="宋体" w:eastAsia="宋体" w:hint="default"/>
          <w:b/>
          <w:bCs/>
          <w:spacing w:val="18"/>
          <w:w w:val="95"/>
          <w:sz w:val="24"/>
          <w:szCs w:val="24"/>
        </w:rPr>
      </w:r>
      <w:bookmarkStart w:name="1、重要的非调整事项" w:id="469"/>
      <w:bookmarkEnd w:id="469"/>
      <w:r>
        <w:rPr>
          <w:rFonts w:ascii="宋体" w:hAnsi="宋体" w:cs="宋体" w:eastAsia="宋体" w:hint="default"/>
          <w:b/>
          <w:bCs/>
          <w:spacing w:val="18"/>
          <w:w w:val="95"/>
          <w:sz w:val="24"/>
          <w:szCs w:val="24"/>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、重要的非调整事项</w:t>
      </w:r>
      <w:r>
        <w:rPr>
          <w:rFonts w:ascii="宋体" w:hAnsi="宋体" w:cs="宋体" w:eastAsia="宋体" w:hint="default"/>
          <w:sz w:val="21"/>
          <w:szCs w:val="21"/>
        </w:rPr>
      </w:r>
    </w:p>
    <w:p>
      <w:pPr>
        <w:spacing w:before="108"/>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494"/>
        <w:gridCol w:w="2295"/>
        <w:gridCol w:w="2391"/>
        <w:gridCol w:w="2389"/>
      </w:tblGrid>
      <w:tr>
        <w:trPr>
          <w:trHeight w:val="714"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内容</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10" w:right="108" w:hanging="900"/>
              <w:jc w:val="left"/>
              <w:rPr>
                <w:rFonts w:ascii="宋体" w:hAnsi="宋体" w:cs="宋体" w:eastAsia="宋体" w:hint="default"/>
                <w:sz w:val="18"/>
                <w:szCs w:val="18"/>
              </w:rPr>
            </w:pPr>
            <w:r>
              <w:rPr>
                <w:rFonts w:ascii="宋体" w:hAnsi="宋体" w:cs="宋体" w:eastAsia="宋体" w:hint="default"/>
                <w:sz w:val="18"/>
                <w:szCs w:val="18"/>
              </w:rPr>
              <w:t>对财务状况和经营成果的影 响数</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90" w:right="0"/>
              <w:jc w:val="left"/>
              <w:rPr>
                <w:rFonts w:ascii="宋体" w:hAnsi="宋体" w:cs="宋体" w:eastAsia="宋体" w:hint="default"/>
                <w:sz w:val="18"/>
                <w:szCs w:val="18"/>
              </w:rPr>
            </w:pPr>
            <w:r>
              <w:rPr>
                <w:rFonts w:ascii="宋体" w:hAnsi="宋体" w:cs="宋体" w:eastAsia="宋体" w:hint="default"/>
                <w:sz w:val="18"/>
                <w:szCs w:val="18"/>
              </w:rPr>
              <w:t>无法估计影响数的原因</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利润分配情况" w:id="470"/>
      <w:bookmarkEnd w:id="470"/>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、利润分配情况</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2"/>
        <w:rPr>
          <w:rFonts w:ascii="宋体" w:hAnsi="宋体" w:cs="宋体" w:eastAsia="宋体" w:hint="default"/>
          <w:sz w:val="24"/>
          <w:szCs w:val="24"/>
        </w:rPr>
      </w:pPr>
    </w:p>
    <w:p>
      <w:pPr>
        <w:spacing w:before="35"/>
        <w:ind w:left="114" w:right="0" w:firstLine="0"/>
        <w:jc w:val="left"/>
        <w:rPr>
          <w:rFonts w:ascii="宋体" w:hAnsi="宋体" w:cs="宋体" w:eastAsia="宋体" w:hint="default"/>
          <w:sz w:val="21"/>
          <w:szCs w:val="21"/>
        </w:rPr>
      </w:pPr>
      <w:bookmarkStart w:name="3、销售退回" w:id="471"/>
      <w:bookmarkEnd w:id="471"/>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、销售退回</w:t>
      </w:r>
      <w:r>
        <w:rPr>
          <w:rFonts w:ascii="宋体" w:hAnsi="宋体" w:cs="宋体" w:eastAsia="宋体" w:hint="default"/>
          <w:sz w:val="21"/>
          <w:szCs w:val="21"/>
        </w:rPr>
      </w:r>
    </w:p>
    <w:p>
      <w:pPr>
        <w:spacing w:line="590" w:lineRule="atLeast" w:before="23"/>
        <w:ind w:left="463" w:right="7696" w:hanging="350"/>
        <w:jc w:val="left"/>
        <w:rPr>
          <w:rFonts w:ascii="宋体" w:hAnsi="宋体" w:cs="宋体" w:eastAsia="宋体" w:hint="default"/>
          <w:sz w:val="21"/>
          <w:szCs w:val="21"/>
        </w:rPr>
      </w:pPr>
      <w:bookmarkStart w:name="4、其他资产负债表日后事项说明" w:id="472"/>
      <w:bookmarkEnd w:id="472"/>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、其他资产负债表日后事项说明</w:t>
      </w:r>
      <w:r>
        <w:rPr>
          <w:rFonts w:ascii="宋体" w:hAnsi="宋体" w:cs="宋体" w:eastAsia="宋体" w:hint="default"/>
          <w:b/>
          <w:bCs/>
          <w:w w:val="99"/>
          <w:sz w:val="21"/>
          <w:szCs w:val="21"/>
        </w:rPr>
        <w:t> </w:t>
      </w:r>
      <w:r>
        <w:rPr>
          <w:rFonts w:ascii="宋体" w:hAnsi="宋体" w:cs="宋体" w:eastAsia="宋体" w:hint="default"/>
          <w:b/>
          <w:bCs/>
          <w:sz w:val="21"/>
          <w:szCs w:val="21"/>
        </w:rPr>
        <w:t>利润分配情况</w:t>
      </w:r>
      <w:r>
        <w:rPr>
          <w:rFonts w:ascii="宋体" w:hAnsi="宋体" w:cs="宋体" w:eastAsia="宋体" w:hint="default"/>
          <w:sz w:val="21"/>
          <w:szCs w:val="21"/>
        </w:rPr>
      </w:r>
    </w:p>
    <w:p>
      <w:pPr>
        <w:spacing w:line="259" w:lineRule="auto" w:before="37"/>
        <w:ind w:left="823" w:right="1135" w:firstLine="0"/>
        <w:jc w:val="both"/>
        <w:rPr>
          <w:rFonts w:ascii="宋体" w:hAnsi="宋体" w:cs="宋体" w:eastAsia="宋体" w:hint="default"/>
          <w:sz w:val="21"/>
          <w:szCs w:val="21"/>
        </w:rPr>
      </w:pPr>
      <w:r>
        <w:rPr>
          <w:rFonts w:ascii="宋体" w:hAnsi="宋体" w:cs="宋体" w:eastAsia="宋体" w:hint="default"/>
          <w:sz w:val="21"/>
          <w:szCs w:val="21"/>
        </w:rPr>
        <w:t>本公司</w:t>
      </w:r>
      <w:r>
        <w:rPr>
          <w:rFonts w:ascii="Times New Roman" w:hAnsi="Times New Roman" w:cs="Times New Roman" w:eastAsia="Times New Roman" w:hint="default"/>
          <w:sz w:val="21"/>
          <w:szCs w:val="21"/>
        </w:rPr>
        <w:t>2018</w:t>
      </w:r>
      <w:r>
        <w:rPr>
          <w:rFonts w:ascii="宋体" w:hAnsi="宋体" w:cs="宋体" w:eastAsia="宋体" w:hint="default"/>
          <w:sz w:val="21"/>
          <w:szCs w:val="21"/>
        </w:rPr>
        <w:t>年度利润分配预案已经</w:t>
      </w:r>
      <w:r>
        <w:rPr>
          <w:rFonts w:ascii="Times New Roman" w:hAnsi="Times New Roman" w:cs="Times New Roman" w:eastAsia="Times New Roman" w:hint="default"/>
          <w:sz w:val="21"/>
          <w:szCs w:val="21"/>
        </w:rPr>
        <w:t>2019</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9</w:t>
      </w:r>
      <w:r>
        <w:rPr>
          <w:rFonts w:ascii="宋体" w:hAnsi="宋体" w:cs="宋体" w:eastAsia="宋体" w:hint="default"/>
          <w:sz w:val="21"/>
          <w:szCs w:val="21"/>
        </w:rPr>
        <w:t>日召开的第四届董事会第二十六次会议审议通过，</w:t>
      </w:r>
      <w:r>
        <w:rPr>
          <w:rFonts w:ascii="宋体" w:hAnsi="宋体" w:cs="宋体" w:eastAsia="宋体" w:hint="default"/>
          <w:spacing w:val="-18"/>
          <w:sz w:val="21"/>
          <w:szCs w:val="21"/>
        </w:rPr>
        <w:t> </w:t>
      </w:r>
      <w:r>
        <w:rPr>
          <w:rFonts w:ascii="宋体" w:hAnsi="宋体" w:cs="宋体" w:eastAsia="宋体" w:hint="default"/>
          <w:spacing w:val="-18"/>
          <w:sz w:val="21"/>
          <w:szCs w:val="21"/>
        </w:rPr>
      </w:r>
      <w:r>
        <w:rPr>
          <w:rFonts w:ascii="Times New Roman" w:hAnsi="Times New Roman" w:cs="Times New Roman" w:eastAsia="Times New Roman" w:hint="default"/>
          <w:sz w:val="21"/>
          <w:szCs w:val="21"/>
        </w:rPr>
        <w:t>2018</w:t>
      </w:r>
      <w:r>
        <w:rPr>
          <w:rFonts w:ascii="宋体" w:hAnsi="宋体" w:cs="宋体" w:eastAsia="宋体" w:hint="default"/>
          <w:sz w:val="21"/>
          <w:szCs w:val="21"/>
        </w:rPr>
        <w:t>年公司通过集中竞价方式累计回购公司股份</w:t>
      </w:r>
      <w:r>
        <w:rPr>
          <w:rFonts w:ascii="Times New Roman" w:hAnsi="Times New Roman" w:cs="Times New Roman" w:eastAsia="Times New Roman" w:hint="default"/>
          <w:sz w:val="21"/>
          <w:szCs w:val="21"/>
        </w:rPr>
        <w:t>325,380</w:t>
      </w:r>
      <w:r>
        <w:rPr>
          <w:rFonts w:ascii="宋体" w:hAnsi="宋体" w:cs="宋体" w:eastAsia="宋体" w:hint="default"/>
          <w:sz w:val="21"/>
          <w:szCs w:val="21"/>
        </w:rPr>
        <w:t>股，支付现金总额为</w:t>
      </w:r>
      <w:r>
        <w:rPr>
          <w:rFonts w:ascii="Times New Roman" w:hAnsi="Times New Roman" w:cs="Times New Roman" w:eastAsia="Times New Roman" w:hint="default"/>
          <w:sz w:val="21"/>
          <w:szCs w:val="21"/>
        </w:rPr>
        <w:t>6,462,926.40</w:t>
      </w:r>
      <w:r>
        <w:rPr>
          <w:rFonts w:ascii="宋体" w:hAnsi="宋体" w:cs="宋体" w:eastAsia="宋体" w:hint="default"/>
          <w:sz w:val="21"/>
          <w:szCs w:val="21"/>
        </w:rPr>
        <w:t>元（不含 </w:t>
      </w:r>
      <w:r>
        <w:rPr>
          <w:rFonts w:ascii="宋体" w:hAnsi="宋体" w:cs="宋体" w:eastAsia="宋体" w:hint="default"/>
          <w:spacing w:val="-3"/>
          <w:sz w:val="21"/>
          <w:szCs w:val="21"/>
        </w:rPr>
        <w:t>交易费用）。根据《深圳证券交易所上市公司回购股份实施细则》有关规定，公司当年已实施的股</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2"/>
          <w:sz w:val="21"/>
          <w:szCs w:val="21"/>
        </w:rPr>
        <w:t>份回购金额视同现金分红，纳入该年度现金分红的相关比例计算。基于上述规定，按公司</w:t>
      </w:r>
      <w:r>
        <w:rPr>
          <w:rFonts w:ascii="Times New Roman" w:hAnsi="Times New Roman" w:cs="Times New Roman" w:eastAsia="Times New Roman" w:hint="default"/>
          <w:spacing w:val="2"/>
          <w:sz w:val="21"/>
          <w:szCs w:val="21"/>
        </w:rPr>
        <w:t>2018</w:t>
      </w:r>
      <w:r>
        <w:rPr>
          <w:rFonts w:ascii="宋体" w:hAnsi="宋体" w:cs="宋体" w:eastAsia="宋体" w:hint="default"/>
          <w:spacing w:val="2"/>
          <w:sz w:val="21"/>
          <w:szCs w:val="21"/>
        </w:rPr>
        <w:t>年</w:t>
      </w:r>
      <w:r>
        <w:rPr>
          <w:rFonts w:ascii="宋体" w:hAnsi="宋体" w:cs="宋体" w:eastAsia="宋体" w:hint="default"/>
          <w:spacing w:val="-95"/>
          <w:sz w:val="21"/>
          <w:szCs w:val="21"/>
        </w:rPr>
        <w:t> </w:t>
      </w:r>
      <w:r>
        <w:rPr>
          <w:rFonts w:ascii="宋体" w:hAnsi="宋体" w:cs="宋体" w:eastAsia="宋体" w:hint="default"/>
          <w:spacing w:val="2"/>
          <w:sz w:val="21"/>
          <w:szCs w:val="21"/>
        </w:rPr>
        <w:t>年度利润分配时股权登记日的总股本为基数，公司以实施</w:t>
      </w:r>
      <w:r>
        <w:rPr>
          <w:rFonts w:ascii="Times New Roman" w:hAnsi="Times New Roman" w:cs="Times New Roman" w:eastAsia="Times New Roman" w:hint="default"/>
          <w:spacing w:val="2"/>
          <w:sz w:val="21"/>
          <w:szCs w:val="21"/>
        </w:rPr>
        <w:t>2018</w:t>
      </w:r>
      <w:r>
        <w:rPr>
          <w:rFonts w:ascii="宋体" w:hAnsi="宋体" w:cs="宋体" w:eastAsia="宋体" w:hint="default"/>
          <w:spacing w:val="2"/>
          <w:sz w:val="21"/>
          <w:szCs w:val="21"/>
        </w:rPr>
        <w:t>年度利润分配时股权登记日可参与</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pacing w:val="-4"/>
          <w:sz w:val="21"/>
          <w:szCs w:val="21"/>
        </w:rPr>
        <w:t>分配的股本为基数向全体股东每</w:t>
      </w:r>
      <w:r>
        <w:rPr>
          <w:rFonts w:ascii="Times New Roman" w:hAnsi="Times New Roman" w:cs="Times New Roman" w:eastAsia="Times New Roman" w:hint="default"/>
          <w:spacing w:val="-4"/>
          <w:sz w:val="21"/>
          <w:szCs w:val="21"/>
        </w:rPr>
        <w:t>10</w:t>
      </w:r>
      <w:r>
        <w:rPr>
          <w:rFonts w:ascii="宋体" w:hAnsi="宋体" w:cs="宋体" w:eastAsia="宋体" w:hint="default"/>
          <w:spacing w:val="-4"/>
          <w:sz w:val="21"/>
          <w:szCs w:val="21"/>
        </w:rPr>
        <w:t>股派发现金红利</w:t>
      </w:r>
      <w:r>
        <w:rPr>
          <w:rFonts w:ascii="Times New Roman" w:hAnsi="Times New Roman" w:cs="Times New Roman" w:eastAsia="Times New Roman" w:hint="default"/>
          <w:spacing w:val="-4"/>
          <w:sz w:val="21"/>
          <w:szCs w:val="21"/>
        </w:rPr>
        <w:t>0.30</w:t>
      </w:r>
      <w:r>
        <w:rPr>
          <w:rFonts w:ascii="宋体" w:hAnsi="宋体" w:cs="宋体" w:eastAsia="宋体" w:hint="default"/>
          <w:spacing w:val="-4"/>
          <w:sz w:val="21"/>
          <w:szCs w:val="21"/>
        </w:rPr>
        <w:t>元（含税），送红股</w:t>
      </w:r>
      <w:r>
        <w:rPr>
          <w:rFonts w:ascii="Times New Roman" w:hAnsi="Times New Roman" w:cs="Times New Roman" w:eastAsia="Times New Roman" w:hint="default"/>
          <w:spacing w:val="-4"/>
          <w:sz w:val="21"/>
          <w:szCs w:val="21"/>
        </w:rPr>
        <w:t>0</w:t>
      </w:r>
      <w:r>
        <w:rPr>
          <w:rFonts w:ascii="宋体" w:hAnsi="宋体" w:cs="宋体" w:eastAsia="宋体" w:hint="default"/>
          <w:spacing w:val="-4"/>
          <w:sz w:val="21"/>
          <w:szCs w:val="21"/>
        </w:rPr>
        <w:t>股（含税），以资本公</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积金向全体股东每</w:t>
      </w:r>
      <w:r>
        <w:rPr>
          <w:rFonts w:ascii="Times New Roman" w:hAnsi="Times New Roman" w:cs="Times New Roman" w:eastAsia="Times New Roman" w:hint="default"/>
          <w:sz w:val="21"/>
          <w:szCs w:val="21"/>
        </w:rPr>
        <w:t>10</w:t>
      </w:r>
      <w:r>
        <w:rPr>
          <w:rFonts w:ascii="宋体" w:hAnsi="宋体" w:cs="宋体" w:eastAsia="宋体" w:hint="default"/>
          <w:sz w:val="21"/>
          <w:szCs w:val="21"/>
        </w:rPr>
        <w:t>股转增</w:t>
      </w:r>
      <w:r>
        <w:rPr>
          <w:rFonts w:ascii="Times New Roman" w:hAnsi="Times New Roman" w:cs="Times New Roman" w:eastAsia="Times New Roman" w:hint="default"/>
          <w:sz w:val="21"/>
          <w:szCs w:val="21"/>
        </w:rPr>
        <w:t>7</w:t>
      </w:r>
      <w:r>
        <w:rPr>
          <w:rFonts w:ascii="宋体" w:hAnsi="宋体" w:cs="宋体" w:eastAsia="宋体" w:hint="default"/>
          <w:sz w:val="21"/>
          <w:szCs w:val="21"/>
        </w:rPr>
        <w:t>股。上述利润分配方案，尚需提交公司股东大会表决。</w:t>
      </w:r>
    </w:p>
    <w:p>
      <w:pPr>
        <w:spacing w:line="240" w:lineRule="auto" w:before="1"/>
        <w:rPr>
          <w:rFonts w:ascii="宋体" w:hAnsi="宋体" w:cs="宋体" w:eastAsia="宋体" w:hint="default"/>
          <w:sz w:val="24"/>
          <w:szCs w:val="24"/>
        </w:rPr>
      </w:pPr>
    </w:p>
    <w:p>
      <w:pPr>
        <w:spacing w:before="0"/>
        <w:ind w:left="321" w:right="0" w:firstLine="0"/>
        <w:jc w:val="left"/>
        <w:rPr>
          <w:rFonts w:ascii="宋体" w:hAnsi="宋体" w:cs="宋体" w:eastAsia="宋体" w:hint="default"/>
          <w:sz w:val="21"/>
          <w:szCs w:val="21"/>
        </w:rPr>
      </w:pPr>
      <w:r>
        <w:rPr>
          <w:rFonts w:ascii="宋体" w:hAnsi="宋体" w:cs="宋体" w:eastAsia="宋体" w:hint="default"/>
          <w:b/>
          <w:bCs/>
          <w:sz w:val="21"/>
          <w:szCs w:val="21"/>
        </w:rPr>
        <w:t>其他资产负债表日后事项说明</w:t>
      </w:r>
      <w:r>
        <w:rPr>
          <w:rFonts w:ascii="宋体" w:hAnsi="宋体" w:cs="宋体" w:eastAsia="宋体" w:hint="default"/>
          <w:sz w:val="21"/>
          <w:szCs w:val="21"/>
        </w:rPr>
      </w:r>
    </w:p>
    <w:p>
      <w:pPr>
        <w:spacing w:line="261" w:lineRule="auto" w:before="37"/>
        <w:ind w:left="1390" w:right="1100" w:hanging="708"/>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1</w:t>
      </w:r>
      <w:r>
        <w:rPr>
          <w:rFonts w:ascii="宋体" w:hAnsi="宋体" w:cs="宋体" w:eastAsia="宋体" w:hint="default"/>
          <w:b/>
          <w:bCs/>
          <w:sz w:val="21"/>
          <w:szCs w:val="21"/>
        </w:rPr>
        <w:t>）关于控股子公司追溯云信息发展股份有限公司引进战略投资者的事项</w:t>
      </w:r>
      <w:r>
        <w:rPr>
          <w:rFonts w:ascii="宋体" w:hAnsi="宋体" w:cs="宋体" w:eastAsia="宋体" w:hint="default"/>
          <w:b/>
          <w:bCs/>
          <w:w w:val="99"/>
          <w:sz w:val="21"/>
          <w:szCs w:val="21"/>
        </w:rPr>
        <w:t> </w:t>
      </w:r>
      <w:r>
        <w:rPr>
          <w:rFonts w:ascii="Times New Roman" w:hAnsi="Times New Roman" w:cs="Times New Roman" w:eastAsia="Times New Roman" w:hint="default"/>
          <w:spacing w:val="-1"/>
          <w:sz w:val="21"/>
          <w:szCs w:val="21"/>
        </w:rPr>
        <w:t>2018</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12</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29</w:t>
      </w:r>
      <w:r>
        <w:rPr>
          <w:rFonts w:ascii="宋体" w:hAnsi="宋体" w:cs="宋体" w:eastAsia="宋体" w:hint="default"/>
          <w:spacing w:val="-1"/>
          <w:sz w:val="21"/>
          <w:szCs w:val="21"/>
        </w:rPr>
        <w:t>日，经公司第四届董事会第二十三次会议审议并通过了《关于公司二级控股子</w:t>
      </w:r>
      <w:r>
        <w:rPr>
          <w:rFonts w:ascii="宋体" w:hAnsi="宋体" w:cs="宋体" w:eastAsia="宋体" w:hint="default"/>
          <w:sz w:val="21"/>
          <w:szCs w:val="21"/>
        </w:rPr>
        <w:t> </w:t>
      </w:r>
      <w:r>
        <w:rPr>
          <w:rFonts w:ascii="宋体" w:hAnsi="宋体" w:cs="宋体" w:eastAsia="宋体" w:hint="default"/>
          <w:spacing w:val="-4"/>
          <w:sz w:val="21"/>
          <w:szCs w:val="21"/>
        </w:rPr>
        <w:t>公司追溯云信息发展股份有限公司引进战略投资者的议案》，并于</w:t>
      </w:r>
      <w:r>
        <w:rPr>
          <w:rFonts w:ascii="Times New Roman" w:hAnsi="Times New Roman" w:cs="Times New Roman" w:eastAsia="Times New Roman" w:hint="default"/>
          <w:spacing w:val="-4"/>
          <w:sz w:val="21"/>
          <w:szCs w:val="21"/>
        </w:rPr>
        <w:t>2019</w:t>
      </w:r>
      <w:r>
        <w:rPr>
          <w:rFonts w:ascii="宋体" w:hAnsi="宋体" w:cs="宋体" w:eastAsia="宋体" w:hint="default"/>
          <w:spacing w:val="-4"/>
          <w:sz w:val="21"/>
          <w:szCs w:val="21"/>
        </w:rPr>
        <w:t>年</w:t>
      </w:r>
      <w:r>
        <w:rPr>
          <w:rFonts w:ascii="Times New Roman" w:hAnsi="Times New Roman" w:cs="Times New Roman" w:eastAsia="Times New Roman" w:hint="default"/>
          <w:spacing w:val="-4"/>
          <w:sz w:val="21"/>
          <w:szCs w:val="21"/>
        </w:rPr>
        <w:t>1</w:t>
      </w:r>
      <w:r>
        <w:rPr>
          <w:rFonts w:ascii="宋体" w:hAnsi="宋体" w:cs="宋体" w:eastAsia="宋体" w:hint="default"/>
          <w:spacing w:val="-4"/>
          <w:sz w:val="21"/>
          <w:szCs w:val="21"/>
        </w:rPr>
        <w:t>月</w:t>
      </w:r>
      <w:r>
        <w:rPr>
          <w:rFonts w:ascii="Times New Roman" w:hAnsi="Times New Roman" w:cs="Times New Roman" w:eastAsia="Times New Roman" w:hint="default"/>
          <w:spacing w:val="-4"/>
          <w:sz w:val="21"/>
          <w:szCs w:val="21"/>
        </w:rPr>
        <w:t>17</w:t>
      </w:r>
      <w:r>
        <w:rPr>
          <w:rFonts w:ascii="宋体" w:hAnsi="宋体" w:cs="宋体" w:eastAsia="宋体" w:hint="default"/>
          <w:spacing w:val="-4"/>
          <w:sz w:val="21"/>
          <w:szCs w:val="21"/>
        </w:rPr>
        <w:t>日召开的</w:t>
      </w:r>
      <w:r>
        <w:rPr>
          <w:rFonts w:ascii="Times New Roman" w:hAnsi="Times New Roman" w:cs="Times New Roman" w:eastAsia="Times New Roman" w:hint="default"/>
          <w:spacing w:val="-4"/>
          <w:sz w:val="21"/>
          <w:szCs w:val="21"/>
        </w:rPr>
        <w:t>2019</w:t>
      </w:r>
      <w:r>
        <w:rPr>
          <w:rFonts w:ascii="Times New Roman" w:hAnsi="Times New Roman" w:cs="Times New Roman" w:eastAsia="Times New Roman" w:hint="default"/>
          <w:sz w:val="21"/>
          <w:szCs w:val="21"/>
        </w:rPr>
        <w:t> </w:t>
      </w:r>
      <w:r>
        <w:rPr>
          <w:rFonts w:ascii="宋体" w:hAnsi="宋体" w:cs="宋体" w:eastAsia="宋体" w:hint="default"/>
          <w:spacing w:val="-1"/>
          <w:sz w:val="21"/>
          <w:szCs w:val="21"/>
        </w:rPr>
        <w:t>年第一次临时股东大会审议并通过，北海石基信息技术有限公司（以下简称</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北海石基</w:t>
      </w:r>
      <w:r>
        <w:rPr>
          <w:rFonts w:ascii="Times New Roman" w:hAnsi="Times New Roman" w:cs="Times New Roman" w:eastAsia="Times New Roman" w:hint="default"/>
          <w:spacing w:val="-1"/>
          <w:sz w:val="21"/>
          <w:szCs w:val="21"/>
        </w:rPr>
        <w:t>”</w:t>
      </w:r>
      <w:r>
        <w:rPr>
          <w:rFonts w:ascii="宋体" w:hAnsi="宋体" w:cs="宋体" w:eastAsia="宋体" w:hint="default"/>
          <w:spacing w:val="-1"/>
          <w:sz w:val="21"/>
          <w:szCs w:val="21"/>
        </w:rPr>
        <w:t>）拟</w:t>
      </w:r>
      <w:r>
        <w:rPr>
          <w:rFonts w:ascii="宋体" w:hAnsi="宋体" w:cs="宋体" w:eastAsia="宋体" w:hint="default"/>
          <w:spacing w:val="-5"/>
          <w:sz w:val="21"/>
          <w:szCs w:val="21"/>
        </w:rPr>
        <w:t> </w:t>
      </w:r>
      <w:r>
        <w:rPr>
          <w:rFonts w:ascii="宋体" w:hAnsi="宋体" w:cs="宋体" w:eastAsia="宋体" w:hint="default"/>
          <w:sz w:val="21"/>
          <w:szCs w:val="21"/>
        </w:rPr>
        <w:t>对信息发展二级控股子公司追溯云信息发展股份有限公司（以下简称</w:t>
      </w:r>
      <w:r>
        <w:rPr>
          <w:rFonts w:ascii="Times New Roman" w:hAnsi="Times New Roman" w:cs="Times New Roman" w:eastAsia="Times New Roman" w:hint="default"/>
          <w:sz w:val="21"/>
          <w:szCs w:val="21"/>
        </w:rPr>
        <w:t>“</w:t>
      </w:r>
      <w:r>
        <w:rPr>
          <w:rFonts w:ascii="宋体" w:hAnsi="宋体" w:cs="宋体" w:eastAsia="宋体" w:hint="default"/>
          <w:sz w:val="21"/>
          <w:szCs w:val="21"/>
        </w:rPr>
        <w:t>追溯云</w:t>
      </w:r>
      <w:r>
        <w:rPr>
          <w:rFonts w:ascii="Times New Roman" w:hAnsi="Times New Roman" w:cs="Times New Roman" w:eastAsia="Times New Roman" w:hint="default"/>
          <w:sz w:val="21"/>
          <w:szCs w:val="21"/>
        </w:rPr>
        <w:t>”</w:t>
      </w:r>
      <w:r>
        <w:rPr>
          <w:rFonts w:ascii="宋体" w:hAnsi="宋体" w:cs="宋体" w:eastAsia="宋体" w:hint="default"/>
          <w:sz w:val="21"/>
          <w:szCs w:val="21"/>
        </w:rPr>
        <w:t>）进行投资，</w:t>
      </w:r>
    </w:p>
    <w:p>
      <w:pPr>
        <w:spacing w:after="0" w:line="261"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line="259" w:lineRule="auto" w:before="35"/>
        <w:ind w:left="1390" w:right="0" w:firstLine="0"/>
        <w:jc w:val="left"/>
        <w:rPr>
          <w:rFonts w:ascii="宋体" w:hAnsi="宋体" w:cs="宋体" w:eastAsia="宋体" w:hint="default"/>
          <w:sz w:val="21"/>
          <w:szCs w:val="21"/>
        </w:rPr>
      </w:pPr>
      <w:r>
        <w:rPr>
          <w:rFonts w:ascii="宋体" w:hAnsi="宋体" w:cs="宋体" w:eastAsia="宋体" w:hint="default"/>
          <w:sz w:val="21"/>
          <w:szCs w:val="21"/>
        </w:rPr>
        <w:t>总投资金额为</w:t>
      </w:r>
      <w:r>
        <w:rPr>
          <w:rFonts w:ascii="Times New Roman" w:hAnsi="Times New Roman" w:cs="Times New Roman" w:eastAsia="Times New Roman" w:hint="default"/>
          <w:sz w:val="21"/>
          <w:szCs w:val="21"/>
        </w:rPr>
        <w:t>10,000</w:t>
      </w:r>
      <w:r>
        <w:rPr>
          <w:rFonts w:ascii="宋体" w:hAnsi="宋体" w:cs="宋体" w:eastAsia="宋体" w:hint="default"/>
          <w:sz w:val="21"/>
          <w:szCs w:val="21"/>
        </w:rPr>
        <w:t>万元。 </w:t>
      </w:r>
      <w:r>
        <w:rPr>
          <w:rFonts w:ascii="宋体" w:hAnsi="宋体" w:cs="宋体" w:eastAsia="宋体" w:hint="default"/>
          <w:spacing w:val="3"/>
          <w:sz w:val="21"/>
          <w:szCs w:val="21"/>
        </w:rPr>
        <w:t>北海石基拟以</w:t>
      </w:r>
      <w:r>
        <w:rPr>
          <w:rFonts w:ascii="Times New Roman" w:hAnsi="Times New Roman" w:cs="Times New Roman" w:eastAsia="Times New Roman" w:hint="default"/>
          <w:spacing w:val="3"/>
          <w:sz w:val="21"/>
          <w:szCs w:val="21"/>
        </w:rPr>
        <w:t>2,000.00</w:t>
      </w:r>
      <w:r>
        <w:rPr>
          <w:rFonts w:ascii="宋体" w:hAnsi="宋体" w:cs="宋体" w:eastAsia="宋体" w:hint="default"/>
          <w:spacing w:val="3"/>
          <w:sz w:val="21"/>
          <w:szCs w:val="21"/>
        </w:rPr>
        <w:t>万元的价格受让追溯云现有股东张曙华所持追溯云</w:t>
      </w:r>
      <w:r>
        <w:rPr>
          <w:rFonts w:ascii="Times New Roman" w:hAnsi="Times New Roman" w:cs="Times New Roman" w:eastAsia="Times New Roman" w:hint="default"/>
          <w:spacing w:val="3"/>
          <w:sz w:val="21"/>
          <w:szCs w:val="21"/>
        </w:rPr>
        <w:t>300</w:t>
      </w:r>
      <w:r>
        <w:rPr>
          <w:rFonts w:ascii="宋体" w:hAnsi="宋体" w:cs="宋体" w:eastAsia="宋体" w:hint="default"/>
          <w:spacing w:val="3"/>
          <w:sz w:val="21"/>
          <w:szCs w:val="21"/>
        </w:rPr>
        <w:t>万股股份，以</w:t>
      </w:r>
      <w:r>
        <w:rPr>
          <w:rFonts w:ascii="宋体" w:hAnsi="宋体" w:cs="宋体" w:eastAsia="宋体" w:hint="default"/>
          <w:spacing w:val="-94"/>
          <w:sz w:val="21"/>
          <w:szCs w:val="21"/>
        </w:rPr>
        <w:t> </w:t>
      </w:r>
      <w:r>
        <w:rPr>
          <w:rFonts w:ascii="宋体" w:hAnsi="宋体" w:cs="宋体" w:eastAsia="宋体" w:hint="default"/>
          <w:spacing w:val="-94"/>
          <w:sz w:val="21"/>
          <w:szCs w:val="21"/>
        </w:rPr>
      </w:r>
      <w:r>
        <w:rPr>
          <w:rFonts w:ascii="Times New Roman" w:hAnsi="Times New Roman" w:cs="Times New Roman" w:eastAsia="Times New Roman" w:hint="default"/>
          <w:spacing w:val="2"/>
          <w:sz w:val="21"/>
          <w:szCs w:val="21"/>
        </w:rPr>
        <w:t>2,250.00</w:t>
      </w:r>
      <w:r>
        <w:rPr>
          <w:rFonts w:ascii="宋体" w:hAnsi="宋体" w:cs="宋体" w:eastAsia="宋体" w:hint="default"/>
          <w:spacing w:val="2"/>
          <w:sz w:val="21"/>
          <w:szCs w:val="21"/>
        </w:rPr>
        <w:t>万元的价格受让追溯云现有股东上海中信电子发展有限公司所持追溯云</w:t>
      </w:r>
      <w:r>
        <w:rPr>
          <w:rFonts w:ascii="Times New Roman" w:hAnsi="Times New Roman" w:cs="Times New Roman" w:eastAsia="Times New Roman" w:hint="default"/>
          <w:spacing w:val="2"/>
          <w:sz w:val="21"/>
          <w:szCs w:val="21"/>
        </w:rPr>
        <w:t>337.51</w:t>
      </w:r>
      <w:r>
        <w:rPr>
          <w:rFonts w:ascii="宋体" w:hAnsi="宋体" w:cs="宋体" w:eastAsia="宋体" w:hint="default"/>
          <w:spacing w:val="2"/>
          <w:sz w:val="21"/>
          <w:szCs w:val="21"/>
        </w:rPr>
        <w:t>万股</w:t>
      </w:r>
      <w:r>
        <w:rPr>
          <w:rFonts w:ascii="宋体" w:hAnsi="宋体" w:cs="宋体" w:eastAsia="宋体" w:hint="default"/>
          <w:spacing w:val="-88"/>
          <w:sz w:val="21"/>
          <w:szCs w:val="21"/>
        </w:rPr>
        <w:t> </w:t>
      </w:r>
      <w:r>
        <w:rPr>
          <w:rFonts w:ascii="宋体" w:hAnsi="宋体" w:cs="宋体" w:eastAsia="宋体" w:hint="default"/>
          <w:sz w:val="21"/>
          <w:szCs w:val="21"/>
        </w:rPr>
        <w:t>股份；同时以</w:t>
      </w:r>
      <w:r>
        <w:rPr>
          <w:rFonts w:ascii="Times New Roman" w:hAnsi="Times New Roman" w:cs="Times New Roman" w:eastAsia="Times New Roman" w:hint="default"/>
          <w:sz w:val="21"/>
          <w:szCs w:val="21"/>
        </w:rPr>
        <w:t>5,750</w:t>
      </w:r>
      <w:r>
        <w:rPr>
          <w:rFonts w:ascii="宋体" w:hAnsi="宋体" w:cs="宋体" w:eastAsia="宋体" w:hint="default"/>
          <w:sz w:val="21"/>
          <w:szCs w:val="21"/>
        </w:rPr>
        <w:t>万元的价格认购追溯云新增的注册资本</w:t>
      </w:r>
      <w:r>
        <w:rPr>
          <w:rFonts w:ascii="Times New Roman" w:hAnsi="Times New Roman" w:cs="Times New Roman" w:eastAsia="Times New Roman" w:hint="default"/>
          <w:sz w:val="21"/>
          <w:szCs w:val="21"/>
        </w:rPr>
        <w:t>862.49</w:t>
      </w:r>
      <w:r>
        <w:rPr>
          <w:rFonts w:ascii="宋体" w:hAnsi="宋体" w:cs="宋体" w:eastAsia="宋体" w:hint="default"/>
          <w:sz w:val="21"/>
          <w:szCs w:val="21"/>
        </w:rPr>
        <w:t>万元，其中：</w:t>
      </w:r>
      <w:r>
        <w:rPr>
          <w:rFonts w:ascii="Times New Roman" w:hAnsi="Times New Roman" w:cs="Times New Roman" w:eastAsia="Times New Roman" w:hint="default"/>
          <w:sz w:val="21"/>
          <w:szCs w:val="21"/>
        </w:rPr>
        <w:t>862.49</w:t>
      </w:r>
      <w:r>
        <w:rPr>
          <w:rFonts w:ascii="宋体" w:hAnsi="宋体" w:cs="宋体" w:eastAsia="宋体" w:hint="default"/>
          <w:sz w:val="21"/>
          <w:szCs w:val="21"/>
        </w:rPr>
        <w:t>万元计</w:t>
      </w:r>
      <w:r>
        <w:rPr>
          <w:rFonts w:ascii="宋体" w:hAnsi="宋体" w:cs="宋体" w:eastAsia="宋体" w:hint="default"/>
          <w:spacing w:val="-95"/>
          <w:sz w:val="21"/>
          <w:szCs w:val="21"/>
        </w:rPr>
        <w:t> </w:t>
      </w:r>
      <w:r>
        <w:rPr>
          <w:rFonts w:ascii="宋体" w:hAnsi="宋体" w:cs="宋体" w:eastAsia="宋体" w:hint="default"/>
          <w:sz w:val="21"/>
          <w:szCs w:val="21"/>
        </w:rPr>
        <w:t>入追溯云注册资本，剩余</w:t>
      </w:r>
      <w:r>
        <w:rPr>
          <w:rFonts w:ascii="Times New Roman" w:hAnsi="Times New Roman" w:cs="Times New Roman" w:eastAsia="Times New Roman" w:hint="default"/>
          <w:sz w:val="21"/>
          <w:szCs w:val="21"/>
        </w:rPr>
        <w:t>4,887.51</w:t>
      </w:r>
      <w:r>
        <w:rPr>
          <w:rFonts w:ascii="宋体" w:hAnsi="宋体" w:cs="宋体" w:eastAsia="宋体" w:hint="default"/>
          <w:sz w:val="21"/>
          <w:szCs w:val="21"/>
        </w:rPr>
        <w:t>万元作为溢价进入追溯云资本公积。 </w:t>
      </w:r>
      <w:r>
        <w:rPr>
          <w:rFonts w:ascii="宋体" w:hAnsi="宋体" w:cs="宋体" w:eastAsia="宋体" w:hint="default"/>
          <w:spacing w:val="-2"/>
          <w:sz w:val="21"/>
          <w:szCs w:val="21"/>
        </w:rPr>
        <w:t>截止本报告日，上述股权转款及增资款已实际到位，追溯云已完成工商变更登记。变更后追</w:t>
      </w:r>
      <w:r>
        <w:rPr>
          <w:rFonts w:ascii="宋体" w:hAnsi="宋体" w:cs="宋体" w:eastAsia="宋体" w:hint="default"/>
          <w:spacing w:val="-66"/>
          <w:sz w:val="21"/>
          <w:szCs w:val="21"/>
        </w:rPr>
        <w:t> </w:t>
      </w:r>
      <w:r>
        <w:rPr>
          <w:rFonts w:ascii="宋体" w:hAnsi="宋体" w:cs="宋体" w:eastAsia="宋体" w:hint="default"/>
          <w:spacing w:val="-66"/>
          <w:sz w:val="21"/>
          <w:szCs w:val="21"/>
        </w:rPr>
      </w:r>
      <w:r>
        <w:rPr>
          <w:rFonts w:ascii="宋体" w:hAnsi="宋体" w:cs="宋体" w:eastAsia="宋体" w:hint="default"/>
          <w:sz w:val="21"/>
          <w:szCs w:val="21"/>
        </w:rPr>
        <w:t>溯云的股权结构如下：</w:t>
      </w:r>
    </w:p>
    <w:p>
      <w:pPr>
        <w:spacing w:line="240" w:lineRule="auto" w:before="3"/>
        <w:rPr>
          <w:rFonts w:ascii="宋体" w:hAnsi="宋体" w:cs="宋体" w:eastAsia="宋体" w:hint="default"/>
          <w:sz w:val="7"/>
          <w:szCs w:val="7"/>
        </w:rPr>
      </w:pPr>
    </w:p>
    <w:tbl>
      <w:tblPr>
        <w:tblW w:w="0" w:type="auto"/>
        <w:jc w:val="left"/>
        <w:tblInd w:w="1170" w:type="dxa"/>
        <w:tblLayout w:type="fixed"/>
        <w:tblCellMar>
          <w:top w:w="0" w:type="dxa"/>
          <w:left w:w="0" w:type="dxa"/>
          <w:bottom w:w="0" w:type="dxa"/>
          <w:right w:w="0" w:type="dxa"/>
        </w:tblCellMar>
        <w:tblLook w:val="01E0"/>
      </w:tblPr>
      <w:tblGrid>
        <w:gridCol w:w="3086"/>
        <w:gridCol w:w="2127"/>
        <w:gridCol w:w="2231"/>
      </w:tblGrid>
      <w:tr>
        <w:trPr>
          <w:trHeight w:val="271" w:hRule="exact"/>
        </w:trPr>
        <w:tc>
          <w:tcPr>
            <w:tcW w:w="3086" w:type="dxa"/>
            <w:tcBorders>
              <w:top w:val="nil" w:sz="6" w:space="0" w:color="auto"/>
              <w:left w:val="nil" w:sz="6" w:space="0" w:color="auto"/>
              <w:bottom w:val="nil" w:sz="6" w:space="0" w:color="auto"/>
              <w:right w:val="nil" w:sz="6" w:space="0" w:color="auto"/>
            </w:tcBorders>
          </w:tcPr>
          <w:p>
            <w:pPr>
              <w:pStyle w:val="TableParagraph"/>
              <w:spacing w:line="210" w:lineRule="exact"/>
              <w:ind w:left="1258" w:right="0"/>
              <w:jc w:val="left"/>
              <w:rPr>
                <w:rFonts w:ascii="宋体" w:hAnsi="宋体" w:cs="宋体" w:eastAsia="宋体" w:hint="default"/>
                <w:sz w:val="21"/>
                <w:szCs w:val="21"/>
              </w:rPr>
            </w:pPr>
            <w:r>
              <w:rPr>
                <w:rFonts w:ascii="宋体" w:hAnsi="宋体" w:cs="宋体" w:eastAsia="宋体" w:hint="default"/>
                <w:b/>
                <w:bCs/>
                <w:sz w:val="21"/>
                <w:szCs w:val="21"/>
              </w:rPr>
              <w:t>股东名称</w:t>
            </w:r>
            <w:r>
              <w:rPr>
                <w:rFonts w:ascii="宋体" w:hAnsi="宋体" w:cs="宋体" w:eastAsia="宋体" w:hint="default"/>
                <w:sz w:val="21"/>
                <w:szCs w:val="21"/>
              </w:rPr>
            </w:r>
          </w:p>
        </w:tc>
        <w:tc>
          <w:tcPr>
            <w:tcW w:w="2127" w:type="dxa"/>
            <w:tcBorders>
              <w:top w:val="nil" w:sz="6" w:space="0" w:color="auto"/>
              <w:left w:val="nil" w:sz="6" w:space="0" w:color="auto"/>
              <w:bottom w:val="nil" w:sz="6" w:space="0" w:color="auto"/>
              <w:right w:val="nil" w:sz="6" w:space="0" w:color="auto"/>
            </w:tcBorders>
          </w:tcPr>
          <w:p>
            <w:pPr>
              <w:pStyle w:val="TableParagraph"/>
              <w:spacing w:line="210" w:lineRule="exact"/>
              <w:ind w:left="365" w:right="0"/>
              <w:jc w:val="left"/>
              <w:rPr>
                <w:rFonts w:ascii="宋体" w:hAnsi="宋体" w:cs="宋体" w:eastAsia="宋体" w:hint="default"/>
                <w:sz w:val="21"/>
                <w:szCs w:val="21"/>
              </w:rPr>
            </w:pPr>
            <w:r>
              <w:rPr>
                <w:rFonts w:ascii="宋体" w:hAnsi="宋体" w:cs="宋体" w:eastAsia="宋体" w:hint="default"/>
                <w:b/>
                <w:bCs/>
                <w:sz w:val="21"/>
                <w:szCs w:val="21"/>
              </w:rPr>
              <w:t>股本（万元）</w:t>
            </w:r>
            <w:r>
              <w:rPr>
                <w:rFonts w:ascii="宋体" w:hAnsi="宋体" w:cs="宋体" w:eastAsia="宋体" w:hint="default"/>
                <w:sz w:val="21"/>
                <w:szCs w:val="21"/>
              </w:rPr>
            </w:r>
          </w:p>
        </w:tc>
        <w:tc>
          <w:tcPr>
            <w:tcW w:w="2231" w:type="dxa"/>
            <w:tcBorders>
              <w:top w:val="nil" w:sz="6" w:space="0" w:color="auto"/>
              <w:left w:val="nil" w:sz="6" w:space="0" w:color="auto"/>
              <w:bottom w:val="nil" w:sz="6" w:space="0" w:color="auto"/>
              <w:right w:val="nil" w:sz="6" w:space="0" w:color="auto"/>
            </w:tcBorders>
          </w:tcPr>
          <w:p>
            <w:pPr>
              <w:pStyle w:val="TableParagraph"/>
              <w:spacing w:line="210" w:lineRule="exact"/>
              <w:ind w:left="225" w:right="0"/>
              <w:jc w:val="left"/>
              <w:rPr>
                <w:rFonts w:ascii="宋体" w:hAnsi="宋体" w:cs="宋体" w:eastAsia="宋体" w:hint="default"/>
                <w:sz w:val="21"/>
                <w:szCs w:val="21"/>
              </w:rPr>
            </w:pPr>
            <w:r>
              <w:rPr>
                <w:rFonts w:ascii="宋体" w:hAnsi="宋体" w:cs="宋体" w:eastAsia="宋体" w:hint="default"/>
                <w:b/>
                <w:bCs/>
                <w:sz w:val="21"/>
                <w:szCs w:val="21"/>
              </w:rPr>
              <w:t>出资比例（</w:t>
            </w:r>
            <w:r>
              <w:rPr>
                <w:rFonts w:ascii="宋体" w:hAnsi="宋体" w:cs="宋体" w:eastAsia="宋体" w:hint="default"/>
                <w:b/>
                <w:bCs/>
                <w:sz w:val="21"/>
                <w:szCs w:val="21"/>
              </w:rPr>
              <w:t>%</w:t>
            </w:r>
            <w:r>
              <w:rPr>
                <w:rFonts w:ascii="宋体" w:hAnsi="宋体" w:cs="宋体" w:eastAsia="宋体" w:hint="default"/>
                <w:b/>
                <w:bCs/>
                <w:sz w:val="21"/>
                <w:szCs w:val="21"/>
              </w:rPr>
              <w:t>）</w:t>
            </w:r>
            <w:r>
              <w:rPr>
                <w:rFonts w:ascii="宋体" w:hAnsi="宋体" w:cs="宋体" w:eastAsia="宋体" w:hint="default"/>
                <w:sz w:val="21"/>
                <w:szCs w:val="21"/>
              </w:rPr>
            </w:r>
          </w:p>
        </w:tc>
      </w:tr>
      <w:tr>
        <w:trPr>
          <w:trHeight w:val="338" w:hRule="exact"/>
        </w:trPr>
        <w:tc>
          <w:tcPr>
            <w:tcW w:w="3086" w:type="dxa"/>
            <w:tcBorders>
              <w:top w:val="nil" w:sz="6" w:space="0" w:color="auto"/>
              <w:left w:val="nil" w:sz="6" w:space="0" w:color="auto"/>
              <w:bottom w:val="nil" w:sz="6" w:space="0" w:color="auto"/>
              <w:right w:val="nil" w:sz="6" w:space="0" w:color="auto"/>
            </w:tcBorders>
          </w:tcPr>
          <w:p>
            <w:pPr>
              <w:pStyle w:val="TableParagraph"/>
              <w:spacing w:line="271" w:lineRule="exact"/>
              <w:ind w:left="200" w:right="0"/>
              <w:jc w:val="left"/>
              <w:rPr>
                <w:rFonts w:ascii="宋体" w:hAnsi="宋体" w:cs="宋体" w:eastAsia="宋体" w:hint="default"/>
                <w:sz w:val="21"/>
                <w:szCs w:val="21"/>
              </w:rPr>
            </w:pPr>
            <w:r>
              <w:rPr>
                <w:rFonts w:ascii="宋体" w:hAnsi="宋体" w:cs="宋体" w:eastAsia="宋体" w:hint="default"/>
                <w:sz w:val="21"/>
                <w:szCs w:val="21"/>
              </w:rPr>
              <w:t>张曙华</w:t>
            </w:r>
          </w:p>
        </w:tc>
        <w:tc>
          <w:tcPr>
            <w:tcW w:w="2127" w:type="dxa"/>
            <w:tcBorders>
              <w:top w:val="nil" w:sz="6" w:space="0" w:color="auto"/>
              <w:left w:val="nil" w:sz="6" w:space="0" w:color="auto"/>
              <w:bottom w:val="nil" w:sz="6" w:space="0" w:color="auto"/>
              <w:right w:val="nil" w:sz="6" w:space="0" w:color="auto"/>
            </w:tcBorders>
          </w:tcPr>
          <w:p>
            <w:pPr>
              <w:pStyle w:val="TableParagraph"/>
              <w:spacing w:line="287" w:lineRule="exact"/>
              <w:ind w:right="223"/>
              <w:jc w:val="right"/>
              <w:rPr>
                <w:rFonts w:ascii="Times New Roman" w:hAnsi="Times New Roman" w:cs="Times New Roman" w:eastAsia="Times New Roman" w:hint="default"/>
                <w:sz w:val="21"/>
                <w:szCs w:val="21"/>
              </w:rPr>
            </w:pPr>
            <w:r>
              <w:rPr>
                <w:rFonts w:ascii="宋体"/>
                <w:sz w:val="21"/>
              </w:rPr>
              <w:t>700</w:t>
            </w:r>
            <w:r>
              <w:rPr>
                <w:rFonts w:ascii="Times New Roman"/>
                <w:sz w:val="21"/>
              </w:rPr>
              <w:t>.00</w:t>
            </w:r>
          </w:p>
        </w:tc>
        <w:tc>
          <w:tcPr>
            <w:tcW w:w="2231" w:type="dxa"/>
            <w:tcBorders>
              <w:top w:val="nil" w:sz="6" w:space="0" w:color="auto"/>
              <w:left w:val="nil" w:sz="6" w:space="0" w:color="auto"/>
              <w:bottom w:val="nil" w:sz="6" w:space="0" w:color="auto"/>
              <w:right w:val="nil" w:sz="6" w:space="0" w:color="auto"/>
            </w:tcBorders>
          </w:tcPr>
          <w:p>
            <w:pPr>
              <w:pStyle w:val="TableParagraph"/>
              <w:spacing w:line="271" w:lineRule="exact"/>
              <w:ind w:right="198"/>
              <w:jc w:val="right"/>
              <w:rPr>
                <w:rFonts w:ascii="宋体" w:hAnsi="宋体" w:cs="宋体" w:eastAsia="宋体" w:hint="default"/>
                <w:sz w:val="21"/>
                <w:szCs w:val="21"/>
              </w:rPr>
            </w:pPr>
            <w:r>
              <w:rPr>
                <w:rFonts w:ascii="宋体"/>
                <w:sz w:val="21"/>
              </w:rPr>
              <w:t>11.94</w:t>
            </w:r>
          </w:p>
        </w:tc>
      </w:tr>
      <w:tr>
        <w:trPr>
          <w:trHeight w:val="332" w:hRule="exact"/>
        </w:trPr>
        <w:tc>
          <w:tcPr>
            <w:tcW w:w="3086"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光典信息发展有限公司</w:t>
            </w:r>
          </w:p>
        </w:tc>
        <w:tc>
          <w:tcPr>
            <w:tcW w:w="2127" w:type="dxa"/>
            <w:tcBorders>
              <w:top w:val="nil" w:sz="6" w:space="0" w:color="auto"/>
              <w:left w:val="nil" w:sz="6" w:space="0" w:color="auto"/>
              <w:bottom w:val="nil" w:sz="6" w:space="0" w:color="auto"/>
              <w:right w:val="nil" w:sz="6" w:space="0" w:color="auto"/>
            </w:tcBorders>
          </w:tcPr>
          <w:p>
            <w:pPr>
              <w:pStyle w:val="TableParagraph"/>
              <w:spacing w:line="265" w:lineRule="exact"/>
              <w:ind w:right="224"/>
              <w:jc w:val="right"/>
              <w:rPr>
                <w:rFonts w:ascii="宋体" w:hAnsi="宋体" w:cs="宋体" w:eastAsia="宋体" w:hint="default"/>
                <w:sz w:val="21"/>
                <w:szCs w:val="21"/>
              </w:rPr>
            </w:pPr>
            <w:r>
              <w:rPr>
                <w:rFonts w:ascii="宋体"/>
                <w:sz w:val="21"/>
              </w:rPr>
              <w:t>3,500.00</w:t>
            </w:r>
          </w:p>
        </w:tc>
        <w:tc>
          <w:tcPr>
            <w:tcW w:w="2231" w:type="dxa"/>
            <w:tcBorders>
              <w:top w:val="nil" w:sz="6" w:space="0" w:color="auto"/>
              <w:left w:val="nil" w:sz="6" w:space="0" w:color="auto"/>
              <w:bottom w:val="nil" w:sz="6" w:space="0" w:color="auto"/>
              <w:right w:val="nil" w:sz="6" w:space="0" w:color="auto"/>
            </w:tcBorders>
          </w:tcPr>
          <w:p>
            <w:pPr>
              <w:pStyle w:val="TableParagraph"/>
              <w:spacing w:line="281" w:lineRule="exact"/>
              <w:ind w:right="198"/>
              <w:jc w:val="right"/>
              <w:rPr>
                <w:rFonts w:ascii="Times New Roman" w:hAnsi="Times New Roman" w:cs="Times New Roman" w:eastAsia="Times New Roman" w:hint="default"/>
                <w:sz w:val="21"/>
                <w:szCs w:val="21"/>
              </w:rPr>
            </w:pPr>
            <w:r>
              <w:rPr>
                <w:rFonts w:ascii="宋体"/>
                <w:sz w:val="21"/>
              </w:rPr>
              <w:t>59.7</w:t>
            </w:r>
            <w:r>
              <w:rPr>
                <w:rFonts w:ascii="Times New Roman"/>
                <w:sz w:val="21"/>
              </w:rPr>
              <w:t>0</w:t>
            </w:r>
          </w:p>
        </w:tc>
      </w:tr>
      <w:tr>
        <w:trPr>
          <w:trHeight w:val="326" w:hRule="exact"/>
        </w:trPr>
        <w:tc>
          <w:tcPr>
            <w:tcW w:w="3086" w:type="dxa"/>
            <w:tcBorders>
              <w:top w:val="nil" w:sz="6" w:space="0" w:color="auto"/>
              <w:left w:val="nil" w:sz="6" w:space="0" w:color="auto"/>
              <w:bottom w:val="nil" w:sz="6" w:space="0" w:color="auto"/>
              <w:right w:val="nil" w:sz="6" w:space="0" w:color="auto"/>
            </w:tcBorders>
          </w:tcPr>
          <w:p>
            <w:pPr>
              <w:pStyle w:val="TableParagraph"/>
              <w:spacing w:line="265" w:lineRule="exact"/>
              <w:ind w:left="200" w:right="0"/>
              <w:jc w:val="left"/>
              <w:rPr>
                <w:rFonts w:ascii="宋体" w:hAnsi="宋体" w:cs="宋体" w:eastAsia="宋体" w:hint="default"/>
                <w:sz w:val="21"/>
                <w:szCs w:val="21"/>
              </w:rPr>
            </w:pPr>
            <w:r>
              <w:rPr>
                <w:rFonts w:ascii="宋体" w:hAnsi="宋体" w:cs="宋体" w:eastAsia="宋体" w:hint="default"/>
                <w:sz w:val="21"/>
                <w:szCs w:val="21"/>
              </w:rPr>
              <w:t>上海中信电子发展有限公司</w:t>
            </w:r>
          </w:p>
        </w:tc>
        <w:tc>
          <w:tcPr>
            <w:tcW w:w="2127" w:type="dxa"/>
            <w:tcBorders>
              <w:top w:val="nil" w:sz="6" w:space="0" w:color="auto"/>
              <w:left w:val="nil" w:sz="6" w:space="0" w:color="auto"/>
              <w:bottom w:val="nil" w:sz="6" w:space="0" w:color="auto"/>
              <w:right w:val="nil" w:sz="6" w:space="0" w:color="auto"/>
            </w:tcBorders>
          </w:tcPr>
          <w:p>
            <w:pPr>
              <w:pStyle w:val="TableParagraph"/>
              <w:spacing w:line="265" w:lineRule="exact"/>
              <w:ind w:right="224"/>
              <w:jc w:val="right"/>
              <w:rPr>
                <w:rFonts w:ascii="宋体" w:hAnsi="宋体" w:cs="宋体" w:eastAsia="宋体" w:hint="default"/>
                <w:sz w:val="21"/>
                <w:szCs w:val="21"/>
              </w:rPr>
            </w:pPr>
            <w:r>
              <w:rPr>
                <w:rFonts w:ascii="宋体"/>
                <w:sz w:val="21"/>
              </w:rPr>
              <w:t>162.49</w:t>
            </w:r>
          </w:p>
        </w:tc>
        <w:tc>
          <w:tcPr>
            <w:tcW w:w="2231" w:type="dxa"/>
            <w:tcBorders>
              <w:top w:val="nil" w:sz="6" w:space="0" w:color="auto"/>
              <w:left w:val="nil" w:sz="6" w:space="0" w:color="auto"/>
              <w:bottom w:val="nil" w:sz="6" w:space="0" w:color="auto"/>
              <w:right w:val="nil" w:sz="6" w:space="0" w:color="auto"/>
            </w:tcBorders>
          </w:tcPr>
          <w:p>
            <w:pPr>
              <w:pStyle w:val="TableParagraph"/>
              <w:spacing w:line="265" w:lineRule="exact"/>
              <w:ind w:right="198"/>
              <w:jc w:val="right"/>
              <w:rPr>
                <w:rFonts w:ascii="宋体" w:hAnsi="宋体" w:cs="宋体" w:eastAsia="宋体" w:hint="default"/>
                <w:sz w:val="21"/>
                <w:szCs w:val="21"/>
              </w:rPr>
            </w:pPr>
            <w:r>
              <w:rPr>
                <w:rFonts w:ascii="宋体"/>
                <w:sz w:val="21"/>
              </w:rPr>
              <w:t>2.77</w:t>
            </w:r>
          </w:p>
        </w:tc>
      </w:tr>
      <w:tr>
        <w:trPr>
          <w:trHeight w:val="332" w:hRule="exact"/>
        </w:trPr>
        <w:tc>
          <w:tcPr>
            <w:tcW w:w="3086" w:type="dxa"/>
            <w:tcBorders>
              <w:top w:val="nil" w:sz="6" w:space="0" w:color="auto"/>
              <w:left w:val="nil" w:sz="6" w:space="0" w:color="auto"/>
              <w:bottom w:val="nil" w:sz="6" w:space="0" w:color="auto"/>
              <w:right w:val="nil" w:sz="6" w:space="0" w:color="auto"/>
            </w:tcBorders>
          </w:tcPr>
          <w:p>
            <w:pPr>
              <w:pStyle w:val="TableParagraph"/>
              <w:spacing w:line="271" w:lineRule="exact"/>
              <w:ind w:left="200" w:right="0"/>
              <w:jc w:val="left"/>
              <w:rPr>
                <w:rFonts w:ascii="宋体" w:hAnsi="宋体" w:cs="宋体" w:eastAsia="宋体" w:hint="default"/>
                <w:sz w:val="21"/>
                <w:szCs w:val="21"/>
              </w:rPr>
            </w:pPr>
            <w:r>
              <w:rPr>
                <w:rFonts w:ascii="宋体" w:hAnsi="宋体" w:cs="宋体" w:eastAsia="宋体" w:hint="default"/>
                <w:sz w:val="21"/>
                <w:szCs w:val="21"/>
              </w:rPr>
              <w:t>北海石基信息技术有限公司</w:t>
            </w:r>
          </w:p>
        </w:tc>
        <w:tc>
          <w:tcPr>
            <w:tcW w:w="2127" w:type="dxa"/>
            <w:tcBorders>
              <w:top w:val="nil" w:sz="6" w:space="0" w:color="auto"/>
              <w:left w:val="nil" w:sz="6" w:space="0" w:color="auto"/>
              <w:bottom w:val="nil" w:sz="6" w:space="0" w:color="auto"/>
              <w:right w:val="nil" w:sz="6" w:space="0" w:color="auto"/>
            </w:tcBorders>
          </w:tcPr>
          <w:p>
            <w:pPr>
              <w:pStyle w:val="TableParagraph"/>
              <w:spacing w:line="271" w:lineRule="exact"/>
              <w:ind w:right="224"/>
              <w:jc w:val="right"/>
              <w:rPr>
                <w:rFonts w:ascii="宋体" w:hAnsi="宋体" w:cs="宋体" w:eastAsia="宋体" w:hint="default"/>
                <w:sz w:val="21"/>
                <w:szCs w:val="21"/>
              </w:rPr>
            </w:pPr>
            <w:r>
              <w:rPr>
                <w:rFonts w:ascii="宋体"/>
                <w:sz w:val="21"/>
              </w:rPr>
              <w:t>1,500.00</w:t>
            </w:r>
          </w:p>
        </w:tc>
        <w:tc>
          <w:tcPr>
            <w:tcW w:w="2231" w:type="dxa"/>
            <w:tcBorders>
              <w:top w:val="nil" w:sz="6" w:space="0" w:color="auto"/>
              <w:left w:val="nil" w:sz="6" w:space="0" w:color="auto"/>
              <w:bottom w:val="nil" w:sz="6" w:space="0" w:color="auto"/>
              <w:right w:val="nil" w:sz="6" w:space="0" w:color="auto"/>
            </w:tcBorders>
          </w:tcPr>
          <w:p>
            <w:pPr>
              <w:pStyle w:val="TableParagraph"/>
              <w:spacing w:line="271" w:lineRule="exact"/>
              <w:ind w:right="198"/>
              <w:jc w:val="right"/>
              <w:rPr>
                <w:rFonts w:ascii="宋体" w:hAnsi="宋体" w:cs="宋体" w:eastAsia="宋体" w:hint="default"/>
                <w:sz w:val="21"/>
                <w:szCs w:val="21"/>
              </w:rPr>
            </w:pPr>
            <w:r>
              <w:rPr>
                <w:rFonts w:ascii="宋体"/>
                <w:sz w:val="21"/>
              </w:rPr>
              <w:t>25.59</w:t>
            </w:r>
          </w:p>
        </w:tc>
      </w:tr>
      <w:tr>
        <w:trPr>
          <w:trHeight w:val="283" w:hRule="exact"/>
        </w:trPr>
        <w:tc>
          <w:tcPr>
            <w:tcW w:w="3086" w:type="dxa"/>
            <w:tcBorders>
              <w:top w:val="nil" w:sz="6" w:space="0" w:color="auto"/>
              <w:left w:val="nil" w:sz="6" w:space="0" w:color="auto"/>
              <w:bottom w:val="nil" w:sz="6" w:space="0" w:color="auto"/>
              <w:right w:val="nil" w:sz="6" w:space="0" w:color="auto"/>
            </w:tcBorders>
          </w:tcPr>
          <w:p>
            <w:pPr>
              <w:pStyle w:val="TableParagraph"/>
              <w:spacing w:line="271" w:lineRule="exact"/>
              <w:ind w:left="275" w:right="0"/>
              <w:jc w:val="center"/>
              <w:rPr>
                <w:rFonts w:ascii="宋体" w:hAnsi="宋体" w:cs="宋体" w:eastAsia="宋体" w:hint="default"/>
                <w:sz w:val="21"/>
                <w:szCs w:val="21"/>
              </w:rPr>
            </w:pPr>
            <w:r>
              <w:rPr>
                <w:rFonts w:ascii="宋体" w:hAnsi="宋体" w:cs="宋体" w:eastAsia="宋体" w:hint="default"/>
                <w:b/>
                <w:bCs/>
                <w:sz w:val="21"/>
                <w:szCs w:val="21"/>
              </w:rPr>
              <w:t>合计</w:t>
            </w:r>
            <w:r>
              <w:rPr>
                <w:rFonts w:ascii="宋体" w:hAnsi="宋体" w:cs="宋体" w:eastAsia="宋体" w:hint="default"/>
                <w:sz w:val="21"/>
                <w:szCs w:val="21"/>
              </w:rPr>
            </w:r>
          </w:p>
        </w:tc>
        <w:tc>
          <w:tcPr>
            <w:tcW w:w="2127" w:type="dxa"/>
            <w:tcBorders>
              <w:top w:val="nil" w:sz="6" w:space="0" w:color="auto"/>
              <w:left w:val="nil" w:sz="6" w:space="0" w:color="auto"/>
              <w:bottom w:val="nil" w:sz="6" w:space="0" w:color="auto"/>
              <w:right w:val="nil" w:sz="6" w:space="0" w:color="auto"/>
            </w:tcBorders>
          </w:tcPr>
          <w:p>
            <w:pPr>
              <w:pStyle w:val="TableParagraph"/>
              <w:spacing w:line="271" w:lineRule="exact"/>
              <w:ind w:right="226"/>
              <w:jc w:val="right"/>
              <w:rPr>
                <w:rFonts w:ascii="宋体" w:hAnsi="宋体" w:cs="宋体" w:eastAsia="宋体" w:hint="default"/>
                <w:sz w:val="21"/>
                <w:szCs w:val="21"/>
              </w:rPr>
            </w:pPr>
            <w:r>
              <w:rPr>
                <w:rFonts w:ascii="宋体"/>
                <w:b/>
                <w:w w:val="95"/>
                <w:sz w:val="21"/>
              </w:rPr>
              <w:t>5,862.49</w:t>
            </w:r>
            <w:r>
              <w:rPr>
                <w:rFonts w:ascii="宋体"/>
                <w:sz w:val="21"/>
              </w:rPr>
            </w:r>
          </w:p>
        </w:tc>
        <w:tc>
          <w:tcPr>
            <w:tcW w:w="2231" w:type="dxa"/>
            <w:tcBorders>
              <w:top w:val="nil" w:sz="6" w:space="0" w:color="auto"/>
              <w:left w:val="nil" w:sz="6" w:space="0" w:color="auto"/>
              <w:bottom w:val="nil" w:sz="6" w:space="0" w:color="auto"/>
              <w:right w:val="nil" w:sz="6" w:space="0" w:color="auto"/>
            </w:tcBorders>
          </w:tcPr>
          <w:p>
            <w:pPr>
              <w:pStyle w:val="TableParagraph"/>
              <w:spacing w:line="287" w:lineRule="exact"/>
              <w:ind w:right="198"/>
              <w:jc w:val="right"/>
              <w:rPr>
                <w:rFonts w:ascii="Times New Roman" w:hAnsi="Times New Roman" w:cs="Times New Roman" w:eastAsia="Times New Roman" w:hint="default"/>
                <w:sz w:val="21"/>
                <w:szCs w:val="21"/>
              </w:rPr>
            </w:pPr>
            <w:r>
              <w:rPr>
                <w:rFonts w:ascii="宋体"/>
                <w:b/>
                <w:w w:val="95"/>
                <w:sz w:val="21"/>
              </w:rPr>
              <w:t>100</w:t>
            </w:r>
            <w:r>
              <w:rPr>
                <w:rFonts w:ascii="Times New Roman"/>
                <w:b/>
                <w:w w:val="95"/>
                <w:sz w:val="21"/>
              </w:rPr>
              <w:t>.00</w:t>
            </w:r>
            <w:r>
              <w:rPr>
                <w:rFonts w:ascii="Times New Roman"/>
                <w:w w:val="95"/>
                <w:sz w:val="21"/>
              </w:rPr>
            </w:r>
          </w:p>
        </w:tc>
      </w:tr>
    </w:tbl>
    <w:p>
      <w:pPr>
        <w:spacing w:line="240" w:lineRule="auto" w:before="11"/>
        <w:rPr>
          <w:rFonts w:ascii="宋体" w:hAnsi="宋体" w:cs="宋体" w:eastAsia="宋体" w:hint="default"/>
          <w:sz w:val="23"/>
          <w:szCs w:val="23"/>
        </w:rPr>
      </w:pPr>
    </w:p>
    <w:p>
      <w:pPr>
        <w:spacing w:before="35"/>
        <w:ind w:left="642"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2</w:t>
      </w:r>
      <w:r>
        <w:rPr>
          <w:rFonts w:ascii="宋体" w:hAnsi="宋体" w:cs="宋体" w:eastAsia="宋体" w:hint="default"/>
          <w:b/>
          <w:bCs/>
          <w:sz w:val="21"/>
          <w:szCs w:val="21"/>
        </w:rPr>
        <w:t>）关于公司向银行申请不超过人民币</w:t>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亿元的综合授信额度的事项</w:t>
      </w:r>
      <w:r>
        <w:rPr>
          <w:rFonts w:ascii="宋体" w:hAnsi="宋体" w:cs="宋体" w:eastAsia="宋体" w:hint="default"/>
          <w:sz w:val="21"/>
          <w:szCs w:val="21"/>
        </w:rPr>
      </w:r>
    </w:p>
    <w:p>
      <w:pPr>
        <w:spacing w:before="21"/>
        <w:ind w:left="823" w:right="0" w:firstLine="0"/>
        <w:jc w:val="both"/>
        <w:rPr>
          <w:rFonts w:ascii="宋体" w:hAnsi="宋体" w:cs="宋体" w:eastAsia="宋体" w:hint="default"/>
          <w:sz w:val="21"/>
          <w:szCs w:val="21"/>
        </w:rPr>
      </w:pPr>
      <w:r>
        <w:rPr>
          <w:rFonts w:ascii="Times New Roman" w:hAnsi="Times New Roman" w:cs="Times New Roman" w:eastAsia="Times New Roman" w:hint="default"/>
          <w:spacing w:val="-3"/>
          <w:sz w:val="21"/>
          <w:szCs w:val="21"/>
        </w:rPr>
        <w:t>2019</w:t>
      </w:r>
      <w:r>
        <w:rPr>
          <w:rFonts w:ascii="宋体" w:hAnsi="宋体" w:cs="宋体" w:eastAsia="宋体" w:hint="default"/>
          <w:spacing w:val="-3"/>
          <w:sz w:val="21"/>
          <w:szCs w:val="21"/>
        </w:rPr>
        <w:t>年</w:t>
      </w:r>
      <w:r>
        <w:rPr>
          <w:rFonts w:ascii="Times New Roman" w:hAnsi="Times New Roman" w:cs="Times New Roman" w:eastAsia="Times New Roman" w:hint="default"/>
          <w:spacing w:val="-3"/>
          <w:sz w:val="21"/>
          <w:szCs w:val="21"/>
        </w:rPr>
        <w:t>4</w:t>
      </w:r>
      <w:r>
        <w:rPr>
          <w:rFonts w:ascii="宋体" w:hAnsi="宋体" w:cs="宋体" w:eastAsia="宋体" w:hint="default"/>
          <w:spacing w:val="-3"/>
          <w:sz w:val="21"/>
          <w:szCs w:val="21"/>
        </w:rPr>
        <w:t>月</w:t>
      </w:r>
      <w:r>
        <w:rPr>
          <w:rFonts w:ascii="Times New Roman" w:hAnsi="Times New Roman" w:cs="Times New Roman" w:eastAsia="Times New Roman" w:hint="default"/>
          <w:spacing w:val="-3"/>
          <w:sz w:val="21"/>
          <w:szCs w:val="21"/>
        </w:rPr>
        <w:t>9</w:t>
      </w:r>
      <w:r>
        <w:rPr>
          <w:rFonts w:ascii="宋体" w:hAnsi="宋体" w:cs="宋体" w:eastAsia="宋体" w:hint="default"/>
          <w:spacing w:val="-3"/>
          <w:sz w:val="21"/>
          <w:szCs w:val="21"/>
        </w:rPr>
        <w:t>日，经公司第四届董事会第二十六次会议审议通过《关于公司向银行申请不超过人民币</w:t>
      </w:r>
    </w:p>
    <w:p>
      <w:pPr>
        <w:spacing w:line="261" w:lineRule="auto" w:before="21"/>
        <w:ind w:left="823" w:right="1131" w:firstLine="0"/>
        <w:jc w:val="both"/>
        <w:rPr>
          <w:rFonts w:ascii="宋体" w:hAnsi="宋体" w:cs="宋体" w:eastAsia="宋体" w:hint="default"/>
          <w:sz w:val="21"/>
          <w:szCs w:val="21"/>
        </w:rPr>
      </w:pPr>
      <w:r>
        <w:rPr>
          <w:rFonts w:ascii="Times New Roman" w:hAnsi="Times New Roman" w:cs="Times New Roman" w:eastAsia="Times New Roman" w:hint="default"/>
          <w:spacing w:val="-5"/>
          <w:sz w:val="21"/>
          <w:szCs w:val="21"/>
        </w:rPr>
        <w:t>8</w:t>
      </w:r>
      <w:r>
        <w:rPr>
          <w:rFonts w:ascii="宋体" w:hAnsi="宋体" w:cs="宋体" w:eastAsia="宋体" w:hint="default"/>
          <w:spacing w:val="-5"/>
          <w:sz w:val="21"/>
          <w:szCs w:val="21"/>
        </w:rPr>
        <w:t>亿元的综合授信额度的议案》，为了满足公司业务发展对资金的需求，为保证</w:t>
      </w:r>
      <w:r>
        <w:rPr>
          <w:rFonts w:ascii="Times New Roman" w:hAnsi="Times New Roman" w:cs="Times New Roman" w:eastAsia="Times New Roman" w:hint="default"/>
          <w:spacing w:val="-5"/>
          <w:sz w:val="21"/>
          <w:szCs w:val="21"/>
        </w:rPr>
        <w:t>2018</w:t>
      </w:r>
      <w:r>
        <w:rPr>
          <w:rFonts w:ascii="宋体" w:hAnsi="宋体" w:cs="宋体" w:eastAsia="宋体" w:hint="default"/>
          <w:spacing w:val="-5"/>
          <w:sz w:val="21"/>
          <w:szCs w:val="21"/>
        </w:rPr>
        <w:t>度公司生产经营</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z w:val="21"/>
          <w:szCs w:val="21"/>
        </w:rPr>
        <w:t>正常进行，公司及子公司拟向各银行申请总额不超过</w:t>
      </w:r>
      <w:r>
        <w:rPr>
          <w:rFonts w:ascii="Times New Roman" w:hAnsi="Times New Roman" w:cs="Times New Roman" w:eastAsia="Times New Roman" w:hint="default"/>
          <w:sz w:val="21"/>
          <w:szCs w:val="21"/>
        </w:rPr>
        <w:t>8</w:t>
      </w:r>
      <w:r>
        <w:rPr>
          <w:rFonts w:ascii="宋体" w:hAnsi="宋体" w:cs="宋体" w:eastAsia="宋体" w:hint="default"/>
          <w:sz w:val="21"/>
          <w:szCs w:val="21"/>
        </w:rPr>
        <w:t>亿元人民币的综合授信等业务，最终的融资 </w:t>
      </w:r>
      <w:r>
        <w:rPr>
          <w:rFonts w:ascii="宋体" w:hAnsi="宋体" w:cs="宋体" w:eastAsia="宋体" w:hint="default"/>
          <w:spacing w:val="-3"/>
          <w:sz w:val="21"/>
          <w:szCs w:val="21"/>
        </w:rPr>
        <w:t>方式、担保方式、实施时间以与融资机构商定的结果为准，并授权董事长根据最终情况在上述额度</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z w:val="21"/>
          <w:szCs w:val="21"/>
        </w:rPr>
        <w:t>范围内签署相关的协议。</w:t>
      </w:r>
    </w:p>
    <w:p>
      <w:pPr>
        <w:spacing w:line="240" w:lineRule="auto" w:before="3"/>
        <w:rPr>
          <w:rFonts w:ascii="宋体" w:hAnsi="宋体" w:cs="宋体" w:eastAsia="宋体" w:hint="default"/>
          <w:sz w:val="25"/>
          <w:szCs w:val="25"/>
        </w:rPr>
      </w:pPr>
    </w:p>
    <w:p>
      <w:pPr>
        <w:spacing w:before="0"/>
        <w:ind w:left="536" w:right="0" w:firstLine="0"/>
        <w:jc w:val="left"/>
        <w:rPr>
          <w:rFonts w:ascii="宋体" w:hAnsi="宋体" w:cs="宋体" w:eastAsia="宋体" w:hint="default"/>
          <w:sz w:val="21"/>
          <w:szCs w:val="21"/>
        </w:rPr>
      </w:pPr>
      <w:r>
        <w:rPr>
          <w:rFonts w:ascii="宋体" w:hAnsi="宋体" w:cs="宋体" w:eastAsia="宋体" w:hint="default"/>
          <w:b/>
          <w:bCs/>
          <w:sz w:val="21"/>
          <w:szCs w:val="21"/>
        </w:rPr>
        <w:t>（</w:t>
      </w:r>
      <w:r>
        <w:rPr>
          <w:rFonts w:ascii="宋体" w:hAnsi="宋体" w:cs="宋体" w:eastAsia="宋体" w:hint="default"/>
          <w:b/>
          <w:bCs/>
          <w:sz w:val="21"/>
          <w:szCs w:val="21"/>
        </w:rPr>
        <w:t>3</w:t>
      </w:r>
      <w:r>
        <w:rPr>
          <w:rFonts w:ascii="宋体" w:hAnsi="宋体" w:cs="宋体" w:eastAsia="宋体" w:hint="default"/>
          <w:b/>
          <w:bCs/>
          <w:sz w:val="21"/>
          <w:szCs w:val="21"/>
        </w:rPr>
        <w:t>）关于公司实际控制人及其配偶为公司及公司子公司提供无偿融资担保暨关联交易的事项</w:t>
      </w:r>
      <w:r>
        <w:rPr>
          <w:rFonts w:ascii="宋体" w:hAnsi="宋体" w:cs="宋体" w:eastAsia="宋体" w:hint="default"/>
          <w:sz w:val="21"/>
          <w:szCs w:val="21"/>
        </w:rPr>
      </w:r>
    </w:p>
    <w:p>
      <w:pPr>
        <w:spacing w:line="264" w:lineRule="auto" w:before="37"/>
        <w:ind w:left="129" w:right="1132" w:firstLine="1093"/>
        <w:jc w:val="both"/>
        <w:rPr>
          <w:rFonts w:ascii="宋体" w:hAnsi="宋体" w:cs="宋体" w:eastAsia="宋体" w:hint="default"/>
          <w:sz w:val="21"/>
          <w:szCs w:val="21"/>
        </w:rPr>
      </w:pPr>
      <w:r>
        <w:rPr>
          <w:rFonts w:ascii="Times New Roman" w:hAnsi="Times New Roman" w:cs="Times New Roman" w:eastAsia="Times New Roman" w:hint="default"/>
          <w:spacing w:val="-2"/>
          <w:sz w:val="21"/>
          <w:szCs w:val="21"/>
        </w:rPr>
        <w:t>2019</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4</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9</w:t>
      </w:r>
      <w:r>
        <w:rPr>
          <w:rFonts w:ascii="宋体" w:hAnsi="宋体" w:cs="宋体" w:eastAsia="宋体" w:hint="default"/>
          <w:spacing w:val="-2"/>
          <w:sz w:val="21"/>
          <w:szCs w:val="21"/>
        </w:rPr>
        <w:t>日，经公司第四届董事会第二十六次会议审议通过《关于公司实际控制人及其配偶</w:t>
      </w:r>
      <w:r>
        <w:rPr>
          <w:rFonts w:ascii="宋体" w:hAnsi="宋体" w:cs="宋体" w:eastAsia="宋体" w:hint="default"/>
          <w:sz w:val="21"/>
          <w:szCs w:val="21"/>
        </w:rPr>
        <w:t> </w:t>
      </w:r>
      <w:r>
        <w:rPr>
          <w:rFonts w:ascii="宋体" w:hAnsi="宋体" w:cs="宋体" w:eastAsia="宋体" w:hint="default"/>
          <w:spacing w:val="-2"/>
          <w:sz w:val="21"/>
          <w:szCs w:val="21"/>
        </w:rPr>
        <w:t>为公司及公司子公司提供无偿融资担保暨关联交易的议案》，同意公司实际控制人张曙华先生及其配偶为</w:t>
      </w:r>
      <w:r>
        <w:rPr>
          <w:rFonts w:ascii="宋体" w:hAnsi="宋体" w:cs="宋体" w:eastAsia="宋体" w:hint="default"/>
          <w:spacing w:val="-65"/>
          <w:sz w:val="21"/>
          <w:szCs w:val="21"/>
        </w:rPr>
        <w:t> </w:t>
      </w:r>
      <w:r>
        <w:rPr>
          <w:rFonts w:ascii="宋体" w:hAnsi="宋体" w:cs="宋体" w:eastAsia="宋体" w:hint="default"/>
          <w:spacing w:val="-65"/>
          <w:sz w:val="21"/>
          <w:szCs w:val="21"/>
        </w:rPr>
      </w:r>
      <w:r>
        <w:rPr>
          <w:rFonts w:ascii="宋体" w:hAnsi="宋体" w:cs="宋体" w:eastAsia="宋体" w:hint="default"/>
          <w:sz w:val="21"/>
          <w:szCs w:val="21"/>
        </w:rPr>
        <w:t>公司及公司子公司提供无偿融资担保，担保总额不超过</w:t>
      </w:r>
      <w:r>
        <w:rPr>
          <w:rFonts w:ascii="Times New Roman" w:hAnsi="Times New Roman" w:cs="Times New Roman" w:eastAsia="Times New Roman" w:hint="default"/>
          <w:sz w:val="21"/>
          <w:szCs w:val="21"/>
        </w:rPr>
        <w:t>8</w:t>
      </w:r>
      <w:r>
        <w:rPr>
          <w:rFonts w:ascii="宋体" w:hAnsi="宋体" w:cs="宋体" w:eastAsia="宋体" w:hint="default"/>
          <w:sz w:val="21"/>
          <w:szCs w:val="21"/>
        </w:rPr>
        <w:t>亿元人民币。</w:t>
      </w:r>
    </w:p>
    <w:p>
      <w:pPr>
        <w:spacing w:line="240" w:lineRule="auto" w:before="9"/>
        <w:rPr>
          <w:rFonts w:ascii="宋体" w:hAnsi="宋体" w:cs="宋体" w:eastAsia="宋体" w:hint="default"/>
          <w:sz w:val="23"/>
          <w:szCs w:val="23"/>
        </w:rPr>
      </w:pPr>
    </w:p>
    <w:p>
      <w:pPr>
        <w:spacing w:before="0"/>
        <w:ind w:left="536" w:right="0" w:firstLine="0"/>
        <w:jc w:val="left"/>
        <w:rPr>
          <w:rFonts w:ascii="宋体" w:hAnsi="宋体" w:cs="宋体" w:eastAsia="宋体" w:hint="default"/>
          <w:sz w:val="21"/>
          <w:szCs w:val="21"/>
        </w:rPr>
      </w:pPr>
      <w:r>
        <w:rPr>
          <w:rFonts w:ascii="宋体" w:hAnsi="宋体" w:cs="宋体" w:eastAsia="宋体" w:hint="default"/>
          <w:b/>
          <w:bCs/>
          <w:sz w:val="21"/>
          <w:szCs w:val="21"/>
        </w:rPr>
        <w:t>3.</w:t>
      </w:r>
      <w:r>
        <w:rPr>
          <w:rFonts w:ascii="宋体" w:hAnsi="宋体" w:cs="宋体" w:eastAsia="宋体" w:hint="default"/>
          <w:b/>
          <w:bCs/>
          <w:sz w:val="21"/>
          <w:szCs w:val="21"/>
        </w:rPr>
        <w:t>截止财务报告日，本公司无其他需要披露的重大资产负债表日后事项。</w:t>
      </w:r>
      <w:r>
        <w:rPr>
          <w:rFonts w:ascii="宋体" w:hAnsi="宋体" w:cs="宋体" w:eastAsia="宋体" w:hint="default"/>
          <w:sz w:val="21"/>
          <w:szCs w:val="21"/>
        </w:rPr>
      </w: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5"/>
          <w:szCs w:val="15"/>
        </w:rPr>
      </w:pPr>
    </w:p>
    <w:p>
      <w:pPr>
        <w:pStyle w:val="Heading4"/>
        <w:spacing w:line="240" w:lineRule="auto"/>
        <w:ind w:right="0"/>
        <w:jc w:val="left"/>
        <w:rPr>
          <w:b w:val="0"/>
          <w:bCs w:val="0"/>
        </w:rPr>
      </w:pPr>
      <w:bookmarkStart w:name="十六、其他重要事项" w:id="473"/>
      <w:bookmarkEnd w:id="473"/>
      <w:r>
        <w:rPr>
          <w:b w:val="0"/>
          <w:bCs w:val="0"/>
        </w:rPr>
      </w:r>
      <w:r>
        <w:rPr/>
        <w:t>十六、其他重要事项</w:t>
      </w:r>
      <w:r>
        <w:rPr>
          <w:b w:val="0"/>
          <w:bCs w:val="0"/>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前期会计差错更正" w:id="474"/>
      <w:bookmarkEnd w:id="474"/>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、前期会计差错更正</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追溯重述法" w:id="475"/>
      <w:bookmarkEnd w:id="47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）追溯重述法</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494"/>
        <w:gridCol w:w="2295"/>
        <w:gridCol w:w="2391"/>
        <w:gridCol w:w="2389"/>
      </w:tblGrid>
      <w:tr>
        <w:trPr>
          <w:trHeight w:val="714"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32"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处理程序</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830" w:right="108" w:hanging="720"/>
              <w:jc w:val="left"/>
              <w:rPr>
                <w:rFonts w:ascii="宋体" w:hAnsi="宋体" w:cs="宋体" w:eastAsia="宋体" w:hint="default"/>
                <w:sz w:val="18"/>
                <w:szCs w:val="18"/>
              </w:rPr>
            </w:pPr>
            <w:r>
              <w:rPr>
                <w:rFonts w:ascii="宋体" w:hAnsi="宋体" w:cs="宋体" w:eastAsia="宋体" w:hint="default"/>
                <w:sz w:val="18"/>
                <w:szCs w:val="18"/>
              </w:rPr>
              <w:t>受影响的各个比较期间报表 项目名称</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740" w:right="0"/>
              <w:jc w:val="left"/>
              <w:rPr>
                <w:rFonts w:ascii="宋体" w:hAnsi="宋体" w:cs="宋体" w:eastAsia="宋体" w:hint="default"/>
                <w:sz w:val="18"/>
                <w:szCs w:val="18"/>
              </w:rPr>
            </w:pPr>
            <w:r>
              <w:rPr>
                <w:rFonts w:ascii="宋体" w:hAnsi="宋体" w:cs="宋体" w:eastAsia="宋体" w:hint="default"/>
                <w:sz w:val="18"/>
                <w:szCs w:val="18"/>
              </w:rPr>
              <w:t>累积影响数</w:t>
            </w:r>
          </w:p>
        </w:tc>
      </w:tr>
    </w:tbl>
    <w:p>
      <w:pPr>
        <w:spacing w:after="0" w:line="240" w:lineRule="auto"/>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13"/>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2）未来适用法" w:id="476"/>
      <w:bookmarkEnd w:id="47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）未来适用法</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47" w:right="0"/>
              <w:jc w:val="left"/>
              <w:rPr>
                <w:rFonts w:ascii="宋体" w:hAnsi="宋体" w:cs="宋体" w:eastAsia="宋体" w:hint="default"/>
                <w:sz w:val="18"/>
                <w:szCs w:val="18"/>
              </w:rPr>
            </w:pPr>
            <w:r>
              <w:rPr>
                <w:rFonts w:ascii="宋体" w:hAnsi="宋体" w:cs="宋体" w:eastAsia="宋体" w:hint="default"/>
                <w:sz w:val="18"/>
                <w:szCs w:val="18"/>
              </w:rPr>
              <w:t>会计差错更正的内容</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批准程序</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87" w:right="0"/>
              <w:jc w:val="left"/>
              <w:rPr>
                <w:rFonts w:ascii="宋体" w:hAnsi="宋体" w:cs="宋体" w:eastAsia="宋体" w:hint="default"/>
                <w:sz w:val="18"/>
                <w:szCs w:val="18"/>
              </w:rPr>
            </w:pPr>
            <w:r>
              <w:rPr>
                <w:rFonts w:ascii="宋体" w:hAnsi="宋体" w:cs="宋体" w:eastAsia="宋体" w:hint="default"/>
                <w:sz w:val="18"/>
                <w:szCs w:val="18"/>
              </w:rPr>
              <w:t>采用未来适用法的原因</w:t>
            </w:r>
          </w:p>
        </w:tc>
      </w:tr>
    </w:tbl>
    <w:p>
      <w:pPr>
        <w:spacing w:line="240" w:lineRule="auto" w:before="3"/>
        <w:rPr>
          <w:rFonts w:ascii="宋体" w:hAnsi="宋体" w:cs="宋体" w:eastAsia="宋体" w:hint="default"/>
          <w:b/>
          <w:bCs/>
          <w:sz w:val="19"/>
          <w:szCs w:val="19"/>
        </w:rPr>
      </w:pPr>
    </w:p>
    <w:p>
      <w:pPr>
        <w:spacing w:before="35"/>
        <w:ind w:left="114" w:right="0" w:firstLine="0"/>
        <w:jc w:val="left"/>
        <w:rPr>
          <w:rFonts w:ascii="宋体" w:hAnsi="宋体" w:cs="宋体" w:eastAsia="宋体" w:hint="default"/>
          <w:sz w:val="21"/>
          <w:szCs w:val="21"/>
        </w:rPr>
      </w:pPr>
      <w:bookmarkStart w:name="2、债务重组" w:id="477"/>
      <w:bookmarkEnd w:id="477"/>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、债务重组</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3、资产置换" w:id="478"/>
      <w:bookmarkEnd w:id="478"/>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、资产置换</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非货币性资产交换" w:id="479"/>
      <w:bookmarkEnd w:id="479"/>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）非货币性资产交换</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2）其他资产置换" w:id="480"/>
      <w:bookmarkEnd w:id="48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）其他资产置换</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4、年金计划" w:id="481"/>
      <w:bookmarkEnd w:id="481"/>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、年金计划</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5、终止经营" w:id="482"/>
      <w:bookmarkEnd w:id="482"/>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、终止经营</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1026"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1"/>
              <w:jc w:val="center"/>
              <w:rPr>
                <w:rFonts w:ascii="宋体" w:hAnsi="宋体" w:cs="宋体" w:eastAsia="宋体" w:hint="default"/>
                <w:sz w:val="18"/>
                <w:szCs w:val="18"/>
              </w:rPr>
            </w:pPr>
            <w:r>
              <w:rPr>
                <w:rFonts w:ascii="宋体" w:hAnsi="宋体" w:cs="宋体" w:eastAsia="宋体" w:hint="default"/>
                <w:sz w:val="18"/>
                <w:szCs w:val="18"/>
              </w:rPr>
              <w:t>费用</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17" w:right="0"/>
              <w:jc w:val="left"/>
              <w:rPr>
                <w:rFonts w:ascii="宋体" w:hAnsi="宋体" w:cs="宋体" w:eastAsia="宋体" w:hint="default"/>
                <w:sz w:val="18"/>
                <w:szCs w:val="18"/>
              </w:rPr>
            </w:pPr>
            <w:r>
              <w:rPr>
                <w:rFonts w:ascii="宋体" w:hAnsi="宋体" w:cs="宋体" w:eastAsia="宋体" w:hint="default"/>
                <w:sz w:val="18"/>
                <w:szCs w:val="18"/>
              </w:rPr>
              <w:t>利润总额</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227" w:right="0"/>
              <w:jc w:val="left"/>
              <w:rPr>
                <w:rFonts w:ascii="宋体" w:hAnsi="宋体" w:cs="宋体" w:eastAsia="宋体" w:hint="default"/>
                <w:sz w:val="18"/>
                <w:szCs w:val="18"/>
              </w:rPr>
            </w:pPr>
            <w:r>
              <w:rPr>
                <w:rFonts w:ascii="宋体" w:hAnsi="宋体" w:cs="宋体" w:eastAsia="宋体" w:hint="default"/>
                <w:sz w:val="18"/>
                <w:szCs w:val="18"/>
              </w:rPr>
              <w:t>所得税费用</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07" w:right="0"/>
              <w:jc w:val="left"/>
              <w:rPr>
                <w:rFonts w:ascii="宋体" w:hAnsi="宋体" w:cs="宋体" w:eastAsia="宋体" w:hint="default"/>
                <w:sz w:val="18"/>
                <w:szCs w:val="18"/>
              </w:rPr>
            </w:pPr>
            <w:r>
              <w:rPr>
                <w:rFonts w:ascii="宋体" w:hAnsi="宋体" w:cs="宋体" w:eastAsia="宋体" w:hint="default"/>
                <w:sz w:val="18"/>
                <w:szCs w:val="18"/>
              </w:rPr>
              <w:t>净利润</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37" w:right="137"/>
              <w:jc w:val="center"/>
              <w:rPr>
                <w:rFonts w:ascii="宋体" w:hAnsi="宋体" w:cs="宋体" w:eastAsia="宋体" w:hint="default"/>
                <w:sz w:val="18"/>
                <w:szCs w:val="18"/>
              </w:rPr>
            </w:pPr>
            <w:r>
              <w:rPr>
                <w:rFonts w:ascii="宋体" w:hAnsi="宋体" w:cs="宋体" w:eastAsia="宋体" w:hint="default"/>
                <w:sz w:val="18"/>
                <w:szCs w:val="18"/>
              </w:rPr>
              <w:t>归属于母公司 所有者的终止 经营利润</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6、分部信息" w:id="483"/>
      <w:bookmarkEnd w:id="483"/>
      <w:r>
        <w:rPr/>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、分部信息</w:t>
      </w:r>
      <w:r>
        <w:rPr>
          <w:rFonts w:ascii="宋体" w:hAnsi="宋体" w:cs="宋体" w:eastAsia="宋体" w:hint="default"/>
          <w:sz w:val="21"/>
          <w:szCs w:val="21"/>
        </w:rPr>
      </w:r>
    </w:p>
    <w:p>
      <w:pPr>
        <w:spacing w:line="240" w:lineRule="auto" w:before="10"/>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报告分部的确定依据与会计政策" w:id="484"/>
      <w:bookmarkEnd w:id="48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）报告分部的确定依据与会计政策</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2）报告分部的财务信息" w:id="485"/>
      <w:bookmarkEnd w:id="485"/>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）报告分部的财务信息</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2393"/>
        <w:gridCol w:w="2393"/>
        <w:gridCol w:w="2392"/>
        <w:gridCol w:w="2392"/>
      </w:tblGrid>
      <w:tr>
        <w:trPr>
          <w:trHeight w:val="403" w:hRule="exact"/>
        </w:trPr>
        <w:tc>
          <w:tcPr>
            <w:tcW w:w="23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2393" w:type="dxa"/>
            <w:tcBorders>
              <w:top w:val="single" w:sz="4" w:space="0" w:color="000000"/>
              <w:left w:val="single" w:sz="4" w:space="0" w:color="000000"/>
              <w:bottom w:val="single" w:sz="4" w:space="0" w:color="000000"/>
              <w:right w:val="single" w:sz="4" w:space="0" w:color="000000"/>
            </w:tcBorders>
            <w:shd w:val="clear" w:color="auto" w:fill="E0FFFF"/>
          </w:tcPr>
          <w:p>
            <w:pP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740" w:right="0"/>
              <w:jc w:val="left"/>
              <w:rPr>
                <w:rFonts w:ascii="宋体" w:hAnsi="宋体" w:cs="宋体" w:eastAsia="宋体" w:hint="default"/>
                <w:sz w:val="18"/>
                <w:szCs w:val="18"/>
              </w:rPr>
            </w:pPr>
            <w:r>
              <w:rPr>
                <w:rFonts w:ascii="宋体" w:hAnsi="宋体" w:cs="宋体" w:eastAsia="宋体" w:hint="default"/>
                <w:sz w:val="18"/>
                <w:szCs w:val="18"/>
              </w:rPr>
              <w:t>分部间抵销</w:t>
            </w:r>
          </w:p>
        </w:tc>
        <w:tc>
          <w:tcPr>
            <w:tcW w:w="239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合计</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3）公司无报告分部的，或者不能披露各报告分部的资产总额和负债总额的，应说明原因" w:id="486"/>
      <w:bookmarkEnd w:id="48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）公司无报告分部的，或者不能披露各报告分部的资产总额和负债总额的，应说明原因</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4）其他说明" w:id="487"/>
      <w:bookmarkEnd w:id="48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）其他说明</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7、其他对投资者决策有影响的重要交易和事项" w:id="488"/>
      <w:bookmarkEnd w:id="488"/>
      <w:r>
        <w:rPr/>
      </w:r>
      <w:r>
        <w:rPr>
          <w:rFonts w:ascii="Times New Roman" w:hAnsi="Times New Roman" w:cs="Times New Roman" w:eastAsia="Times New Roman" w:hint="default"/>
          <w:b/>
          <w:bCs/>
          <w:sz w:val="21"/>
          <w:szCs w:val="21"/>
        </w:rPr>
        <w:t>7</w:t>
      </w:r>
      <w:r>
        <w:rPr>
          <w:rFonts w:ascii="宋体" w:hAnsi="宋体" w:cs="宋体" w:eastAsia="宋体" w:hint="default"/>
          <w:b/>
          <w:bCs/>
          <w:sz w:val="21"/>
          <w:szCs w:val="21"/>
        </w:rPr>
        <w:t>、其他对投资者决策有影响的重要交易和事项</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8、其他" w:id="489"/>
      <w:bookmarkEnd w:id="489"/>
      <w:r>
        <w:rPr/>
      </w:r>
      <w:r>
        <w:rPr>
          <w:rFonts w:ascii="Times New Roman" w:hAnsi="Times New Roman" w:cs="Times New Roman" w:eastAsia="Times New Roman" w:hint="default"/>
          <w:b/>
          <w:bCs/>
          <w:sz w:val="21"/>
          <w:szCs w:val="21"/>
        </w:rPr>
        <w:t>8</w:t>
      </w:r>
      <w:r>
        <w:rPr>
          <w:rFonts w:ascii="宋体" w:hAnsi="宋体" w:cs="宋体" w:eastAsia="宋体" w:hint="default"/>
          <w:b/>
          <w:bCs/>
          <w:sz w:val="21"/>
          <w:szCs w:val="21"/>
        </w:rPr>
        <w:t>、其他</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line="261" w:lineRule="auto" w:before="0"/>
        <w:ind w:left="828" w:right="0" w:hanging="366"/>
        <w:jc w:val="left"/>
        <w:rPr>
          <w:rFonts w:ascii="宋体" w:hAnsi="宋体" w:cs="宋体" w:eastAsia="宋体" w:hint="default"/>
          <w:sz w:val="21"/>
          <w:szCs w:val="21"/>
        </w:rPr>
      </w:pPr>
      <w:r>
        <w:rPr>
          <w:rFonts w:ascii="宋体" w:hAnsi="宋体" w:cs="宋体" w:eastAsia="宋体" w:hint="default"/>
          <w:b/>
          <w:bCs/>
          <w:sz w:val="21"/>
          <w:szCs w:val="21"/>
        </w:rPr>
        <w:t>关于公司限制性股票的事项</w:t>
      </w:r>
      <w:r>
        <w:rPr>
          <w:rFonts w:ascii="宋体" w:hAnsi="宋体" w:cs="宋体" w:eastAsia="宋体" w:hint="default"/>
          <w:b/>
          <w:bCs/>
          <w:w w:val="99"/>
          <w:sz w:val="21"/>
          <w:szCs w:val="21"/>
        </w:rPr>
        <w:t> </w:t>
      </w: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5</w:t>
      </w:r>
      <w:r>
        <w:rPr>
          <w:rFonts w:ascii="宋体" w:hAnsi="宋体" w:cs="宋体" w:eastAsia="宋体" w:hint="default"/>
          <w:sz w:val="21"/>
          <w:szCs w:val="21"/>
        </w:rPr>
        <w:t>月</w:t>
      </w:r>
      <w:r>
        <w:rPr>
          <w:rFonts w:ascii="Times New Roman" w:hAnsi="Times New Roman" w:cs="Times New Roman" w:eastAsia="Times New Roman" w:hint="default"/>
          <w:sz w:val="21"/>
          <w:szCs w:val="21"/>
        </w:rPr>
        <w:t>11</w:t>
      </w:r>
      <w:r>
        <w:rPr>
          <w:rFonts w:ascii="宋体" w:hAnsi="宋体" w:cs="宋体" w:eastAsia="宋体" w:hint="default"/>
          <w:sz w:val="21"/>
          <w:szCs w:val="21"/>
        </w:rPr>
        <w:t>日，经公司第三届董事会第九次会议审议并通过了《关于</w:t>
      </w:r>
      <w:r>
        <w:rPr>
          <w:rFonts w:ascii="Times New Roman" w:hAnsi="Times New Roman" w:cs="Times New Roman" w:eastAsia="Times New Roman" w:hint="default"/>
          <w:sz w:val="21"/>
          <w:szCs w:val="21"/>
        </w:rPr>
        <w:t>&lt;</w:t>
      </w:r>
      <w:r>
        <w:rPr>
          <w:rFonts w:ascii="宋体" w:hAnsi="宋体" w:cs="宋体" w:eastAsia="宋体" w:hint="default"/>
          <w:sz w:val="21"/>
          <w:szCs w:val="21"/>
        </w:rPr>
        <w:t>上海中信信息发展股份有</w:t>
      </w:r>
      <w:r>
        <w:rPr>
          <w:rFonts w:ascii="宋体" w:hAnsi="宋体" w:cs="宋体" w:eastAsia="宋体" w:hint="default"/>
          <w:spacing w:val="2"/>
          <w:sz w:val="21"/>
          <w:szCs w:val="21"/>
        </w:rPr>
        <w:t> </w:t>
      </w:r>
      <w:r>
        <w:rPr>
          <w:rFonts w:ascii="宋体" w:hAnsi="宋体" w:cs="宋体" w:eastAsia="宋体" w:hint="default"/>
          <w:spacing w:val="-6"/>
          <w:sz w:val="21"/>
          <w:szCs w:val="21"/>
        </w:rPr>
        <w:t>限公司首期限制性股票激励计划（草案）</w:t>
      </w:r>
      <w:r>
        <w:rPr>
          <w:rFonts w:ascii="Times New Roman" w:hAnsi="Times New Roman" w:cs="Times New Roman" w:eastAsia="Times New Roman" w:hint="default"/>
          <w:spacing w:val="-6"/>
          <w:sz w:val="21"/>
          <w:szCs w:val="21"/>
        </w:rPr>
        <w:t>&gt;</w:t>
      </w:r>
      <w:r>
        <w:rPr>
          <w:rFonts w:ascii="宋体" w:hAnsi="宋体" w:cs="宋体" w:eastAsia="宋体" w:hint="default"/>
          <w:spacing w:val="-6"/>
          <w:sz w:val="21"/>
          <w:szCs w:val="21"/>
        </w:rPr>
        <w:t>及其摘要的议案》、《上海中信信息发展股份有限公司首</w:t>
      </w:r>
      <w:r>
        <w:rPr>
          <w:rFonts w:ascii="宋体" w:hAnsi="宋体" w:cs="宋体" w:eastAsia="宋体" w:hint="default"/>
          <w:sz w:val="21"/>
          <w:szCs w:val="21"/>
        </w:rPr>
        <w:t> </w:t>
      </w:r>
      <w:r>
        <w:rPr>
          <w:rFonts w:ascii="宋体" w:hAnsi="宋体" w:cs="宋体" w:eastAsia="宋体" w:hint="default"/>
          <w:spacing w:val="-3"/>
          <w:sz w:val="21"/>
          <w:szCs w:val="21"/>
        </w:rPr>
        <w:t>期限制性股票激励计划实施考核管理办法》，并于</w:t>
      </w:r>
      <w:r>
        <w:rPr>
          <w:rFonts w:ascii="Times New Roman" w:hAnsi="Times New Roman" w:cs="Times New Roman" w:eastAsia="Times New Roman" w:hint="default"/>
          <w:spacing w:val="-3"/>
          <w:sz w:val="21"/>
          <w:szCs w:val="21"/>
        </w:rPr>
        <w:t>2016</w:t>
      </w:r>
      <w:r>
        <w:rPr>
          <w:rFonts w:ascii="宋体" w:hAnsi="宋体" w:cs="宋体" w:eastAsia="宋体" w:hint="default"/>
          <w:spacing w:val="-3"/>
          <w:sz w:val="21"/>
          <w:szCs w:val="21"/>
        </w:rPr>
        <w:t>年</w:t>
      </w:r>
      <w:r>
        <w:rPr>
          <w:rFonts w:ascii="Times New Roman" w:hAnsi="Times New Roman" w:cs="Times New Roman" w:eastAsia="Times New Roman" w:hint="default"/>
          <w:spacing w:val="-3"/>
          <w:sz w:val="21"/>
          <w:szCs w:val="21"/>
        </w:rPr>
        <w:t>6</w:t>
      </w:r>
      <w:r>
        <w:rPr>
          <w:rFonts w:ascii="宋体" w:hAnsi="宋体" w:cs="宋体" w:eastAsia="宋体" w:hint="default"/>
          <w:spacing w:val="-3"/>
          <w:sz w:val="21"/>
          <w:szCs w:val="21"/>
        </w:rPr>
        <w:t>月</w:t>
      </w:r>
      <w:r>
        <w:rPr>
          <w:rFonts w:ascii="Times New Roman" w:hAnsi="Times New Roman" w:cs="Times New Roman" w:eastAsia="Times New Roman" w:hint="default"/>
          <w:spacing w:val="-3"/>
          <w:sz w:val="21"/>
          <w:szCs w:val="21"/>
        </w:rPr>
        <w:t>6</w:t>
      </w:r>
      <w:r>
        <w:rPr>
          <w:rFonts w:ascii="宋体" w:hAnsi="宋体" w:cs="宋体" w:eastAsia="宋体" w:hint="default"/>
          <w:spacing w:val="-3"/>
          <w:sz w:val="21"/>
          <w:szCs w:val="21"/>
        </w:rPr>
        <w:t>日召开的</w:t>
      </w:r>
      <w:r>
        <w:rPr>
          <w:rFonts w:ascii="Times New Roman" w:hAnsi="Times New Roman" w:cs="Times New Roman" w:eastAsia="Times New Roman" w:hint="default"/>
          <w:spacing w:val="-3"/>
          <w:sz w:val="21"/>
          <w:szCs w:val="21"/>
        </w:rPr>
        <w:t>2016</w:t>
      </w:r>
      <w:r>
        <w:rPr>
          <w:rFonts w:ascii="宋体" w:hAnsi="宋体" w:cs="宋体" w:eastAsia="宋体" w:hint="default"/>
          <w:spacing w:val="-3"/>
          <w:sz w:val="21"/>
          <w:szCs w:val="21"/>
        </w:rPr>
        <w:t>年第一次临时股东大会</w:t>
      </w:r>
      <w:r>
        <w:rPr>
          <w:rFonts w:ascii="宋体" w:hAnsi="宋体" w:cs="宋体" w:eastAsia="宋体" w:hint="default"/>
          <w:sz w:val="21"/>
          <w:szCs w:val="21"/>
        </w:rPr>
        <w:t> 审议并通过。</w:t>
      </w:r>
    </w:p>
    <w:p>
      <w:pPr>
        <w:spacing w:after="0" w:line="261"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line="259" w:lineRule="auto" w:before="35"/>
        <w:ind w:left="828" w:right="100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2016</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月</w:t>
      </w:r>
      <w:r>
        <w:rPr>
          <w:rFonts w:ascii="Times New Roman" w:hAnsi="Times New Roman" w:cs="Times New Roman" w:eastAsia="Times New Roman" w:hint="default"/>
          <w:sz w:val="21"/>
          <w:szCs w:val="21"/>
        </w:rPr>
        <w:t>29</w:t>
      </w:r>
      <w:r>
        <w:rPr>
          <w:rFonts w:ascii="宋体" w:hAnsi="宋体" w:cs="宋体" w:eastAsia="宋体" w:hint="default"/>
          <w:sz w:val="21"/>
          <w:szCs w:val="21"/>
        </w:rPr>
        <w:t>日，经公司第三届董事会第十次会议审议并通过《关于向激励对象授予限制性股票的 </w:t>
      </w:r>
      <w:r>
        <w:rPr>
          <w:rFonts w:ascii="宋体" w:hAnsi="宋体" w:cs="宋体" w:eastAsia="宋体" w:hint="default"/>
          <w:spacing w:val="-1"/>
          <w:sz w:val="21"/>
          <w:szCs w:val="21"/>
        </w:rPr>
        <w:t>议案》，公司向符合授予条件的</w:t>
      </w:r>
      <w:r>
        <w:rPr>
          <w:rFonts w:ascii="Times New Roman" w:hAnsi="Times New Roman" w:cs="Times New Roman" w:eastAsia="Times New Roman" w:hint="default"/>
          <w:spacing w:val="-1"/>
          <w:sz w:val="21"/>
          <w:szCs w:val="21"/>
        </w:rPr>
        <w:t>83</w:t>
      </w:r>
      <w:r>
        <w:rPr>
          <w:rFonts w:ascii="宋体" w:hAnsi="宋体" w:cs="宋体" w:eastAsia="宋体" w:hint="default"/>
          <w:spacing w:val="-1"/>
          <w:sz w:val="21"/>
          <w:szCs w:val="21"/>
        </w:rPr>
        <w:t>名激励对象授予</w:t>
      </w:r>
      <w:r>
        <w:rPr>
          <w:rFonts w:ascii="Times New Roman" w:hAnsi="Times New Roman" w:cs="Times New Roman" w:eastAsia="Times New Roman" w:hint="default"/>
          <w:spacing w:val="-1"/>
          <w:sz w:val="21"/>
          <w:szCs w:val="21"/>
        </w:rPr>
        <w:t>150</w:t>
      </w:r>
      <w:r>
        <w:rPr>
          <w:rFonts w:ascii="宋体" w:hAnsi="宋体" w:cs="宋体" w:eastAsia="宋体" w:hint="default"/>
          <w:spacing w:val="-1"/>
          <w:sz w:val="21"/>
          <w:szCs w:val="21"/>
        </w:rPr>
        <w:t>万股限制性股票。独立董事发表了相关事项</w:t>
      </w:r>
      <w:r>
        <w:rPr>
          <w:rFonts w:ascii="宋体" w:hAnsi="宋体" w:cs="宋体" w:eastAsia="宋体" w:hint="default"/>
          <w:spacing w:val="-73"/>
          <w:sz w:val="21"/>
          <w:szCs w:val="21"/>
        </w:rPr>
        <w:t> </w:t>
      </w:r>
      <w:r>
        <w:rPr>
          <w:rFonts w:ascii="宋体" w:hAnsi="宋体" w:cs="宋体" w:eastAsia="宋体" w:hint="default"/>
          <w:spacing w:val="-73"/>
          <w:sz w:val="21"/>
          <w:szCs w:val="21"/>
        </w:rPr>
      </w:r>
      <w:r>
        <w:rPr>
          <w:rFonts w:ascii="宋体" w:hAnsi="宋体" w:cs="宋体" w:eastAsia="宋体" w:hint="default"/>
          <w:sz w:val="21"/>
          <w:szCs w:val="21"/>
        </w:rPr>
        <w:t>的独立意见。 </w:t>
      </w:r>
      <w:r>
        <w:rPr>
          <w:rFonts w:ascii="Times New Roman" w:hAnsi="Times New Roman" w:cs="Times New Roman" w:eastAsia="Times New Roman" w:hint="default"/>
          <w:spacing w:val="-1"/>
          <w:sz w:val="21"/>
          <w:szCs w:val="21"/>
        </w:rPr>
        <w:t>2016</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8</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19</w:t>
      </w:r>
      <w:r>
        <w:rPr>
          <w:rFonts w:ascii="宋体" w:hAnsi="宋体" w:cs="宋体" w:eastAsia="宋体" w:hint="default"/>
          <w:spacing w:val="-1"/>
          <w:sz w:val="21"/>
          <w:szCs w:val="21"/>
        </w:rPr>
        <w:t>日，公司披露《关于首期限制性股票授予完成的公告》，授予的限制性股票已于</w:t>
      </w:r>
      <w:r>
        <w:rPr>
          <w:rFonts w:ascii="Times New Roman" w:hAnsi="Times New Roman" w:cs="Times New Roman" w:eastAsia="Times New Roman" w:hint="default"/>
          <w:spacing w:val="-1"/>
          <w:sz w:val="21"/>
          <w:szCs w:val="21"/>
        </w:rPr>
        <w:t>2016</w:t>
      </w:r>
      <w:r>
        <w:rPr>
          <w:rFonts w:ascii="Times New Roman" w:hAnsi="Times New Roman" w:cs="Times New Roman" w:eastAsia="Times New Roman" w:hint="default"/>
          <w:spacing w:val="-14"/>
          <w:sz w:val="21"/>
          <w:szCs w:val="21"/>
        </w:rPr>
        <w:t> </w:t>
      </w:r>
      <w:r>
        <w:rPr>
          <w:rFonts w:ascii="Times New Roman" w:hAnsi="Times New Roman" w:cs="Times New Roman" w:eastAsia="Times New Roman" w:hint="default"/>
          <w:spacing w:val="-14"/>
          <w:sz w:val="21"/>
          <w:szCs w:val="21"/>
        </w:rPr>
      </w:r>
      <w:r>
        <w:rPr>
          <w:rFonts w:ascii="宋体" w:hAnsi="宋体" w:cs="宋体" w:eastAsia="宋体" w:hint="default"/>
          <w:sz w:val="21"/>
          <w:szCs w:val="21"/>
        </w:rPr>
        <w:t>年</w:t>
      </w:r>
      <w:r>
        <w:rPr>
          <w:rFonts w:ascii="Times New Roman" w:hAnsi="Times New Roman" w:cs="Times New Roman" w:eastAsia="Times New Roman" w:hint="default"/>
          <w:sz w:val="21"/>
          <w:szCs w:val="21"/>
        </w:rPr>
        <w:t>8</w:t>
      </w:r>
      <w:r>
        <w:rPr>
          <w:rFonts w:ascii="宋体" w:hAnsi="宋体" w:cs="宋体" w:eastAsia="宋体" w:hint="default"/>
          <w:sz w:val="21"/>
          <w:szCs w:val="21"/>
        </w:rPr>
        <w:t>月</w:t>
      </w:r>
      <w:r>
        <w:rPr>
          <w:rFonts w:ascii="Times New Roman" w:hAnsi="Times New Roman" w:cs="Times New Roman" w:eastAsia="Times New Roman" w:hint="default"/>
          <w:sz w:val="21"/>
          <w:szCs w:val="21"/>
        </w:rPr>
        <w:t>22</w:t>
      </w:r>
      <w:r>
        <w:rPr>
          <w:rFonts w:ascii="宋体" w:hAnsi="宋体" w:cs="宋体" w:eastAsia="宋体" w:hint="default"/>
          <w:sz w:val="21"/>
          <w:szCs w:val="21"/>
        </w:rPr>
        <w:t>日上市，为限售流通股。 </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4</w:t>
      </w:r>
      <w:r>
        <w:rPr>
          <w:rFonts w:ascii="宋体" w:hAnsi="宋体" w:cs="宋体" w:eastAsia="宋体" w:hint="default"/>
          <w:sz w:val="21"/>
          <w:szCs w:val="21"/>
        </w:rPr>
        <w:t>月</w:t>
      </w:r>
      <w:r>
        <w:rPr>
          <w:rFonts w:ascii="Times New Roman" w:hAnsi="Times New Roman" w:cs="Times New Roman" w:eastAsia="Times New Roman" w:hint="default"/>
          <w:sz w:val="21"/>
          <w:szCs w:val="21"/>
        </w:rPr>
        <w:t>16</w:t>
      </w:r>
      <w:r>
        <w:rPr>
          <w:rFonts w:ascii="宋体" w:hAnsi="宋体" w:cs="宋体" w:eastAsia="宋体" w:hint="default"/>
          <w:sz w:val="21"/>
          <w:szCs w:val="21"/>
        </w:rPr>
        <w:t>日，公司召开第四届董事会第十次会议，审议通过了《关于回购注销部分限制性股票 </w:t>
      </w:r>
      <w:r>
        <w:rPr>
          <w:rFonts w:ascii="宋体" w:hAnsi="宋体" w:cs="宋体" w:eastAsia="宋体" w:hint="default"/>
          <w:spacing w:val="-4"/>
          <w:sz w:val="21"/>
          <w:szCs w:val="21"/>
        </w:rPr>
        <w:t>的议案》和《关于减少公司注册资本并修改</w:t>
      </w:r>
      <w:r>
        <w:rPr>
          <w:rFonts w:ascii="Times New Roman" w:hAnsi="Times New Roman" w:cs="Times New Roman" w:eastAsia="Times New Roman" w:hint="default"/>
          <w:spacing w:val="-4"/>
          <w:sz w:val="21"/>
          <w:szCs w:val="21"/>
        </w:rPr>
        <w:t>&lt;</w:t>
      </w:r>
      <w:r>
        <w:rPr>
          <w:rFonts w:ascii="宋体" w:hAnsi="宋体" w:cs="宋体" w:eastAsia="宋体" w:hint="default"/>
          <w:spacing w:val="-4"/>
          <w:sz w:val="21"/>
          <w:szCs w:val="21"/>
        </w:rPr>
        <w:t>公司章程</w:t>
      </w:r>
      <w:r>
        <w:rPr>
          <w:rFonts w:ascii="Times New Roman" w:hAnsi="Times New Roman" w:cs="Times New Roman" w:eastAsia="Times New Roman" w:hint="default"/>
          <w:spacing w:val="-4"/>
          <w:sz w:val="21"/>
          <w:szCs w:val="21"/>
        </w:rPr>
        <w:t>&gt;</w:t>
      </w:r>
      <w:r>
        <w:rPr>
          <w:rFonts w:ascii="宋体" w:hAnsi="宋体" w:cs="宋体" w:eastAsia="宋体" w:hint="default"/>
          <w:spacing w:val="-4"/>
          <w:sz w:val="21"/>
          <w:szCs w:val="21"/>
        </w:rPr>
        <w:t>的议案》，鉴于公司首期限制性股票激励计</w:t>
      </w:r>
      <w:r>
        <w:rPr>
          <w:rFonts w:ascii="宋体" w:hAnsi="宋体" w:cs="宋体" w:eastAsia="宋体" w:hint="default"/>
          <w:spacing w:val="-64"/>
          <w:sz w:val="21"/>
          <w:szCs w:val="21"/>
        </w:rPr>
        <w:t> </w:t>
      </w:r>
      <w:r>
        <w:rPr>
          <w:rFonts w:ascii="宋体" w:hAnsi="宋体" w:cs="宋体" w:eastAsia="宋体" w:hint="default"/>
          <w:spacing w:val="-64"/>
          <w:sz w:val="21"/>
          <w:szCs w:val="21"/>
        </w:rPr>
      </w:r>
      <w:r>
        <w:rPr>
          <w:rFonts w:ascii="宋体" w:hAnsi="宋体" w:cs="宋体" w:eastAsia="宋体" w:hint="default"/>
          <w:spacing w:val="9"/>
          <w:sz w:val="21"/>
          <w:szCs w:val="21"/>
        </w:rPr>
        <w:t>划及首期授予方案第一个解锁期内，</w:t>
      </w:r>
      <w:r>
        <w:rPr>
          <w:rFonts w:ascii="Times New Roman" w:hAnsi="Times New Roman" w:cs="Times New Roman" w:eastAsia="Times New Roman" w:hint="default"/>
          <w:spacing w:val="9"/>
          <w:sz w:val="21"/>
          <w:szCs w:val="21"/>
        </w:rPr>
        <w:t>8</w:t>
      </w:r>
      <w:r>
        <w:rPr>
          <w:rFonts w:ascii="宋体" w:hAnsi="宋体" w:cs="宋体" w:eastAsia="宋体" w:hint="default"/>
          <w:spacing w:val="9"/>
          <w:sz w:val="21"/>
          <w:szCs w:val="21"/>
        </w:rPr>
        <w:t>名激励对象因离职应予回购注销其已获授但尚未解锁的</w:t>
      </w:r>
      <w:r>
        <w:rPr>
          <w:rFonts w:ascii="宋体" w:hAnsi="宋体" w:cs="宋体" w:eastAsia="宋体" w:hint="default"/>
          <w:spacing w:val="-74"/>
          <w:sz w:val="21"/>
          <w:szCs w:val="21"/>
        </w:rPr>
        <w:t> </w:t>
      </w:r>
      <w:r>
        <w:rPr>
          <w:rFonts w:ascii="宋体" w:hAnsi="宋体" w:cs="宋体" w:eastAsia="宋体" w:hint="default"/>
          <w:spacing w:val="-74"/>
          <w:sz w:val="21"/>
          <w:szCs w:val="21"/>
        </w:rPr>
      </w:r>
      <w:r>
        <w:rPr>
          <w:rFonts w:ascii="Times New Roman" w:hAnsi="Times New Roman" w:cs="Times New Roman" w:eastAsia="Times New Roman" w:hint="default"/>
          <w:sz w:val="21"/>
          <w:szCs w:val="21"/>
        </w:rPr>
        <w:t>108,000</w:t>
      </w:r>
      <w:r>
        <w:rPr>
          <w:rFonts w:ascii="宋体" w:hAnsi="宋体" w:cs="宋体" w:eastAsia="宋体" w:hint="default"/>
          <w:sz w:val="21"/>
          <w:szCs w:val="21"/>
        </w:rPr>
        <w:t>股限制性股票，因部分与</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2</w:t>
      </w:r>
      <w:r>
        <w:rPr>
          <w:rFonts w:ascii="宋体" w:hAnsi="宋体" w:cs="宋体" w:eastAsia="宋体" w:hint="default"/>
          <w:sz w:val="21"/>
          <w:szCs w:val="21"/>
        </w:rPr>
        <w:t>月</w:t>
      </w:r>
      <w:r>
        <w:rPr>
          <w:rFonts w:ascii="Times New Roman" w:hAnsi="Times New Roman" w:cs="Times New Roman" w:eastAsia="Times New Roman" w:hint="default"/>
          <w:sz w:val="21"/>
          <w:szCs w:val="21"/>
        </w:rPr>
        <w:t>27</w:t>
      </w:r>
      <w:r>
        <w:rPr>
          <w:rFonts w:ascii="宋体" w:hAnsi="宋体" w:cs="宋体" w:eastAsia="宋体" w:hint="default"/>
          <w:sz w:val="21"/>
          <w:szCs w:val="21"/>
        </w:rPr>
        <w:t>日的回购股份数重叠，合并计算共计回购</w:t>
      </w:r>
      <w:r>
        <w:rPr>
          <w:rFonts w:ascii="Times New Roman" w:hAnsi="Times New Roman" w:cs="Times New Roman" w:eastAsia="Times New Roman" w:hint="default"/>
          <w:sz w:val="21"/>
          <w:szCs w:val="21"/>
        </w:rPr>
        <w:t>525,600</w:t>
      </w:r>
      <w:r>
        <w:rPr>
          <w:rFonts w:ascii="宋体" w:hAnsi="宋体" w:cs="宋体" w:eastAsia="宋体" w:hint="default"/>
          <w:sz w:val="21"/>
          <w:szCs w:val="21"/>
        </w:rPr>
        <w:t>股， 并于</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5</w:t>
      </w:r>
      <w:r>
        <w:rPr>
          <w:rFonts w:ascii="宋体" w:hAnsi="宋体" w:cs="宋体" w:eastAsia="宋体" w:hint="default"/>
          <w:sz w:val="21"/>
          <w:szCs w:val="21"/>
        </w:rPr>
        <w:t>月</w:t>
      </w:r>
      <w:r>
        <w:rPr>
          <w:rFonts w:ascii="Times New Roman" w:hAnsi="Times New Roman" w:cs="Times New Roman" w:eastAsia="Times New Roman" w:hint="default"/>
          <w:sz w:val="21"/>
          <w:szCs w:val="21"/>
        </w:rPr>
        <w:t>8</w:t>
      </w:r>
      <w:r>
        <w:rPr>
          <w:rFonts w:ascii="宋体" w:hAnsi="宋体" w:cs="宋体" w:eastAsia="宋体" w:hint="default"/>
          <w:sz w:val="21"/>
          <w:szCs w:val="21"/>
        </w:rPr>
        <w:t>日召开的</w:t>
      </w:r>
      <w:r>
        <w:rPr>
          <w:rFonts w:ascii="Times New Roman" w:hAnsi="Times New Roman" w:cs="Times New Roman" w:eastAsia="Times New Roman" w:hint="default"/>
          <w:sz w:val="21"/>
          <w:szCs w:val="21"/>
        </w:rPr>
        <w:t>2017</w:t>
      </w:r>
      <w:r>
        <w:rPr>
          <w:rFonts w:ascii="宋体" w:hAnsi="宋体" w:cs="宋体" w:eastAsia="宋体" w:hint="default"/>
          <w:sz w:val="21"/>
          <w:szCs w:val="21"/>
        </w:rPr>
        <w:t>年年度股东大会会议审议通过。 因公司于</w:t>
      </w:r>
      <w:r>
        <w:rPr>
          <w:rFonts w:ascii="Times New Roman" w:hAnsi="Times New Roman" w:cs="Times New Roman" w:eastAsia="Times New Roman" w:hint="default"/>
          <w:sz w:val="21"/>
          <w:szCs w:val="21"/>
        </w:rPr>
        <w:t>2017</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月</w:t>
      </w:r>
      <w:r>
        <w:rPr>
          <w:rFonts w:ascii="Times New Roman" w:hAnsi="Times New Roman" w:cs="Times New Roman" w:eastAsia="Times New Roman" w:hint="default"/>
          <w:sz w:val="21"/>
          <w:szCs w:val="21"/>
        </w:rPr>
        <w:t>19</w:t>
      </w:r>
      <w:r>
        <w:rPr>
          <w:rFonts w:ascii="宋体" w:hAnsi="宋体" w:cs="宋体" w:eastAsia="宋体" w:hint="default"/>
          <w:sz w:val="21"/>
          <w:szCs w:val="21"/>
        </w:rPr>
        <w:t>日实施</w:t>
      </w:r>
      <w:r>
        <w:rPr>
          <w:rFonts w:ascii="Times New Roman" w:hAnsi="Times New Roman" w:cs="Times New Roman" w:eastAsia="Times New Roman" w:hint="default"/>
          <w:sz w:val="21"/>
          <w:szCs w:val="21"/>
        </w:rPr>
        <w:t>2016</w:t>
      </w:r>
      <w:r>
        <w:rPr>
          <w:rFonts w:ascii="宋体" w:hAnsi="宋体" w:cs="宋体" w:eastAsia="宋体" w:hint="default"/>
          <w:sz w:val="21"/>
          <w:szCs w:val="21"/>
        </w:rPr>
        <w:t>年度权益分派，根据《公司</w:t>
      </w:r>
      <w:r>
        <w:rPr>
          <w:rFonts w:ascii="Times New Roman" w:hAnsi="Times New Roman" w:cs="Times New Roman" w:eastAsia="Times New Roman" w:hint="default"/>
          <w:sz w:val="21"/>
          <w:szCs w:val="21"/>
        </w:rPr>
        <w:t>&lt;</w:t>
      </w:r>
      <w:r>
        <w:rPr>
          <w:rFonts w:ascii="宋体" w:hAnsi="宋体" w:cs="宋体" w:eastAsia="宋体" w:hint="default"/>
          <w:sz w:val="21"/>
          <w:szCs w:val="21"/>
        </w:rPr>
        <w:t>首期限制性股票激励计划（草案）</w:t>
      </w:r>
      <w:r>
        <w:rPr>
          <w:rFonts w:ascii="Times New Roman" w:hAnsi="Times New Roman" w:cs="Times New Roman" w:eastAsia="Times New Roman" w:hint="default"/>
          <w:sz w:val="21"/>
          <w:szCs w:val="21"/>
        </w:rPr>
        <w:t>&gt; </w:t>
      </w:r>
      <w:r>
        <w:rPr>
          <w:rFonts w:ascii="宋体" w:hAnsi="宋体" w:cs="宋体" w:eastAsia="宋体" w:hint="default"/>
          <w:spacing w:val="-5"/>
          <w:sz w:val="21"/>
          <w:szCs w:val="21"/>
        </w:rPr>
        <w:t>及其摘要的议案》，限制性股票的回购价格应相应予以调整，回购价格</w:t>
      </w:r>
      <w:r>
        <w:rPr>
          <w:rFonts w:ascii="Times New Roman" w:hAnsi="Times New Roman" w:cs="Times New Roman" w:eastAsia="Times New Roman" w:hint="default"/>
          <w:spacing w:val="-5"/>
          <w:sz w:val="21"/>
          <w:szCs w:val="21"/>
        </w:rPr>
        <w:t>55.79</w:t>
      </w:r>
      <w:r>
        <w:rPr>
          <w:rFonts w:ascii="宋体" w:hAnsi="宋体" w:cs="宋体" w:eastAsia="宋体" w:hint="default"/>
          <w:spacing w:val="-5"/>
          <w:sz w:val="21"/>
          <w:szCs w:val="21"/>
        </w:rPr>
        <w:t>元</w:t>
      </w:r>
      <w:r>
        <w:rPr>
          <w:rFonts w:ascii="Times New Roman" w:hAnsi="Times New Roman" w:cs="Times New Roman" w:eastAsia="Times New Roman" w:hint="default"/>
          <w:spacing w:val="-5"/>
          <w:sz w:val="21"/>
          <w:szCs w:val="21"/>
        </w:rPr>
        <w:t>/</w:t>
      </w:r>
      <w:r>
        <w:rPr>
          <w:rFonts w:ascii="宋体" w:hAnsi="宋体" w:cs="宋体" w:eastAsia="宋体" w:hint="default"/>
          <w:spacing w:val="-5"/>
          <w:sz w:val="21"/>
          <w:szCs w:val="21"/>
        </w:rPr>
        <w:t>股调整为</w:t>
      </w:r>
      <w:r>
        <w:rPr>
          <w:rFonts w:ascii="Times New Roman" w:hAnsi="Times New Roman" w:cs="Times New Roman" w:eastAsia="Times New Roman" w:hint="default"/>
          <w:spacing w:val="-5"/>
          <w:sz w:val="21"/>
          <w:szCs w:val="21"/>
        </w:rPr>
        <w:t>55.68</w:t>
      </w:r>
      <w:r>
        <w:rPr>
          <w:rFonts w:ascii="宋体" w:hAnsi="宋体" w:cs="宋体" w:eastAsia="宋体" w:hint="default"/>
          <w:spacing w:val="-5"/>
          <w:sz w:val="21"/>
          <w:szCs w:val="21"/>
        </w:rPr>
        <w:t>元</w:t>
      </w:r>
      <w:r>
        <w:rPr>
          <w:rFonts w:ascii="Times New Roman" w:hAnsi="Times New Roman" w:cs="Times New Roman" w:eastAsia="Times New Roman" w:hint="default"/>
          <w:spacing w:val="-5"/>
          <w:sz w:val="21"/>
          <w:szCs w:val="21"/>
        </w:rPr>
        <w:t>/</w:t>
      </w:r>
      <w:r>
        <w:rPr>
          <w:rFonts w:ascii="宋体" w:hAnsi="宋体" w:cs="宋体" w:eastAsia="宋体" w:hint="default"/>
          <w:spacing w:val="-5"/>
          <w:sz w:val="21"/>
          <w:szCs w:val="21"/>
        </w:rPr>
        <w:t>股，</w:t>
      </w:r>
      <w:r>
        <w:rPr>
          <w:rFonts w:ascii="宋体" w:hAnsi="宋体" w:cs="宋体" w:eastAsia="宋体" w:hint="default"/>
          <w:spacing w:val="-78"/>
          <w:sz w:val="21"/>
          <w:szCs w:val="21"/>
        </w:rPr>
        <w:t> </w:t>
      </w:r>
      <w:r>
        <w:rPr>
          <w:rFonts w:ascii="宋体" w:hAnsi="宋体" w:cs="宋体" w:eastAsia="宋体" w:hint="default"/>
          <w:sz w:val="21"/>
          <w:szCs w:val="21"/>
        </w:rPr>
        <w:t>回购总金额为</w:t>
      </w:r>
      <w:r>
        <w:rPr>
          <w:rFonts w:ascii="Times New Roman" w:hAnsi="Times New Roman" w:cs="Times New Roman" w:eastAsia="Times New Roman" w:hint="default"/>
          <w:sz w:val="21"/>
          <w:szCs w:val="21"/>
        </w:rPr>
        <w:t>29,265,408</w:t>
      </w:r>
      <w:r>
        <w:rPr>
          <w:rFonts w:ascii="宋体" w:hAnsi="宋体" w:cs="宋体" w:eastAsia="宋体" w:hint="default"/>
          <w:sz w:val="21"/>
          <w:szCs w:val="21"/>
        </w:rPr>
        <w:t>元，回购资金为公司自有资金，其中减少注册资本</w:t>
      </w:r>
      <w:r>
        <w:rPr>
          <w:rFonts w:ascii="Times New Roman" w:hAnsi="Times New Roman" w:cs="Times New Roman" w:eastAsia="Times New Roman" w:hint="default"/>
          <w:sz w:val="21"/>
          <w:szCs w:val="21"/>
        </w:rPr>
        <w:t>525,600</w:t>
      </w:r>
      <w:r>
        <w:rPr>
          <w:rFonts w:ascii="宋体" w:hAnsi="宋体" w:cs="宋体" w:eastAsia="宋体" w:hint="default"/>
          <w:sz w:val="21"/>
          <w:szCs w:val="21"/>
        </w:rPr>
        <w:t>元，转出资本溢 价</w:t>
      </w:r>
      <w:r>
        <w:rPr>
          <w:rFonts w:ascii="Times New Roman" w:hAnsi="Times New Roman" w:cs="Times New Roman" w:eastAsia="Times New Roman" w:hint="default"/>
          <w:sz w:val="21"/>
          <w:szCs w:val="21"/>
        </w:rPr>
        <w:t>28,739,808.00</w:t>
      </w:r>
      <w:r>
        <w:rPr>
          <w:rFonts w:ascii="宋体" w:hAnsi="宋体" w:cs="宋体" w:eastAsia="宋体" w:hint="default"/>
          <w:sz w:val="21"/>
          <w:szCs w:val="21"/>
        </w:rPr>
        <w:t>元。</w:t>
      </w:r>
    </w:p>
    <w:p>
      <w:pPr>
        <w:spacing w:line="261" w:lineRule="auto" w:before="2"/>
        <w:ind w:left="828" w:right="0" w:firstLine="0"/>
        <w:jc w:val="left"/>
        <w:rPr>
          <w:rFonts w:ascii="宋体" w:hAnsi="宋体" w:cs="宋体" w:eastAsia="宋体" w:hint="default"/>
          <w:sz w:val="21"/>
          <w:szCs w:val="21"/>
        </w:rPr>
      </w:pPr>
      <w:r>
        <w:rPr>
          <w:rFonts w:ascii="宋体" w:hAnsi="宋体" w:cs="宋体" w:eastAsia="宋体" w:hint="default"/>
          <w:sz w:val="21"/>
          <w:szCs w:val="21"/>
        </w:rPr>
        <w:t>公司于</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月</w:t>
      </w:r>
      <w:r>
        <w:rPr>
          <w:rFonts w:ascii="Times New Roman" w:hAnsi="Times New Roman" w:cs="Times New Roman" w:eastAsia="Times New Roman" w:hint="default"/>
          <w:sz w:val="21"/>
          <w:szCs w:val="21"/>
        </w:rPr>
        <w:t>15</w:t>
      </w:r>
      <w:r>
        <w:rPr>
          <w:rFonts w:ascii="宋体" w:hAnsi="宋体" w:cs="宋体" w:eastAsia="宋体" w:hint="default"/>
          <w:sz w:val="21"/>
          <w:szCs w:val="21"/>
        </w:rPr>
        <w:t>日召开的第四届董事会第十四次会议，审议通过了《关于首期限制性股票激励 </w:t>
      </w:r>
      <w:r>
        <w:rPr>
          <w:rFonts w:ascii="宋体" w:hAnsi="宋体" w:cs="宋体" w:eastAsia="宋体" w:hint="default"/>
          <w:spacing w:val="-3"/>
          <w:sz w:val="21"/>
          <w:szCs w:val="21"/>
        </w:rPr>
        <w:t>计划第一个解锁限售期解除限售条件成就的议案》。董事会根据公司</w:t>
      </w:r>
      <w:r>
        <w:rPr>
          <w:rFonts w:ascii="Times New Roman" w:hAnsi="Times New Roman" w:cs="Times New Roman" w:eastAsia="Times New Roman" w:hint="default"/>
          <w:spacing w:val="-3"/>
          <w:sz w:val="21"/>
          <w:szCs w:val="21"/>
        </w:rPr>
        <w:t>2016</w:t>
      </w:r>
      <w:r>
        <w:rPr>
          <w:rFonts w:ascii="宋体" w:hAnsi="宋体" w:cs="宋体" w:eastAsia="宋体" w:hint="default"/>
          <w:spacing w:val="-3"/>
          <w:sz w:val="21"/>
          <w:szCs w:val="21"/>
        </w:rPr>
        <w:t>年第一次临时股东大会之</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pacing w:val="2"/>
          <w:sz w:val="21"/>
          <w:szCs w:val="21"/>
        </w:rPr>
        <w:t>授权，同意按照股权激励计划的相关规定办理限制性股票第一个解锁期解锁的相关事宜，可申请</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4"/>
          <w:sz w:val="21"/>
          <w:szCs w:val="21"/>
        </w:rPr>
        <w:t>解锁的限制性股票数量为</w:t>
      </w:r>
      <w:r>
        <w:rPr>
          <w:rFonts w:ascii="Times New Roman" w:hAnsi="Times New Roman" w:cs="Times New Roman" w:eastAsia="Times New Roman" w:hint="default"/>
          <w:spacing w:val="-4"/>
          <w:sz w:val="21"/>
          <w:szCs w:val="21"/>
        </w:rPr>
        <w:t>417,600</w:t>
      </w:r>
      <w:r>
        <w:rPr>
          <w:rFonts w:ascii="宋体" w:hAnsi="宋体" w:cs="宋体" w:eastAsia="宋体" w:hint="default"/>
          <w:spacing w:val="-4"/>
          <w:sz w:val="21"/>
          <w:szCs w:val="21"/>
        </w:rPr>
        <w:t>股（解锁期为</w:t>
      </w:r>
      <w:r>
        <w:rPr>
          <w:rFonts w:ascii="Times New Roman" w:hAnsi="Times New Roman" w:cs="Times New Roman" w:eastAsia="Times New Roman" w:hint="default"/>
          <w:spacing w:val="-4"/>
          <w:sz w:val="21"/>
          <w:szCs w:val="21"/>
        </w:rPr>
        <w:t>2017</w:t>
      </w:r>
      <w:r>
        <w:rPr>
          <w:rFonts w:ascii="宋体" w:hAnsi="宋体" w:cs="宋体" w:eastAsia="宋体" w:hint="default"/>
          <w:spacing w:val="-4"/>
          <w:sz w:val="21"/>
          <w:szCs w:val="21"/>
        </w:rPr>
        <w:t>年</w:t>
      </w:r>
      <w:r>
        <w:rPr>
          <w:rFonts w:ascii="Times New Roman" w:hAnsi="Times New Roman" w:cs="Times New Roman" w:eastAsia="Times New Roman" w:hint="default"/>
          <w:spacing w:val="-4"/>
          <w:sz w:val="21"/>
          <w:szCs w:val="21"/>
        </w:rPr>
        <w:t>6</w:t>
      </w:r>
      <w:r>
        <w:rPr>
          <w:rFonts w:ascii="宋体" w:hAnsi="宋体" w:cs="宋体" w:eastAsia="宋体" w:hint="default"/>
          <w:spacing w:val="-4"/>
          <w:sz w:val="21"/>
          <w:szCs w:val="21"/>
        </w:rPr>
        <w:t>月</w:t>
      </w:r>
      <w:r>
        <w:rPr>
          <w:rFonts w:ascii="Times New Roman" w:hAnsi="Times New Roman" w:cs="Times New Roman" w:eastAsia="Times New Roman" w:hint="default"/>
          <w:spacing w:val="-4"/>
          <w:sz w:val="21"/>
          <w:szCs w:val="21"/>
        </w:rPr>
        <w:t>29</w:t>
      </w:r>
      <w:r>
        <w:rPr>
          <w:rFonts w:ascii="宋体" w:hAnsi="宋体" w:cs="宋体" w:eastAsia="宋体" w:hint="default"/>
          <w:spacing w:val="-4"/>
          <w:sz w:val="21"/>
          <w:szCs w:val="21"/>
        </w:rPr>
        <w:t>日至</w:t>
      </w:r>
      <w:r>
        <w:rPr>
          <w:rFonts w:ascii="Times New Roman" w:hAnsi="Times New Roman" w:cs="Times New Roman" w:eastAsia="Times New Roman" w:hint="default"/>
          <w:spacing w:val="-4"/>
          <w:sz w:val="21"/>
          <w:szCs w:val="21"/>
        </w:rPr>
        <w:t>2018</w:t>
      </w:r>
      <w:r>
        <w:rPr>
          <w:rFonts w:ascii="宋体" w:hAnsi="宋体" w:cs="宋体" w:eastAsia="宋体" w:hint="default"/>
          <w:spacing w:val="-4"/>
          <w:sz w:val="21"/>
          <w:szCs w:val="21"/>
        </w:rPr>
        <w:t>年</w:t>
      </w:r>
      <w:r>
        <w:rPr>
          <w:rFonts w:ascii="Times New Roman" w:hAnsi="Times New Roman" w:cs="Times New Roman" w:eastAsia="Times New Roman" w:hint="default"/>
          <w:spacing w:val="-4"/>
          <w:sz w:val="21"/>
          <w:szCs w:val="21"/>
        </w:rPr>
        <w:t>6</w:t>
      </w:r>
      <w:r>
        <w:rPr>
          <w:rFonts w:ascii="宋体" w:hAnsi="宋体" w:cs="宋体" w:eastAsia="宋体" w:hint="default"/>
          <w:spacing w:val="-4"/>
          <w:sz w:val="21"/>
          <w:szCs w:val="21"/>
        </w:rPr>
        <w:t>月</w:t>
      </w:r>
      <w:r>
        <w:rPr>
          <w:rFonts w:ascii="Times New Roman" w:hAnsi="Times New Roman" w:cs="Times New Roman" w:eastAsia="Times New Roman" w:hint="default"/>
          <w:spacing w:val="-4"/>
          <w:sz w:val="21"/>
          <w:szCs w:val="21"/>
        </w:rPr>
        <w:t>29</w:t>
      </w:r>
      <w:r>
        <w:rPr>
          <w:rFonts w:ascii="宋体" w:hAnsi="宋体" w:cs="宋体" w:eastAsia="宋体" w:hint="default"/>
          <w:spacing w:val="-4"/>
          <w:sz w:val="21"/>
          <w:szCs w:val="21"/>
        </w:rPr>
        <w:t>日），实际可上市流通</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z w:val="21"/>
          <w:szCs w:val="21"/>
        </w:rPr>
        <w:t>的股票数量为</w:t>
      </w:r>
      <w:r>
        <w:rPr>
          <w:rFonts w:ascii="Times New Roman" w:hAnsi="Times New Roman" w:cs="Times New Roman" w:eastAsia="Times New Roman" w:hint="default"/>
          <w:sz w:val="21"/>
          <w:szCs w:val="21"/>
        </w:rPr>
        <w:t>410,600</w:t>
      </w:r>
      <w:r>
        <w:rPr>
          <w:rFonts w:ascii="宋体" w:hAnsi="宋体" w:cs="宋体" w:eastAsia="宋体" w:hint="default"/>
          <w:sz w:val="21"/>
          <w:szCs w:val="21"/>
        </w:rPr>
        <w:t>股。</w:t>
      </w:r>
      <w:r>
        <w:rPr>
          <w:rFonts w:ascii="宋体" w:hAnsi="宋体" w:cs="宋体" w:eastAsia="宋体" w:hint="default"/>
          <w:spacing w:val="-2"/>
          <w:sz w:val="21"/>
          <w:szCs w:val="21"/>
        </w:rPr>
        <w:t> </w:t>
      </w:r>
      <w:r>
        <w:rPr>
          <w:rFonts w:ascii="Times New Roman" w:hAnsi="Times New Roman" w:cs="Times New Roman" w:eastAsia="Times New Roman" w:hint="default"/>
          <w:sz w:val="21"/>
          <w:szCs w:val="21"/>
        </w:rPr>
        <w:t>2019</w:t>
      </w:r>
      <w:r>
        <w:rPr>
          <w:rFonts w:ascii="宋体" w:hAnsi="宋体" w:cs="宋体" w:eastAsia="宋体" w:hint="default"/>
          <w:sz w:val="21"/>
          <w:szCs w:val="21"/>
        </w:rPr>
        <w:t>年</w:t>
      </w:r>
      <w:r>
        <w:rPr>
          <w:rFonts w:ascii="Times New Roman" w:hAnsi="Times New Roman" w:cs="Times New Roman" w:eastAsia="Times New Roman" w:hint="default"/>
          <w:sz w:val="21"/>
          <w:szCs w:val="21"/>
        </w:rPr>
        <w:t>2</w:t>
      </w:r>
      <w:r>
        <w:rPr>
          <w:rFonts w:ascii="宋体" w:hAnsi="宋体" w:cs="宋体" w:eastAsia="宋体" w:hint="default"/>
          <w:sz w:val="21"/>
          <w:szCs w:val="21"/>
        </w:rPr>
        <w:t>月</w:t>
      </w:r>
      <w:r>
        <w:rPr>
          <w:rFonts w:ascii="Times New Roman" w:hAnsi="Times New Roman" w:cs="Times New Roman" w:eastAsia="Times New Roman" w:hint="default"/>
          <w:sz w:val="21"/>
          <w:szCs w:val="21"/>
        </w:rPr>
        <w:t>27</w:t>
      </w:r>
      <w:r>
        <w:rPr>
          <w:rFonts w:ascii="宋体" w:hAnsi="宋体" w:cs="宋体" w:eastAsia="宋体" w:hint="default"/>
          <w:sz w:val="21"/>
          <w:szCs w:val="21"/>
        </w:rPr>
        <w:t>日，公司召开第四届董事会第二十四次会议，审议通过了《关于调整限制性股票回购 </w:t>
      </w:r>
      <w:r>
        <w:rPr>
          <w:rFonts w:ascii="宋体" w:hAnsi="宋体" w:cs="宋体" w:eastAsia="宋体" w:hint="default"/>
          <w:spacing w:val="-3"/>
          <w:sz w:val="21"/>
          <w:szCs w:val="21"/>
        </w:rPr>
        <w:t>价格及回购注销部分限制性股票的议案》，根据《</w:t>
      </w:r>
      <w:r>
        <w:rPr>
          <w:rFonts w:ascii="Times New Roman" w:hAnsi="Times New Roman" w:cs="Times New Roman" w:eastAsia="Times New Roman" w:hint="default"/>
          <w:spacing w:val="-3"/>
          <w:sz w:val="21"/>
          <w:szCs w:val="21"/>
        </w:rPr>
        <w:t>2018</w:t>
      </w:r>
      <w:r>
        <w:rPr>
          <w:rFonts w:ascii="宋体" w:hAnsi="宋体" w:cs="宋体" w:eastAsia="宋体" w:hint="default"/>
          <w:spacing w:val="-3"/>
          <w:sz w:val="21"/>
          <w:szCs w:val="21"/>
        </w:rPr>
        <w:t>年业绩快报》出具的数据，按照《上海中信</w:t>
      </w:r>
      <w:r>
        <w:rPr>
          <w:rFonts w:ascii="宋体" w:hAnsi="宋体" w:cs="宋体" w:eastAsia="宋体" w:hint="default"/>
          <w:spacing w:val="-78"/>
          <w:sz w:val="21"/>
          <w:szCs w:val="21"/>
        </w:rPr>
        <w:t> </w:t>
      </w:r>
      <w:r>
        <w:rPr>
          <w:rFonts w:ascii="宋体" w:hAnsi="宋体" w:cs="宋体" w:eastAsia="宋体" w:hint="default"/>
          <w:spacing w:val="-78"/>
          <w:sz w:val="21"/>
          <w:szCs w:val="21"/>
        </w:rPr>
      </w:r>
      <w:r>
        <w:rPr>
          <w:rFonts w:ascii="宋体" w:hAnsi="宋体" w:cs="宋体" w:eastAsia="宋体" w:hint="default"/>
          <w:spacing w:val="-3"/>
          <w:sz w:val="21"/>
          <w:szCs w:val="21"/>
        </w:rPr>
        <w:t>信息发展股份有限公司首期限制性股票激励计划（草案）》的相关规定，公司董事会认定首次授予</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2"/>
          <w:sz w:val="21"/>
          <w:szCs w:val="21"/>
        </w:rPr>
        <w:t>限制性股票未达到第三个解锁期公司层面业绩考核条件，将依据公司股东大会的授权，按相关程</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序办理回购注销未达到第三个解锁期解锁条件的首次授予限制性股票。 因公司于</w:t>
      </w:r>
      <w:r>
        <w:rPr>
          <w:rFonts w:ascii="Times New Roman" w:hAnsi="Times New Roman" w:cs="Times New Roman" w:eastAsia="Times New Roman" w:hint="default"/>
          <w:sz w:val="21"/>
          <w:szCs w:val="21"/>
        </w:rPr>
        <w:t>2017</w:t>
      </w:r>
      <w:r>
        <w:rPr>
          <w:rFonts w:ascii="宋体" w:hAnsi="宋体" w:cs="宋体" w:eastAsia="宋体" w:hint="default"/>
          <w:sz w:val="21"/>
          <w:szCs w:val="21"/>
        </w:rPr>
        <w:t>年</w:t>
      </w:r>
      <w:r>
        <w:rPr>
          <w:rFonts w:ascii="Times New Roman" w:hAnsi="Times New Roman" w:cs="Times New Roman" w:eastAsia="Times New Roman" w:hint="default"/>
          <w:sz w:val="21"/>
          <w:szCs w:val="21"/>
        </w:rPr>
        <w:t>6</w:t>
      </w:r>
      <w:r>
        <w:rPr>
          <w:rFonts w:ascii="宋体" w:hAnsi="宋体" w:cs="宋体" w:eastAsia="宋体" w:hint="default"/>
          <w:sz w:val="21"/>
          <w:szCs w:val="21"/>
        </w:rPr>
        <w:t>月</w:t>
      </w:r>
      <w:r>
        <w:rPr>
          <w:rFonts w:ascii="Times New Roman" w:hAnsi="Times New Roman" w:cs="Times New Roman" w:eastAsia="Times New Roman" w:hint="default"/>
          <w:sz w:val="21"/>
          <w:szCs w:val="21"/>
        </w:rPr>
        <w:t>19</w:t>
      </w:r>
      <w:r>
        <w:rPr>
          <w:rFonts w:ascii="宋体" w:hAnsi="宋体" w:cs="宋体" w:eastAsia="宋体" w:hint="default"/>
          <w:sz w:val="21"/>
          <w:szCs w:val="21"/>
        </w:rPr>
        <w:t>日实施</w:t>
      </w:r>
      <w:r>
        <w:rPr>
          <w:rFonts w:ascii="Times New Roman" w:hAnsi="Times New Roman" w:cs="Times New Roman" w:eastAsia="Times New Roman" w:hint="default"/>
          <w:sz w:val="21"/>
          <w:szCs w:val="21"/>
        </w:rPr>
        <w:t>2016</w:t>
      </w:r>
      <w:r>
        <w:rPr>
          <w:rFonts w:ascii="宋体" w:hAnsi="宋体" w:cs="宋体" w:eastAsia="宋体" w:hint="default"/>
          <w:sz w:val="21"/>
          <w:szCs w:val="21"/>
        </w:rPr>
        <w:t>年度权益分派、</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7</w:t>
      </w:r>
      <w:r>
        <w:rPr>
          <w:rFonts w:ascii="宋体" w:hAnsi="宋体" w:cs="宋体" w:eastAsia="宋体" w:hint="default"/>
          <w:sz w:val="21"/>
          <w:szCs w:val="21"/>
        </w:rPr>
        <w:t>月</w:t>
      </w:r>
      <w:r>
        <w:rPr>
          <w:rFonts w:ascii="Times New Roman" w:hAnsi="Times New Roman" w:cs="Times New Roman" w:eastAsia="Times New Roman" w:hint="default"/>
          <w:sz w:val="21"/>
          <w:szCs w:val="21"/>
        </w:rPr>
        <w:t>4</w:t>
      </w:r>
      <w:r>
        <w:rPr>
          <w:rFonts w:ascii="宋体" w:hAnsi="宋体" w:cs="宋体" w:eastAsia="宋体" w:hint="default"/>
          <w:sz w:val="21"/>
          <w:szCs w:val="21"/>
        </w:rPr>
        <w:t>日实施</w:t>
      </w:r>
      <w:r>
        <w:rPr>
          <w:rFonts w:ascii="Times New Roman" w:hAnsi="Times New Roman" w:cs="Times New Roman" w:eastAsia="Times New Roman" w:hint="default"/>
          <w:sz w:val="21"/>
          <w:szCs w:val="21"/>
        </w:rPr>
        <w:t>2017</w:t>
      </w:r>
      <w:r>
        <w:rPr>
          <w:rFonts w:ascii="Times New Roman" w:hAnsi="Times New Roman" w:cs="Times New Roman" w:eastAsia="Times New Roman" w:hint="default"/>
          <w:spacing w:val="19"/>
          <w:sz w:val="21"/>
          <w:szCs w:val="21"/>
        </w:rPr>
        <w:t> </w:t>
      </w:r>
      <w:r>
        <w:rPr>
          <w:rFonts w:ascii="宋体" w:hAnsi="宋体" w:cs="宋体" w:eastAsia="宋体" w:hint="default"/>
          <w:spacing w:val="-6"/>
          <w:sz w:val="21"/>
          <w:szCs w:val="21"/>
        </w:rPr>
        <w:t>年度权益分派，根据《公</w:t>
      </w:r>
      <w:r>
        <w:rPr>
          <w:rFonts w:ascii="宋体" w:hAnsi="宋体" w:cs="宋体" w:eastAsia="宋体" w:hint="default"/>
          <w:sz w:val="21"/>
          <w:szCs w:val="21"/>
        </w:rPr>
        <w:t> </w:t>
      </w:r>
      <w:r>
        <w:rPr>
          <w:rFonts w:ascii="宋体" w:hAnsi="宋体" w:cs="宋体" w:eastAsia="宋体" w:hint="default"/>
          <w:spacing w:val="-6"/>
          <w:sz w:val="21"/>
          <w:szCs w:val="21"/>
        </w:rPr>
        <w:t>司</w:t>
      </w:r>
      <w:r>
        <w:rPr>
          <w:rFonts w:ascii="Times New Roman" w:hAnsi="Times New Roman" w:cs="Times New Roman" w:eastAsia="Times New Roman" w:hint="default"/>
          <w:spacing w:val="-6"/>
          <w:sz w:val="21"/>
          <w:szCs w:val="21"/>
        </w:rPr>
        <w:t>&lt;</w:t>
      </w:r>
      <w:r>
        <w:rPr>
          <w:rFonts w:ascii="宋体" w:hAnsi="宋体" w:cs="宋体" w:eastAsia="宋体" w:hint="default"/>
          <w:spacing w:val="-6"/>
          <w:sz w:val="21"/>
          <w:szCs w:val="21"/>
        </w:rPr>
        <w:t>首期限制性股票激励计划（草案）</w:t>
      </w:r>
      <w:r>
        <w:rPr>
          <w:rFonts w:ascii="Times New Roman" w:hAnsi="Times New Roman" w:cs="Times New Roman" w:eastAsia="Times New Roman" w:hint="default"/>
          <w:spacing w:val="-6"/>
          <w:sz w:val="21"/>
          <w:szCs w:val="21"/>
        </w:rPr>
        <w:t>&gt;</w:t>
      </w:r>
      <w:r>
        <w:rPr>
          <w:rFonts w:ascii="宋体" w:hAnsi="宋体" w:cs="宋体" w:eastAsia="宋体" w:hint="default"/>
          <w:spacing w:val="-6"/>
          <w:sz w:val="21"/>
          <w:szCs w:val="21"/>
        </w:rPr>
        <w:t>及其摘要的议案》，限制性股票的回购价格应相应予以调整，</w:t>
      </w:r>
      <w:r>
        <w:rPr>
          <w:rFonts w:ascii="宋体" w:hAnsi="宋体" w:cs="宋体" w:eastAsia="宋体" w:hint="default"/>
          <w:spacing w:val="-75"/>
          <w:sz w:val="21"/>
          <w:szCs w:val="21"/>
        </w:rPr>
        <w:t> </w:t>
      </w:r>
      <w:r>
        <w:rPr>
          <w:rFonts w:ascii="宋体" w:hAnsi="宋体" w:cs="宋体" w:eastAsia="宋体" w:hint="default"/>
          <w:spacing w:val="-75"/>
          <w:sz w:val="21"/>
          <w:szCs w:val="21"/>
        </w:rPr>
      </w:r>
      <w:r>
        <w:rPr>
          <w:rFonts w:ascii="宋体" w:hAnsi="宋体" w:cs="宋体" w:eastAsia="宋体" w:hint="default"/>
          <w:sz w:val="21"/>
          <w:szCs w:val="21"/>
        </w:rPr>
        <w:t>同意限制性股票的回购价格由</w:t>
      </w:r>
      <w:r>
        <w:rPr>
          <w:rFonts w:ascii="Times New Roman" w:hAnsi="Times New Roman" w:cs="Times New Roman" w:eastAsia="Times New Roman" w:hint="default"/>
          <w:sz w:val="21"/>
          <w:szCs w:val="21"/>
        </w:rPr>
        <w:t>5.7900</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股调整为</w:t>
      </w:r>
      <w:r>
        <w:rPr>
          <w:rFonts w:ascii="Times New Roman" w:hAnsi="Times New Roman" w:cs="Times New Roman" w:eastAsia="Times New Roman" w:hint="default"/>
          <w:sz w:val="21"/>
          <w:szCs w:val="21"/>
        </w:rPr>
        <w:t>30.8778</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股。回购注销股份数量由</w:t>
      </w:r>
      <w:r>
        <w:rPr>
          <w:rFonts w:ascii="Times New Roman" w:hAnsi="Times New Roman" w:cs="Times New Roman" w:eastAsia="Times New Roman" w:hint="default"/>
          <w:sz w:val="21"/>
          <w:szCs w:val="21"/>
        </w:rPr>
        <w:t>556,800</w:t>
      </w:r>
      <w:r>
        <w:rPr>
          <w:rFonts w:ascii="宋体" w:hAnsi="宋体" w:cs="宋体" w:eastAsia="宋体" w:hint="default"/>
          <w:sz w:val="21"/>
          <w:szCs w:val="21"/>
        </w:rPr>
        <w:t>股（包 括因员工离职应予回购注销的股份）转增至</w:t>
      </w:r>
      <w:r>
        <w:rPr>
          <w:rFonts w:ascii="Times New Roman" w:hAnsi="Times New Roman" w:cs="Times New Roman" w:eastAsia="Times New Roman" w:hint="default"/>
          <w:sz w:val="21"/>
          <w:szCs w:val="21"/>
        </w:rPr>
        <w:t>1,002,240</w:t>
      </w:r>
      <w:r>
        <w:rPr>
          <w:rFonts w:ascii="宋体" w:hAnsi="宋体" w:cs="宋体" w:eastAsia="宋体" w:hint="default"/>
          <w:sz w:val="21"/>
          <w:szCs w:val="21"/>
        </w:rPr>
        <w:t>股。回购总金额为</w:t>
      </w:r>
      <w:r>
        <w:rPr>
          <w:rFonts w:ascii="Times New Roman" w:hAnsi="Times New Roman" w:cs="Times New Roman" w:eastAsia="Times New Roman" w:hint="default"/>
          <w:sz w:val="21"/>
          <w:szCs w:val="21"/>
        </w:rPr>
        <w:t>30,946,966.27</w:t>
      </w:r>
      <w:r>
        <w:rPr>
          <w:rFonts w:ascii="宋体" w:hAnsi="宋体" w:cs="宋体" w:eastAsia="宋体" w:hint="default"/>
          <w:sz w:val="21"/>
          <w:szCs w:val="21"/>
        </w:rPr>
        <w:t>元，回购资金 为公司自有资金。</w:t>
      </w:r>
    </w:p>
    <w:p>
      <w:pPr>
        <w:spacing w:line="240" w:lineRule="auto" w:before="3"/>
        <w:rPr>
          <w:rFonts w:ascii="宋体" w:hAnsi="宋体" w:cs="宋体" w:eastAsia="宋体" w:hint="default"/>
          <w:sz w:val="25"/>
          <w:szCs w:val="25"/>
        </w:rPr>
      </w:pPr>
    </w:p>
    <w:p>
      <w:pPr>
        <w:spacing w:line="261" w:lineRule="auto" w:before="0"/>
        <w:ind w:left="828" w:right="0" w:hanging="366"/>
        <w:jc w:val="left"/>
        <w:rPr>
          <w:rFonts w:ascii="宋体" w:hAnsi="宋体" w:cs="宋体" w:eastAsia="宋体" w:hint="default"/>
          <w:sz w:val="21"/>
          <w:szCs w:val="21"/>
        </w:rPr>
      </w:pPr>
      <w:r>
        <w:rPr>
          <w:rFonts w:ascii="宋体" w:hAnsi="宋体" w:cs="宋体" w:eastAsia="宋体" w:hint="default"/>
          <w:b/>
          <w:bCs/>
          <w:sz w:val="21"/>
          <w:szCs w:val="21"/>
        </w:rPr>
        <w:t>关于回购公司股份的事项</w:t>
      </w:r>
      <w:r>
        <w:rPr>
          <w:rFonts w:ascii="宋体" w:hAnsi="宋体" w:cs="宋体" w:eastAsia="宋体" w:hint="default"/>
          <w:b/>
          <w:bCs/>
          <w:w w:val="99"/>
          <w:sz w:val="21"/>
          <w:szCs w:val="21"/>
        </w:rPr>
        <w:t> </w:t>
      </w:r>
      <w:r>
        <w:rPr>
          <w:rFonts w:ascii="Times New Roman" w:hAnsi="Times New Roman" w:cs="Times New Roman" w:eastAsia="Times New Roman" w:hint="default"/>
          <w:spacing w:val="-7"/>
          <w:sz w:val="21"/>
          <w:szCs w:val="21"/>
        </w:rPr>
        <w:t>2018</w:t>
      </w:r>
      <w:r>
        <w:rPr>
          <w:rFonts w:ascii="宋体" w:hAnsi="宋体" w:cs="宋体" w:eastAsia="宋体" w:hint="default"/>
          <w:spacing w:val="-7"/>
          <w:sz w:val="21"/>
          <w:szCs w:val="21"/>
        </w:rPr>
        <w:t>年</w:t>
      </w:r>
      <w:r>
        <w:rPr>
          <w:rFonts w:ascii="Times New Roman" w:hAnsi="Times New Roman" w:cs="Times New Roman" w:eastAsia="Times New Roman" w:hint="default"/>
          <w:spacing w:val="-7"/>
          <w:sz w:val="21"/>
          <w:szCs w:val="21"/>
        </w:rPr>
        <w:t>9</w:t>
      </w:r>
      <w:r>
        <w:rPr>
          <w:rFonts w:ascii="宋体" w:hAnsi="宋体" w:cs="宋体" w:eastAsia="宋体" w:hint="default"/>
          <w:spacing w:val="-7"/>
          <w:sz w:val="21"/>
          <w:szCs w:val="21"/>
        </w:rPr>
        <w:t>月</w:t>
      </w:r>
      <w:r>
        <w:rPr>
          <w:rFonts w:ascii="Times New Roman" w:hAnsi="Times New Roman" w:cs="Times New Roman" w:eastAsia="Times New Roman" w:hint="default"/>
          <w:spacing w:val="-7"/>
          <w:sz w:val="21"/>
          <w:szCs w:val="21"/>
        </w:rPr>
        <w:t>20</w:t>
      </w:r>
      <w:r>
        <w:rPr>
          <w:rFonts w:ascii="宋体" w:hAnsi="宋体" w:cs="宋体" w:eastAsia="宋体" w:hint="default"/>
          <w:spacing w:val="-7"/>
          <w:sz w:val="21"/>
          <w:szCs w:val="21"/>
        </w:rPr>
        <w:t>日，公司召开第四届董事会第十九次会议，审议并通过了《关于回购公司股份的预案》，</w:t>
      </w:r>
      <w:r>
        <w:rPr>
          <w:rFonts w:ascii="宋体" w:hAnsi="宋体" w:cs="宋体" w:eastAsia="宋体" w:hint="default"/>
          <w:sz w:val="21"/>
          <w:szCs w:val="21"/>
        </w:rPr>
        <w:t> </w:t>
      </w:r>
      <w:r>
        <w:rPr>
          <w:rFonts w:ascii="宋体" w:hAnsi="宋体" w:cs="宋体" w:eastAsia="宋体" w:hint="default"/>
          <w:spacing w:val="2"/>
          <w:sz w:val="21"/>
          <w:szCs w:val="21"/>
        </w:rPr>
        <w:t>公司拟使用自筹资金以集中竞价、大宗交易及中国证监会认可的其他方式回购公司股份，用于后</w:t>
      </w:r>
      <w:r>
        <w:rPr>
          <w:rFonts w:ascii="宋体" w:hAnsi="宋体" w:cs="宋体" w:eastAsia="宋体" w:hint="default"/>
          <w:sz w:val="21"/>
          <w:szCs w:val="21"/>
        </w:rPr>
        <w:t> 期实施股权激励计划、员工持股计划或依法予以注销并相应减少注册资本。 </w:t>
      </w:r>
      <w:r>
        <w:rPr>
          <w:rFonts w:ascii="宋体" w:hAnsi="宋体" w:cs="宋体" w:eastAsia="宋体" w:hint="default"/>
          <w:spacing w:val="-3"/>
          <w:sz w:val="21"/>
          <w:szCs w:val="21"/>
        </w:rPr>
        <w:t>本次回购股份的种类为本公司发行的</w:t>
      </w:r>
      <w:r>
        <w:rPr>
          <w:rFonts w:ascii="Times New Roman" w:hAnsi="Times New Roman" w:cs="Times New Roman" w:eastAsia="Times New Roman" w:hint="default"/>
          <w:spacing w:val="-3"/>
          <w:sz w:val="21"/>
          <w:szCs w:val="21"/>
        </w:rPr>
        <w:t>A</w:t>
      </w:r>
      <w:r>
        <w:rPr>
          <w:rFonts w:ascii="宋体" w:hAnsi="宋体" w:cs="宋体" w:eastAsia="宋体" w:hint="default"/>
          <w:spacing w:val="-3"/>
          <w:sz w:val="21"/>
          <w:szCs w:val="21"/>
        </w:rPr>
        <w:t>股股份。回购资金总额不超过（含）人民币</w:t>
      </w:r>
      <w:r>
        <w:rPr>
          <w:rFonts w:ascii="Times New Roman" w:hAnsi="Times New Roman" w:cs="Times New Roman" w:eastAsia="Times New Roman" w:hint="default"/>
          <w:spacing w:val="-3"/>
          <w:sz w:val="21"/>
          <w:szCs w:val="21"/>
        </w:rPr>
        <w:t>3,000</w:t>
      </w:r>
      <w:r>
        <w:rPr>
          <w:rFonts w:ascii="宋体" w:hAnsi="宋体" w:cs="宋体" w:eastAsia="宋体" w:hint="default"/>
          <w:spacing w:val="-3"/>
          <w:sz w:val="21"/>
          <w:szCs w:val="21"/>
        </w:rPr>
        <w:t>万元，且不</w:t>
      </w:r>
      <w:r>
        <w:rPr>
          <w:rFonts w:ascii="宋体" w:hAnsi="宋体" w:cs="宋体" w:eastAsia="宋体" w:hint="default"/>
          <w:sz w:val="21"/>
          <w:szCs w:val="21"/>
        </w:rPr>
        <w:t> 低于（含）人民币</w:t>
      </w:r>
      <w:r>
        <w:rPr>
          <w:rFonts w:ascii="Times New Roman" w:hAnsi="Times New Roman" w:cs="Times New Roman" w:eastAsia="Times New Roman" w:hint="default"/>
          <w:sz w:val="21"/>
          <w:szCs w:val="21"/>
        </w:rPr>
        <w:t>2,000</w:t>
      </w:r>
      <w:r>
        <w:rPr>
          <w:rFonts w:ascii="宋体" w:hAnsi="宋体" w:cs="宋体" w:eastAsia="宋体" w:hint="default"/>
          <w:sz w:val="21"/>
          <w:szCs w:val="21"/>
        </w:rPr>
        <w:t>万元，回购股份价格不超过（含）人民币</w:t>
      </w:r>
      <w:r>
        <w:rPr>
          <w:rFonts w:ascii="Times New Roman" w:hAnsi="Times New Roman" w:cs="Times New Roman" w:eastAsia="Times New Roman" w:hint="default"/>
          <w:sz w:val="21"/>
          <w:szCs w:val="21"/>
        </w:rPr>
        <w:t>30.00</w:t>
      </w:r>
      <w:r>
        <w:rPr>
          <w:rFonts w:ascii="宋体" w:hAnsi="宋体" w:cs="宋体" w:eastAsia="宋体" w:hint="default"/>
          <w:sz w:val="21"/>
          <w:szCs w:val="21"/>
        </w:rPr>
        <w:t>元</w:t>
      </w:r>
      <w:r>
        <w:rPr>
          <w:rFonts w:ascii="Times New Roman" w:hAnsi="Times New Roman" w:cs="Times New Roman" w:eastAsia="Times New Roman" w:hint="default"/>
          <w:sz w:val="21"/>
          <w:szCs w:val="21"/>
        </w:rPr>
        <w:t>/</w:t>
      </w:r>
      <w:r>
        <w:rPr>
          <w:rFonts w:ascii="宋体" w:hAnsi="宋体" w:cs="宋体" w:eastAsia="宋体" w:hint="default"/>
          <w:sz w:val="21"/>
          <w:szCs w:val="21"/>
        </w:rPr>
        <w:t>股，预计回购股票数量不 </w:t>
      </w:r>
      <w:r>
        <w:rPr>
          <w:rFonts w:ascii="宋体" w:hAnsi="宋体" w:cs="宋体" w:eastAsia="宋体" w:hint="default"/>
          <w:spacing w:val="-1"/>
          <w:sz w:val="21"/>
          <w:szCs w:val="21"/>
        </w:rPr>
        <w:t>少于</w:t>
      </w:r>
      <w:r>
        <w:rPr>
          <w:rFonts w:ascii="Times New Roman" w:hAnsi="Times New Roman" w:cs="Times New Roman" w:eastAsia="Times New Roman" w:hint="default"/>
          <w:spacing w:val="-1"/>
          <w:sz w:val="21"/>
          <w:szCs w:val="21"/>
        </w:rPr>
        <w:t>100</w:t>
      </w:r>
      <w:r>
        <w:rPr>
          <w:rFonts w:ascii="宋体" w:hAnsi="宋体" w:cs="宋体" w:eastAsia="宋体" w:hint="default"/>
          <w:spacing w:val="-1"/>
          <w:sz w:val="21"/>
          <w:szCs w:val="21"/>
        </w:rPr>
        <w:t>万股，占公司目前已发行总股本比例约</w:t>
      </w:r>
      <w:r>
        <w:rPr>
          <w:rFonts w:ascii="Times New Roman" w:hAnsi="Times New Roman" w:cs="Times New Roman" w:eastAsia="Times New Roman" w:hint="default"/>
          <w:spacing w:val="-1"/>
          <w:sz w:val="21"/>
          <w:szCs w:val="21"/>
        </w:rPr>
        <w:t>0.82%</w:t>
      </w:r>
      <w:r>
        <w:rPr>
          <w:rFonts w:ascii="宋体" w:hAnsi="宋体" w:cs="宋体" w:eastAsia="宋体" w:hint="default"/>
          <w:spacing w:val="-1"/>
          <w:sz w:val="21"/>
          <w:szCs w:val="21"/>
        </w:rPr>
        <w:t>。本次回购股份的资金来源为公司自筹资金。</w:t>
      </w:r>
      <w:r>
        <w:rPr>
          <w:rFonts w:ascii="宋体" w:hAnsi="宋体" w:cs="宋体" w:eastAsia="宋体" w:hint="default"/>
          <w:sz w:val="21"/>
          <w:szCs w:val="21"/>
        </w:rPr>
        <w:t> 本次回购股份的实施期限为自股东大会审议通过本次回购预案之日起不超过</w:t>
      </w:r>
      <w:r>
        <w:rPr>
          <w:rFonts w:ascii="Times New Roman" w:hAnsi="Times New Roman" w:cs="Times New Roman" w:eastAsia="Times New Roman" w:hint="default"/>
          <w:sz w:val="21"/>
          <w:szCs w:val="21"/>
        </w:rPr>
        <w:t>12</w:t>
      </w:r>
      <w:r>
        <w:rPr>
          <w:rFonts w:ascii="宋体" w:hAnsi="宋体" w:cs="宋体" w:eastAsia="宋体" w:hint="default"/>
          <w:sz w:val="21"/>
          <w:szCs w:val="21"/>
        </w:rPr>
        <w:t>个月。 上述议案于</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10</w:t>
      </w:r>
      <w:r>
        <w:rPr>
          <w:rFonts w:ascii="宋体" w:hAnsi="宋体" w:cs="宋体" w:eastAsia="宋体" w:hint="default"/>
          <w:sz w:val="21"/>
          <w:szCs w:val="21"/>
        </w:rPr>
        <w:t>月</w:t>
      </w:r>
      <w:r>
        <w:rPr>
          <w:rFonts w:ascii="Times New Roman" w:hAnsi="Times New Roman" w:cs="Times New Roman" w:eastAsia="Times New Roman" w:hint="default"/>
          <w:sz w:val="21"/>
          <w:szCs w:val="21"/>
        </w:rPr>
        <w:t>17</w:t>
      </w:r>
      <w:r>
        <w:rPr>
          <w:rFonts w:ascii="宋体" w:hAnsi="宋体" w:cs="宋体" w:eastAsia="宋体" w:hint="default"/>
          <w:sz w:val="21"/>
          <w:szCs w:val="21"/>
        </w:rPr>
        <w:t>日召开的</w:t>
      </w:r>
      <w:r>
        <w:rPr>
          <w:rFonts w:ascii="Times New Roman" w:hAnsi="Times New Roman" w:cs="Times New Roman" w:eastAsia="Times New Roman" w:hint="default"/>
          <w:sz w:val="21"/>
          <w:szCs w:val="21"/>
        </w:rPr>
        <w:t>2018</w:t>
      </w:r>
      <w:r>
        <w:rPr>
          <w:rFonts w:ascii="宋体" w:hAnsi="宋体" w:cs="宋体" w:eastAsia="宋体" w:hint="default"/>
          <w:sz w:val="21"/>
          <w:szCs w:val="21"/>
        </w:rPr>
        <w:t>年第六次临时股东大会审议并通过。 截止</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日，公司累计通过股票回购专用证券账户以集中竞价交易方式回购公司股份数 </w:t>
      </w:r>
      <w:r>
        <w:rPr>
          <w:rFonts w:ascii="宋体" w:hAnsi="宋体" w:cs="宋体" w:eastAsia="宋体" w:hint="default"/>
          <w:spacing w:val="-3"/>
          <w:sz w:val="21"/>
          <w:szCs w:val="21"/>
        </w:rPr>
        <w:t>量为</w:t>
      </w:r>
      <w:r>
        <w:rPr>
          <w:rFonts w:ascii="Times New Roman" w:hAnsi="Times New Roman" w:cs="Times New Roman" w:eastAsia="Times New Roman" w:hint="default"/>
          <w:spacing w:val="-3"/>
          <w:sz w:val="21"/>
          <w:szCs w:val="21"/>
        </w:rPr>
        <w:t>325,380</w:t>
      </w:r>
      <w:r>
        <w:rPr>
          <w:rFonts w:ascii="宋体" w:hAnsi="宋体" w:cs="宋体" w:eastAsia="宋体" w:hint="default"/>
          <w:spacing w:val="-3"/>
          <w:sz w:val="21"/>
          <w:szCs w:val="21"/>
        </w:rPr>
        <w:t>股，支付的总金额为</w:t>
      </w:r>
      <w:r>
        <w:rPr>
          <w:rFonts w:ascii="Times New Roman" w:hAnsi="Times New Roman" w:cs="Times New Roman" w:eastAsia="Times New Roman" w:hint="default"/>
          <w:spacing w:val="-3"/>
          <w:sz w:val="21"/>
          <w:szCs w:val="21"/>
        </w:rPr>
        <w:t>6,462,926.40</w:t>
      </w:r>
      <w:r>
        <w:rPr>
          <w:rFonts w:ascii="宋体" w:hAnsi="宋体" w:cs="宋体" w:eastAsia="宋体" w:hint="default"/>
          <w:spacing w:val="-3"/>
          <w:sz w:val="21"/>
          <w:szCs w:val="21"/>
        </w:rPr>
        <w:t>元（不含交易费用）。</w:t>
      </w:r>
      <w:r>
        <w:rPr>
          <w:rFonts w:ascii="宋体" w:hAnsi="宋体" w:cs="宋体" w:eastAsia="宋体" w:hint="default"/>
          <w:sz w:val="21"/>
          <w:szCs w:val="21"/>
        </w:rPr>
        <w:t> 截至本报告日止，公司累计通过股票回购专用证券账户以集中竞价交易方式回购公司股份</w:t>
      </w:r>
      <w:r>
        <w:rPr>
          <w:rFonts w:ascii="Times New Roman" w:hAnsi="Times New Roman" w:cs="Times New Roman" w:eastAsia="Times New Roman" w:hint="default"/>
          <w:sz w:val="21"/>
          <w:szCs w:val="21"/>
        </w:rPr>
        <w:t>786,400 </w:t>
      </w:r>
      <w:r>
        <w:rPr>
          <w:rFonts w:ascii="宋体" w:hAnsi="宋体" w:cs="宋体" w:eastAsia="宋体" w:hint="default"/>
          <w:spacing w:val="-4"/>
          <w:sz w:val="21"/>
          <w:szCs w:val="21"/>
        </w:rPr>
        <w:t>股，支付的总金额为</w:t>
      </w:r>
      <w:r>
        <w:rPr>
          <w:rFonts w:ascii="Times New Roman" w:hAnsi="Times New Roman" w:cs="Times New Roman" w:eastAsia="Times New Roman" w:hint="default"/>
          <w:spacing w:val="-4"/>
          <w:sz w:val="21"/>
          <w:szCs w:val="21"/>
        </w:rPr>
        <w:t>14,997,799.42</w:t>
      </w:r>
      <w:r>
        <w:rPr>
          <w:rFonts w:ascii="宋体" w:hAnsi="宋体" w:cs="宋体" w:eastAsia="宋体" w:hint="default"/>
          <w:spacing w:val="-4"/>
          <w:sz w:val="21"/>
          <w:szCs w:val="21"/>
        </w:rPr>
        <w:t>元（不含交易费用）。</w:t>
      </w:r>
    </w:p>
    <w:p>
      <w:pPr>
        <w:spacing w:after="0" w:line="261" w:lineRule="auto"/>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line="264" w:lineRule="auto" w:before="35"/>
        <w:ind w:left="828" w:right="0" w:hanging="366"/>
        <w:jc w:val="left"/>
        <w:rPr>
          <w:rFonts w:ascii="宋体" w:hAnsi="宋体" w:cs="宋体" w:eastAsia="宋体" w:hint="default"/>
          <w:sz w:val="21"/>
          <w:szCs w:val="21"/>
        </w:rPr>
      </w:pPr>
      <w:r>
        <w:rPr>
          <w:rFonts w:ascii="宋体" w:hAnsi="宋体" w:cs="宋体" w:eastAsia="宋体" w:hint="default"/>
          <w:b/>
          <w:bCs/>
          <w:sz w:val="21"/>
          <w:szCs w:val="21"/>
        </w:rPr>
        <w:t>关于公司发行股份购买资产并募集配套资金方案暨关联交易方案的事项</w:t>
      </w:r>
      <w:r>
        <w:rPr>
          <w:rFonts w:ascii="宋体" w:hAnsi="宋体" w:cs="宋体" w:eastAsia="宋体" w:hint="default"/>
          <w:b/>
          <w:bCs/>
          <w:w w:val="99"/>
          <w:sz w:val="21"/>
          <w:szCs w:val="21"/>
        </w:rPr>
        <w:t> </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26</w:t>
      </w:r>
      <w:r>
        <w:rPr>
          <w:rFonts w:ascii="宋体" w:hAnsi="宋体" w:cs="宋体" w:eastAsia="宋体" w:hint="default"/>
          <w:sz w:val="21"/>
          <w:szCs w:val="21"/>
        </w:rPr>
        <w:t>日，公司第四届董事会第二十二次会议审议通过的《关于公司发行股份购买资产并 </w:t>
      </w:r>
      <w:r>
        <w:rPr>
          <w:rFonts w:ascii="宋体" w:hAnsi="宋体" w:cs="宋体" w:eastAsia="宋体" w:hint="default"/>
          <w:spacing w:val="-3"/>
          <w:sz w:val="21"/>
          <w:szCs w:val="21"/>
        </w:rPr>
        <w:t>募集配套资金方案暨关联交易方案的议案》，审议通过并与各标的资产交易对方签署附条件生效的</w:t>
      </w:r>
    </w:p>
    <w:p>
      <w:pPr>
        <w:spacing w:line="264" w:lineRule="auto" w:before="16"/>
        <w:ind w:left="828" w:right="1113" w:firstLine="0"/>
        <w:jc w:val="left"/>
        <w:rPr>
          <w:rFonts w:ascii="宋体" w:hAnsi="宋体" w:cs="宋体" w:eastAsia="宋体" w:hint="default"/>
          <w:sz w:val="21"/>
          <w:szCs w:val="21"/>
        </w:rPr>
      </w:pPr>
      <w:r>
        <w:rPr>
          <w:rFonts w:ascii="宋体" w:hAnsi="宋体" w:cs="宋体" w:eastAsia="宋体" w:hint="default"/>
          <w:spacing w:val="-3"/>
          <w:sz w:val="21"/>
          <w:szCs w:val="21"/>
        </w:rPr>
        <w:t>《公司发行股份购买资产协议》及《盈利预测补偿协议》。本公司拟发行股份购买杭州华亭科技有</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z w:val="21"/>
          <w:szCs w:val="21"/>
        </w:rPr>
        <w:t>限公司</w:t>
      </w:r>
      <w:r>
        <w:rPr>
          <w:rFonts w:ascii="Times New Roman" w:hAnsi="Times New Roman" w:cs="Times New Roman" w:eastAsia="Times New Roman" w:hint="default"/>
          <w:sz w:val="21"/>
          <w:szCs w:val="21"/>
        </w:rPr>
        <w:t>90%</w:t>
      </w:r>
      <w:r>
        <w:rPr>
          <w:rFonts w:ascii="宋体" w:hAnsi="宋体" w:cs="宋体" w:eastAsia="宋体" w:hint="default"/>
          <w:sz w:val="21"/>
          <w:szCs w:val="21"/>
        </w:rPr>
        <w:t>股权，并募集配套资金。 公司聘请具有证券期货相关业务资格的资产评估机构，以</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9</w:t>
      </w:r>
      <w:r>
        <w:rPr>
          <w:rFonts w:ascii="宋体" w:hAnsi="宋体" w:cs="宋体" w:eastAsia="宋体" w:hint="default"/>
          <w:sz w:val="21"/>
          <w:szCs w:val="21"/>
        </w:rPr>
        <w:t>月</w:t>
      </w:r>
      <w:r>
        <w:rPr>
          <w:rFonts w:ascii="Times New Roman" w:hAnsi="Times New Roman" w:cs="Times New Roman" w:eastAsia="Times New Roman" w:hint="default"/>
          <w:sz w:val="21"/>
          <w:szCs w:val="21"/>
        </w:rPr>
        <w:t>30</w:t>
      </w:r>
      <w:r>
        <w:rPr>
          <w:rFonts w:ascii="宋体" w:hAnsi="宋体" w:cs="宋体" w:eastAsia="宋体" w:hint="default"/>
          <w:sz w:val="21"/>
          <w:szCs w:val="21"/>
        </w:rPr>
        <w:t>日为评估基准日，对杭州华 亭</w:t>
      </w:r>
      <w:r>
        <w:rPr>
          <w:rFonts w:ascii="宋体" w:hAnsi="宋体" w:cs="宋体" w:eastAsia="宋体" w:hint="default"/>
          <w:spacing w:val="-6"/>
          <w:sz w:val="21"/>
          <w:szCs w:val="21"/>
        </w:rPr>
        <w:t> </w:t>
      </w:r>
      <w:r>
        <w:rPr>
          <w:rFonts w:ascii="Times New Roman" w:hAnsi="Times New Roman" w:cs="Times New Roman" w:eastAsia="Times New Roman" w:hint="default"/>
          <w:spacing w:val="-3"/>
          <w:sz w:val="21"/>
          <w:szCs w:val="21"/>
        </w:rPr>
        <w:t>100%</w:t>
      </w:r>
      <w:r>
        <w:rPr>
          <w:rFonts w:ascii="宋体" w:hAnsi="宋体" w:cs="宋体" w:eastAsia="宋体" w:hint="default"/>
          <w:spacing w:val="-3"/>
          <w:sz w:val="21"/>
          <w:szCs w:val="21"/>
        </w:rPr>
        <w:t>股权进行了预估。在此基础上，经各方协商，本次交易标的资产的交易价格暂定为</w:t>
      </w:r>
      <w:r>
        <w:rPr>
          <w:rFonts w:ascii="宋体" w:hAnsi="宋体" w:cs="宋体" w:eastAsia="宋体" w:hint="default"/>
          <w:spacing w:val="-6"/>
          <w:sz w:val="21"/>
          <w:szCs w:val="21"/>
        </w:rPr>
        <w:t> </w:t>
      </w:r>
      <w:r>
        <w:rPr>
          <w:rFonts w:ascii="Times New Roman" w:hAnsi="Times New Roman" w:cs="Times New Roman" w:eastAsia="Times New Roman" w:hint="default"/>
          <w:sz w:val="21"/>
          <w:szCs w:val="21"/>
        </w:rPr>
        <w:t>16,650</w:t>
      </w:r>
      <w:r>
        <w:rPr>
          <w:rFonts w:ascii="Times New Roman" w:hAnsi="Times New Roman" w:cs="Times New Roman" w:eastAsia="Times New Roman" w:hint="default"/>
          <w:spacing w:val="-51"/>
          <w:sz w:val="21"/>
          <w:szCs w:val="21"/>
        </w:rPr>
        <w:t> </w:t>
      </w:r>
      <w:r>
        <w:rPr>
          <w:rFonts w:ascii="Times New Roman" w:hAnsi="Times New Roman" w:cs="Times New Roman" w:eastAsia="Times New Roman" w:hint="default"/>
          <w:spacing w:val="-51"/>
          <w:sz w:val="21"/>
          <w:szCs w:val="21"/>
        </w:rPr>
      </w:r>
      <w:r>
        <w:rPr>
          <w:rFonts w:ascii="宋体" w:hAnsi="宋体" w:cs="宋体" w:eastAsia="宋体" w:hint="default"/>
          <w:sz w:val="21"/>
          <w:szCs w:val="21"/>
        </w:rPr>
        <w:t>万元，其中，向金晓东支付的交易价格暂定为</w:t>
      </w:r>
      <w:r>
        <w:rPr>
          <w:rFonts w:ascii="宋体" w:hAnsi="宋体" w:cs="宋体" w:eastAsia="宋体" w:hint="default"/>
          <w:spacing w:val="-6"/>
          <w:sz w:val="21"/>
          <w:szCs w:val="21"/>
        </w:rPr>
        <w:t> </w:t>
      </w:r>
      <w:r>
        <w:rPr>
          <w:rFonts w:ascii="Times New Roman" w:hAnsi="Times New Roman" w:cs="Times New Roman" w:eastAsia="Times New Roman" w:hint="default"/>
          <w:sz w:val="21"/>
          <w:szCs w:val="21"/>
        </w:rPr>
        <w:t>10,047.45</w:t>
      </w:r>
      <w:r>
        <w:rPr>
          <w:rFonts w:ascii="宋体" w:hAnsi="宋体" w:cs="宋体" w:eastAsia="宋体" w:hint="default"/>
          <w:sz w:val="21"/>
          <w:szCs w:val="21"/>
        </w:rPr>
        <w:t>万元，向杭州信亭投资合伙企业（有限合 </w:t>
      </w:r>
      <w:r>
        <w:rPr>
          <w:rFonts w:ascii="宋体" w:hAnsi="宋体" w:cs="宋体" w:eastAsia="宋体" w:hint="default"/>
          <w:spacing w:val="-2"/>
          <w:sz w:val="21"/>
          <w:szCs w:val="21"/>
        </w:rPr>
        <w:t>伙）支付的交易价格暂定为</w:t>
      </w:r>
      <w:r>
        <w:rPr>
          <w:rFonts w:ascii="宋体" w:hAnsi="宋体" w:cs="宋体" w:eastAsia="宋体" w:hint="default"/>
          <w:spacing w:val="-16"/>
          <w:sz w:val="21"/>
          <w:szCs w:val="21"/>
        </w:rPr>
        <w:t> </w:t>
      </w:r>
      <w:r>
        <w:rPr>
          <w:rFonts w:ascii="Times New Roman" w:hAnsi="Times New Roman" w:cs="Times New Roman" w:eastAsia="Times New Roman" w:hint="default"/>
          <w:spacing w:val="-2"/>
          <w:sz w:val="21"/>
          <w:szCs w:val="21"/>
        </w:rPr>
        <w:t>4,306.05</w:t>
      </w:r>
      <w:r>
        <w:rPr>
          <w:rFonts w:ascii="宋体" w:hAnsi="宋体" w:cs="宋体" w:eastAsia="宋体" w:hint="default"/>
          <w:spacing w:val="-2"/>
          <w:sz w:val="21"/>
          <w:szCs w:val="21"/>
        </w:rPr>
        <w:t>万元，向上海亭信管理咨询合伙企业（有限合伙）支付的交易</w:t>
      </w:r>
      <w:r>
        <w:rPr>
          <w:rFonts w:ascii="宋体" w:hAnsi="宋体" w:cs="宋体" w:eastAsia="宋体" w:hint="default"/>
          <w:sz w:val="21"/>
          <w:szCs w:val="21"/>
        </w:rPr>
        <w:t> 价格暂定为</w:t>
      </w:r>
      <w:r>
        <w:rPr>
          <w:rFonts w:ascii="宋体" w:hAnsi="宋体" w:cs="宋体" w:eastAsia="宋体" w:hint="default"/>
          <w:spacing w:val="-22"/>
          <w:sz w:val="21"/>
          <w:szCs w:val="21"/>
        </w:rPr>
        <w:t> </w:t>
      </w:r>
      <w:r>
        <w:rPr>
          <w:rFonts w:ascii="Times New Roman" w:hAnsi="Times New Roman" w:cs="Times New Roman" w:eastAsia="Times New Roman" w:hint="default"/>
          <w:sz w:val="21"/>
          <w:szCs w:val="21"/>
        </w:rPr>
        <w:t>2,296.50</w:t>
      </w:r>
      <w:r>
        <w:rPr>
          <w:rFonts w:ascii="宋体" w:hAnsi="宋体" w:cs="宋体" w:eastAsia="宋体" w:hint="default"/>
          <w:sz w:val="21"/>
          <w:szCs w:val="21"/>
        </w:rPr>
        <w:t>万元。 </w:t>
      </w:r>
      <w:r>
        <w:rPr>
          <w:rFonts w:ascii="宋体" w:hAnsi="宋体" w:cs="宋体" w:eastAsia="宋体" w:hint="default"/>
          <w:spacing w:val="-3"/>
          <w:sz w:val="21"/>
          <w:szCs w:val="21"/>
        </w:rPr>
        <w:t>根据与标的资产交易对方签订的《盈利预测补偿协议》，交易对象杭州华亭科技有限公司原股东金</w:t>
      </w:r>
      <w:r>
        <w:rPr>
          <w:rFonts w:ascii="宋体" w:hAnsi="宋体" w:cs="宋体" w:eastAsia="宋体" w:hint="default"/>
          <w:spacing w:val="-83"/>
          <w:sz w:val="21"/>
          <w:szCs w:val="21"/>
        </w:rPr>
        <w:t> </w:t>
      </w:r>
      <w:r>
        <w:rPr>
          <w:rFonts w:ascii="宋体" w:hAnsi="宋体" w:cs="宋体" w:eastAsia="宋体" w:hint="default"/>
          <w:spacing w:val="-83"/>
          <w:sz w:val="21"/>
          <w:szCs w:val="21"/>
        </w:rPr>
      </w:r>
      <w:r>
        <w:rPr>
          <w:rFonts w:ascii="宋体" w:hAnsi="宋体" w:cs="宋体" w:eastAsia="宋体" w:hint="default"/>
          <w:spacing w:val="-3"/>
          <w:sz w:val="21"/>
          <w:szCs w:val="21"/>
        </w:rPr>
        <w:t>晓东、杭州信亭投资管理合伙企业（有限合伙）、上海亭信管理咨询合伙企业（有限合伙）承诺，</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杭州华亭科技有限公司</w:t>
      </w:r>
      <w:r>
        <w:rPr>
          <w:rFonts w:ascii="Times New Roman" w:hAnsi="Times New Roman" w:cs="Times New Roman" w:eastAsia="Times New Roman" w:hint="default"/>
          <w:sz w:val="21"/>
          <w:szCs w:val="21"/>
        </w:rPr>
        <w:t>2019</w:t>
      </w:r>
      <w:r>
        <w:rPr>
          <w:rFonts w:ascii="宋体" w:hAnsi="宋体" w:cs="宋体" w:eastAsia="宋体" w:hint="default"/>
          <w:sz w:val="21"/>
          <w:szCs w:val="21"/>
        </w:rPr>
        <w:t>年度、</w:t>
      </w:r>
      <w:r>
        <w:rPr>
          <w:rFonts w:ascii="Times New Roman" w:hAnsi="Times New Roman" w:cs="Times New Roman" w:eastAsia="Times New Roman" w:hint="default"/>
          <w:sz w:val="21"/>
          <w:szCs w:val="21"/>
        </w:rPr>
        <w:t>2020</w:t>
      </w:r>
      <w:r>
        <w:rPr>
          <w:rFonts w:ascii="宋体" w:hAnsi="宋体" w:cs="宋体" w:eastAsia="宋体" w:hint="default"/>
          <w:sz w:val="21"/>
          <w:szCs w:val="21"/>
        </w:rPr>
        <w:t>年度、</w:t>
      </w:r>
      <w:r>
        <w:rPr>
          <w:rFonts w:ascii="Times New Roman" w:hAnsi="Times New Roman" w:cs="Times New Roman" w:eastAsia="Times New Roman" w:hint="default"/>
          <w:sz w:val="21"/>
          <w:szCs w:val="21"/>
        </w:rPr>
        <w:t>2021</w:t>
      </w:r>
      <w:r>
        <w:rPr>
          <w:rFonts w:ascii="宋体" w:hAnsi="宋体" w:cs="宋体" w:eastAsia="宋体" w:hint="default"/>
          <w:sz w:val="21"/>
          <w:szCs w:val="21"/>
        </w:rPr>
        <w:t>年度经审计扣除非经常性损益后归属于母公司</w:t>
      </w:r>
      <w:r>
        <w:rPr>
          <w:rFonts w:ascii="宋体" w:hAnsi="宋体" w:cs="宋体" w:eastAsia="宋体" w:hint="default"/>
          <w:spacing w:val="-18"/>
          <w:sz w:val="21"/>
          <w:szCs w:val="21"/>
        </w:rPr>
        <w:t> </w:t>
      </w:r>
      <w:r>
        <w:rPr>
          <w:rFonts w:ascii="宋体" w:hAnsi="宋体" w:cs="宋体" w:eastAsia="宋体" w:hint="default"/>
          <w:spacing w:val="-18"/>
          <w:sz w:val="21"/>
          <w:szCs w:val="21"/>
        </w:rPr>
      </w:r>
      <w:r>
        <w:rPr>
          <w:rFonts w:ascii="宋体" w:hAnsi="宋体" w:cs="宋体" w:eastAsia="宋体" w:hint="default"/>
          <w:sz w:val="21"/>
          <w:szCs w:val="21"/>
        </w:rPr>
        <w:t>股东的净利润分别不低于</w:t>
      </w:r>
      <w:r>
        <w:rPr>
          <w:rFonts w:ascii="Times New Roman" w:hAnsi="Times New Roman" w:cs="Times New Roman" w:eastAsia="Times New Roman" w:hint="default"/>
          <w:sz w:val="21"/>
          <w:szCs w:val="21"/>
        </w:rPr>
        <w:t>1,580</w:t>
      </w:r>
      <w:r>
        <w:rPr>
          <w:rFonts w:ascii="宋体" w:hAnsi="宋体" w:cs="宋体" w:eastAsia="宋体" w:hint="default"/>
          <w:sz w:val="21"/>
          <w:szCs w:val="21"/>
        </w:rPr>
        <w:t>万元、</w:t>
      </w:r>
      <w:r>
        <w:rPr>
          <w:rFonts w:ascii="Times New Roman" w:hAnsi="Times New Roman" w:cs="Times New Roman" w:eastAsia="Times New Roman" w:hint="default"/>
          <w:sz w:val="21"/>
          <w:szCs w:val="21"/>
        </w:rPr>
        <w:t>1,900</w:t>
      </w:r>
      <w:r>
        <w:rPr>
          <w:rFonts w:ascii="宋体" w:hAnsi="宋体" w:cs="宋体" w:eastAsia="宋体" w:hint="default"/>
          <w:sz w:val="21"/>
          <w:szCs w:val="21"/>
        </w:rPr>
        <w:t>万元、</w:t>
      </w:r>
      <w:r>
        <w:rPr>
          <w:rFonts w:ascii="Times New Roman" w:hAnsi="Times New Roman" w:cs="Times New Roman" w:eastAsia="Times New Roman" w:hint="default"/>
          <w:sz w:val="21"/>
          <w:szCs w:val="21"/>
        </w:rPr>
        <w:t>2,280</w:t>
      </w:r>
      <w:r>
        <w:rPr>
          <w:rFonts w:ascii="宋体" w:hAnsi="宋体" w:cs="宋体" w:eastAsia="宋体" w:hint="default"/>
          <w:sz w:val="21"/>
          <w:szCs w:val="21"/>
        </w:rPr>
        <w:t>万元。 </w:t>
      </w:r>
      <w:r>
        <w:rPr>
          <w:rFonts w:ascii="宋体" w:hAnsi="宋体" w:cs="宋体" w:eastAsia="宋体" w:hint="default"/>
          <w:spacing w:val="2"/>
          <w:sz w:val="21"/>
          <w:szCs w:val="21"/>
        </w:rPr>
        <w:t>截止本报告日，本次交易所涉及的标的公司审计、评估工作尚未完成，待相关工作完成后，公司</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2"/>
          <w:sz w:val="21"/>
          <w:szCs w:val="21"/>
        </w:rPr>
        <w:t>将再次召开董事会审议本次交易的正式方案，披露重组报告书，并按照相关法律法规的规定履行</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2"/>
          <w:sz w:val="21"/>
          <w:szCs w:val="21"/>
        </w:rPr>
        <w:t>有关的后续审批及信息披露程序。本次资产重组事项尚需公司再次召开董事会审议通过后提交股</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pacing w:val="2"/>
          <w:sz w:val="21"/>
          <w:szCs w:val="21"/>
        </w:rPr>
        <w:t>东大会审议批准，并报送中国证监会核准，本次交易能否取得上述核准以及最终取得核准的时间</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均存在不确定性。</w:t>
      </w:r>
    </w:p>
    <w:p>
      <w:pPr>
        <w:spacing w:line="240" w:lineRule="auto" w:before="1"/>
        <w:rPr>
          <w:rFonts w:ascii="宋体" w:hAnsi="宋体" w:cs="宋体" w:eastAsia="宋体" w:hint="default"/>
          <w:sz w:val="25"/>
          <w:szCs w:val="25"/>
        </w:rPr>
      </w:pPr>
    </w:p>
    <w:p>
      <w:pPr>
        <w:spacing w:before="0"/>
        <w:ind w:left="463" w:right="0" w:firstLine="0"/>
        <w:jc w:val="left"/>
        <w:rPr>
          <w:rFonts w:ascii="宋体" w:hAnsi="宋体" w:cs="宋体" w:eastAsia="宋体" w:hint="default"/>
          <w:sz w:val="21"/>
          <w:szCs w:val="21"/>
        </w:rPr>
      </w:pPr>
      <w:r>
        <w:rPr>
          <w:rFonts w:ascii="宋体" w:hAnsi="宋体" w:cs="宋体" w:eastAsia="宋体" w:hint="default"/>
          <w:b/>
          <w:bCs/>
          <w:sz w:val="21"/>
          <w:szCs w:val="21"/>
        </w:rPr>
        <w:t>关于公司股权质押等的事项</w:t>
      </w:r>
      <w:r>
        <w:rPr>
          <w:rFonts w:ascii="宋体" w:hAnsi="宋体" w:cs="宋体" w:eastAsia="宋体" w:hint="default"/>
          <w:sz w:val="21"/>
          <w:szCs w:val="21"/>
        </w:rPr>
      </w:r>
    </w:p>
    <w:p>
      <w:pPr>
        <w:spacing w:before="37"/>
        <w:ind w:left="85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、截至</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日，公司实际控制人张曙华持有公司股份</w:t>
      </w:r>
      <w:r>
        <w:rPr>
          <w:rFonts w:ascii="Times New Roman" w:hAnsi="Times New Roman" w:cs="Times New Roman" w:eastAsia="Times New Roman" w:hint="default"/>
          <w:sz w:val="21"/>
          <w:szCs w:val="21"/>
        </w:rPr>
        <w:t>26,486,144</w:t>
      </w:r>
      <w:r>
        <w:rPr>
          <w:rFonts w:ascii="宋体" w:hAnsi="宋体" w:cs="宋体" w:eastAsia="宋体" w:hint="default"/>
          <w:sz w:val="21"/>
          <w:szCs w:val="21"/>
        </w:rPr>
        <w:t>股，占公司总股本的</w:t>
      </w:r>
    </w:p>
    <w:p>
      <w:pPr>
        <w:spacing w:before="21"/>
        <w:ind w:left="85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21.71%</w:t>
      </w:r>
      <w:r>
        <w:rPr>
          <w:rFonts w:ascii="宋体" w:hAnsi="宋体" w:cs="宋体" w:eastAsia="宋体" w:hint="default"/>
          <w:sz w:val="21"/>
          <w:szCs w:val="21"/>
        </w:rPr>
        <w:t>。质押的股份总数为</w:t>
      </w:r>
      <w:r>
        <w:rPr>
          <w:rFonts w:ascii="Times New Roman" w:hAnsi="Times New Roman" w:cs="Times New Roman" w:eastAsia="Times New Roman" w:hint="default"/>
          <w:sz w:val="21"/>
          <w:szCs w:val="21"/>
        </w:rPr>
        <w:t>21,496,000</w:t>
      </w:r>
      <w:r>
        <w:rPr>
          <w:rFonts w:ascii="宋体" w:hAnsi="宋体" w:cs="宋体" w:eastAsia="宋体" w:hint="default"/>
          <w:sz w:val="21"/>
          <w:szCs w:val="21"/>
        </w:rPr>
        <w:t>股，占其持有公司股份总数的</w:t>
      </w:r>
      <w:r>
        <w:rPr>
          <w:rFonts w:ascii="Times New Roman" w:hAnsi="Times New Roman" w:cs="Times New Roman" w:eastAsia="Times New Roman" w:hint="default"/>
          <w:sz w:val="21"/>
          <w:szCs w:val="21"/>
        </w:rPr>
        <w:t>81.16%</w:t>
      </w:r>
      <w:r>
        <w:rPr>
          <w:rFonts w:ascii="宋体" w:hAnsi="宋体" w:cs="宋体" w:eastAsia="宋体" w:hint="default"/>
          <w:sz w:val="21"/>
          <w:szCs w:val="21"/>
        </w:rPr>
        <w:t>，占公司总股本的</w:t>
      </w:r>
    </w:p>
    <w:p>
      <w:pPr>
        <w:spacing w:before="21"/>
        <w:ind w:left="85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17.62%</w:t>
      </w:r>
      <w:r>
        <w:rPr>
          <w:rFonts w:ascii="宋体" w:hAnsi="宋体" w:cs="宋体" w:eastAsia="宋体" w:hint="default"/>
          <w:sz w:val="21"/>
          <w:szCs w:val="21"/>
        </w:rPr>
        <w:t>。</w:t>
      </w:r>
    </w:p>
    <w:p>
      <w:pPr>
        <w:spacing w:line="256" w:lineRule="auto" w:before="21"/>
        <w:ind w:left="850" w:right="1020" w:firstLine="0"/>
        <w:jc w:val="left"/>
        <w:rPr>
          <w:rFonts w:ascii="宋体" w:hAnsi="宋体" w:cs="宋体" w:eastAsia="宋体" w:hint="default"/>
          <w:sz w:val="21"/>
          <w:szCs w:val="21"/>
        </w:rPr>
      </w:pPr>
      <w:r>
        <w:rPr>
          <w:rFonts w:ascii="宋体" w:hAnsi="宋体" w:cs="宋体" w:eastAsia="宋体" w:hint="default"/>
          <w:sz w:val="21"/>
          <w:szCs w:val="21"/>
        </w:rPr>
        <w:t>截至</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日止，公司控股股东上海中信电子发展有限公司持有公司股份</w:t>
      </w:r>
      <w:r>
        <w:rPr>
          <w:rFonts w:ascii="Times New Roman" w:hAnsi="Times New Roman" w:cs="Times New Roman" w:eastAsia="Times New Roman" w:hint="default"/>
          <w:sz w:val="21"/>
          <w:szCs w:val="21"/>
        </w:rPr>
        <w:t>36,626,320</w:t>
      </w:r>
      <w:r>
        <w:rPr>
          <w:rFonts w:ascii="宋体" w:hAnsi="宋体" w:cs="宋体" w:eastAsia="宋体" w:hint="default"/>
          <w:sz w:val="21"/>
          <w:szCs w:val="21"/>
        </w:rPr>
        <w:t>股，占 公司总股本的</w:t>
      </w:r>
      <w:r>
        <w:rPr>
          <w:rFonts w:ascii="Times New Roman" w:hAnsi="Times New Roman" w:cs="Times New Roman" w:eastAsia="Times New Roman" w:hint="default"/>
          <w:sz w:val="21"/>
          <w:szCs w:val="21"/>
        </w:rPr>
        <w:t>30.02%</w:t>
      </w:r>
      <w:r>
        <w:rPr>
          <w:rFonts w:ascii="宋体" w:hAnsi="宋体" w:cs="宋体" w:eastAsia="宋体" w:hint="default"/>
          <w:sz w:val="21"/>
          <w:szCs w:val="21"/>
        </w:rPr>
        <w:t>。质押股份总数为</w:t>
      </w:r>
      <w:r>
        <w:rPr>
          <w:rFonts w:ascii="Times New Roman" w:hAnsi="Times New Roman" w:cs="Times New Roman" w:eastAsia="Times New Roman" w:hint="default"/>
          <w:sz w:val="21"/>
          <w:szCs w:val="21"/>
        </w:rPr>
        <w:t>9,582,000</w:t>
      </w:r>
      <w:r>
        <w:rPr>
          <w:rFonts w:ascii="宋体" w:hAnsi="宋体" w:cs="宋体" w:eastAsia="宋体" w:hint="default"/>
          <w:sz w:val="21"/>
          <w:szCs w:val="21"/>
        </w:rPr>
        <w:t>股，占其持有公司股份总数的</w:t>
      </w:r>
      <w:r>
        <w:rPr>
          <w:rFonts w:ascii="Times New Roman" w:hAnsi="Times New Roman" w:cs="Times New Roman" w:eastAsia="Times New Roman" w:hint="default"/>
          <w:sz w:val="21"/>
          <w:szCs w:val="21"/>
        </w:rPr>
        <w:t>26.16%</w:t>
      </w:r>
      <w:r>
        <w:rPr>
          <w:rFonts w:ascii="宋体" w:hAnsi="宋体" w:cs="宋体" w:eastAsia="宋体" w:hint="default"/>
          <w:sz w:val="21"/>
          <w:szCs w:val="21"/>
        </w:rPr>
        <w:t>，占公司总 股本的</w:t>
      </w:r>
      <w:r>
        <w:rPr>
          <w:rFonts w:ascii="Times New Roman" w:hAnsi="Times New Roman" w:cs="Times New Roman" w:eastAsia="Times New Roman" w:hint="default"/>
          <w:sz w:val="21"/>
          <w:szCs w:val="21"/>
        </w:rPr>
        <w:t>7.85%</w:t>
      </w:r>
      <w:r>
        <w:rPr>
          <w:rFonts w:ascii="宋体" w:hAnsi="宋体" w:cs="宋体" w:eastAsia="宋体" w:hint="default"/>
          <w:sz w:val="21"/>
          <w:szCs w:val="21"/>
        </w:rPr>
        <w:t>。 </w:t>
      </w:r>
      <w:r>
        <w:rPr>
          <w:rFonts w:ascii="Times New Roman" w:hAnsi="Times New Roman" w:cs="Times New Roman" w:eastAsia="Times New Roman" w:hint="default"/>
          <w:spacing w:val="-1"/>
          <w:sz w:val="21"/>
          <w:szCs w:val="21"/>
        </w:rPr>
        <w:t>2</w:t>
      </w:r>
      <w:r>
        <w:rPr>
          <w:rFonts w:ascii="宋体" w:hAnsi="宋体" w:cs="宋体" w:eastAsia="宋体" w:hint="default"/>
          <w:spacing w:val="-1"/>
          <w:sz w:val="21"/>
          <w:szCs w:val="21"/>
        </w:rPr>
        <w:t>、截至本报告日止，公司实际控制人张曙华持有公司股份</w:t>
      </w:r>
      <w:r>
        <w:rPr>
          <w:rFonts w:ascii="Times New Roman" w:hAnsi="Times New Roman" w:cs="Times New Roman" w:eastAsia="Times New Roman" w:hint="default"/>
          <w:spacing w:val="-1"/>
          <w:sz w:val="21"/>
          <w:szCs w:val="21"/>
        </w:rPr>
        <w:t>26,486,144</w:t>
      </w:r>
      <w:r>
        <w:rPr>
          <w:rFonts w:ascii="宋体" w:hAnsi="宋体" w:cs="宋体" w:eastAsia="宋体" w:hint="default"/>
          <w:spacing w:val="-1"/>
          <w:sz w:val="21"/>
          <w:szCs w:val="21"/>
        </w:rPr>
        <w:t>股，占公司总股本的</w:t>
      </w:r>
      <w:r>
        <w:rPr>
          <w:rFonts w:ascii="Times New Roman" w:hAnsi="Times New Roman" w:cs="Times New Roman" w:eastAsia="Times New Roman" w:hint="default"/>
          <w:spacing w:val="-1"/>
          <w:sz w:val="21"/>
          <w:szCs w:val="21"/>
        </w:rPr>
        <w:t>21.71%</w:t>
      </w:r>
      <w:r>
        <w:rPr>
          <w:rFonts w:ascii="宋体" w:hAnsi="宋体" w:cs="宋体" w:eastAsia="宋体" w:hint="default"/>
          <w:spacing w:val="-1"/>
          <w:sz w:val="21"/>
          <w:szCs w:val="21"/>
        </w:rPr>
        <w:t>。</w:t>
      </w:r>
      <w:r>
        <w:rPr>
          <w:rFonts w:ascii="宋体" w:hAnsi="宋体" w:cs="宋体" w:eastAsia="宋体" w:hint="default"/>
          <w:spacing w:val="-96"/>
          <w:sz w:val="21"/>
          <w:szCs w:val="21"/>
        </w:rPr>
        <w:t> </w:t>
      </w:r>
      <w:r>
        <w:rPr>
          <w:rFonts w:ascii="宋体" w:hAnsi="宋体" w:cs="宋体" w:eastAsia="宋体" w:hint="default"/>
          <w:sz w:val="21"/>
          <w:szCs w:val="21"/>
        </w:rPr>
        <w:t>质押的股份总数为</w:t>
      </w:r>
      <w:r>
        <w:rPr>
          <w:rFonts w:ascii="Times New Roman" w:hAnsi="Times New Roman" w:cs="Times New Roman" w:eastAsia="Times New Roman" w:hint="default"/>
          <w:sz w:val="21"/>
          <w:szCs w:val="21"/>
        </w:rPr>
        <w:t>20,635,999</w:t>
      </w:r>
      <w:r>
        <w:rPr>
          <w:rFonts w:ascii="宋体" w:hAnsi="宋体" w:cs="宋体" w:eastAsia="宋体" w:hint="default"/>
          <w:sz w:val="21"/>
          <w:szCs w:val="21"/>
        </w:rPr>
        <w:t>股，占其持有公司股份总数的</w:t>
      </w:r>
      <w:r>
        <w:rPr>
          <w:rFonts w:ascii="Times New Roman" w:hAnsi="Times New Roman" w:cs="Times New Roman" w:eastAsia="Times New Roman" w:hint="default"/>
          <w:sz w:val="21"/>
          <w:szCs w:val="21"/>
        </w:rPr>
        <w:t>77.91%</w:t>
      </w:r>
      <w:r>
        <w:rPr>
          <w:rFonts w:ascii="宋体" w:hAnsi="宋体" w:cs="宋体" w:eastAsia="宋体" w:hint="default"/>
          <w:sz w:val="21"/>
          <w:szCs w:val="21"/>
        </w:rPr>
        <w:t>，占公司总股本的</w:t>
      </w:r>
      <w:r>
        <w:rPr>
          <w:rFonts w:ascii="Times New Roman" w:hAnsi="Times New Roman" w:cs="Times New Roman" w:eastAsia="Times New Roman" w:hint="default"/>
          <w:sz w:val="21"/>
          <w:szCs w:val="21"/>
        </w:rPr>
        <w:t>16.92%</w:t>
      </w:r>
      <w:r>
        <w:rPr>
          <w:rFonts w:ascii="宋体" w:hAnsi="宋体" w:cs="宋体" w:eastAsia="宋体" w:hint="default"/>
          <w:sz w:val="21"/>
          <w:szCs w:val="21"/>
        </w:rPr>
        <w:t>。 截至本报告日止，公司控股股东上海中信电子发展有限公司持有公司股份</w:t>
      </w:r>
      <w:r>
        <w:rPr>
          <w:rFonts w:ascii="Times New Roman" w:hAnsi="Times New Roman" w:cs="Times New Roman" w:eastAsia="Times New Roman" w:hint="default"/>
          <w:sz w:val="21"/>
          <w:szCs w:val="21"/>
        </w:rPr>
        <w:t>36,626,320</w:t>
      </w:r>
      <w:r>
        <w:rPr>
          <w:rFonts w:ascii="宋体" w:hAnsi="宋体" w:cs="宋体" w:eastAsia="宋体" w:hint="default"/>
          <w:sz w:val="21"/>
          <w:szCs w:val="21"/>
        </w:rPr>
        <w:t>股，占公司总 股本的</w:t>
      </w:r>
      <w:r>
        <w:rPr>
          <w:rFonts w:ascii="Times New Roman" w:hAnsi="Times New Roman" w:cs="Times New Roman" w:eastAsia="Times New Roman" w:hint="default"/>
          <w:sz w:val="21"/>
          <w:szCs w:val="21"/>
        </w:rPr>
        <w:t>30.02%</w:t>
      </w:r>
      <w:r>
        <w:rPr>
          <w:rFonts w:ascii="宋体" w:hAnsi="宋体" w:cs="宋体" w:eastAsia="宋体" w:hint="default"/>
          <w:sz w:val="21"/>
          <w:szCs w:val="21"/>
        </w:rPr>
        <w:t>。质押股份总数为</w:t>
      </w:r>
      <w:r>
        <w:rPr>
          <w:rFonts w:ascii="Times New Roman" w:hAnsi="Times New Roman" w:cs="Times New Roman" w:eastAsia="Times New Roman" w:hint="default"/>
          <w:sz w:val="21"/>
          <w:szCs w:val="21"/>
        </w:rPr>
        <w:t>8,000,000</w:t>
      </w:r>
      <w:r>
        <w:rPr>
          <w:rFonts w:ascii="宋体" w:hAnsi="宋体" w:cs="宋体" w:eastAsia="宋体" w:hint="default"/>
          <w:sz w:val="21"/>
          <w:szCs w:val="21"/>
        </w:rPr>
        <w:t>股，占其持有公司股份总数的</w:t>
      </w:r>
      <w:r>
        <w:rPr>
          <w:rFonts w:ascii="Times New Roman" w:hAnsi="Times New Roman" w:cs="Times New Roman" w:eastAsia="Times New Roman" w:hint="default"/>
          <w:sz w:val="21"/>
          <w:szCs w:val="21"/>
        </w:rPr>
        <w:t>21.84%</w:t>
      </w:r>
      <w:r>
        <w:rPr>
          <w:rFonts w:ascii="宋体" w:hAnsi="宋体" w:cs="宋体" w:eastAsia="宋体" w:hint="default"/>
          <w:sz w:val="21"/>
          <w:szCs w:val="21"/>
        </w:rPr>
        <w:t>，占公司总股本的 </w:t>
      </w:r>
      <w:r>
        <w:rPr>
          <w:rFonts w:ascii="Times New Roman" w:hAnsi="Times New Roman" w:cs="Times New Roman" w:eastAsia="Times New Roman" w:hint="default"/>
          <w:sz w:val="21"/>
          <w:szCs w:val="21"/>
        </w:rPr>
        <w:t>6.56%</w:t>
      </w:r>
      <w:r>
        <w:rPr>
          <w:rFonts w:ascii="宋体" w:hAnsi="宋体" w:cs="宋体" w:eastAsia="宋体" w:hint="default"/>
          <w:sz w:val="21"/>
          <w:szCs w:val="21"/>
        </w:rPr>
        <w:t>。</w:t>
      </w:r>
    </w:p>
    <w:p>
      <w:pPr>
        <w:spacing w:line="261" w:lineRule="auto" w:before="5"/>
        <w:ind w:left="85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、公司控股股东上海中信电子发展有限公司与东北证券股份有限公司开展融资融券业务，将其持 </w:t>
      </w:r>
      <w:r>
        <w:rPr>
          <w:rFonts w:ascii="宋体" w:hAnsi="宋体" w:cs="宋体" w:eastAsia="宋体" w:hint="default"/>
          <w:spacing w:val="-1"/>
          <w:sz w:val="21"/>
          <w:szCs w:val="21"/>
        </w:rPr>
        <w:t>有的公司部分股份转入东北证券客户信用交易担保证券账户中，该部分股份的所有权未发生转移。</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z w:val="21"/>
          <w:szCs w:val="21"/>
        </w:rPr>
        <w:t>截至</w:t>
      </w: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日止，上海中信电子发展有限公司持有公司股份</w:t>
      </w:r>
      <w:r>
        <w:rPr>
          <w:rFonts w:ascii="Times New Roman" w:hAnsi="Times New Roman" w:cs="Times New Roman" w:eastAsia="Times New Roman" w:hint="default"/>
          <w:sz w:val="21"/>
          <w:szCs w:val="21"/>
        </w:rPr>
        <w:t>36,626,320</w:t>
      </w:r>
      <w:r>
        <w:rPr>
          <w:rFonts w:ascii="宋体" w:hAnsi="宋体" w:cs="宋体" w:eastAsia="宋体" w:hint="default"/>
          <w:sz w:val="21"/>
          <w:szCs w:val="21"/>
        </w:rPr>
        <w:t>股，占公司总股本的 </w:t>
      </w:r>
      <w:r>
        <w:rPr>
          <w:rFonts w:ascii="Times New Roman" w:hAnsi="Times New Roman" w:cs="Times New Roman" w:eastAsia="Times New Roman" w:hint="default"/>
          <w:sz w:val="21"/>
          <w:szCs w:val="21"/>
        </w:rPr>
        <w:t>30.02%</w:t>
      </w:r>
      <w:r>
        <w:rPr>
          <w:rFonts w:ascii="宋体" w:hAnsi="宋体" w:cs="宋体" w:eastAsia="宋体" w:hint="default"/>
          <w:sz w:val="21"/>
          <w:szCs w:val="21"/>
        </w:rPr>
        <w:t>。其中，上海中信电子发展有限公司累计存在于东北证券客户信用交易担保证券账户的公 司股份为</w:t>
      </w:r>
      <w:r>
        <w:rPr>
          <w:rFonts w:ascii="Times New Roman" w:hAnsi="Times New Roman" w:cs="Times New Roman" w:eastAsia="Times New Roman" w:hint="default"/>
          <w:sz w:val="21"/>
          <w:szCs w:val="21"/>
        </w:rPr>
        <w:t>16,000,000</w:t>
      </w:r>
      <w:r>
        <w:rPr>
          <w:rFonts w:ascii="宋体" w:hAnsi="宋体" w:cs="宋体" w:eastAsia="宋体" w:hint="default"/>
          <w:sz w:val="21"/>
          <w:szCs w:val="21"/>
        </w:rPr>
        <w:t>股，占其持有公司股份总数的</w:t>
      </w:r>
      <w:r>
        <w:rPr>
          <w:rFonts w:ascii="Times New Roman" w:hAnsi="Times New Roman" w:cs="Times New Roman" w:eastAsia="Times New Roman" w:hint="default"/>
          <w:sz w:val="21"/>
          <w:szCs w:val="21"/>
        </w:rPr>
        <w:t>43.68%</w:t>
      </w:r>
      <w:r>
        <w:rPr>
          <w:rFonts w:ascii="宋体" w:hAnsi="宋体" w:cs="宋体" w:eastAsia="宋体" w:hint="default"/>
          <w:sz w:val="21"/>
          <w:szCs w:val="21"/>
        </w:rPr>
        <w:t>，占公司总股本的</w:t>
      </w:r>
      <w:r>
        <w:rPr>
          <w:rFonts w:ascii="Times New Roman" w:hAnsi="Times New Roman" w:cs="Times New Roman" w:eastAsia="Times New Roman" w:hint="default"/>
          <w:sz w:val="21"/>
          <w:szCs w:val="21"/>
        </w:rPr>
        <w:t>13.12%</w:t>
      </w:r>
      <w:r>
        <w:rPr>
          <w:rFonts w:ascii="宋体" w:hAnsi="宋体" w:cs="宋体" w:eastAsia="宋体" w:hint="default"/>
          <w:sz w:val="21"/>
          <w:szCs w:val="21"/>
        </w:rPr>
        <w:t>。 截至本报告日止，上海中信电子发展有限公司累计存在于东北证券客户信用交易担保证券账户的 公司股份无变化。</w:t>
      </w:r>
    </w:p>
    <w:p>
      <w:pPr>
        <w:spacing w:line="240" w:lineRule="auto" w:before="4"/>
        <w:rPr>
          <w:rFonts w:ascii="宋体" w:hAnsi="宋体" w:cs="宋体" w:eastAsia="宋体" w:hint="default"/>
          <w:sz w:val="25"/>
          <w:szCs w:val="25"/>
        </w:rPr>
      </w:pPr>
    </w:p>
    <w:p>
      <w:pPr>
        <w:spacing w:line="264" w:lineRule="auto" w:before="0"/>
        <w:ind w:left="850" w:right="1359" w:hanging="387"/>
        <w:jc w:val="left"/>
        <w:rPr>
          <w:rFonts w:ascii="宋体" w:hAnsi="宋体" w:cs="宋体" w:eastAsia="宋体" w:hint="default"/>
          <w:sz w:val="21"/>
          <w:szCs w:val="21"/>
        </w:rPr>
      </w:pPr>
      <w:r>
        <w:rPr>
          <w:rFonts w:ascii="宋体" w:hAnsi="宋体" w:cs="宋体" w:eastAsia="宋体" w:hint="default"/>
          <w:b/>
          <w:bCs/>
          <w:sz w:val="21"/>
          <w:szCs w:val="21"/>
        </w:rPr>
        <w:t>关于部分募集资金投资项目延期及补充流动资金的事项</w:t>
      </w:r>
      <w:r>
        <w:rPr>
          <w:rFonts w:ascii="宋体" w:hAnsi="宋体" w:cs="宋体" w:eastAsia="宋体" w:hint="default"/>
          <w:b/>
          <w:bCs/>
          <w:w w:val="99"/>
          <w:sz w:val="21"/>
          <w:szCs w:val="21"/>
        </w:rPr>
        <w:t> </w:t>
      </w:r>
      <w:r>
        <w:rPr>
          <w:rFonts w:ascii="宋体" w:hAnsi="宋体" w:cs="宋体" w:eastAsia="宋体" w:hint="default"/>
          <w:sz w:val="21"/>
          <w:szCs w:val="21"/>
        </w:rPr>
        <w:t>公司于</w:t>
      </w:r>
      <w:r>
        <w:rPr>
          <w:rFonts w:ascii="Times New Roman" w:hAnsi="Times New Roman" w:cs="Times New Roman" w:eastAsia="Times New Roman" w:hint="default"/>
          <w:sz w:val="21"/>
          <w:szCs w:val="21"/>
        </w:rPr>
        <w:t>2015</w:t>
      </w:r>
      <w:r>
        <w:rPr>
          <w:rFonts w:ascii="宋体" w:hAnsi="宋体" w:cs="宋体" w:eastAsia="宋体" w:hint="default"/>
          <w:sz w:val="21"/>
          <w:szCs w:val="21"/>
        </w:rPr>
        <w:t>年首次公开发行股票人民币普通股（</w:t>
      </w:r>
      <w:r>
        <w:rPr>
          <w:rFonts w:ascii="Times New Roman" w:hAnsi="Times New Roman" w:cs="Times New Roman" w:eastAsia="Times New Roman" w:hint="default"/>
          <w:sz w:val="21"/>
          <w:szCs w:val="21"/>
        </w:rPr>
        <w:t>A</w:t>
      </w:r>
      <w:r>
        <w:rPr>
          <w:rFonts w:ascii="宋体" w:hAnsi="宋体" w:cs="宋体" w:eastAsia="宋体" w:hint="default"/>
          <w:sz w:val="21"/>
          <w:szCs w:val="21"/>
        </w:rPr>
        <w:t>股）</w:t>
      </w:r>
      <w:r>
        <w:rPr>
          <w:rFonts w:ascii="Times New Roman" w:hAnsi="Times New Roman" w:cs="Times New Roman" w:eastAsia="Times New Roman" w:hint="default"/>
          <w:sz w:val="21"/>
          <w:szCs w:val="21"/>
        </w:rPr>
        <w:t>16,700,000</w:t>
      </w:r>
      <w:r>
        <w:rPr>
          <w:rFonts w:ascii="宋体" w:hAnsi="宋体" w:cs="宋体" w:eastAsia="宋体" w:hint="default"/>
          <w:sz w:val="21"/>
          <w:szCs w:val="21"/>
        </w:rPr>
        <w:t>股，共募集资金净额为人民币 </w:t>
      </w:r>
      <w:r>
        <w:rPr>
          <w:rFonts w:ascii="Times New Roman" w:hAnsi="Times New Roman" w:cs="Times New Roman" w:eastAsia="Times New Roman" w:hint="default"/>
          <w:sz w:val="21"/>
          <w:szCs w:val="21"/>
        </w:rPr>
        <w:t>143,705,696.49</w:t>
      </w:r>
      <w:r>
        <w:rPr>
          <w:rFonts w:ascii="宋体" w:hAnsi="宋体" w:cs="宋体" w:eastAsia="宋体" w:hint="default"/>
          <w:sz w:val="21"/>
          <w:szCs w:val="21"/>
        </w:rPr>
        <w:t>元。</w:t>
      </w:r>
    </w:p>
    <w:p>
      <w:pPr>
        <w:spacing w:line="289" w:lineRule="exact" w:before="0"/>
        <w:ind w:left="850" w:right="0"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9</w:t>
      </w:r>
      <w:r>
        <w:rPr>
          <w:rFonts w:ascii="宋体" w:hAnsi="宋体" w:cs="宋体" w:eastAsia="宋体" w:hint="default"/>
          <w:sz w:val="21"/>
          <w:szCs w:val="21"/>
        </w:rPr>
        <w:t>月</w:t>
      </w:r>
      <w:r>
        <w:rPr>
          <w:rFonts w:ascii="Times New Roman" w:hAnsi="Times New Roman" w:cs="Times New Roman" w:eastAsia="Times New Roman" w:hint="default"/>
          <w:sz w:val="21"/>
          <w:szCs w:val="21"/>
        </w:rPr>
        <w:t>18</w:t>
      </w:r>
      <w:r>
        <w:rPr>
          <w:rFonts w:ascii="宋体" w:hAnsi="宋体" w:cs="宋体" w:eastAsia="宋体" w:hint="default"/>
          <w:sz w:val="21"/>
          <w:szCs w:val="21"/>
        </w:rPr>
        <w:t>日，公司召开的第四届董事会第十八次会议审议通过了《关于部分募集资金投资项目</w:t>
      </w:r>
    </w:p>
    <w:p>
      <w:pPr>
        <w:spacing w:after="0" w:line="289" w:lineRule="exact"/>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12"/>
        <w:rPr>
          <w:rFonts w:ascii="宋体" w:hAnsi="宋体" w:cs="宋体" w:eastAsia="宋体" w:hint="default"/>
          <w:sz w:val="18"/>
          <w:szCs w:val="18"/>
        </w:rPr>
      </w:pPr>
    </w:p>
    <w:p>
      <w:pPr>
        <w:spacing w:line="266" w:lineRule="auto" w:before="35"/>
        <w:ind w:left="850" w:right="1115" w:firstLine="0"/>
        <w:jc w:val="left"/>
        <w:rPr>
          <w:rFonts w:ascii="宋体" w:hAnsi="宋体" w:cs="宋体" w:eastAsia="宋体" w:hint="default"/>
          <w:sz w:val="21"/>
          <w:szCs w:val="21"/>
        </w:rPr>
      </w:pPr>
      <w:r>
        <w:rPr>
          <w:rFonts w:ascii="宋体" w:hAnsi="宋体" w:cs="宋体" w:eastAsia="宋体" w:hint="default"/>
          <w:spacing w:val="-3"/>
          <w:sz w:val="21"/>
          <w:szCs w:val="21"/>
        </w:rPr>
        <w:t>延期的议案》，公司的募集资金投资项目所在地均为公司位于上海青浦的自有土地上建设，其主体</w:t>
      </w:r>
      <w:r>
        <w:rPr>
          <w:rFonts w:ascii="宋体" w:hAnsi="宋体" w:cs="宋体" w:eastAsia="宋体" w:hint="default"/>
          <w:sz w:val="21"/>
          <w:szCs w:val="21"/>
        </w:rPr>
        <w:t> 建设工程已完成，受装修进度影响，部分募集资金使用存在延迟，因此公司结合实际，在保证公 司正常经营的基础上，拟将部分募集资金投资项目（包括数字档案馆信息资源管理系统项目、数 字档案室信息资源管理系统项目、食品流通安全追溯档案管理软件项目）达到预计可使用状态的 日期延后至</w:t>
      </w:r>
      <w:r>
        <w:rPr>
          <w:rFonts w:ascii="Times New Roman" w:hAnsi="Times New Roman" w:cs="Times New Roman" w:eastAsia="Times New Roman" w:hint="default"/>
          <w:sz w:val="21"/>
          <w:szCs w:val="21"/>
        </w:rPr>
        <w:t>2019</w:t>
      </w:r>
      <w:r>
        <w:rPr>
          <w:rFonts w:ascii="宋体" w:hAnsi="宋体" w:cs="宋体" w:eastAsia="宋体" w:hint="default"/>
          <w:sz w:val="21"/>
          <w:szCs w:val="21"/>
        </w:rPr>
        <w:t>年</w:t>
      </w:r>
      <w:r>
        <w:rPr>
          <w:rFonts w:ascii="Times New Roman" w:hAnsi="Times New Roman" w:cs="Times New Roman" w:eastAsia="Times New Roman" w:hint="default"/>
          <w:sz w:val="21"/>
          <w:szCs w:val="21"/>
        </w:rPr>
        <w:t>3</w:t>
      </w:r>
      <w:r>
        <w:rPr>
          <w:rFonts w:ascii="宋体" w:hAnsi="宋体" w:cs="宋体" w:eastAsia="宋体" w:hint="default"/>
          <w:sz w:val="21"/>
          <w:szCs w:val="21"/>
        </w:rPr>
        <w:t>月</w:t>
      </w:r>
      <w:r>
        <w:rPr>
          <w:rFonts w:ascii="Times New Roman" w:hAnsi="Times New Roman" w:cs="Times New Roman" w:eastAsia="Times New Roman" w:hint="default"/>
          <w:sz w:val="21"/>
          <w:szCs w:val="21"/>
        </w:rPr>
        <w:t>31</w:t>
      </w:r>
      <w:r>
        <w:rPr>
          <w:rFonts w:ascii="宋体" w:hAnsi="宋体" w:cs="宋体" w:eastAsia="宋体" w:hint="default"/>
          <w:sz w:val="21"/>
          <w:szCs w:val="21"/>
        </w:rPr>
        <w:t>日。 </w:t>
      </w:r>
      <w:r>
        <w:rPr>
          <w:rFonts w:ascii="Times New Roman" w:hAnsi="Times New Roman" w:cs="Times New Roman" w:eastAsia="Times New Roman" w:hint="default"/>
          <w:spacing w:val="-1"/>
          <w:sz w:val="21"/>
          <w:szCs w:val="21"/>
        </w:rPr>
        <w:t>2019</w:t>
      </w:r>
      <w:r>
        <w:rPr>
          <w:rFonts w:ascii="宋体" w:hAnsi="宋体" w:cs="宋体" w:eastAsia="宋体" w:hint="default"/>
          <w:spacing w:val="-1"/>
          <w:sz w:val="21"/>
          <w:szCs w:val="21"/>
        </w:rPr>
        <w:t>年</w:t>
      </w:r>
      <w:r>
        <w:rPr>
          <w:rFonts w:ascii="Times New Roman" w:hAnsi="Times New Roman" w:cs="Times New Roman" w:eastAsia="Times New Roman" w:hint="default"/>
          <w:spacing w:val="-1"/>
          <w:sz w:val="21"/>
          <w:szCs w:val="21"/>
        </w:rPr>
        <w:t>3</w:t>
      </w:r>
      <w:r>
        <w:rPr>
          <w:rFonts w:ascii="宋体" w:hAnsi="宋体" w:cs="宋体" w:eastAsia="宋体" w:hint="default"/>
          <w:spacing w:val="-1"/>
          <w:sz w:val="21"/>
          <w:szCs w:val="21"/>
        </w:rPr>
        <w:t>月</w:t>
      </w:r>
      <w:r>
        <w:rPr>
          <w:rFonts w:ascii="Times New Roman" w:hAnsi="Times New Roman" w:cs="Times New Roman" w:eastAsia="Times New Roman" w:hint="default"/>
          <w:spacing w:val="-1"/>
          <w:sz w:val="21"/>
          <w:szCs w:val="21"/>
        </w:rPr>
        <w:t>18</w:t>
      </w:r>
      <w:r>
        <w:rPr>
          <w:rFonts w:ascii="宋体" w:hAnsi="宋体" w:cs="宋体" w:eastAsia="宋体" w:hint="default"/>
          <w:spacing w:val="-1"/>
          <w:sz w:val="21"/>
          <w:szCs w:val="21"/>
        </w:rPr>
        <w:t>日，公司召开的第四届董事会第二十五次会议审议通过了《关于部分募集资金投资项</w:t>
      </w:r>
      <w:r>
        <w:rPr>
          <w:rFonts w:ascii="宋体" w:hAnsi="宋体" w:cs="宋体" w:eastAsia="宋体" w:hint="default"/>
          <w:spacing w:val="-84"/>
          <w:sz w:val="21"/>
          <w:szCs w:val="21"/>
        </w:rPr>
        <w:t> </w:t>
      </w:r>
      <w:r>
        <w:rPr>
          <w:rFonts w:ascii="宋体" w:hAnsi="宋体" w:cs="宋体" w:eastAsia="宋体" w:hint="default"/>
          <w:spacing w:val="-84"/>
          <w:sz w:val="21"/>
          <w:szCs w:val="21"/>
        </w:rPr>
      </w:r>
      <w:r>
        <w:rPr>
          <w:rFonts w:ascii="宋体" w:hAnsi="宋体" w:cs="宋体" w:eastAsia="宋体" w:hint="default"/>
          <w:spacing w:val="-3"/>
          <w:sz w:val="21"/>
          <w:szCs w:val="21"/>
        </w:rPr>
        <w:t>目延期的议案》，公司拟将上述三个募集资金投资项目达到预计可使用状态的日期延后至</w:t>
      </w:r>
      <w:r>
        <w:rPr>
          <w:rFonts w:ascii="Times New Roman" w:hAnsi="Times New Roman" w:cs="Times New Roman" w:eastAsia="Times New Roman" w:hint="default"/>
          <w:spacing w:val="-3"/>
          <w:sz w:val="21"/>
          <w:szCs w:val="21"/>
        </w:rPr>
        <w:t>2019</w:t>
      </w:r>
      <w:r>
        <w:rPr>
          <w:rFonts w:ascii="宋体" w:hAnsi="宋体" w:cs="宋体" w:eastAsia="宋体" w:hint="default"/>
          <w:spacing w:val="-3"/>
          <w:sz w:val="21"/>
          <w:szCs w:val="21"/>
        </w:rPr>
        <w:t>年</w:t>
      </w:r>
      <w:r>
        <w:rPr>
          <w:rFonts w:ascii="Times New Roman" w:hAnsi="Times New Roman" w:cs="Times New Roman" w:eastAsia="Times New Roman" w:hint="default"/>
          <w:spacing w:val="-3"/>
          <w:sz w:val="21"/>
          <w:szCs w:val="21"/>
        </w:rPr>
        <w:t>7</w:t>
      </w:r>
      <w:r>
        <w:rPr>
          <w:rFonts w:ascii="Times New Roman" w:hAnsi="Times New Roman" w:cs="Times New Roman" w:eastAsia="Times New Roman" w:hint="default"/>
          <w:spacing w:val="-25"/>
          <w:sz w:val="21"/>
          <w:szCs w:val="21"/>
        </w:rPr>
        <w:t> </w:t>
      </w:r>
      <w:r>
        <w:rPr>
          <w:rFonts w:ascii="宋体" w:hAnsi="宋体" w:cs="宋体" w:eastAsia="宋体" w:hint="default"/>
          <w:spacing w:val="-4"/>
          <w:sz w:val="21"/>
          <w:szCs w:val="21"/>
        </w:rPr>
        <w:t>月</w:t>
      </w:r>
      <w:r>
        <w:rPr>
          <w:rFonts w:ascii="Times New Roman" w:hAnsi="Times New Roman" w:cs="Times New Roman" w:eastAsia="Times New Roman" w:hint="default"/>
          <w:spacing w:val="-4"/>
          <w:sz w:val="21"/>
          <w:szCs w:val="21"/>
        </w:rPr>
        <w:t>31</w:t>
      </w:r>
      <w:r>
        <w:rPr>
          <w:rFonts w:ascii="宋体" w:hAnsi="宋体" w:cs="宋体" w:eastAsia="宋体" w:hint="default"/>
          <w:spacing w:val="-4"/>
          <w:sz w:val="21"/>
          <w:szCs w:val="21"/>
        </w:rPr>
        <w:t>日。同时，该次会议审议通过了《关于使用部分闲置募集资金暂时补充流动资金的议案》，公</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司本着股东利益最大化的原则，为提高募集资金使用效率，降低财务费用，缓解流动资金的需求 压力，在确保募投项目建设的资金需求以及募集资金使用计划正常进行的前提下，公司决定用部 分闲置募集资金暂时补充流动资金，该笔资金仅限于与公司主营业务相关的生产经营使用，总额 </w:t>
      </w:r>
      <w:r>
        <w:rPr>
          <w:rFonts w:ascii="宋体" w:hAnsi="宋体" w:cs="宋体" w:eastAsia="宋体" w:hint="default"/>
          <w:spacing w:val="-2"/>
          <w:sz w:val="21"/>
          <w:szCs w:val="21"/>
        </w:rPr>
        <w:t>不超过人民币</w:t>
      </w:r>
      <w:r>
        <w:rPr>
          <w:rFonts w:ascii="Times New Roman" w:hAnsi="Times New Roman" w:cs="Times New Roman" w:eastAsia="Times New Roman" w:hint="default"/>
          <w:spacing w:val="-2"/>
          <w:sz w:val="21"/>
          <w:szCs w:val="21"/>
        </w:rPr>
        <w:t>2,000</w:t>
      </w:r>
      <w:r>
        <w:rPr>
          <w:rFonts w:ascii="宋体" w:hAnsi="宋体" w:cs="宋体" w:eastAsia="宋体" w:hint="default"/>
          <w:spacing w:val="-2"/>
          <w:sz w:val="21"/>
          <w:szCs w:val="21"/>
        </w:rPr>
        <w:t>万元，使用期限自董事会审议通过之日起至</w:t>
      </w:r>
      <w:r>
        <w:rPr>
          <w:rFonts w:ascii="Times New Roman" w:hAnsi="Times New Roman" w:cs="Times New Roman" w:eastAsia="Times New Roman" w:hint="default"/>
          <w:spacing w:val="-2"/>
          <w:sz w:val="21"/>
          <w:szCs w:val="21"/>
        </w:rPr>
        <w:t>2019</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6</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30</w:t>
      </w:r>
      <w:r>
        <w:rPr>
          <w:rFonts w:ascii="宋体" w:hAnsi="宋体" w:cs="宋体" w:eastAsia="宋体" w:hint="default"/>
          <w:spacing w:val="-2"/>
          <w:sz w:val="21"/>
          <w:szCs w:val="21"/>
        </w:rPr>
        <w:t>日止，到期将归还至募</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集资金专户。</w:t>
      </w:r>
    </w:p>
    <w:p>
      <w:pPr>
        <w:spacing w:line="240" w:lineRule="auto" w:before="12"/>
        <w:rPr>
          <w:rFonts w:ascii="宋体" w:hAnsi="宋体" w:cs="宋体" w:eastAsia="宋体" w:hint="default"/>
          <w:sz w:val="24"/>
          <w:szCs w:val="24"/>
        </w:rPr>
      </w:pPr>
    </w:p>
    <w:p>
      <w:pPr>
        <w:spacing w:line="264" w:lineRule="auto" w:before="0"/>
        <w:ind w:left="850" w:right="1196" w:hanging="387"/>
        <w:jc w:val="left"/>
        <w:rPr>
          <w:rFonts w:ascii="宋体" w:hAnsi="宋体" w:cs="宋体" w:eastAsia="宋体" w:hint="default"/>
          <w:sz w:val="21"/>
          <w:szCs w:val="21"/>
        </w:rPr>
      </w:pPr>
      <w:r>
        <w:rPr>
          <w:rFonts w:ascii="宋体" w:hAnsi="宋体" w:cs="宋体" w:eastAsia="宋体" w:hint="default"/>
          <w:b/>
          <w:bCs/>
          <w:sz w:val="21"/>
          <w:szCs w:val="21"/>
        </w:rPr>
        <w:t>关于公司非公开发行股票的事项</w:t>
      </w:r>
      <w:r>
        <w:rPr>
          <w:rFonts w:ascii="宋体" w:hAnsi="宋体" w:cs="宋体" w:eastAsia="宋体" w:hint="default"/>
          <w:b/>
          <w:bCs/>
          <w:w w:val="99"/>
          <w:sz w:val="21"/>
          <w:szCs w:val="21"/>
        </w:rPr>
        <w:t> </w:t>
      </w:r>
      <w:r>
        <w:rPr>
          <w:rFonts w:ascii="Times New Roman" w:hAnsi="Times New Roman" w:cs="Times New Roman" w:eastAsia="Times New Roman" w:hint="default"/>
          <w:sz w:val="21"/>
          <w:szCs w:val="21"/>
        </w:rPr>
        <w:t>2017</w:t>
      </w:r>
      <w:r>
        <w:rPr>
          <w:rFonts w:ascii="宋体" w:hAnsi="宋体" w:cs="宋体" w:eastAsia="宋体" w:hint="default"/>
          <w:sz w:val="21"/>
          <w:szCs w:val="21"/>
        </w:rPr>
        <w:t>年</w:t>
      </w:r>
      <w:r>
        <w:rPr>
          <w:rFonts w:ascii="Times New Roman" w:hAnsi="Times New Roman" w:cs="Times New Roman" w:eastAsia="Times New Roman" w:hint="default"/>
          <w:sz w:val="21"/>
          <w:szCs w:val="21"/>
        </w:rPr>
        <w:t>12</w:t>
      </w:r>
      <w:r>
        <w:rPr>
          <w:rFonts w:ascii="宋体" w:hAnsi="宋体" w:cs="宋体" w:eastAsia="宋体" w:hint="default"/>
          <w:sz w:val="21"/>
          <w:szCs w:val="21"/>
        </w:rPr>
        <w:t>月</w:t>
      </w:r>
      <w:r>
        <w:rPr>
          <w:rFonts w:ascii="Times New Roman" w:hAnsi="Times New Roman" w:cs="Times New Roman" w:eastAsia="Times New Roman" w:hint="default"/>
          <w:sz w:val="21"/>
          <w:szCs w:val="21"/>
        </w:rPr>
        <w:t>28</w:t>
      </w:r>
      <w:r>
        <w:rPr>
          <w:rFonts w:ascii="宋体" w:hAnsi="宋体" w:cs="宋体" w:eastAsia="宋体" w:hint="default"/>
          <w:sz w:val="21"/>
          <w:szCs w:val="21"/>
        </w:rPr>
        <w:t>日，公司召开第四届董事会第五次会议，审议并通过《关于公司符合非公开发行股 </w:t>
      </w:r>
      <w:r>
        <w:rPr>
          <w:rFonts w:ascii="宋体" w:hAnsi="宋体" w:cs="宋体" w:eastAsia="宋体" w:hint="default"/>
          <w:spacing w:val="-14"/>
          <w:sz w:val="21"/>
          <w:szCs w:val="21"/>
        </w:rPr>
        <w:t>票条件的议案》。</w:t>
      </w:r>
    </w:p>
    <w:p>
      <w:pPr>
        <w:spacing w:line="261" w:lineRule="auto" w:before="16"/>
        <w:ind w:left="850" w:right="1118"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1</w:t>
      </w:r>
      <w:r>
        <w:rPr>
          <w:rFonts w:ascii="宋体" w:hAnsi="宋体" w:cs="宋体" w:eastAsia="宋体" w:hint="default"/>
          <w:sz w:val="21"/>
          <w:szCs w:val="21"/>
        </w:rPr>
        <w:t>月</w:t>
      </w:r>
      <w:r>
        <w:rPr>
          <w:rFonts w:ascii="Times New Roman" w:hAnsi="Times New Roman" w:cs="Times New Roman" w:eastAsia="Times New Roman" w:hint="default"/>
          <w:sz w:val="21"/>
          <w:szCs w:val="21"/>
        </w:rPr>
        <w:t>16</w:t>
      </w:r>
      <w:r>
        <w:rPr>
          <w:rFonts w:ascii="宋体" w:hAnsi="宋体" w:cs="宋体" w:eastAsia="宋体" w:hint="default"/>
          <w:sz w:val="21"/>
          <w:szCs w:val="21"/>
        </w:rPr>
        <w:t>日，公司召开</w:t>
      </w:r>
      <w:r>
        <w:rPr>
          <w:rFonts w:ascii="Times New Roman" w:hAnsi="Times New Roman" w:cs="Times New Roman" w:eastAsia="Times New Roman" w:hint="default"/>
          <w:sz w:val="21"/>
          <w:szCs w:val="21"/>
        </w:rPr>
        <w:t>2018</w:t>
      </w:r>
      <w:r>
        <w:rPr>
          <w:rFonts w:ascii="Times New Roman" w:hAnsi="Times New Roman" w:cs="Times New Roman" w:eastAsia="Times New Roman" w:hint="default"/>
          <w:spacing w:val="30"/>
          <w:sz w:val="21"/>
          <w:szCs w:val="21"/>
        </w:rPr>
        <w:t> </w:t>
      </w:r>
      <w:r>
        <w:rPr>
          <w:rFonts w:ascii="宋体" w:hAnsi="宋体" w:cs="宋体" w:eastAsia="宋体" w:hint="default"/>
          <w:sz w:val="21"/>
          <w:szCs w:val="21"/>
        </w:rPr>
        <w:t>年第一次临时股东大会，审议通过了上述《关于公司符合非公开 </w:t>
      </w:r>
      <w:r>
        <w:rPr>
          <w:rFonts w:ascii="宋体" w:hAnsi="宋体" w:cs="宋体" w:eastAsia="宋体" w:hint="default"/>
          <w:spacing w:val="-10"/>
          <w:sz w:val="21"/>
          <w:szCs w:val="21"/>
        </w:rPr>
        <w:t>发行股票条件的议案》。</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Times New Roman" w:hAnsi="Times New Roman" w:cs="Times New Roman" w:eastAsia="Times New Roman" w:hint="default"/>
          <w:spacing w:val="-2"/>
          <w:sz w:val="21"/>
          <w:szCs w:val="21"/>
        </w:rPr>
        <w:t>2018</w:t>
      </w:r>
      <w:r>
        <w:rPr>
          <w:rFonts w:ascii="宋体" w:hAnsi="宋体" w:cs="宋体" w:eastAsia="宋体" w:hint="default"/>
          <w:spacing w:val="-2"/>
          <w:sz w:val="21"/>
          <w:szCs w:val="21"/>
        </w:rPr>
        <w:t>年</w:t>
      </w:r>
      <w:r>
        <w:rPr>
          <w:rFonts w:ascii="Times New Roman" w:hAnsi="Times New Roman" w:cs="Times New Roman" w:eastAsia="Times New Roman" w:hint="default"/>
          <w:spacing w:val="-2"/>
          <w:sz w:val="21"/>
          <w:szCs w:val="21"/>
        </w:rPr>
        <w:t>5</w:t>
      </w:r>
      <w:r>
        <w:rPr>
          <w:rFonts w:ascii="宋体" w:hAnsi="宋体" w:cs="宋体" w:eastAsia="宋体" w:hint="default"/>
          <w:spacing w:val="-2"/>
          <w:sz w:val="21"/>
          <w:szCs w:val="21"/>
        </w:rPr>
        <w:t>月</w:t>
      </w:r>
      <w:r>
        <w:rPr>
          <w:rFonts w:ascii="Times New Roman" w:hAnsi="Times New Roman" w:cs="Times New Roman" w:eastAsia="Times New Roman" w:hint="default"/>
          <w:spacing w:val="-2"/>
          <w:sz w:val="21"/>
          <w:szCs w:val="21"/>
        </w:rPr>
        <w:t>8</w:t>
      </w:r>
      <w:r>
        <w:rPr>
          <w:rFonts w:ascii="宋体" w:hAnsi="宋体" w:cs="宋体" w:eastAsia="宋体" w:hint="default"/>
          <w:spacing w:val="-2"/>
          <w:sz w:val="21"/>
          <w:szCs w:val="21"/>
        </w:rPr>
        <w:t>日，公司召开第四届董事会第十二次会议，审议并通过《关于终止非公开发行</w:t>
      </w:r>
      <w:r>
        <w:rPr>
          <w:rFonts w:ascii="Times New Roman" w:hAnsi="Times New Roman" w:cs="Times New Roman" w:eastAsia="Times New Roman" w:hint="default"/>
          <w:spacing w:val="-2"/>
          <w:sz w:val="21"/>
          <w:szCs w:val="21"/>
        </w:rPr>
        <w:t>A</w:t>
      </w:r>
      <w:r>
        <w:rPr>
          <w:rFonts w:ascii="宋体" w:hAnsi="宋体" w:cs="宋体" w:eastAsia="宋体" w:hint="default"/>
          <w:spacing w:val="-2"/>
          <w:sz w:val="21"/>
          <w:szCs w:val="21"/>
        </w:rPr>
        <w:t>股股票</w:t>
      </w:r>
      <w:r>
        <w:rPr>
          <w:rFonts w:ascii="宋体" w:hAnsi="宋体" w:cs="宋体" w:eastAsia="宋体" w:hint="default"/>
          <w:spacing w:val="-84"/>
          <w:sz w:val="21"/>
          <w:szCs w:val="21"/>
        </w:rPr>
        <w:t> </w:t>
      </w:r>
      <w:r>
        <w:rPr>
          <w:rFonts w:ascii="宋体" w:hAnsi="宋体" w:cs="宋体" w:eastAsia="宋体" w:hint="default"/>
          <w:spacing w:val="-21"/>
          <w:sz w:val="21"/>
          <w:szCs w:val="21"/>
        </w:rPr>
        <w:t>的议案》。</w:t>
      </w:r>
    </w:p>
    <w:p>
      <w:pPr>
        <w:spacing w:line="256" w:lineRule="auto" w:before="18"/>
        <w:ind w:left="850" w:right="1112" w:firstLine="0"/>
        <w:jc w:val="left"/>
        <w:rPr>
          <w:rFonts w:ascii="宋体" w:hAnsi="宋体" w:cs="宋体" w:eastAsia="宋体" w:hint="default"/>
          <w:sz w:val="21"/>
          <w:szCs w:val="21"/>
        </w:rPr>
      </w:pPr>
      <w:r>
        <w:rPr>
          <w:rFonts w:ascii="Times New Roman" w:hAnsi="Times New Roman" w:cs="Times New Roman" w:eastAsia="Times New Roman" w:hint="default"/>
          <w:sz w:val="21"/>
          <w:szCs w:val="21"/>
        </w:rPr>
        <w:t>2018</w:t>
      </w:r>
      <w:r>
        <w:rPr>
          <w:rFonts w:ascii="宋体" w:hAnsi="宋体" w:cs="宋体" w:eastAsia="宋体" w:hint="default"/>
          <w:sz w:val="21"/>
          <w:szCs w:val="21"/>
        </w:rPr>
        <w:t>年</w:t>
      </w:r>
      <w:r>
        <w:rPr>
          <w:rFonts w:ascii="Times New Roman" w:hAnsi="Times New Roman" w:cs="Times New Roman" w:eastAsia="Times New Roman" w:hint="default"/>
          <w:sz w:val="21"/>
          <w:szCs w:val="21"/>
        </w:rPr>
        <w:t>5</w:t>
      </w:r>
      <w:r>
        <w:rPr>
          <w:rFonts w:ascii="宋体" w:hAnsi="宋体" w:cs="宋体" w:eastAsia="宋体" w:hint="default"/>
          <w:sz w:val="21"/>
          <w:szCs w:val="21"/>
        </w:rPr>
        <w:t>月</w:t>
      </w:r>
      <w:r>
        <w:rPr>
          <w:rFonts w:ascii="Times New Roman" w:hAnsi="Times New Roman" w:cs="Times New Roman" w:eastAsia="Times New Roman" w:hint="default"/>
          <w:sz w:val="21"/>
          <w:szCs w:val="21"/>
        </w:rPr>
        <w:t>29</w:t>
      </w:r>
      <w:r>
        <w:rPr>
          <w:rFonts w:ascii="宋体" w:hAnsi="宋体" w:cs="宋体" w:eastAsia="宋体" w:hint="default"/>
          <w:sz w:val="21"/>
          <w:szCs w:val="21"/>
        </w:rPr>
        <w:t>日，公司召开</w:t>
      </w:r>
      <w:r>
        <w:rPr>
          <w:rFonts w:ascii="Times New Roman" w:hAnsi="Times New Roman" w:cs="Times New Roman" w:eastAsia="Times New Roman" w:hint="default"/>
          <w:sz w:val="21"/>
          <w:szCs w:val="21"/>
        </w:rPr>
        <w:t>2018</w:t>
      </w:r>
      <w:r>
        <w:rPr>
          <w:rFonts w:ascii="Times New Roman" w:hAnsi="Times New Roman" w:cs="Times New Roman" w:eastAsia="Times New Roman" w:hint="default"/>
          <w:spacing w:val="-15"/>
          <w:sz w:val="21"/>
          <w:szCs w:val="21"/>
        </w:rPr>
        <w:t> </w:t>
      </w:r>
      <w:r>
        <w:rPr>
          <w:rFonts w:ascii="宋体" w:hAnsi="宋体" w:cs="宋体" w:eastAsia="宋体" w:hint="default"/>
          <w:sz w:val="21"/>
          <w:szCs w:val="21"/>
        </w:rPr>
        <w:t>年第四次临时股东大会，审议通过了上述《关于终止非公开发行</w:t>
      </w:r>
      <w:r>
        <w:rPr>
          <w:rFonts w:ascii="Times New Roman" w:hAnsi="Times New Roman" w:cs="Times New Roman" w:eastAsia="Times New Roman" w:hint="default"/>
          <w:sz w:val="21"/>
          <w:szCs w:val="21"/>
        </w:rPr>
        <w:t>A</w:t>
      </w:r>
      <w:r>
        <w:rPr>
          <w:rFonts w:ascii="Times New Roman" w:hAnsi="Times New Roman" w:cs="Times New Roman" w:eastAsia="Times New Roman" w:hint="default"/>
          <w:w w:val="99"/>
          <w:sz w:val="21"/>
          <w:szCs w:val="21"/>
        </w:rPr>
        <w:t> </w:t>
      </w:r>
      <w:r>
        <w:rPr>
          <w:rFonts w:ascii="宋体" w:hAnsi="宋体" w:cs="宋体" w:eastAsia="宋体" w:hint="default"/>
          <w:spacing w:val="-14"/>
          <w:sz w:val="21"/>
          <w:szCs w:val="21"/>
        </w:rPr>
        <w:t>股股票的议案》。</w:t>
      </w:r>
    </w:p>
    <w:p>
      <w:pPr>
        <w:spacing w:line="240" w:lineRule="auto" w:before="7"/>
        <w:rPr>
          <w:rFonts w:ascii="宋体" w:hAnsi="宋体" w:cs="宋体" w:eastAsia="宋体" w:hint="default"/>
          <w:sz w:val="25"/>
          <w:szCs w:val="25"/>
        </w:rPr>
      </w:pPr>
    </w:p>
    <w:p>
      <w:pPr>
        <w:spacing w:before="0"/>
        <w:ind w:left="828" w:right="0" w:firstLine="0"/>
        <w:jc w:val="left"/>
        <w:rPr>
          <w:rFonts w:ascii="宋体" w:hAnsi="宋体" w:cs="宋体" w:eastAsia="宋体" w:hint="default"/>
          <w:sz w:val="21"/>
          <w:szCs w:val="21"/>
        </w:rPr>
      </w:pPr>
      <w:r>
        <w:rPr>
          <w:rFonts w:ascii="宋体" w:hAnsi="宋体" w:cs="宋体" w:eastAsia="宋体" w:hint="default"/>
          <w:sz w:val="21"/>
          <w:szCs w:val="21"/>
        </w:rPr>
        <w:t>截至本报告日止，除上述事项外，本公司无需要披露的其他重要事项。</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Heading4"/>
        <w:spacing w:line="240" w:lineRule="auto" w:before="154"/>
        <w:ind w:right="0"/>
        <w:jc w:val="left"/>
        <w:rPr>
          <w:b w:val="0"/>
          <w:bCs w:val="0"/>
        </w:rPr>
      </w:pPr>
      <w:bookmarkStart w:name="十七、母公司财务报表主要项目注释" w:id="490"/>
      <w:bookmarkEnd w:id="490"/>
      <w:r>
        <w:rPr>
          <w:b w:val="0"/>
          <w:bCs w:val="0"/>
        </w:rPr>
      </w:r>
      <w:r>
        <w:rPr/>
        <w:t>十七、母公司财务报表主要项目注释</w:t>
      </w:r>
      <w:r>
        <w:rPr>
          <w:b w:val="0"/>
          <w:bCs w:val="0"/>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应收票据及应收账款" w:id="491"/>
      <w:bookmarkEnd w:id="491"/>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、应收票据及应收账款</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1"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345,340,462.61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311,308,172.28</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345,340,462.61</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311,308,172.28</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1）应收票据" w:id="492"/>
      <w:bookmarkEnd w:id="49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）应收票据</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应收票据分类列示</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期末公司已质押的应收票据</w:t>
      </w:r>
    </w:p>
    <w:p>
      <w:pPr>
        <w:spacing w:after="0"/>
        <w:jc w:val="left"/>
        <w:rPr>
          <w:rFonts w:ascii="宋体" w:hAnsi="宋体" w:cs="宋体" w:eastAsia="宋体" w:hint="default"/>
          <w:sz w:val="18"/>
          <w:szCs w:val="18"/>
        </w:rPr>
        <w:sectPr>
          <w:pgSz w:w="11910" w:h="16840"/>
          <w:pgMar w:header="889" w:footer="1019" w:top="1140" w:bottom="1200" w:left="1020" w:right="0"/>
        </w:sectPr>
      </w:pPr>
    </w:p>
    <w:p>
      <w:pPr>
        <w:spacing w:line="240" w:lineRule="auto" w:before="3"/>
        <w:rPr>
          <w:rFonts w:ascii="宋体" w:hAnsi="宋体" w:cs="宋体" w:eastAsia="宋体" w:hint="default"/>
          <w:sz w:val="20"/>
          <w:szCs w:val="20"/>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期末已质押金额</w:t>
            </w:r>
          </w:p>
        </w:tc>
      </w:tr>
    </w:tbl>
    <w:p>
      <w:pPr>
        <w:spacing w:before="52"/>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期末公司已背书或贴现且在资产负债表日尚未到期的应收票据</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869" w:right="0"/>
              <w:jc w:val="left"/>
              <w:rPr>
                <w:rFonts w:ascii="宋体" w:hAnsi="宋体" w:cs="宋体" w:eastAsia="宋体" w:hint="default"/>
                <w:sz w:val="18"/>
                <w:szCs w:val="18"/>
              </w:rPr>
            </w:pPr>
            <w:r>
              <w:rPr>
                <w:rFonts w:ascii="宋体" w:hAnsi="宋体" w:cs="宋体" w:eastAsia="宋体" w:hint="default"/>
                <w:sz w:val="18"/>
                <w:szCs w:val="18"/>
              </w:rPr>
              <w:t>期末终止确认金额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780" w:right="0"/>
              <w:jc w:val="left"/>
              <w:rPr>
                <w:rFonts w:ascii="宋体" w:hAnsi="宋体" w:cs="宋体" w:eastAsia="宋体" w:hint="default"/>
                <w:sz w:val="18"/>
                <w:szCs w:val="18"/>
              </w:rPr>
            </w:pPr>
            <w:r>
              <w:rPr>
                <w:rFonts w:ascii="宋体" w:hAnsi="宋体" w:cs="宋体" w:eastAsia="宋体" w:hint="default"/>
                <w:sz w:val="18"/>
                <w:szCs w:val="18"/>
              </w:rPr>
              <w:t>期末未终止确认金额</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4)期末公司因出票人未履约而将其转应收账款的票据" w:id="493"/>
      <w:bookmarkEnd w:id="493"/>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期末公司因出票人未履约而将其转应收账款的票据</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785"/>
        <w:gridCol w:w="4784"/>
      </w:tblGrid>
      <w:tr>
        <w:trPr>
          <w:trHeight w:val="402" w:hRule="exact"/>
        </w:trPr>
        <w:tc>
          <w:tcPr>
            <w:tcW w:w="478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7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576" w:right="0"/>
              <w:jc w:val="left"/>
              <w:rPr>
                <w:rFonts w:ascii="宋体" w:hAnsi="宋体" w:cs="宋体" w:eastAsia="宋体" w:hint="default"/>
                <w:sz w:val="18"/>
                <w:szCs w:val="18"/>
              </w:rPr>
            </w:pPr>
            <w:r>
              <w:rPr>
                <w:rFonts w:ascii="宋体" w:hAnsi="宋体" w:cs="宋体" w:eastAsia="宋体" w:hint="default"/>
                <w:sz w:val="18"/>
                <w:szCs w:val="18"/>
              </w:rPr>
              <w:t>期末转应收账款金额</w:t>
            </w:r>
          </w:p>
        </w:tc>
      </w:tr>
    </w:tbl>
    <w:p>
      <w:pPr>
        <w:spacing w:before="52"/>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应收账款" w:id="494"/>
      <w:bookmarkEnd w:id="494"/>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）应收账款</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应收账款分类披露</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35"/>
        <w:gridCol w:w="763"/>
        <w:gridCol w:w="762"/>
        <w:gridCol w:w="762"/>
        <w:gridCol w:w="762"/>
        <w:gridCol w:w="790"/>
        <w:gridCol w:w="654"/>
        <w:gridCol w:w="762"/>
        <w:gridCol w:w="813"/>
        <w:gridCol w:w="932"/>
        <w:gridCol w:w="932"/>
      </w:tblGrid>
      <w:tr>
        <w:trPr>
          <w:trHeight w:val="397" w:hRule="exact"/>
        </w:trPr>
        <w:tc>
          <w:tcPr>
            <w:tcW w:w="1635"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39"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7" w:hRule="exact"/>
        </w:trPr>
        <w:tc>
          <w:tcPr>
            <w:tcW w:w="1635" w:type="dxa"/>
            <w:vMerge/>
            <w:tcBorders>
              <w:left w:val="single" w:sz="4" w:space="0" w:color="000000"/>
              <w:right w:val="single" w:sz="4" w:space="0" w:color="000000"/>
            </w:tcBorders>
            <w:shd w:val="clear" w:color="auto" w:fill="D2D2D2"/>
          </w:tcPr>
          <w:p>
            <w:pPr/>
          </w:p>
        </w:tc>
        <w:tc>
          <w:tcPr>
            <w:tcW w:w="152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9"/>
                <w:szCs w:val="19"/>
              </w:rPr>
            </w:pPr>
          </w:p>
          <w:p>
            <w:pPr>
              <w:pStyle w:val="TableParagraph"/>
              <w:spacing w:line="316" w:lineRule="auto"/>
              <w:ind w:left="298" w:right="119"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0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9"/>
                <w:szCs w:val="19"/>
              </w:rPr>
            </w:pPr>
          </w:p>
          <w:p>
            <w:pPr>
              <w:pStyle w:val="TableParagraph"/>
              <w:spacing w:line="316" w:lineRule="auto"/>
              <w:ind w:left="370" w:right="191"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5" w:type="dxa"/>
            <w:vMerge/>
            <w:tcBorders>
              <w:left w:val="single" w:sz="4" w:space="0" w:color="000000"/>
              <w:bottom w:val="single" w:sz="4" w:space="0" w:color="000000"/>
              <w:right w:val="single" w:sz="4" w:space="0" w:color="000000"/>
            </w:tcBorders>
            <w:shd w:val="clear" w:color="auto" w:fill="D2D2D2"/>
          </w:tcPr>
          <w:p>
            <w:pPr/>
          </w:p>
        </w:tc>
        <w:tc>
          <w:tcPr>
            <w:tcW w:w="76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6"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370" w:right="191"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103" w:right="261"/>
              <w:jc w:val="both"/>
              <w:rPr>
                <w:rFonts w:ascii="宋体" w:hAnsi="宋体" w:cs="宋体" w:eastAsia="宋体" w:hint="default"/>
                <w:sz w:val="18"/>
                <w:szCs w:val="18"/>
              </w:rPr>
            </w:pPr>
            <w:r>
              <w:rPr>
                <w:rFonts w:ascii="宋体" w:hAnsi="宋体" w:cs="宋体" w:eastAsia="宋体" w:hint="default"/>
                <w:sz w:val="18"/>
                <w:szCs w:val="18"/>
              </w:rPr>
              <w:t>按信用风险特征 组合计提坏账准 备的应收账款</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401,22</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5,859.8</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55,885,</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397.25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13.93</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345,34</w:t>
            </w:r>
          </w:p>
          <w:p>
            <w:pPr>
              <w:pStyle w:val="TableParagraph"/>
              <w:spacing w:line="240" w:lineRule="auto" w:before="104"/>
              <w:ind w:right="101"/>
              <w:jc w:val="right"/>
              <w:rPr>
                <w:rFonts w:ascii="Times New Roman" w:hAnsi="Times New Roman" w:cs="Times New Roman" w:eastAsia="Times New Roman" w:hint="default"/>
                <w:sz w:val="18"/>
                <w:szCs w:val="18"/>
              </w:rPr>
            </w:pPr>
            <w:r>
              <w:rPr>
                <w:rFonts w:ascii="Times New Roman"/>
                <w:sz w:val="18"/>
              </w:rPr>
              <w:t>0,462.6</w:t>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6" w:right="0"/>
              <w:jc w:val="left"/>
              <w:rPr>
                <w:rFonts w:ascii="Times New Roman" w:hAnsi="Times New Roman" w:cs="Times New Roman" w:eastAsia="Times New Roman" w:hint="default"/>
                <w:sz w:val="18"/>
                <w:szCs w:val="18"/>
              </w:rPr>
            </w:pPr>
            <w:r>
              <w:rPr>
                <w:rFonts w:ascii="Times New Roman"/>
                <w:sz w:val="18"/>
              </w:rPr>
              <w:t>351,4</w:t>
            </w:r>
          </w:p>
          <w:p>
            <w:pPr>
              <w:pStyle w:val="TableParagraph"/>
              <w:spacing w:line="240" w:lineRule="auto" w:before="104"/>
              <w:ind w:left="136" w:right="0"/>
              <w:jc w:val="left"/>
              <w:rPr>
                <w:rFonts w:ascii="Times New Roman" w:hAnsi="Times New Roman" w:cs="Times New Roman" w:eastAsia="Times New Roman" w:hint="default"/>
                <w:sz w:val="18"/>
                <w:szCs w:val="18"/>
              </w:rPr>
            </w:pPr>
            <w:r>
              <w:rPr>
                <w:rFonts w:ascii="Times New Roman"/>
                <w:sz w:val="18"/>
              </w:rPr>
              <w:t>98,96</w:t>
            </w:r>
          </w:p>
          <w:p>
            <w:pPr>
              <w:pStyle w:val="TableParagraph"/>
              <w:spacing w:line="240" w:lineRule="auto" w:before="106"/>
              <w:ind w:left="226" w:right="0"/>
              <w:jc w:val="left"/>
              <w:rPr>
                <w:rFonts w:ascii="Times New Roman" w:hAnsi="Times New Roman" w:cs="Times New Roman" w:eastAsia="Times New Roman" w:hint="default"/>
                <w:sz w:val="18"/>
                <w:szCs w:val="18"/>
              </w:rPr>
            </w:pPr>
            <w:r>
              <w:rPr>
                <w:rFonts w:ascii="Times New Roman"/>
                <w:sz w:val="18"/>
              </w:rPr>
              <w:t>5.09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40,190,</w:t>
            </w:r>
          </w:p>
          <w:p>
            <w:pPr>
              <w:pStyle w:val="TableParagraph"/>
              <w:spacing w:line="240" w:lineRule="auto" w:before="105"/>
              <w:ind w:left="206" w:right="0"/>
              <w:jc w:val="left"/>
              <w:rPr>
                <w:rFonts w:ascii="Times New Roman" w:hAnsi="Times New Roman" w:cs="Times New Roman" w:eastAsia="Times New Roman" w:hint="default"/>
                <w:sz w:val="18"/>
                <w:szCs w:val="18"/>
              </w:rPr>
            </w:pPr>
            <w:r>
              <w:rPr>
                <w:rFonts w:ascii="Times New Roman"/>
                <w:sz w:val="18"/>
              </w:rPr>
              <w:t>792.81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11.43%</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6" w:right="0"/>
              <w:jc w:val="left"/>
              <w:rPr>
                <w:rFonts w:ascii="Times New Roman" w:hAnsi="Times New Roman" w:cs="Times New Roman" w:eastAsia="Times New Roman" w:hint="default"/>
                <w:sz w:val="18"/>
                <w:szCs w:val="18"/>
              </w:rPr>
            </w:pPr>
            <w:r>
              <w:rPr>
                <w:rFonts w:ascii="Times New Roman"/>
                <w:sz w:val="18"/>
              </w:rPr>
              <w:t>311,308,1</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72.28</w:t>
            </w:r>
          </w:p>
        </w:tc>
      </w:tr>
      <w:tr>
        <w:trPr>
          <w:trHeight w:val="1026" w:hRule="exact"/>
        </w:trPr>
        <w:tc>
          <w:tcPr>
            <w:tcW w:w="163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401,22</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5,859.8</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6</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55,885,</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397.25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13.93</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z w:val="18"/>
              </w:rPr>
              <w:t>345,34</w:t>
            </w:r>
          </w:p>
          <w:p>
            <w:pPr>
              <w:pStyle w:val="TableParagraph"/>
              <w:spacing w:line="240" w:lineRule="auto" w:before="104"/>
              <w:ind w:right="101"/>
              <w:jc w:val="right"/>
              <w:rPr>
                <w:rFonts w:ascii="Times New Roman" w:hAnsi="Times New Roman" w:cs="Times New Roman" w:eastAsia="Times New Roman" w:hint="default"/>
                <w:sz w:val="18"/>
                <w:szCs w:val="18"/>
              </w:rPr>
            </w:pPr>
            <w:r>
              <w:rPr>
                <w:rFonts w:ascii="Times New Roman"/>
                <w:sz w:val="18"/>
              </w:rPr>
              <w:t>0,462.6</w:t>
            </w:r>
          </w:p>
          <w:p>
            <w:pPr>
              <w:pStyle w:val="TableParagraph"/>
              <w:spacing w:line="240" w:lineRule="auto" w:before="106"/>
              <w:ind w:right="102"/>
              <w:jc w:val="right"/>
              <w:rPr>
                <w:rFonts w:ascii="Times New Roman" w:hAnsi="Times New Roman" w:cs="Times New Roman" w:eastAsia="Times New Roman" w:hint="default"/>
                <w:sz w:val="18"/>
                <w:szCs w:val="18"/>
              </w:rPr>
            </w:pPr>
            <w:r>
              <w:rPr>
                <w:rFonts w:ascii="Times New Roman"/>
                <w:sz w:val="18"/>
              </w:rPr>
              <w:t>1</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6" w:right="0"/>
              <w:jc w:val="left"/>
              <w:rPr>
                <w:rFonts w:ascii="Times New Roman" w:hAnsi="Times New Roman" w:cs="Times New Roman" w:eastAsia="Times New Roman" w:hint="default"/>
                <w:sz w:val="18"/>
                <w:szCs w:val="18"/>
              </w:rPr>
            </w:pPr>
            <w:r>
              <w:rPr>
                <w:rFonts w:ascii="Times New Roman"/>
                <w:sz w:val="18"/>
              </w:rPr>
              <w:t>351,4</w:t>
            </w:r>
          </w:p>
          <w:p>
            <w:pPr>
              <w:pStyle w:val="TableParagraph"/>
              <w:spacing w:line="240" w:lineRule="auto" w:before="104"/>
              <w:ind w:left="136" w:right="0"/>
              <w:jc w:val="left"/>
              <w:rPr>
                <w:rFonts w:ascii="Times New Roman" w:hAnsi="Times New Roman" w:cs="Times New Roman" w:eastAsia="Times New Roman" w:hint="default"/>
                <w:sz w:val="18"/>
                <w:szCs w:val="18"/>
              </w:rPr>
            </w:pPr>
            <w:r>
              <w:rPr>
                <w:rFonts w:ascii="Times New Roman"/>
                <w:sz w:val="18"/>
              </w:rPr>
              <w:t>98,96</w:t>
            </w:r>
          </w:p>
          <w:p>
            <w:pPr>
              <w:pStyle w:val="TableParagraph"/>
              <w:spacing w:line="240" w:lineRule="auto" w:before="106"/>
              <w:ind w:left="226" w:right="0"/>
              <w:jc w:val="left"/>
              <w:rPr>
                <w:rFonts w:ascii="Times New Roman" w:hAnsi="Times New Roman" w:cs="Times New Roman" w:eastAsia="Times New Roman" w:hint="default"/>
                <w:sz w:val="18"/>
                <w:szCs w:val="18"/>
              </w:rPr>
            </w:pPr>
            <w:r>
              <w:rPr>
                <w:rFonts w:ascii="Times New Roman"/>
                <w:sz w:val="18"/>
              </w:rPr>
              <w:t>5.09</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61" w:right="0"/>
              <w:jc w:val="left"/>
              <w:rPr>
                <w:rFonts w:ascii="Times New Roman" w:hAnsi="Times New Roman" w:cs="Times New Roman" w:eastAsia="Times New Roman" w:hint="default"/>
                <w:sz w:val="18"/>
                <w:szCs w:val="18"/>
              </w:rPr>
            </w:pPr>
            <w:r>
              <w:rPr>
                <w:rFonts w:ascii="Times New Roman"/>
                <w:sz w:val="18"/>
              </w:rPr>
              <w:t>40,190,</w:t>
            </w:r>
          </w:p>
          <w:p>
            <w:pPr>
              <w:pStyle w:val="TableParagraph"/>
              <w:spacing w:line="240" w:lineRule="auto" w:before="105"/>
              <w:ind w:left="206" w:right="0"/>
              <w:jc w:val="left"/>
              <w:rPr>
                <w:rFonts w:ascii="Times New Roman" w:hAnsi="Times New Roman" w:cs="Times New Roman" w:eastAsia="Times New Roman" w:hint="default"/>
                <w:sz w:val="18"/>
                <w:szCs w:val="18"/>
              </w:rPr>
            </w:pPr>
            <w:r>
              <w:rPr>
                <w:rFonts w:ascii="Times New Roman"/>
                <w:sz w:val="18"/>
              </w:rPr>
              <w:t>792.81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2"/>
                <w:sz w:val="18"/>
              </w:rPr>
              <w:t>11.43%</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6" w:right="0"/>
              <w:jc w:val="left"/>
              <w:rPr>
                <w:rFonts w:ascii="Times New Roman" w:hAnsi="Times New Roman" w:cs="Times New Roman" w:eastAsia="Times New Roman" w:hint="default"/>
                <w:sz w:val="18"/>
                <w:szCs w:val="18"/>
              </w:rPr>
            </w:pPr>
            <w:r>
              <w:rPr>
                <w:rFonts w:ascii="Times New Roman"/>
                <w:sz w:val="18"/>
              </w:rPr>
              <w:t>311,308,1</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72.28</w:t>
            </w:r>
          </w:p>
        </w:tc>
      </w:tr>
    </w:tbl>
    <w:p>
      <w:pPr>
        <w:spacing w:after="0" w:line="240" w:lineRule="auto"/>
        <w:jc w:val="left"/>
        <w:rPr>
          <w:rFonts w:ascii="Times New Roman" w:hAnsi="Times New Roman" w:cs="Times New Roman" w:eastAsia="Times New Roman" w:hint="default"/>
          <w:sz w:val="18"/>
          <w:szCs w:val="18"/>
        </w:rPr>
        <w:sectPr>
          <w:pgSz w:w="11910" w:h="16840"/>
          <w:pgMar w:header="889" w:footer="1019" w:top="1140" w:bottom="1200" w:left="1020" w:right="0"/>
        </w:sectPr>
      </w:pPr>
    </w:p>
    <w:p>
      <w:pPr>
        <w:spacing w:before="51"/>
        <w:ind w:left="114"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期末单项金额重大并单项计提坏账准备的应收账款：</w:t>
      </w:r>
    </w:p>
    <w:p>
      <w:pPr>
        <w:spacing w:line="357" w:lineRule="auto" w:before="117"/>
        <w:ind w:left="114" w:right="160" w:firstLine="0"/>
        <w:jc w:val="left"/>
        <w:rPr>
          <w:rFonts w:ascii="宋体" w:hAnsi="宋体" w:cs="宋体" w:eastAsia="宋体" w:hint="default"/>
          <w:sz w:val="18"/>
          <w:szCs w:val="18"/>
        </w:rPr>
      </w:pPr>
      <w:r>
        <w:rPr>
          <w:rFonts w:ascii="宋体" w:hAnsi="宋体" w:cs="宋体" w:eastAsia="宋体" w:hint="default"/>
          <w:sz w:val="18"/>
          <w:szCs w:val="18"/>
        </w:rPr>
        <w:t>□ 适用 √ 不适用 组合中，按账龄分析法计提坏账准备的应收账款：</w:t>
      </w:r>
    </w:p>
    <w:p>
      <w:pPr>
        <w:spacing w:before="28"/>
        <w:ind w:left="114" w:right="-2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spacing w:before="0"/>
        <w:ind w:left="11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140" w:bottom="1200" w:left="1020" w:right="0"/>
          <w:cols w:num="2" w:equalWidth="0">
            <w:col w:w="4255" w:space="4575"/>
            <w:col w:w="2060"/>
          </w:cols>
        </w:sectPr>
      </w:pP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2494"/>
        <w:gridCol w:w="2295"/>
        <w:gridCol w:w="2391"/>
        <w:gridCol w:w="2389"/>
      </w:tblGrid>
      <w:tr>
        <w:trPr>
          <w:trHeight w:val="402" w:hRule="exact"/>
        </w:trPr>
        <w:tc>
          <w:tcPr>
            <w:tcW w:w="24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07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494" w:type="dxa"/>
            <w:vMerge/>
            <w:tcBorders>
              <w:left w:val="single" w:sz="4" w:space="0" w:color="000000"/>
              <w:bottom w:val="single" w:sz="4" w:space="0" w:color="000000"/>
              <w:right w:val="single" w:sz="4" w:space="0" w:color="000000"/>
            </w:tcBorders>
            <w:shd w:val="clear" w:color="auto" w:fill="D2D2D2"/>
          </w:tcPr>
          <w:p>
            <w:pP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应收账款</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232,537,913.92</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11,626,895.70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88,488,907.01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8,848,890.70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47,318,974.40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14,195,692.32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16,302,025.69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8,151,012.85</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50.00%</w:t>
            </w:r>
          </w:p>
        </w:tc>
      </w:tr>
    </w:tbl>
    <w:p>
      <w:pPr>
        <w:spacing w:after="0" w:line="240" w:lineRule="auto"/>
        <w:jc w:val="right"/>
        <w:rPr>
          <w:rFonts w:ascii="Times New Roman" w:hAnsi="Times New Roman" w:cs="Times New Roman" w:eastAsia="Times New Roman" w:hint="default"/>
          <w:sz w:val="18"/>
          <w:szCs w:val="18"/>
        </w:rPr>
        <w:sectPr>
          <w:type w:val="continuous"/>
          <w:pgSz w:w="11910" w:h="16840"/>
          <w:pgMar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2493"/>
        <w:gridCol w:w="2295"/>
        <w:gridCol w:w="2391"/>
        <w:gridCol w:w="2389"/>
      </w:tblGrid>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2"/>
                <w:sz w:val="18"/>
              </w:rPr>
              <w:t>11,717,110.53</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8,201,977.37</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70.00%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4,860,928.31</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4,860,928.31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49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401,225,859.86</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55,885,397.25</w:t>
            </w:r>
          </w:p>
        </w:tc>
        <w:tc>
          <w:tcPr>
            <w:tcW w:w="2389" w:type="dxa"/>
            <w:tcBorders>
              <w:top w:val="single" w:sz="4" w:space="0" w:color="000000"/>
              <w:left w:val="single" w:sz="4" w:space="0" w:color="000000"/>
              <w:bottom w:val="single" w:sz="4" w:space="0" w:color="000000"/>
              <w:right w:val="single" w:sz="4" w:space="0" w:color="000000"/>
            </w:tcBorders>
          </w:tcPr>
          <w:p>
            <w:pPr/>
          </w:p>
        </w:tc>
      </w:tr>
    </w:tbl>
    <w:p>
      <w:pPr>
        <w:spacing w:after="0"/>
        <w:sectPr>
          <w:pgSz w:w="11910" w:h="16840"/>
          <w:pgMar w:header="889" w:footer="1019" w:top="1140" w:bottom="1200" w:left="1020" w:right="0"/>
        </w:sectPr>
      </w:pPr>
    </w:p>
    <w:p>
      <w:pPr>
        <w:spacing w:line="360" w:lineRule="auto" w:before="51"/>
        <w:ind w:left="114" w:right="1644"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组合中，采用余额百分比法计提坏账准备的应收账款：</w:t>
      </w:r>
    </w:p>
    <w:p>
      <w:pPr>
        <w:spacing w:line="360" w:lineRule="auto" w:before="26"/>
        <w:ind w:left="114" w:right="2004" w:firstLine="0"/>
        <w:jc w:val="left"/>
        <w:rPr>
          <w:rFonts w:ascii="宋体" w:hAnsi="宋体" w:cs="宋体" w:eastAsia="宋体" w:hint="default"/>
          <w:sz w:val="18"/>
          <w:szCs w:val="18"/>
        </w:rPr>
      </w:pPr>
      <w:r>
        <w:rPr>
          <w:rFonts w:ascii="宋体" w:hAnsi="宋体" w:cs="宋体" w:eastAsia="宋体" w:hint="default"/>
          <w:sz w:val="18"/>
          <w:szCs w:val="18"/>
        </w:rPr>
        <w:t>□ 适用 √ 不适用 组合中，采用其他方法计提坏账准备的应收账款： </w:t>
      </w:r>
      <w:r>
        <w:rPr>
          <w:rFonts w:ascii="Times New Roman" w:hAnsi="Times New Roman" w:cs="Times New Roman" w:eastAsia="Times New Roman" w:hint="default"/>
          <w:sz w:val="18"/>
          <w:szCs w:val="18"/>
        </w:rPr>
        <w:t>2)</w:t>
      </w:r>
      <w:r>
        <w:rPr>
          <w:rFonts w:ascii="宋体" w:hAnsi="宋体" w:cs="宋体" w:eastAsia="宋体" w:hint="default"/>
          <w:sz w:val="18"/>
          <w:szCs w:val="18"/>
        </w:rPr>
        <w:t>本期计提、收回或转回的坏账准备情况</w:t>
      </w:r>
    </w:p>
    <w:p>
      <w:pPr>
        <w:spacing w:line="340" w:lineRule="auto" w:before="2"/>
        <w:ind w:left="114" w:right="-18"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15,694,604.44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元；本期收回或转回坏账准备金额元。 其中本期坏账准备收回或转回金额重要的：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61"/>
        <w:ind w:left="11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140" w:bottom="1200" w:left="1020" w:right="0"/>
          <w:cols w:num="2" w:equalWidth="0">
            <w:col w:w="6099" w:space="2730"/>
            <w:col w:w="2061"/>
          </w:cols>
        </w:sectPr>
      </w:pP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914" w:right="0"/>
              <w:jc w:val="left"/>
              <w:rPr>
                <w:rFonts w:ascii="宋体" w:hAnsi="宋体" w:cs="宋体" w:eastAsia="宋体" w:hint="default"/>
                <w:sz w:val="18"/>
                <w:szCs w:val="18"/>
              </w:rPr>
            </w:pPr>
            <w:r>
              <w:rPr>
                <w:rFonts w:ascii="宋体" w:hAnsi="宋体" w:cs="宋体" w:eastAsia="宋体" w:hint="default"/>
                <w:sz w:val="18"/>
                <w:szCs w:val="18"/>
              </w:rPr>
              <w:t>收回或转回金额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before="52"/>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本期实际核销的应收账款情况</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4984"/>
        <w:gridCol w:w="4584"/>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其中重要的应收账款核销情况：</w:t>
      </w:r>
    </w:p>
    <w:p>
      <w:pPr>
        <w:spacing w:before="117"/>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30" w:right="0"/>
              <w:jc w:val="left"/>
              <w:rPr>
                <w:rFonts w:ascii="宋体" w:hAnsi="宋体" w:cs="宋体" w:eastAsia="宋体" w:hint="default"/>
                <w:sz w:val="18"/>
                <w:szCs w:val="18"/>
              </w:rPr>
            </w:pPr>
            <w:r>
              <w:rPr>
                <w:rFonts w:ascii="宋体" w:hAnsi="宋体" w:cs="宋体" w:eastAsia="宋体" w:hint="default"/>
                <w:sz w:val="18"/>
                <w:szCs w:val="18"/>
              </w:rPr>
              <w:t>应收账款性质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442" w:right="170" w:hanging="270"/>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应收账款核销说明：</w:t>
      </w:r>
    </w:p>
    <w:p>
      <w:pPr>
        <w:spacing w:before="117"/>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按欠款方归集的期末余额前五名的应收账款情况</w:t>
      </w:r>
    </w:p>
    <w:p>
      <w:pPr>
        <w:spacing w:line="240" w:lineRule="auto" w:before="12"/>
        <w:rPr>
          <w:rFonts w:ascii="宋体" w:hAnsi="宋体" w:cs="宋体" w:eastAsia="宋体" w:hint="default"/>
          <w:sz w:val="6"/>
          <w:szCs w:val="6"/>
        </w:rPr>
      </w:pPr>
    </w:p>
    <w:tbl>
      <w:tblPr>
        <w:tblW w:w="0" w:type="auto"/>
        <w:jc w:val="left"/>
        <w:tblInd w:w="713" w:type="dxa"/>
        <w:tblLayout w:type="fixed"/>
        <w:tblCellMar>
          <w:top w:w="0" w:type="dxa"/>
          <w:left w:w="0" w:type="dxa"/>
          <w:bottom w:w="0" w:type="dxa"/>
          <w:right w:w="0" w:type="dxa"/>
        </w:tblCellMar>
        <w:tblLook w:val="01E0"/>
      </w:tblPr>
      <w:tblGrid>
        <w:gridCol w:w="2938"/>
        <w:gridCol w:w="1679"/>
        <w:gridCol w:w="1483"/>
        <w:gridCol w:w="1714"/>
      </w:tblGrid>
      <w:tr>
        <w:trPr>
          <w:trHeight w:val="355" w:hRule="exact"/>
        </w:trPr>
        <w:tc>
          <w:tcPr>
            <w:tcW w:w="2938" w:type="dxa"/>
            <w:vMerge w:val="restart"/>
            <w:tcBorders>
              <w:top w:val="single" w:sz="6" w:space="0" w:color="000000"/>
              <w:left w:val="single" w:sz="6" w:space="0" w:color="000000"/>
              <w:right w:val="single" w:sz="6" w:space="0" w:color="000000"/>
            </w:tcBorders>
          </w:tcPr>
          <w:p>
            <w:pPr>
              <w:pStyle w:val="TableParagraph"/>
              <w:spacing w:line="271" w:lineRule="exact"/>
              <w:ind w:right="0"/>
              <w:jc w:val="center"/>
              <w:rPr>
                <w:rFonts w:ascii="宋体" w:hAnsi="宋体" w:cs="宋体" w:eastAsia="宋体" w:hint="default"/>
                <w:sz w:val="21"/>
                <w:szCs w:val="21"/>
              </w:rPr>
            </w:pPr>
            <w:r>
              <w:rPr>
                <w:rFonts w:ascii="宋体" w:hAnsi="宋体" w:cs="宋体" w:eastAsia="宋体" w:hint="default"/>
                <w:sz w:val="21"/>
                <w:szCs w:val="21"/>
              </w:rPr>
              <w:t>单位名称</w:t>
            </w:r>
          </w:p>
        </w:tc>
        <w:tc>
          <w:tcPr>
            <w:tcW w:w="4876" w:type="dxa"/>
            <w:gridSpan w:val="3"/>
            <w:tcBorders>
              <w:top w:val="single" w:sz="6" w:space="0" w:color="000000"/>
              <w:left w:val="single" w:sz="6" w:space="0" w:color="000000"/>
              <w:bottom w:val="single" w:sz="12" w:space="0" w:color="000000"/>
              <w:right w:val="nil" w:sz="6" w:space="0" w:color="auto"/>
            </w:tcBorders>
          </w:tcPr>
          <w:p>
            <w:pPr>
              <w:pStyle w:val="TableParagraph"/>
              <w:spacing w:line="271" w:lineRule="exact"/>
              <w:ind w:right="5"/>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665" w:hRule="exact"/>
        </w:trPr>
        <w:tc>
          <w:tcPr>
            <w:tcW w:w="2938" w:type="dxa"/>
            <w:vMerge/>
            <w:tcBorders>
              <w:left w:val="single" w:sz="6" w:space="0" w:color="000000"/>
              <w:bottom w:val="single" w:sz="12" w:space="0" w:color="000000"/>
              <w:right w:val="single" w:sz="6" w:space="0" w:color="000000"/>
            </w:tcBorders>
          </w:tcPr>
          <w:p>
            <w:pPr/>
          </w:p>
        </w:tc>
        <w:tc>
          <w:tcPr>
            <w:tcW w:w="167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413"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48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51" w:right="0" w:firstLine="51"/>
              <w:jc w:val="left"/>
              <w:rPr>
                <w:rFonts w:ascii="宋体" w:hAnsi="宋体" w:cs="宋体" w:eastAsia="宋体" w:hint="default"/>
                <w:sz w:val="21"/>
                <w:szCs w:val="21"/>
              </w:rPr>
            </w:pPr>
            <w:r>
              <w:rPr>
                <w:rFonts w:ascii="宋体" w:hAnsi="宋体" w:cs="宋体" w:eastAsia="宋体" w:hint="default"/>
                <w:sz w:val="21"/>
                <w:szCs w:val="21"/>
              </w:rPr>
              <w:t>占应收账款合</w:t>
            </w:r>
          </w:p>
          <w:p>
            <w:pPr>
              <w:pStyle w:val="TableParagraph"/>
              <w:spacing w:line="240" w:lineRule="auto" w:before="37"/>
              <w:ind w:left="51" w:right="0"/>
              <w:jc w:val="left"/>
              <w:rPr>
                <w:rFonts w:ascii="宋体" w:hAnsi="宋体" w:cs="宋体" w:eastAsia="宋体" w:hint="default"/>
                <w:sz w:val="21"/>
                <w:szCs w:val="21"/>
              </w:rPr>
            </w:pPr>
            <w:r>
              <w:rPr>
                <w:rFonts w:ascii="宋体" w:hAnsi="宋体" w:cs="宋体" w:eastAsia="宋体" w:hint="default"/>
                <w:sz w:val="21"/>
                <w:szCs w:val="21"/>
              </w:rPr>
              <w:t>计数的比例</w:t>
            </w:r>
            <w:r>
              <w:rPr>
                <w:rFonts w:ascii="宋体" w:hAnsi="宋体" w:cs="宋体" w:eastAsia="宋体" w:hint="default"/>
                <w:sz w:val="21"/>
                <w:szCs w:val="21"/>
              </w:rPr>
              <w:t>(%)</w:t>
            </w:r>
          </w:p>
        </w:tc>
        <w:tc>
          <w:tcPr>
            <w:tcW w:w="1714"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429" w:right="0"/>
              <w:jc w:val="left"/>
              <w:rPr>
                <w:rFonts w:ascii="宋体" w:hAnsi="宋体" w:cs="宋体" w:eastAsia="宋体" w:hint="default"/>
                <w:sz w:val="21"/>
                <w:szCs w:val="21"/>
              </w:rPr>
            </w:pPr>
            <w:r>
              <w:rPr>
                <w:rFonts w:ascii="宋体" w:hAnsi="宋体" w:cs="宋体" w:eastAsia="宋体" w:hint="default"/>
                <w:sz w:val="21"/>
                <w:szCs w:val="21"/>
              </w:rPr>
              <w:t>坏账准备</w:t>
            </w:r>
          </w:p>
        </w:tc>
      </w:tr>
      <w:tr>
        <w:trPr>
          <w:trHeight w:val="352" w:hRule="exact"/>
        </w:trPr>
        <w:tc>
          <w:tcPr>
            <w:tcW w:w="293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第一名</w:t>
            </w:r>
          </w:p>
        </w:tc>
        <w:tc>
          <w:tcPr>
            <w:tcW w:w="167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30,024,114.00</w:t>
            </w:r>
          </w:p>
        </w:tc>
        <w:tc>
          <w:tcPr>
            <w:tcW w:w="148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7.48</w:t>
            </w:r>
          </w:p>
        </w:tc>
        <w:tc>
          <w:tcPr>
            <w:tcW w:w="1714"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6"/>
              <w:jc w:val="right"/>
              <w:rPr>
                <w:rFonts w:ascii="宋体" w:hAnsi="宋体" w:cs="宋体" w:eastAsia="宋体" w:hint="default"/>
                <w:sz w:val="21"/>
                <w:szCs w:val="21"/>
              </w:rPr>
            </w:pPr>
            <w:r>
              <w:rPr>
                <w:rFonts w:ascii="宋体"/>
                <w:sz w:val="21"/>
              </w:rPr>
              <w:t>1,501,205.70</w:t>
            </w:r>
          </w:p>
        </w:tc>
      </w:tr>
      <w:tr>
        <w:trPr>
          <w:trHeight w:val="352" w:hRule="exact"/>
        </w:trPr>
        <w:tc>
          <w:tcPr>
            <w:tcW w:w="293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第二名</w:t>
            </w:r>
          </w:p>
        </w:tc>
        <w:tc>
          <w:tcPr>
            <w:tcW w:w="167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15,738,923.07</w:t>
            </w:r>
          </w:p>
        </w:tc>
        <w:tc>
          <w:tcPr>
            <w:tcW w:w="148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3.92</w:t>
            </w:r>
          </w:p>
        </w:tc>
        <w:tc>
          <w:tcPr>
            <w:tcW w:w="1714"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7"/>
              <w:jc w:val="right"/>
              <w:rPr>
                <w:rFonts w:ascii="宋体" w:hAnsi="宋体" w:cs="宋体" w:eastAsia="宋体" w:hint="default"/>
                <w:sz w:val="21"/>
                <w:szCs w:val="21"/>
              </w:rPr>
            </w:pPr>
            <w:r>
              <w:rPr>
                <w:rFonts w:ascii="宋体"/>
                <w:sz w:val="21"/>
              </w:rPr>
              <w:t>786,946.15</w:t>
            </w:r>
          </w:p>
        </w:tc>
      </w:tr>
      <w:tr>
        <w:trPr>
          <w:trHeight w:val="353" w:hRule="exact"/>
        </w:trPr>
        <w:tc>
          <w:tcPr>
            <w:tcW w:w="293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第三名</w:t>
            </w:r>
          </w:p>
        </w:tc>
        <w:tc>
          <w:tcPr>
            <w:tcW w:w="167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13,374,384.47</w:t>
            </w:r>
          </w:p>
        </w:tc>
        <w:tc>
          <w:tcPr>
            <w:tcW w:w="148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3.33</w:t>
            </w:r>
          </w:p>
        </w:tc>
        <w:tc>
          <w:tcPr>
            <w:tcW w:w="1714"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7"/>
              <w:jc w:val="right"/>
              <w:rPr>
                <w:rFonts w:ascii="宋体" w:hAnsi="宋体" w:cs="宋体" w:eastAsia="宋体" w:hint="default"/>
                <w:sz w:val="21"/>
                <w:szCs w:val="21"/>
              </w:rPr>
            </w:pPr>
            <w:r>
              <w:rPr>
                <w:rFonts w:ascii="宋体"/>
                <w:sz w:val="21"/>
              </w:rPr>
              <w:t>668,719.22</w:t>
            </w:r>
          </w:p>
        </w:tc>
      </w:tr>
      <w:tr>
        <w:trPr>
          <w:trHeight w:val="352" w:hRule="exact"/>
        </w:trPr>
        <w:tc>
          <w:tcPr>
            <w:tcW w:w="293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第四名</w:t>
            </w:r>
          </w:p>
        </w:tc>
        <w:tc>
          <w:tcPr>
            <w:tcW w:w="167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10,483,000.00</w:t>
            </w:r>
          </w:p>
        </w:tc>
        <w:tc>
          <w:tcPr>
            <w:tcW w:w="148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2.61</w:t>
            </w:r>
          </w:p>
        </w:tc>
        <w:tc>
          <w:tcPr>
            <w:tcW w:w="1714"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6"/>
              <w:jc w:val="right"/>
              <w:rPr>
                <w:rFonts w:ascii="宋体" w:hAnsi="宋体" w:cs="宋体" w:eastAsia="宋体" w:hint="default"/>
                <w:sz w:val="21"/>
                <w:szCs w:val="21"/>
              </w:rPr>
            </w:pPr>
            <w:r>
              <w:rPr>
                <w:rFonts w:ascii="宋体"/>
                <w:sz w:val="21"/>
              </w:rPr>
              <w:t>3,144,900.00</w:t>
            </w:r>
          </w:p>
        </w:tc>
      </w:tr>
      <w:tr>
        <w:trPr>
          <w:trHeight w:val="352" w:hRule="exact"/>
        </w:trPr>
        <w:tc>
          <w:tcPr>
            <w:tcW w:w="293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第五名</w:t>
            </w:r>
          </w:p>
        </w:tc>
        <w:tc>
          <w:tcPr>
            <w:tcW w:w="167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8,664,953.09</w:t>
            </w:r>
          </w:p>
        </w:tc>
        <w:tc>
          <w:tcPr>
            <w:tcW w:w="148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2.16</w:t>
            </w:r>
          </w:p>
        </w:tc>
        <w:tc>
          <w:tcPr>
            <w:tcW w:w="1714"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7"/>
              <w:jc w:val="right"/>
              <w:rPr>
                <w:rFonts w:ascii="宋体" w:hAnsi="宋体" w:cs="宋体" w:eastAsia="宋体" w:hint="default"/>
                <w:sz w:val="21"/>
                <w:szCs w:val="21"/>
              </w:rPr>
            </w:pPr>
            <w:r>
              <w:rPr>
                <w:rFonts w:ascii="宋体"/>
                <w:sz w:val="21"/>
              </w:rPr>
              <w:t>713,325.97</w:t>
            </w:r>
          </w:p>
        </w:tc>
      </w:tr>
      <w:tr>
        <w:trPr>
          <w:trHeight w:val="353" w:hRule="exact"/>
        </w:trPr>
        <w:tc>
          <w:tcPr>
            <w:tcW w:w="293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0"/>
              <w:jc w:val="center"/>
              <w:rPr>
                <w:rFonts w:ascii="宋体" w:hAnsi="宋体" w:cs="宋体" w:eastAsia="宋体" w:hint="default"/>
                <w:sz w:val="21"/>
                <w:szCs w:val="21"/>
              </w:rPr>
            </w:pPr>
            <w:r>
              <w:rPr>
                <w:rFonts w:ascii="宋体" w:hAnsi="宋体" w:cs="宋体" w:eastAsia="宋体" w:hint="default"/>
                <w:sz w:val="21"/>
                <w:szCs w:val="21"/>
              </w:rPr>
              <w:t>合计</w:t>
            </w:r>
          </w:p>
        </w:tc>
        <w:tc>
          <w:tcPr>
            <w:tcW w:w="1679"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1"/>
              <w:jc w:val="right"/>
              <w:rPr>
                <w:rFonts w:ascii="宋体" w:hAnsi="宋体" w:cs="宋体" w:eastAsia="宋体" w:hint="default"/>
                <w:sz w:val="21"/>
                <w:szCs w:val="21"/>
              </w:rPr>
            </w:pPr>
            <w:r>
              <w:rPr>
                <w:rFonts w:ascii="宋体"/>
                <w:sz w:val="21"/>
              </w:rPr>
              <w:t>78,285,374.63</w:t>
            </w:r>
          </w:p>
        </w:tc>
        <w:tc>
          <w:tcPr>
            <w:tcW w:w="148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right="2"/>
              <w:jc w:val="right"/>
              <w:rPr>
                <w:rFonts w:ascii="宋体" w:hAnsi="宋体" w:cs="宋体" w:eastAsia="宋体" w:hint="default"/>
                <w:sz w:val="21"/>
                <w:szCs w:val="21"/>
              </w:rPr>
            </w:pPr>
            <w:r>
              <w:rPr>
                <w:rFonts w:ascii="宋体"/>
                <w:sz w:val="21"/>
              </w:rPr>
              <w:t>19.50</w:t>
            </w:r>
          </w:p>
        </w:tc>
        <w:tc>
          <w:tcPr>
            <w:tcW w:w="1714"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right="6"/>
              <w:jc w:val="right"/>
              <w:rPr>
                <w:rFonts w:ascii="宋体" w:hAnsi="宋体" w:cs="宋体" w:eastAsia="宋体" w:hint="default"/>
                <w:sz w:val="21"/>
                <w:szCs w:val="21"/>
              </w:rPr>
            </w:pPr>
            <w:r>
              <w:rPr>
                <w:rFonts w:ascii="宋体"/>
                <w:sz w:val="21"/>
              </w:rPr>
              <w:t>6,815,097.04</w:t>
            </w:r>
          </w:p>
        </w:tc>
      </w:tr>
    </w:tbl>
    <w:p>
      <w:pPr>
        <w:spacing w:line="240" w:lineRule="auto" w:before="5"/>
        <w:rPr>
          <w:rFonts w:ascii="宋体" w:hAnsi="宋体" w:cs="宋体" w:eastAsia="宋体" w:hint="default"/>
          <w:sz w:val="24"/>
          <w:szCs w:val="24"/>
        </w:rPr>
      </w:pPr>
    </w:p>
    <w:p>
      <w:pPr>
        <w:spacing w:before="44"/>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因金融资产转移而终止确认的应收账款</w:t>
      </w:r>
    </w:p>
    <w:p>
      <w:pPr>
        <w:spacing w:before="75"/>
        <w:ind w:left="114" w:right="0" w:firstLine="0"/>
        <w:jc w:val="left"/>
        <w:rPr>
          <w:rFonts w:ascii="宋体" w:hAnsi="宋体" w:cs="宋体" w:eastAsia="宋体" w:hint="default"/>
          <w:sz w:val="21"/>
          <w:szCs w:val="21"/>
        </w:rPr>
      </w:pPr>
      <w:r>
        <w:rPr>
          <w:rFonts w:ascii="宋体" w:hAnsi="宋体" w:cs="宋体" w:eastAsia="宋体" w:hint="default"/>
          <w:sz w:val="21"/>
          <w:szCs w:val="21"/>
        </w:rPr>
        <w:t>期末无因金融资产转移而终止确认的应收款项情况。</w:t>
      </w:r>
    </w:p>
    <w:p>
      <w:pPr>
        <w:spacing w:line="240" w:lineRule="auto" w:before="0"/>
        <w:rPr>
          <w:rFonts w:ascii="宋体" w:hAnsi="宋体" w:cs="宋体" w:eastAsia="宋体" w:hint="default"/>
          <w:sz w:val="20"/>
          <w:szCs w:val="20"/>
        </w:rPr>
      </w:pPr>
    </w:p>
    <w:p>
      <w:pPr>
        <w:spacing w:line="321" w:lineRule="auto" w:before="154"/>
        <w:ind w:left="114" w:right="5502"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转移应收账款且继续涉入形成的资产、负债金额</w:t>
      </w:r>
      <w:r>
        <w:rPr>
          <w:rFonts w:ascii="宋体" w:hAnsi="宋体" w:cs="宋体" w:eastAsia="宋体" w:hint="default"/>
          <w:w w:val="99"/>
          <w:sz w:val="18"/>
          <w:szCs w:val="18"/>
        </w:rPr>
        <w:t> </w:t>
      </w:r>
      <w:r>
        <w:rPr>
          <w:rFonts w:ascii="宋体" w:hAnsi="宋体" w:cs="宋体" w:eastAsia="宋体" w:hint="default"/>
          <w:sz w:val="21"/>
          <w:szCs w:val="21"/>
        </w:rPr>
        <w:t>期末无转移应收账款且继续涉入形成的资产、负债金额。</w:t>
      </w:r>
      <w:r>
        <w:rPr>
          <w:rFonts w:ascii="宋体" w:hAnsi="宋体" w:cs="宋体" w:eastAsia="宋体" w:hint="default"/>
          <w:w w:val="99"/>
          <w:sz w:val="21"/>
          <w:szCs w:val="21"/>
        </w:rPr>
        <w:t> </w:t>
      </w:r>
      <w:r>
        <w:rPr>
          <w:rFonts w:ascii="宋体" w:hAnsi="宋体" w:cs="宋体" w:eastAsia="宋体" w:hint="default"/>
          <w:sz w:val="18"/>
          <w:szCs w:val="18"/>
        </w:rPr>
        <w:t>其他说明：</w:t>
      </w:r>
    </w:p>
    <w:p>
      <w:pPr>
        <w:spacing w:after="0" w:line="321" w:lineRule="auto"/>
        <w:jc w:val="left"/>
        <w:rPr>
          <w:rFonts w:ascii="宋体" w:hAnsi="宋体" w:cs="宋体" w:eastAsia="宋体" w:hint="default"/>
          <w:sz w:val="18"/>
          <w:szCs w:val="18"/>
        </w:rPr>
        <w:sectPr>
          <w:type w:val="continuous"/>
          <w:pgSz w:w="11910" w:h="16840"/>
          <w:pgMar w:top="1140" w:bottom="1200" w:left="1020" w:right="0"/>
        </w:sectPr>
      </w:pPr>
    </w:p>
    <w:p>
      <w:pPr>
        <w:spacing w:line="240" w:lineRule="auto" w:before="12"/>
        <w:rPr>
          <w:rFonts w:ascii="宋体" w:hAnsi="宋体" w:cs="宋体" w:eastAsia="宋体" w:hint="default"/>
          <w:sz w:val="18"/>
          <w:szCs w:val="18"/>
        </w:rPr>
      </w:pPr>
    </w:p>
    <w:p>
      <w:pPr>
        <w:spacing w:before="35"/>
        <w:ind w:left="114" w:right="0" w:firstLine="0"/>
        <w:jc w:val="left"/>
        <w:rPr>
          <w:rFonts w:ascii="宋体" w:hAnsi="宋体" w:cs="宋体" w:eastAsia="宋体" w:hint="default"/>
          <w:sz w:val="21"/>
          <w:szCs w:val="21"/>
        </w:rPr>
      </w:pPr>
      <w:bookmarkStart w:name="2、其他应收款" w:id="495"/>
      <w:bookmarkEnd w:id="495"/>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0"/>
        <w:gridCol w:w="3190"/>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95,687,524.76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96,863,281.37</w:t>
            </w:r>
          </w:p>
        </w:tc>
      </w:tr>
      <w:tr>
        <w:trPr>
          <w:trHeight w:val="403"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95,687,524.76</w:t>
            </w:r>
          </w:p>
        </w:tc>
        <w:tc>
          <w:tcPr>
            <w:tcW w:w="31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96,863,281.37</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1）应收利息" w:id="496"/>
      <w:bookmarkEnd w:id="496"/>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）应收利息</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应收利息分类</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1"/>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重要逾期利息</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2" w:right="0"/>
              <w:jc w:val="left"/>
              <w:rPr>
                <w:rFonts w:ascii="宋体" w:hAnsi="宋体" w:cs="宋体" w:eastAsia="宋体" w:hint="default"/>
                <w:sz w:val="18"/>
                <w:szCs w:val="18"/>
              </w:rPr>
            </w:pPr>
            <w:r>
              <w:rPr>
                <w:rFonts w:ascii="宋体" w:hAnsi="宋体" w:cs="宋体" w:eastAsia="宋体" w:hint="default"/>
                <w:sz w:val="18"/>
                <w:szCs w:val="18"/>
              </w:rPr>
              <w:t>借款单位</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逾期时间</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逾期原因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81" w:right="140"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应收股利" w:id="497"/>
      <w:bookmarkEnd w:id="497"/>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）应收股利</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应收股利</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190"/>
        <w:gridCol w:w="3191"/>
        <w:gridCol w:w="3189"/>
      </w:tblGrid>
      <w:tr>
        <w:trPr>
          <w:trHeight w:val="402" w:hRule="exact"/>
        </w:trPr>
        <w:tc>
          <w:tcPr>
            <w:tcW w:w="31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810"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31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31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before="52"/>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重要的账龄超过</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年的应收股利</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14"/>
        <w:gridCol w:w="1914"/>
        <w:gridCol w:w="1914"/>
        <w:gridCol w:w="1914"/>
        <w:gridCol w:w="1914"/>
      </w:tblGrid>
      <w:tr>
        <w:trPr>
          <w:trHeight w:val="714" w:hRule="exact"/>
        </w:trPr>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71"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项目</w:t>
            </w:r>
            <w:r>
              <w:rPr>
                <w:rFonts w:ascii="Times New Roman" w:hAnsi="Times New Roman" w:cs="Times New Roman" w:eastAsia="Times New Roman" w:hint="default"/>
                <w:sz w:val="18"/>
                <w:szCs w:val="18"/>
              </w:rPr>
              <w:t>(</w:t>
            </w:r>
            <w:r>
              <w:rPr>
                <w:rFonts w:ascii="宋体" w:hAnsi="宋体" w:cs="宋体" w:eastAsia="宋体" w:hint="default"/>
                <w:sz w:val="18"/>
                <w:szCs w:val="18"/>
              </w:rPr>
              <w:t>或被投资单位</w:t>
            </w:r>
            <w:r>
              <w:rPr>
                <w:rFonts w:ascii="Times New Roman" w:hAnsi="Times New Roman" w:cs="Times New Roman" w:eastAsia="Times New Roman" w:hint="default"/>
                <w:sz w:val="18"/>
                <w:szCs w:val="18"/>
              </w:rPr>
              <w:t>)</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91"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账龄</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411" w:right="0"/>
              <w:jc w:val="left"/>
              <w:rPr>
                <w:rFonts w:ascii="宋体" w:hAnsi="宋体" w:cs="宋体" w:eastAsia="宋体" w:hint="default"/>
                <w:sz w:val="18"/>
                <w:szCs w:val="18"/>
              </w:rPr>
            </w:pPr>
            <w:r>
              <w:rPr>
                <w:rFonts w:ascii="宋体" w:hAnsi="宋体" w:cs="宋体" w:eastAsia="宋体" w:hint="default"/>
                <w:sz w:val="18"/>
                <w:szCs w:val="18"/>
              </w:rPr>
              <w:t>未收回的原因</w:t>
            </w:r>
          </w:p>
        </w:tc>
        <w:tc>
          <w:tcPr>
            <w:tcW w:w="19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81" w:right="140" w:hanging="540"/>
              <w:jc w:val="left"/>
              <w:rPr>
                <w:rFonts w:ascii="宋体" w:hAnsi="宋体" w:cs="宋体" w:eastAsia="宋体" w:hint="default"/>
                <w:sz w:val="18"/>
                <w:szCs w:val="18"/>
              </w:rPr>
            </w:pPr>
            <w:r>
              <w:rPr>
                <w:rFonts w:ascii="宋体" w:hAnsi="宋体" w:cs="宋体" w:eastAsia="宋体" w:hint="default"/>
                <w:sz w:val="18"/>
                <w:szCs w:val="18"/>
              </w:rPr>
              <w:t>是否发生减值及其判 断依据</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3）其他应收款" w:id="498"/>
      <w:bookmarkEnd w:id="498"/>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）其他应收款</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其他应收款分类披露</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1634"/>
        <w:gridCol w:w="764"/>
        <w:gridCol w:w="762"/>
        <w:gridCol w:w="762"/>
        <w:gridCol w:w="762"/>
        <w:gridCol w:w="790"/>
        <w:gridCol w:w="654"/>
        <w:gridCol w:w="762"/>
        <w:gridCol w:w="813"/>
        <w:gridCol w:w="932"/>
        <w:gridCol w:w="932"/>
      </w:tblGrid>
      <w:tr>
        <w:trPr>
          <w:trHeight w:val="397" w:hRule="exact"/>
        </w:trPr>
        <w:tc>
          <w:tcPr>
            <w:tcW w:w="163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8"/>
              <w:ind w:left="1"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3840"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094" w:type="dxa"/>
            <w:gridSpan w:val="5"/>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407" w:hRule="exact"/>
        </w:trPr>
        <w:tc>
          <w:tcPr>
            <w:tcW w:w="1634" w:type="dxa"/>
            <w:vMerge/>
            <w:tcBorders>
              <w:left w:val="single" w:sz="4" w:space="0" w:color="000000"/>
              <w:right w:val="single" w:sz="4" w:space="0" w:color="000000"/>
            </w:tcBorders>
            <w:shd w:val="clear" w:color="auto" w:fill="D2D2D2"/>
          </w:tcPr>
          <w:p>
            <w:pPr/>
          </w:p>
        </w:tc>
        <w:tc>
          <w:tcPr>
            <w:tcW w:w="15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524"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9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790"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9"/>
                <w:szCs w:val="19"/>
              </w:rPr>
            </w:pPr>
          </w:p>
          <w:p>
            <w:pPr>
              <w:pStyle w:val="TableParagraph"/>
              <w:spacing w:line="319" w:lineRule="auto"/>
              <w:ind w:left="298" w:right="119" w:hanging="180"/>
              <w:jc w:val="left"/>
              <w:rPr>
                <w:rFonts w:ascii="宋体" w:hAnsi="宋体" w:cs="宋体" w:eastAsia="宋体" w:hint="default"/>
                <w:sz w:val="18"/>
                <w:szCs w:val="18"/>
              </w:rPr>
            </w:pPr>
            <w:r>
              <w:rPr>
                <w:rFonts w:ascii="宋体" w:hAnsi="宋体" w:cs="宋体" w:eastAsia="宋体" w:hint="default"/>
                <w:sz w:val="18"/>
                <w:szCs w:val="18"/>
              </w:rPr>
              <w:t>账面价 值</w:t>
            </w:r>
          </w:p>
        </w:tc>
        <w:tc>
          <w:tcPr>
            <w:tcW w:w="141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343"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745"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6"/>
              <w:ind w:left="507"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93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9"/>
              <w:ind w:right="0"/>
              <w:jc w:val="left"/>
              <w:rPr>
                <w:rFonts w:ascii="宋体" w:hAnsi="宋体" w:cs="宋体" w:eastAsia="宋体" w:hint="default"/>
                <w:sz w:val="19"/>
                <w:szCs w:val="19"/>
              </w:rPr>
            </w:pPr>
          </w:p>
          <w:p>
            <w:pPr>
              <w:pStyle w:val="TableParagraph"/>
              <w:spacing w:line="319" w:lineRule="auto"/>
              <w:ind w:left="370" w:right="191" w:hanging="180"/>
              <w:jc w:val="left"/>
              <w:rPr>
                <w:rFonts w:ascii="宋体" w:hAnsi="宋体" w:cs="宋体" w:eastAsia="宋体" w:hint="default"/>
                <w:sz w:val="18"/>
                <w:szCs w:val="18"/>
              </w:rPr>
            </w:pPr>
            <w:r>
              <w:rPr>
                <w:rFonts w:ascii="宋体" w:hAnsi="宋体" w:cs="宋体" w:eastAsia="宋体" w:hint="default"/>
                <w:sz w:val="18"/>
                <w:szCs w:val="18"/>
              </w:rPr>
              <w:t>账面价 值</w:t>
            </w:r>
          </w:p>
        </w:tc>
      </w:tr>
      <w:tr>
        <w:trPr>
          <w:trHeight w:val="714" w:hRule="exact"/>
        </w:trPr>
        <w:tc>
          <w:tcPr>
            <w:tcW w:w="1634" w:type="dxa"/>
            <w:vMerge/>
            <w:tcBorders>
              <w:left w:val="single" w:sz="4" w:space="0" w:color="000000"/>
              <w:bottom w:val="single" w:sz="4" w:space="0" w:color="000000"/>
              <w:right w:val="single" w:sz="4" w:space="0" w:color="000000"/>
            </w:tcBorders>
            <w:shd w:val="clear" w:color="auto" w:fill="D2D2D2"/>
          </w:tcPr>
          <w:p>
            <w:pPr/>
          </w:p>
        </w:tc>
        <w:tc>
          <w:tcPr>
            <w:tcW w:w="76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7"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285" w:right="104"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790" w:type="dxa"/>
            <w:vMerge/>
            <w:tcBorders>
              <w:left w:val="single" w:sz="4" w:space="0" w:color="000000"/>
              <w:bottom w:val="single" w:sz="4" w:space="0" w:color="000000"/>
              <w:right w:val="single" w:sz="4" w:space="0" w:color="000000"/>
            </w:tcBorders>
            <w:shd w:val="clear" w:color="auto" w:fill="D2D2D2"/>
          </w:tcPr>
          <w:p>
            <w:pPr/>
          </w:p>
        </w:tc>
        <w:tc>
          <w:tcPr>
            <w:tcW w:w="65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4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7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95" w:right="0"/>
              <w:jc w:val="left"/>
              <w:rPr>
                <w:rFonts w:ascii="宋体" w:hAnsi="宋体" w:cs="宋体" w:eastAsia="宋体" w:hint="default"/>
                <w:sz w:val="18"/>
                <w:szCs w:val="18"/>
              </w:rPr>
            </w:pPr>
            <w:r>
              <w:rPr>
                <w:rFonts w:ascii="宋体" w:hAnsi="宋体" w:cs="宋体" w:eastAsia="宋体" w:hint="default"/>
                <w:sz w:val="18"/>
                <w:szCs w:val="18"/>
              </w:rPr>
              <w:t>比例</w:t>
            </w:r>
          </w:p>
        </w:tc>
        <w:tc>
          <w:tcPr>
            <w:tcW w:w="8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2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93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1"/>
              <w:ind w:left="370" w:right="190" w:hanging="180"/>
              <w:jc w:val="left"/>
              <w:rPr>
                <w:rFonts w:ascii="宋体" w:hAnsi="宋体" w:cs="宋体" w:eastAsia="宋体" w:hint="default"/>
                <w:sz w:val="18"/>
                <w:szCs w:val="18"/>
              </w:rPr>
            </w:pPr>
            <w:r>
              <w:rPr>
                <w:rFonts w:ascii="宋体" w:hAnsi="宋体" w:cs="宋体" w:eastAsia="宋体" w:hint="default"/>
                <w:sz w:val="18"/>
                <w:szCs w:val="18"/>
              </w:rPr>
              <w:t>计提比 例</w:t>
            </w:r>
          </w:p>
        </w:tc>
        <w:tc>
          <w:tcPr>
            <w:tcW w:w="932" w:type="dxa"/>
            <w:vMerge/>
            <w:tcBorders>
              <w:left w:val="single" w:sz="4" w:space="0" w:color="000000"/>
              <w:bottom w:val="single" w:sz="4" w:space="0" w:color="000000"/>
              <w:right w:val="single" w:sz="4" w:space="0" w:color="000000"/>
            </w:tcBorders>
            <w:shd w:val="clear" w:color="auto" w:fill="D2D2D2"/>
          </w:tcPr>
          <w:p>
            <w:pPr/>
          </w:p>
        </w:tc>
      </w:tr>
      <w:tr>
        <w:trPr>
          <w:trHeight w:val="714"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71"/>
              <w:ind w:left="103" w:right="259"/>
              <w:jc w:val="left"/>
              <w:rPr>
                <w:rFonts w:ascii="宋体" w:hAnsi="宋体" w:cs="宋体" w:eastAsia="宋体" w:hint="default"/>
                <w:sz w:val="18"/>
                <w:szCs w:val="18"/>
              </w:rPr>
            </w:pPr>
            <w:r>
              <w:rPr>
                <w:rFonts w:ascii="宋体" w:hAnsi="宋体" w:cs="宋体" w:eastAsia="宋体" w:hint="default"/>
                <w:sz w:val="18"/>
                <w:szCs w:val="18"/>
              </w:rPr>
              <w:t>按信用风险特征 组合计提坏账准</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56" w:right="0"/>
              <w:jc w:val="left"/>
              <w:rPr>
                <w:rFonts w:ascii="Times New Roman" w:hAnsi="Times New Roman" w:cs="Times New Roman" w:eastAsia="Times New Roman" w:hint="default"/>
                <w:sz w:val="18"/>
                <w:szCs w:val="18"/>
              </w:rPr>
            </w:pPr>
            <w:r>
              <w:rPr>
                <w:rFonts w:ascii="Times New Roman"/>
                <w:sz w:val="18"/>
              </w:rPr>
              <w:t>109,85</w:t>
            </w:r>
          </w:p>
          <w:p>
            <w:pPr>
              <w:pStyle w:val="TableParagraph"/>
              <w:spacing w:line="240" w:lineRule="auto" w:before="104"/>
              <w:ind w:left="110" w:right="0"/>
              <w:jc w:val="left"/>
              <w:rPr>
                <w:rFonts w:ascii="Times New Roman" w:hAnsi="Times New Roman" w:cs="Times New Roman" w:eastAsia="Times New Roman" w:hint="default"/>
                <w:sz w:val="18"/>
                <w:szCs w:val="18"/>
              </w:rPr>
            </w:pPr>
            <w:r>
              <w:rPr>
                <w:rFonts w:ascii="Times New Roman"/>
                <w:sz w:val="18"/>
              </w:rPr>
              <w:t>2,181.0</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6"/>
              <w:ind w:left="49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07" w:right="0"/>
              <w:jc w:val="left"/>
              <w:rPr>
                <w:rFonts w:ascii="Times New Roman" w:hAnsi="Times New Roman" w:cs="Times New Roman" w:eastAsia="Times New Roman" w:hint="default"/>
                <w:sz w:val="18"/>
                <w:szCs w:val="18"/>
              </w:rPr>
            </w:pPr>
            <w:r>
              <w:rPr>
                <w:rFonts w:ascii="Times New Roman"/>
                <w:sz w:val="18"/>
              </w:rPr>
              <w:t>14,164,</w:t>
            </w:r>
          </w:p>
          <w:p>
            <w:pPr>
              <w:pStyle w:val="TableParagraph"/>
              <w:spacing w:line="240" w:lineRule="auto" w:before="106"/>
              <w:ind w:left="153" w:right="0"/>
              <w:jc w:val="left"/>
              <w:rPr>
                <w:rFonts w:ascii="Times New Roman" w:hAnsi="Times New Roman" w:cs="Times New Roman" w:eastAsia="Times New Roman" w:hint="default"/>
                <w:sz w:val="18"/>
                <w:szCs w:val="18"/>
              </w:rPr>
            </w:pPr>
            <w:r>
              <w:rPr>
                <w:rFonts w:ascii="Times New Roman"/>
                <w:sz w:val="18"/>
              </w:rPr>
              <w:t>656.32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44" w:right="0"/>
              <w:jc w:val="left"/>
              <w:rPr>
                <w:rFonts w:ascii="Times New Roman" w:hAnsi="Times New Roman" w:cs="Times New Roman" w:eastAsia="Times New Roman" w:hint="default"/>
                <w:sz w:val="18"/>
                <w:szCs w:val="18"/>
              </w:rPr>
            </w:pPr>
            <w:r>
              <w:rPr>
                <w:rFonts w:ascii="Times New Roman"/>
                <w:sz w:val="18"/>
              </w:rPr>
              <w:t>12.89</w:t>
            </w:r>
          </w:p>
          <w:p>
            <w:pPr>
              <w:pStyle w:val="TableParagraph"/>
              <w:spacing w:line="240" w:lineRule="auto" w:before="106"/>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5" w:right="0"/>
              <w:jc w:val="left"/>
              <w:rPr>
                <w:rFonts w:ascii="Times New Roman" w:hAnsi="Times New Roman" w:cs="Times New Roman" w:eastAsia="Times New Roman" w:hint="default"/>
                <w:sz w:val="18"/>
                <w:szCs w:val="18"/>
              </w:rPr>
            </w:pPr>
            <w:r>
              <w:rPr>
                <w:rFonts w:ascii="Times New Roman"/>
                <w:sz w:val="18"/>
              </w:rPr>
              <w:t>95,687,</w:t>
            </w:r>
          </w:p>
          <w:p>
            <w:pPr>
              <w:pStyle w:val="TableParagraph"/>
              <w:spacing w:line="240" w:lineRule="auto" w:before="106"/>
              <w:ind w:left="181" w:right="0"/>
              <w:jc w:val="left"/>
              <w:rPr>
                <w:rFonts w:ascii="Times New Roman" w:hAnsi="Times New Roman" w:cs="Times New Roman" w:eastAsia="Times New Roman" w:hint="default"/>
                <w:sz w:val="18"/>
                <w:szCs w:val="18"/>
              </w:rPr>
            </w:pPr>
            <w:r>
              <w:rPr>
                <w:rFonts w:ascii="Times New Roman"/>
                <w:sz w:val="18"/>
              </w:rPr>
              <w:t>524.76</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11"/>
              <w:ind w:left="136" w:right="0"/>
              <w:jc w:val="left"/>
              <w:rPr>
                <w:rFonts w:ascii="Times New Roman" w:hAnsi="Times New Roman" w:cs="Times New Roman" w:eastAsia="Times New Roman" w:hint="default"/>
                <w:sz w:val="18"/>
                <w:szCs w:val="18"/>
              </w:rPr>
            </w:pPr>
            <w:r>
              <w:rPr>
                <w:rFonts w:ascii="Times New Roman"/>
                <w:sz w:val="18"/>
              </w:rPr>
              <w:t>106,5</w:t>
            </w:r>
          </w:p>
          <w:p>
            <w:pPr>
              <w:pStyle w:val="TableParagraph"/>
              <w:spacing w:line="240" w:lineRule="auto" w:before="104"/>
              <w:ind w:left="136" w:right="0"/>
              <w:jc w:val="left"/>
              <w:rPr>
                <w:rFonts w:ascii="Times New Roman" w:hAnsi="Times New Roman" w:cs="Times New Roman" w:eastAsia="Times New Roman" w:hint="default"/>
                <w:sz w:val="18"/>
                <w:szCs w:val="18"/>
              </w:rPr>
            </w:pPr>
            <w:r>
              <w:rPr>
                <w:rFonts w:ascii="Times New Roman"/>
                <w:sz w:val="18"/>
              </w:rPr>
              <w:t>76,78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6"/>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59" w:right="0"/>
              <w:jc w:val="center"/>
              <w:rPr>
                <w:rFonts w:ascii="Times New Roman" w:hAnsi="Times New Roman" w:cs="Times New Roman" w:eastAsia="Times New Roman" w:hint="default"/>
                <w:sz w:val="18"/>
                <w:szCs w:val="18"/>
              </w:rPr>
            </w:pPr>
            <w:r>
              <w:rPr>
                <w:rFonts w:ascii="Times New Roman"/>
                <w:sz w:val="18"/>
              </w:rPr>
              <w:t>9,713,4</w:t>
            </w:r>
          </w:p>
          <w:p>
            <w:pPr>
              <w:pStyle w:val="TableParagraph"/>
              <w:spacing w:line="240" w:lineRule="auto" w:before="106"/>
              <w:ind w:left="195" w:right="0"/>
              <w:jc w:val="center"/>
              <w:rPr>
                <w:rFonts w:ascii="Times New Roman" w:hAnsi="Times New Roman" w:cs="Times New Roman" w:eastAsia="Times New Roman" w:hint="default"/>
                <w:sz w:val="18"/>
                <w:szCs w:val="18"/>
              </w:rPr>
            </w:pPr>
            <w:r>
              <w:rPr>
                <w:rFonts w:ascii="Times New Roman"/>
                <w:sz w:val="18"/>
              </w:rPr>
              <w:t>98.68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361" w:right="0"/>
              <w:jc w:val="left"/>
              <w:rPr>
                <w:rFonts w:ascii="Times New Roman" w:hAnsi="Times New Roman" w:cs="Times New Roman" w:eastAsia="Times New Roman" w:hint="default"/>
                <w:sz w:val="18"/>
                <w:szCs w:val="18"/>
              </w:rPr>
            </w:pPr>
            <w:r>
              <w:rPr>
                <w:rFonts w:ascii="Times New Roman"/>
                <w:sz w:val="18"/>
              </w:rPr>
              <w:t>9.11%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89" w:right="0"/>
              <w:jc w:val="left"/>
              <w:rPr>
                <w:rFonts w:ascii="Times New Roman" w:hAnsi="Times New Roman" w:cs="Times New Roman" w:eastAsia="Times New Roman" w:hint="default"/>
                <w:sz w:val="18"/>
                <w:szCs w:val="18"/>
              </w:rPr>
            </w:pPr>
            <w:r>
              <w:rPr>
                <w:rFonts w:ascii="Times New Roman"/>
                <w:sz w:val="18"/>
              </w:rPr>
              <w:t>96,863,2</w:t>
            </w:r>
          </w:p>
          <w:p>
            <w:pPr>
              <w:pStyle w:val="TableParagraph"/>
              <w:spacing w:line="240" w:lineRule="auto" w:before="106"/>
              <w:ind w:left="415" w:right="0"/>
              <w:jc w:val="left"/>
              <w:rPr>
                <w:rFonts w:ascii="Times New Roman" w:hAnsi="Times New Roman" w:cs="Times New Roman" w:eastAsia="Times New Roman" w:hint="default"/>
                <w:sz w:val="18"/>
                <w:szCs w:val="18"/>
              </w:rPr>
            </w:pPr>
            <w:r>
              <w:rPr>
                <w:rFonts w:ascii="Times New Roman"/>
                <w:sz w:val="18"/>
              </w:rPr>
              <w:t>81.37</w:t>
            </w:r>
          </w:p>
        </w:tc>
      </w:tr>
    </w:tbl>
    <w:p>
      <w:pPr>
        <w:spacing w:after="0" w:line="240" w:lineRule="auto"/>
        <w:jc w:val="left"/>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1634"/>
        <w:gridCol w:w="764"/>
        <w:gridCol w:w="762"/>
        <w:gridCol w:w="762"/>
        <w:gridCol w:w="762"/>
        <w:gridCol w:w="790"/>
        <w:gridCol w:w="654"/>
        <w:gridCol w:w="762"/>
        <w:gridCol w:w="813"/>
        <w:gridCol w:w="932"/>
        <w:gridCol w:w="932"/>
      </w:tblGrid>
      <w:tr>
        <w:trPr>
          <w:trHeight w:val="362"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left="103" w:right="0"/>
              <w:jc w:val="left"/>
              <w:rPr>
                <w:rFonts w:ascii="宋体" w:hAnsi="宋体" w:cs="宋体" w:eastAsia="宋体" w:hint="default"/>
                <w:sz w:val="18"/>
                <w:szCs w:val="18"/>
              </w:rPr>
            </w:pPr>
            <w:r>
              <w:rPr>
                <w:rFonts w:ascii="宋体" w:hAnsi="宋体" w:cs="宋体" w:eastAsia="宋体" w:hint="default"/>
                <w:sz w:val="18"/>
                <w:szCs w:val="18"/>
              </w:rPr>
              <w:t>备的其他应收款</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right="101"/>
              <w:jc w:val="right"/>
              <w:rPr>
                <w:rFonts w:ascii="Times New Roman" w:hAnsi="Times New Roman" w:cs="Times New Roman" w:eastAsia="Times New Roman" w:hint="default"/>
                <w:sz w:val="18"/>
                <w:szCs w:val="18"/>
              </w:rPr>
            </w:pPr>
            <w:r>
              <w:rPr>
                <w:rFonts w:ascii="Times New Roman"/>
                <w:sz w:val="18"/>
              </w:rPr>
              <w:t>8</w:t>
            </w: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62" w:type="dxa"/>
            <w:tcBorders>
              <w:top w:val="single" w:sz="4" w:space="0" w:color="000000"/>
              <w:left w:val="single" w:sz="4" w:space="0" w:color="000000"/>
              <w:bottom w:val="single" w:sz="4" w:space="0" w:color="000000"/>
              <w:right w:val="single" w:sz="4" w:space="0" w:color="000000"/>
            </w:tcBorders>
          </w:tcPr>
          <w:p>
            <w:pPr/>
          </w:p>
        </w:tc>
        <w:tc>
          <w:tcPr>
            <w:tcW w:w="790" w:type="dxa"/>
            <w:tcBorders>
              <w:top w:val="single" w:sz="4" w:space="0" w:color="000000"/>
              <w:left w:val="single" w:sz="4" w:space="0" w:color="000000"/>
              <w:bottom w:val="single" w:sz="4" w:space="0" w:color="000000"/>
              <w:right w:val="single" w:sz="4" w:space="0" w:color="000000"/>
            </w:tcBorders>
          </w:tcPr>
          <w:p>
            <w:pP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226" w:right="0"/>
              <w:jc w:val="left"/>
              <w:rPr>
                <w:rFonts w:ascii="Times New Roman" w:hAnsi="Times New Roman" w:cs="Times New Roman" w:eastAsia="Times New Roman" w:hint="default"/>
                <w:sz w:val="18"/>
                <w:szCs w:val="18"/>
              </w:rPr>
            </w:pPr>
            <w:r>
              <w:rPr>
                <w:rFonts w:ascii="Times New Roman"/>
                <w:sz w:val="18"/>
              </w:rPr>
              <w:t>0.05</w:t>
            </w:r>
          </w:p>
        </w:tc>
        <w:tc>
          <w:tcPr>
            <w:tcW w:w="762" w:type="dxa"/>
            <w:tcBorders>
              <w:top w:val="single" w:sz="4" w:space="0" w:color="000000"/>
              <w:left w:val="single" w:sz="4" w:space="0" w:color="000000"/>
              <w:bottom w:val="single" w:sz="4" w:space="0" w:color="000000"/>
              <w:right w:val="single" w:sz="4" w:space="0" w:color="000000"/>
            </w:tcBorders>
          </w:tcPr>
          <w:p>
            <w:pPr/>
          </w:p>
        </w:tc>
        <w:tc>
          <w:tcPr>
            <w:tcW w:w="813"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c>
          <w:tcPr>
            <w:tcW w:w="932"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16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7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109,85</w:t>
            </w:r>
          </w:p>
          <w:p>
            <w:pPr>
              <w:pStyle w:val="TableParagraph"/>
              <w:spacing w:line="240" w:lineRule="auto" w:before="104"/>
              <w:ind w:right="100"/>
              <w:jc w:val="right"/>
              <w:rPr>
                <w:rFonts w:ascii="Times New Roman" w:hAnsi="Times New Roman" w:cs="Times New Roman" w:eastAsia="Times New Roman" w:hint="default"/>
                <w:sz w:val="18"/>
                <w:szCs w:val="18"/>
              </w:rPr>
            </w:pPr>
            <w:r>
              <w:rPr>
                <w:rFonts w:ascii="Times New Roman"/>
                <w:sz w:val="18"/>
              </w:rPr>
              <w:t>2,181.0</w:t>
            </w:r>
          </w:p>
          <w:p>
            <w:pPr>
              <w:pStyle w:val="TableParagraph"/>
              <w:spacing w:line="240" w:lineRule="auto" w:before="106"/>
              <w:ind w:right="101"/>
              <w:jc w:val="right"/>
              <w:rPr>
                <w:rFonts w:ascii="Times New Roman" w:hAnsi="Times New Roman" w:cs="Times New Roman" w:eastAsia="Times New Roman" w:hint="default"/>
                <w:sz w:val="18"/>
                <w:szCs w:val="18"/>
              </w:rPr>
            </w:pPr>
            <w:r>
              <w:rPr>
                <w:rFonts w:ascii="Times New Roman"/>
                <w:sz w:val="18"/>
              </w:rPr>
              <w:t>8</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3"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7"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07" w:right="0"/>
              <w:jc w:val="left"/>
              <w:rPr>
                <w:rFonts w:ascii="Times New Roman" w:hAnsi="Times New Roman" w:cs="Times New Roman" w:eastAsia="Times New Roman" w:hint="default"/>
                <w:sz w:val="18"/>
                <w:szCs w:val="18"/>
              </w:rPr>
            </w:pPr>
            <w:r>
              <w:rPr>
                <w:rFonts w:ascii="Times New Roman"/>
                <w:sz w:val="18"/>
              </w:rPr>
              <w:t>14,164,</w:t>
            </w:r>
          </w:p>
          <w:p>
            <w:pPr>
              <w:pStyle w:val="TableParagraph"/>
              <w:spacing w:line="240" w:lineRule="auto" w:before="105"/>
              <w:ind w:left="153" w:right="0"/>
              <w:jc w:val="left"/>
              <w:rPr>
                <w:rFonts w:ascii="Times New Roman" w:hAnsi="Times New Roman" w:cs="Times New Roman" w:eastAsia="Times New Roman" w:hint="default"/>
                <w:sz w:val="18"/>
                <w:szCs w:val="18"/>
              </w:rPr>
            </w:pPr>
            <w:r>
              <w:rPr>
                <w:rFonts w:ascii="Times New Roman"/>
                <w:sz w:val="18"/>
              </w:rPr>
              <w:t>656.32</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44" w:right="0"/>
              <w:jc w:val="left"/>
              <w:rPr>
                <w:rFonts w:ascii="Times New Roman" w:hAnsi="Times New Roman" w:cs="Times New Roman" w:eastAsia="Times New Roman" w:hint="default"/>
                <w:sz w:val="18"/>
                <w:szCs w:val="18"/>
              </w:rPr>
            </w:pPr>
            <w:r>
              <w:rPr>
                <w:rFonts w:ascii="Times New Roman"/>
                <w:sz w:val="18"/>
              </w:rPr>
              <w:t>12.89</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79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35" w:right="0"/>
              <w:jc w:val="left"/>
              <w:rPr>
                <w:rFonts w:ascii="Times New Roman" w:hAnsi="Times New Roman" w:cs="Times New Roman" w:eastAsia="Times New Roman" w:hint="default"/>
                <w:sz w:val="18"/>
                <w:szCs w:val="18"/>
              </w:rPr>
            </w:pPr>
            <w:r>
              <w:rPr>
                <w:rFonts w:ascii="Times New Roman"/>
                <w:sz w:val="18"/>
              </w:rPr>
              <w:t>95,687,</w:t>
            </w:r>
          </w:p>
          <w:p>
            <w:pPr>
              <w:pStyle w:val="TableParagraph"/>
              <w:spacing w:line="240" w:lineRule="auto" w:before="105"/>
              <w:ind w:left="181" w:right="0"/>
              <w:jc w:val="left"/>
              <w:rPr>
                <w:rFonts w:ascii="Times New Roman" w:hAnsi="Times New Roman" w:cs="Times New Roman" w:eastAsia="Times New Roman" w:hint="default"/>
                <w:sz w:val="18"/>
                <w:szCs w:val="18"/>
              </w:rPr>
            </w:pPr>
            <w:r>
              <w:rPr>
                <w:rFonts w:ascii="Times New Roman"/>
                <w:sz w:val="18"/>
              </w:rPr>
              <w:t>524.76</w:t>
            </w:r>
          </w:p>
        </w:tc>
        <w:tc>
          <w:tcPr>
            <w:tcW w:w="6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136" w:right="0"/>
              <w:jc w:val="left"/>
              <w:rPr>
                <w:rFonts w:ascii="Times New Roman" w:hAnsi="Times New Roman" w:cs="Times New Roman" w:eastAsia="Times New Roman" w:hint="default"/>
                <w:sz w:val="18"/>
                <w:szCs w:val="18"/>
              </w:rPr>
            </w:pPr>
            <w:r>
              <w:rPr>
                <w:rFonts w:ascii="Times New Roman"/>
                <w:sz w:val="18"/>
              </w:rPr>
              <w:t>106,5</w:t>
            </w:r>
          </w:p>
          <w:p>
            <w:pPr>
              <w:pStyle w:val="TableParagraph"/>
              <w:spacing w:line="240" w:lineRule="auto" w:before="104"/>
              <w:ind w:left="136" w:right="0"/>
              <w:jc w:val="left"/>
              <w:rPr>
                <w:rFonts w:ascii="Times New Roman" w:hAnsi="Times New Roman" w:cs="Times New Roman" w:eastAsia="Times New Roman" w:hint="default"/>
                <w:sz w:val="18"/>
                <w:szCs w:val="18"/>
              </w:rPr>
            </w:pPr>
            <w:r>
              <w:rPr>
                <w:rFonts w:ascii="Times New Roman"/>
                <w:sz w:val="18"/>
              </w:rPr>
              <w:t>76,78</w:t>
            </w:r>
          </w:p>
          <w:p>
            <w:pPr>
              <w:pStyle w:val="TableParagraph"/>
              <w:spacing w:line="240" w:lineRule="auto" w:before="106"/>
              <w:ind w:left="226" w:right="0"/>
              <w:jc w:val="left"/>
              <w:rPr>
                <w:rFonts w:ascii="Times New Roman" w:hAnsi="Times New Roman" w:cs="Times New Roman" w:eastAsia="Times New Roman" w:hint="default"/>
                <w:sz w:val="18"/>
                <w:szCs w:val="18"/>
              </w:rPr>
            </w:pPr>
            <w:r>
              <w:rPr>
                <w:rFonts w:ascii="Times New Roman"/>
                <w:sz w:val="18"/>
              </w:rPr>
              <w:t>0.05</w:t>
            </w:r>
          </w:p>
        </w:tc>
        <w:tc>
          <w:tcPr>
            <w:tcW w:w="76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54" w:right="0"/>
              <w:jc w:val="left"/>
              <w:rPr>
                <w:rFonts w:ascii="Times New Roman" w:hAnsi="Times New Roman" w:cs="Times New Roman" w:eastAsia="Times New Roman" w:hint="default"/>
                <w:sz w:val="18"/>
                <w:szCs w:val="18"/>
              </w:rPr>
            </w:pPr>
            <w:r>
              <w:rPr>
                <w:rFonts w:ascii="Times New Roman"/>
                <w:sz w:val="18"/>
              </w:rPr>
              <w:t>100.00</w:t>
            </w:r>
          </w:p>
          <w:p>
            <w:pPr>
              <w:pStyle w:val="TableParagraph"/>
              <w:spacing w:line="240" w:lineRule="auto" w:before="105"/>
              <w:ind w:left="499" w:right="0"/>
              <w:jc w:val="lef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c>
          <w:tcPr>
            <w:tcW w:w="8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59" w:right="0"/>
              <w:jc w:val="center"/>
              <w:rPr>
                <w:rFonts w:ascii="Times New Roman" w:hAnsi="Times New Roman" w:cs="Times New Roman" w:eastAsia="Times New Roman" w:hint="default"/>
                <w:sz w:val="18"/>
                <w:szCs w:val="18"/>
              </w:rPr>
            </w:pPr>
            <w:r>
              <w:rPr>
                <w:rFonts w:ascii="Times New Roman"/>
                <w:sz w:val="18"/>
              </w:rPr>
              <w:t>9,713,4</w:t>
            </w:r>
          </w:p>
          <w:p>
            <w:pPr>
              <w:pStyle w:val="TableParagraph"/>
              <w:spacing w:line="240" w:lineRule="auto" w:before="105"/>
              <w:ind w:left="195" w:right="0"/>
              <w:jc w:val="center"/>
              <w:rPr>
                <w:rFonts w:ascii="Times New Roman" w:hAnsi="Times New Roman" w:cs="Times New Roman" w:eastAsia="Times New Roman" w:hint="default"/>
                <w:sz w:val="18"/>
                <w:szCs w:val="18"/>
              </w:rPr>
            </w:pPr>
            <w:r>
              <w:rPr>
                <w:rFonts w:ascii="Times New Roman"/>
                <w:sz w:val="18"/>
              </w:rPr>
              <w:t>98.68</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2"/>
                <w:szCs w:val="12"/>
              </w:rPr>
            </w:pPr>
          </w:p>
          <w:p>
            <w:pPr>
              <w:pStyle w:val="TableParagraph"/>
              <w:spacing w:line="240" w:lineRule="auto"/>
              <w:ind w:left="361" w:right="0"/>
              <w:jc w:val="left"/>
              <w:rPr>
                <w:rFonts w:ascii="Times New Roman" w:hAnsi="Times New Roman" w:cs="Times New Roman" w:eastAsia="Times New Roman" w:hint="default"/>
                <w:sz w:val="18"/>
                <w:szCs w:val="18"/>
              </w:rPr>
            </w:pPr>
            <w:r>
              <w:rPr>
                <w:rFonts w:ascii="Times New Roman"/>
                <w:sz w:val="18"/>
              </w:rPr>
              <w:t>9.11%</w:t>
            </w:r>
          </w:p>
        </w:tc>
        <w:tc>
          <w:tcPr>
            <w:tcW w:w="93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189" w:right="0"/>
              <w:jc w:val="left"/>
              <w:rPr>
                <w:rFonts w:ascii="Times New Roman" w:hAnsi="Times New Roman" w:cs="Times New Roman" w:eastAsia="Times New Roman" w:hint="default"/>
                <w:sz w:val="18"/>
                <w:szCs w:val="18"/>
              </w:rPr>
            </w:pPr>
            <w:r>
              <w:rPr>
                <w:rFonts w:ascii="Times New Roman"/>
                <w:sz w:val="18"/>
              </w:rPr>
              <w:t>96,863,2</w:t>
            </w:r>
          </w:p>
          <w:p>
            <w:pPr>
              <w:pStyle w:val="TableParagraph"/>
              <w:spacing w:line="240" w:lineRule="auto" w:before="105"/>
              <w:ind w:left="415" w:right="0"/>
              <w:jc w:val="left"/>
              <w:rPr>
                <w:rFonts w:ascii="Times New Roman" w:hAnsi="Times New Roman" w:cs="Times New Roman" w:eastAsia="Times New Roman" w:hint="default"/>
                <w:sz w:val="18"/>
                <w:szCs w:val="18"/>
              </w:rPr>
            </w:pPr>
            <w:r>
              <w:rPr>
                <w:rFonts w:ascii="Times New Roman"/>
                <w:sz w:val="18"/>
              </w:rPr>
              <w:t>81.37</w:t>
            </w:r>
          </w:p>
        </w:tc>
      </w:tr>
    </w:tbl>
    <w:p>
      <w:pPr>
        <w:spacing w:after="0" w:line="240" w:lineRule="auto"/>
        <w:jc w:val="left"/>
        <w:rPr>
          <w:rFonts w:ascii="Times New Roman" w:hAnsi="Times New Roman" w:cs="Times New Roman" w:eastAsia="Times New Roman" w:hint="default"/>
          <w:sz w:val="18"/>
          <w:szCs w:val="18"/>
        </w:rPr>
        <w:sectPr>
          <w:pgSz w:w="11910" w:h="16840"/>
          <w:pgMar w:header="889" w:footer="1019" w:top="1140" w:bottom="1200" w:left="1020" w:right="0"/>
        </w:sectPr>
      </w:pPr>
    </w:p>
    <w:p>
      <w:pPr>
        <w:spacing w:before="51"/>
        <w:ind w:left="114" w:right="-20" w:firstLine="0"/>
        <w:jc w:val="left"/>
        <w:rPr>
          <w:rFonts w:ascii="宋体" w:hAnsi="宋体" w:cs="宋体" w:eastAsia="宋体" w:hint="default"/>
          <w:sz w:val="18"/>
          <w:szCs w:val="18"/>
        </w:rPr>
      </w:pPr>
      <w:r>
        <w:rPr>
          <w:rFonts w:ascii="宋体" w:hAnsi="宋体" w:cs="宋体" w:eastAsia="宋体" w:hint="default"/>
          <w:sz w:val="18"/>
          <w:szCs w:val="18"/>
        </w:rPr>
        <w:t>期末单项金额重大并单项计提坏账准备的其他应收款：</w:t>
      </w:r>
    </w:p>
    <w:p>
      <w:pPr>
        <w:spacing w:line="357" w:lineRule="auto" w:before="117"/>
        <w:ind w:left="114" w:right="160" w:firstLine="0"/>
        <w:jc w:val="left"/>
        <w:rPr>
          <w:rFonts w:ascii="宋体" w:hAnsi="宋体" w:cs="宋体" w:eastAsia="宋体" w:hint="default"/>
          <w:sz w:val="18"/>
          <w:szCs w:val="18"/>
        </w:rPr>
      </w:pPr>
      <w:r>
        <w:rPr>
          <w:rFonts w:ascii="宋体" w:hAnsi="宋体" w:cs="宋体" w:eastAsia="宋体" w:hint="default"/>
          <w:sz w:val="18"/>
          <w:szCs w:val="18"/>
        </w:rPr>
        <w:t>□ 适用 √ 不适用 组合中，按账龄分析法计提坏账准备的其他应收款：</w:t>
      </w:r>
    </w:p>
    <w:p>
      <w:pPr>
        <w:spacing w:before="28"/>
        <w:ind w:left="114" w:right="-2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8"/>
        <w:rPr>
          <w:rFonts w:ascii="宋体" w:hAnsi="宋体" w:cs="宋体" w:eastAsia="宋体" w:hint="default"/>
          <w:sz w:val="21"/>
          <w:szCs w:val="21"/>
        </w:rPr>
      </w:pPr>
    </w:p>
    <w:p>
      <w:pPr>
        <w:spacing w:before="0"/>
        <w:ind w:left="11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140" w:bottom="1200" w:left="1020" w:right="0"/>
          <w:cols w:num="2" w:equalWidth="0">
            <w:col w:w="4435" w:space="4395"/>
            <w:col w:w="2060"/>
          </w:cols>
        </w:sectPr>
      </w:pP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2494"/>
        <w:gridCol w:w="2295"/>
        <w:gridCol w:w="2391"/>
        <w:gridCol w:w="2389"/>
      </w:tblGrid>
      <w:tr>
        <w:trPr>
          <w:trHeight w:val="402" w:hRule="exact"/>
        </w:trPr>
        <w:tc>
          <w:tcPr>
            <w:tcW w:w="24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7075" w:type="dxa"/>
            <w:gridSpan w:val="3"/>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r>
      <w:tr>
        <w:trPr>
          <w:trHeight w:val="402" w:hRule="exact"/>
        </w:trPr>
        <w:tc>
          <w:tcPr>
            <w:tcW w:w="2494" w:type="dxa"/>
            <w:vMerge/>
            <w:tcBorders>
              <w:left w:val="single" w:sz="4" w:space="0" w:color="000000"/>
              <w:bottom w:val="single" w:sz="4" w:space="0" w:color="000000"/>
              <w:right w:val="single" w:sz="4" w:space="0" w:color="000000"/>
            </w:tcBorders>
            <w:shd w:val="clear" w:color="auto" w:fill="D2D2D2"/>
          </w:tcPr>
          <w:p>
            <w:pPr/>
          </w:p>
        </w:tc>
        <w:tc>
          <w:tcPr>
            <w:tcW w:w="229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691"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2391"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坏账准备</w:t>
            </w:r>
          </w:p>
        </w:tc>
        <w:tc>
          <w:tcPr>
            <w:tcW w:w="2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 w:right="0"/>
              <w:jc w:val="center"/>
              <w:rPr>
                <w:rFonts w:ascii="宋体" w:hAnsi="宋体" w:cs="宋体" w:eastAsia="宋体" w:hint="default"/>
                <w:sz w:val="18"/>
                <w:szCs w:val="18"/>
              </w:rPr>
            </w:pPr>
            <w:r>
              <w:rPr>
                <w:rFonts w:ascii="宋体" w:hAnsi="宋体" w:cs="宋体" w:eastAsia="宋体" w:hint="default"/>
                <w:sz w:val="18"/>
                <w:szCs w:val="18"/>
              </w:rPr>
              <w:t>计提比例</w:t>
            </w:r>
          </w:p>
        </w:tc>
      </w:tr>
      <w:tr>
        <w:trPr>
          <w:trHeight w:val="402" w:hRule="exact"/>
        </w:trPr>
        <w:tc>
          <w:tcPr>
            <w:tcW w:w="9569" w:type="dxa"/>
            <w:gridSpan w:val="4"/>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年以内分项</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年以内小计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24,642,914.29</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1,232,145.71</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5.00%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11,681,969.37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1,168,196.94</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14,752,059.07</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4,425,617.72</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30.00%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7,399,844.60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3,699,922.30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50.00%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2,455,400.35</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1,718,780.25</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70.00%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1,919,993.40</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1,919,993.40</w:t>
            </w:r>
          </w:p>
        </w:tc>
        <w:tc>
          <w:tcPr>
            <w:tcW w:w="238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99"/>
              <w:jc w:val="right"/>
              <w:rPr>
                <w:rFonts w:ascii="Times New Roman" w:hAnsi="Times New Roman" w:cs="Times New Roman" w:eastAsia="Times New Roman" w:hint="default"/>
                <w:sz w:val="18"/>
                <w:szCs w:val="18"/>
              </w:rPr>
            </w:pPr>
            <w:r>
              <w:rPr>
                <w:rFonts w:ascii="Times New Roman"/>
                <w:sz w:val="18"/>
              </w:rPr>
              <w:t>100.00%</w:t>
            </w:r>
          </w:p>
        </w:tc>
      </w:tr>
      <w:tr>
        <w:trPr>
          <w:trHeight w:val="402" w:hRule="exact"/>
        </w:trPr>
        <w:tc>
          <w:tcPr>
            <w:tcW w:w="24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229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2"/>
              <w:jc w:val="right"/>
              <w:rPr>
                <w:rFonts w:ascii="Times New Roman" w:hAnsi="Times New Roman" w:cs="Times New Roman" w:eastAsia="Times New Roman" w:hint="default"/>
                <w:sz w:val="18"/>
                <w:szCs w:val="18"/>
              </w:rPr>
            </w:pPr>
            <w:r>
              <w:rPr>
                <w:rFonts w:ascii="Times New Roman"/>
                <w:spacing w:val="-1"/>
                <w:sz w:val="18"/>
              </w:rPr>
              <w:t>62,852,181.08</w:t>
            </w:r>
          </w:p>
        </w:tc>
        <w:tc>
          <w:tcPr>
            <w:tcW w:w="239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14,164,656.32</w:t>
            </w:r>
          </w:p>
        </w:tc>
        <w:tc>
          <w:tcPr>
            <w:tcW w:w="2389" w:type="dxa"/>
            <w:tcBorders>
              <w:top w:val="single" w:sz="4" w:space="0" w:color="000000"/>
              <w:left w:val="single" w:sz="4" w:space="0" w:color="000000"/>
              <w:bottom w:val="single" w:sz="4" w:space="0" w:color="000000"/>
              <w:right w:val="single" w:sz="4" w:space="0" w:color="000000"/>
            </w:tcBorders>
          </w:tcPr>
          <w:p>
            <w:pPr/>
          </w:p>
        </w:tc>
      </w:tr>
    </w:tbl>
    <w:p>
      <w:pPr>
        <w:spacing w:line="360" w:lineRule="auto" w:before="51"/>
        <w:ind w:left="114" w:right="6252" w:firstLine="0"/>
        <w:jc w:val="left"/>
        <w:rPr>
          <w:rFonts w:ascii="宋体" w:hAnsi="宋体" w:cs="宋体" w:eastAsia="宋体" w:hint="default"/>
          <w:sz w:val="18"/>
          <w:szCs w:val="18"/>
        </w:rPr>
      </w:pPr>
      <w:r>
        <w:rPr>
          <w:rFonts w:ascii="宋体" w:hAnsi="宋体" w:cs="宋体" w:eastAsia="宋体" w:hint="default"/>
          <w:sz w:val="18"/>
          <w:szCs w:val="18"/>
        </w:rPr>
        <w:t>确定该组合依据的说明： 组合中，采用余额百分比法计提坏账准备的其他应收款：</w:t>
      </w:r>
    </w:p>
    <w:p>
      <w:pPr>
        <w:spacing w:line="360" w:lineRule="auto" w:before="26"/>
        <w:ind w:left="114" w:right="6612" w:firstLine="0"/>
        <w:jc w:val="left"/>
        <w:rPr>
          <w:rFonts w:ascii="宋体" w:hAnsi="宋体" w:cs="宋体" w:eastAsia="宋体" w:hint="default"/>
          <w:sz w:val="18"/>
          <w:szCs w:val="18"/>
        </w:rPr>
      </w:pPr>
      <w:r>
        <w:rPr>
          <w:rFonts w:ascii="宋体" w:hAnsi="宋体" w:cs="宋体" w:eastAsia="宋体" w:hint="default"/>
          <w:sz w:val="18"/>
          <w:szCs w:val="18"/>
        </w:rPr>
        <w:t>□ 适用 √ 不适用 组合中，采用其他方法计提坏账准备的其他应收款：</w:t>
      </w:r>
    </w:p>
    <w:p>
      <w:pPr>
        <w:spacing w:before="26"/>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3"/>
        <w:rPr>
          <w:rFonts w:ascii="宋体" w:hAnsi="宋体" w:cs="宋体" w:eastAsia="宋体" w:hint="default"/>
          <w:sz w:val="7"/>
          <w:szCs w:val="7"/>
        </w:rPr>
      </w:pPr>
    </w:p>
    <w:tbl>
      <w:tblPr>
        <w:tblW w:w="0" w:type="auto"/>
        <w:jc w:val="left"/>
        <w:tblInd w:w="713" w:type="dxa"/>
        <w:tblLayout w:type="fixed"/>
        <w:tblCellMar>
          <w:top w:w="0" w:type="dxa"/>
          <w:left w:w="0" w:type="dxa"/>
          <w:bottom w:w="0" w:type="dxa"/>
          <w:right w:w="0" w:type="dxa"/>
        </w:tblCellMar>
        <w:tblLook w:val="01E0"/>
      </w:tblPr>
      <w:tblGrid>
        <w:gridCol w:w="3047"/>
        <w:gridCol w:w="1953"/>
        <w:gridCol w:w="1258"/>
        <w:gridCol w:w="1557"/>
      </w:tblGrid>
      <w:tr>
        <w:trPr>
          <w:trHeight w:val="355" w:hRule="exact"/>
        </w:trPr>
        <w:tc>
          <w:tcPr>
            <w:tcW w:w="3047" w:type="dxa"/>
            <w:vMerge w:val="restart"/>
            <w:tcBorders>
              <w:top w:val="single" w:sz="6" w:space="0" w:color="000000"/>
              <w:left w:val="single" w:sz="6" w:space="0" w:color="000000"/>
              <w:right w:val="single" w:sz="6" w:space="0" w:color="000000"/>
            </w:tcBorders>
          </w:tcPr>
          <w:p>
            <w:pPr>
              <w:pStyle w:val="TableParagraph"/>
              <w:spacing w:line="271" w:lineRule="exact"/>
              <w:ind w:right="1"/>
              <w:jc w:val="center"/>
              <w:rPr>
                <w:rFonts w:ascii="宋体" w:hAnsi="宋体" w:cs="宋体" w:eastAsia="宋体" w:hint="default"/>
                <w:sz w:val="21"/>
                <w:szCs w:val="21"/>
              </w:rPr>
            </w:pPr>
            <w:r>
              <w:rPr>
                <w:rFonts w:ascii="宋体" w:hAnsi="宋体" w:cs="宋体" w:eastAsia="宋体" w:hint="default"/>
                <w:sz w:val="21"/>
                <w:szCs w:val="21"/>
              </w:rPr>
              <w:t>组合名称</w:t>
            </w:r>
          </w:p>
        </w:tc>
        <w:tc>
          <w:tcPr>
            <w:tcW w:w="4767" w:type="dxa"/>
            <w:gridSpan w:val="3"/>
            <w:tcBorders>
              <w:top w:val="single" w:sz="6" w:space="0" w:color="000000"/>
              <w:left w:val="single" w:sz="6" w:space="0" w:color="000000"/>
              <w:bottom w:val="single" w:sz="12" w:space="0" w:color="000000"/>
              <w:right w:val="nil" w:sz="6" w:space="0" w:color="auto"/>
            </w:tcBorders>
          </w:tcPr>
          <w:p>
            <w:pPr>
              <w:pStyle w:val="TableParagraph"/>
              <w:spacing w:line="271" w:lineRule="exact"/>
              <w:ind w:right="7"/>
              <w:jc w:val="center"/>
              <w:rPr>
                <w:rFonts w:ascii="宋体" w:hAnsi="宋体" w:cs="宋体" w:eastAsia="宋体" w:hint="default"/>
                <w:sz w:val="21"/>
                <w:szCs w:val="21"/>
              </w:rPr>
            </w:pPr>
            <w:r>
              <w:rPr>
                <w:rFonts w:ascii="宋体" w:hAnsi="宋体" w:cs="宋体" w:eastAsia="宋体" w:hint="default"/>
                <w:sz w:val="21"/>
                <w:szCs w:val="21"/>
              </w:rPr>
              <w:t>期末余额</w:t>
            </w:r>
          </w:p>
        </w:tc>
      </w:tr>
      <w:tr>
        <w:trPr>
          <w:trHeight w:val="353" w:hRule="exact"/>
        </w:trPr>
        <w:tc>
          <w:tcPr>
            <w:tcW w:w="3047" w:type="dxa"/>
            <w:vMerge/>
            <w:tcBorders>
              <w:left w:val="single" w:sz="6" w:space="0" w:color="000000"/>
              <w:bottom w:val="single" w:sz="12" w:space="0" w:color="000000"/>
              <w:right w:val="single" w:sz="6" w:space="0" w:color="000000"/>
            </w:tcBorders>
          </w:tcPr>
          <w:p>
            <w:pPr/>
          </w:p>
        </w:tc>
        <w:tc>
          <w:tcPr>
            <w:tcW w:w="195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548" w:right="0"/>
              <w:jc w:val="left"/>
              <w:rPr>
                <w:rFonts w:ascii="宋体" w:hAnsi="宋体" w:cs="宋体" w:eastAsia="宋体" w:hint="default"/>
                <w:sz w:val="21"/>
                <w:szCs w:val="21"/>
              </w:rPr>
            </w:pPr>
            <w:r>
              <w:rPr>
                <w:rFonts w:ascii="宋体" w:hAnsi="宋体" w:cs="宋体" w:eastAsia="宋体" w:hint="default"/>
                <w:sz w:val="21"/>
                <w:szCs w:val="21"/>
              </w:rPr>
              <w:t>账面余额</w:t>
            </w:r>
          </w:p>
        </w:tc>
        <w:tc>
          <w:tcPr>
            <w:tcW w:w="1258"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01" w:right="0"/>
              <w:jc w:val="left"/>
              <w:rPr>
                <w:rFonts w:ascii="宋体" w:hAnsi="宋体" w:cs="宋体" w:eastAsia="宋体" w:hint="default"/>
                <w:sz w:val="21"/>
                <w:szCs w:val="21"/>
              </w:rPr>
            </w:pPr>
            <w:r>
              <w:rPr>
                <w:rFonts w:ascii="宋体" w:hAnsi="宋体" w:cs="宋体" w:eastAsia="宋体" w:hint="default"/>
                <w:sz w:val="21"/>
                <w:szCs w:val="21"/>
              </w:rPr>
              <w:t>坏账准备</w:t>
            </w:r>
          </w:p>
        </w:tc>
        <w:tc>
          <w:tcPr>
            <w:tcW w:w="1557" w:type="dxa"/>
            <w:tcBorders>
              <w:top w:val="single" w:sz="12" w:space="0" w:color="000000"/>
              <w:left w:val="single" w:sz="6" w:space="0" w:color="000000"/>
              <w:bottom w:val="single" w:sz="12" w:space="0" w:color="000000"/>
              <w:right w:val="nil" w:sz="6" w:space="0" w:color="auto"/>
            </w:tcBorders>
          </w:tcPr>
          <w:p>
            <w:pPr>
              <w:pStyle w:val="TableParagraph"/>
              <w:spacing w:line="260" w:lineRule="exact"/>
              <w:ind w:left="350" w:right="0"/>
              <w:jc w:val="left"/>
              <w:rPr>
                <w:rFonts w:ascii="宋体" w:hAnsi="宋体" w:cs="宋体" w:eastAsia="宋体" w:hint="default"/>
                <w:sz w:val="21"/>
                <w:szCs w:val="21"/>
              </w:rPr>
            </w:pPr>
            <w:r>
              <w:rPr>
                <w:rFonts w:ascii="宋体" w:hAnsi="宋体" w:cs="宋体" w:eastAsia="宋体" w:hint="default"/>
                <w:sz w:val="21"/>
                <w:szCs w:val="21"/>
              </w:rPr>
              <w:t>计提比例</w:t>
            </w:r>
          </w:p>
        </w:tc>
      </w:tr>
      <w:tr>
        <w:trPr>
          <w:trHeight w:val="352" w:hRule="exact"/>
        </w:trPr>
        <w:tc>
          <w:tcPr>
            <w:tcW w:w="3047"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2" w:right="0"/>
              <w:jc w:val="left"/>
              <w:rPr>
                <w:rFonts w:ascii="宋体" w:hAnsi="宋体" w:cs="宋体" w:eastAsia="宋体" w:hint="default"/>
                <w:sz w:val="21"/>
                <w:szCs w:val="21"/>
              </w:rPr>
            </w:pPr>
            <w:r>
              <w:rPr>
                <w:rFonts w:ascii="宋体" w:hAnsi="宋体" w:cs="宋体" w:eastAsia="宋体" w:hint="default"/>
                <w:sz w:val="21"/>
                <w:szCs w:val="21"/>
              </w:rPr>
              <w:t>应收合并范围内关联方款项</w:t>
            </w:r>
          </w:p>
        </w:tc>
        <w:tc>
          <w:tcPr>
            <w:tcW w:w="1953" w:type="dxa"/>
            <w:tcBorders>
              <w:top w:val="single" w:sz="12" w:space="0" w:color="000000"/>
              <w:left w:val="single" w:sz="6" w:space="0" w:color="000000"/>
              <w:bottom w:val="single" w:sz="12" w:space="0" w:color="000000"/>
              <w:right w:val="single" w:sz="6" w:space="0" w:color="000000"/>
            </w:tcBorders>
          </w:tcPr>
          <w:p>
            <w:pPr>
              <w:pStyle w:val="TableParagraph"/>
              <w:spacing w:line="260" w:lineRule="exact"/>
              <w:ind w:left="570" w:right="0"/>
              <w:jc w:val="left"/>
              <w:rPr>
                <w:rFonts w:ascii="宋体" w:hAnsi="宋体" w:cs="宋体" w:eastAsia="宋体" w:hint="default"/>
                <w:sz w:val="21"/>
                <w:szCs w:val="21"/>
              </w:rPr>
            </w:pPr>
            <w:r>
              <w:rPr>
                <w:rFonts w:ascii="宋体"/>
                <w:sz w:val="21"/>
              </w:rPr>
              <w:t>47,000,000.00</w:t>
            </w:r>
          </w:p>
        </w:tc>
        <w:tc>
          <w:tcPr>
            <w:tcW w:w="1258" w:type="dxa"/>
            <w:tcBorders>
              <w:top w:val="single" w:sz="12" w:space="0" w:color="000000"/>
              <w:left w:val="single" w:sz="6" w:space="0" w:color="000000"/>
              <w:bottom w:val="single" w:sz="12" w:space="0" w:color="000000"/>
              <w:right w:val="single" w:sz="6" w:space="0" w:color="000000"/>
            </w:tcBorders>
          </w:tcPr>
          <w:p>
            <w:pPr/>
          </w:p>
        </w:tc>
        <w:tc>
          <w:tcPr>
            <w:tcW w:w="1557" w:type="dxa"/>
            <w:tcBorders>
              <w:top w:val="single" w:sz="12" w:space="0" w:color="000000"/>
              <w:left w:val="single" w:sz="6" w:space="0" w:color="000000"/>
              <w:bottom w:val="single" w:sz="12" w:space="0" w:color="000000"/>
              <w:right w:val="nil" w:sz="6" w:space="0" w:color="auto"/>
            </w:tcBorders>
          </w:tcPr>
          <w:p>
            <w:pPr/>
          </w:p>
        </w:tc>
      </w:tr>
    </w:tbl>
    <w:p>
      <w:pPr>
        <w:spacing w:line="240" w:lineRule="auto" w:before="5"/>
        <w:rPr>
          <w:rFonts w:ascii="宋体" w:hAnsi="宋体" w:cs="宋体" w:eastAsia="宋体" w:hint="default"/>
          <w:sz w:val="24"/>
          <w:szCs w:val="24"/>
        </w:rPr>
      </w:pPr>
    </w:p>
    <w:p>
      <w:pPr>
        <w:spacing w:after="0" w:line="240" w:lineRule="auto"/>
        <w:rPr>
          <w:rFonts w:ascii="宋体" w:hAnsi="宋体" w:cs="宋体" w:eastAsia="宋体" w:hint="default"/>
          <w:sz w:val="24"/>
          <w:szCs w:val="24"/>
        </w:rPr>
        <w:sectPr>
          <w:type w:val="continuous"/>
          <w:pgSz w:w="11910" w:h="16840"/>
          <w:pgMar w:top="1140" w:bottom="1200" w:left="1020" w:right="0"/>
        </w:sectPr>
      </w:pPr>
    </w:p>
    <w:p>
      <w:pPr>
        <w:spacing w:before="44"/>
        <w:ind w:left="114" w:right="1374"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本期计提、收回或转回的坏账准备情况</w:t>
      </w:r>
    </w:p>
    <w:p>
      <w:pPr>
        <w:spacing w:line="338" w:lineRule="auto" w:before="103"/>
        <w:ind w:left="114" w:right="-17" w:firstLine="0"/>
        <w:jc w:val="left"/>
        <w:rPr>
          <w:rFonts w:ascii="宋体" w:hAnsi="宋体" w:cs="宋体" w:eastAsia="宋体" w:hint="default"/>
          <w:sz w:val="18"/>
          <w:szCs w:val="18"/>
        </w:rPr>
      </w:pPr>
      <w:r>
        <w:rPr>
          <w:rFonts w:ascii="宋体" w:hAnsi="宋体" w:cs="宋体" w:eastAsia="宋体" w:hint="default"/>
          <w:sz w:val="18"/>
          <w:szCs w:val="18"/>
        </w:rPr>
        <w:t>本期计提坏账准备金额</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4,451,157.64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元；本期收回或转回坏账准备金额元。 其中本期坏账准备转回或收回金额重要的：</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line="240" w:lineRule="auto" w:before="0"/>
        <w:rPr>
          <w:rFonts w:ascii="宋体" w:hAnsi="宋体" w:cs="宋体" w:eastAsia="宋体" w:hint="default"/>
          <w:sz w:val="18"/>
          <w:szCs w:val="18"/>
        </w:rPr>
      </w:pPr>
    </w:p>
    <w:p>
      <w:pPr>
        <w:spacing w:before="158"/>
        <w:ind w:left="11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140" w:bottom="1200" w:left="1020" w:right="0"/>
          <w:cols w:num="2" w:equalWidth="0">
            <w:col w:w="6009" w:space="2820"/>
            <w:col w:w="2061"/>
          </w:cols>
        </w:sectPr>
      </w:pP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914" w:right="0"/>
              <w:jc w:val="left"/>
              <w:rPr>
                <w:rFonts w:ascii="宋体" w:hAnsi="宋体" w:cs="宋体" w:eastAsia="宋体" w:hint="default"/>
                <w:sz w:val="18"/>
                <w:szCs w:val="18"/>
              </w:rPr>
            </w:pPr>
            <w:r>
              <w:rPr>
                <w:rFonts w:ascii="宋体" w:hAnsi="宋体" w:cs="宋体" w:eastAsia="宋体" w:hint="default"/>
                <w:sz w:val="18"/>
                <w:szCs w:val="18"/>
              </w:rPr>
              <w:t>转回或收回金额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收回方式</w:t>
            </w:r>
          </w:p>
        </w:tc>
      </w:tr>
    </w:tbl>
    <w:p>
      <w:pPr>
        <w:spacing w:before="51"/>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本期实际核销的其他应收款情况</w:t>
      </w:r>
    </w:p>
    <w:p>
      <w:pPr>
        <w:spacing w:before="10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4984"/>
        <w:gridCol w:w="4584"/>
      </w:tblGrid>
      <w:tr>
        <w:trPr>
          <w:trHeight w:val="402" w:hRule="exact"/>
        </w:trPr>
        <w:tc>
          <w:tcPr>
            <w:tcW w:w="49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项目</w:t>
            </w:r>
          </w:p>
        </w:tc>
        <w:tc>
          <w:tcPr>
            <w:tcW w:w="45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核销金额</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其中重要的其他应收款核销情况：</w:t>
      </w:r>
    </w:p>
    <w:p>
      <w:pPr>
        <w:spacing w:after="0"/>
        <w:jc w:val="left"/>
        <w:rPr>
          <w:rFonts w:ascii="宋体" w:hAnsi="宋体" w:cs="宋体" w:eastAsia="宋体" w:hint="default"/>
          <w:sz w:val="18"/>
          <w:szCs w:val="18"/>
        </w:rPr>
        <w:sectPr>
          <w:type w:val="continuous"/>
          <w:pgSz w:w="11910" w:h="16840"/>
          <w:pgMar w:top="1140" w:bottom="1200" w:left="1020" w:right="0"/>
        </w:sectPr>
      </w:pPr>
    </w:p>
    <w:p>
      <w:pPr>
        <w:spacing w:line="240" w:lineRule="auto" w:before="3"/>
        <w:rPr>
          <w:rFonts w:ascii="宋体" w:hAnsi="宋体" w:cs="宋体" w:eastAsia="宋体" w:hint="default"/>
          <w:sz w:val="20"/>
          <w:szCs w:val="20"/>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714"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0" w:right="0"/>
              <w:jc w:val="left"/>
              <w:rPr>
                <w:rFonts w:ascii="宋体" w:hAnsi="宋体" w:cs="宋体" w:eastAsia="宋体" w:hint="default"/>
                <w:sz w:val="18"/>
                <w:szCs w:val="18"/>
              </w:rPr>
            </w:pPr>
            <w:r>
              <w:rPr>
                <w:rFonts w:ascii="宋体" w:hAnsi="宋体" w:cs="宋体" w:eastAsia="宋体" w:hint="default"/>
                <w:sz w:val="18"/>
                <w:szCs w:val="18"/>
              </w:rPr>
              <w:t>其他应收款性质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71" w:right="0"/>
              <w:jc w:val="left"/>
              <w:rPr>
                <w:rFonts w:ascii="宋体" w:hAnsi="宋体" w:cs="宋体" w:eastAsia="宋体" w:hint="default"/>
                <w:sz w:val="18"/>
                <w:szCs w:val="18"/>
              </w:rPr>
            </w:pPr>
            <w:r>
              <w:rPr>
                <w:rFonts w:ascii="宋体" w:hAnsi="宋体" w:cs="宋体" w:eastAsia="宋体" w:hint="default"/>
                <w:sz w:val="18"/>
                <w:szCs w:val="18"/>
              </w:rPr>
              <w:t>履行的核销程序</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442" w:right="170" w:hanging="270"/>
              <w:jc w:val="left"/>
              <w:rPr>
                <w:rFonts w:ascii="宋体" w:hAnsi="宋体" w:cs="宋体" w:eastAsia="宋体" w:hint="default"/>
                <w:sz w:val="18"/>
                <w:szCs w:val="18"/>
              </w:rPr>
            </w:pPr>
            <w:r>
              <w:rPr>
                <w:rFonts w:ascii="宋体" w:hAnsi="宋体" w:cs="宋体" w:eastAsia="宋体" w:hint="default"/>
                <w:sz w:val="18"/>
                <w:szCs w:val="18"/>
              </w:rPr>
              <w:t>款项是否由关联 交易产生</w:t>
            </w:r>
          </w:p>
        </w:tc>
      </w:tr>
    </w:tbl>
    <w:p>
      <w:pPr>
        <w:spacing w:after="0" w:line="316" w:lineRule="auto"/>
        <w:jc w:val="left"/>
        <w:rPr>
          <w:rFonts w:ascii="宋体" w:hAnsi="宋体" w:cs="宋体" w:eastAsia="宋体" w:hint="default"/>
          <w:sz w:val="18"/>
          <w:szCs w:val="18"/>
        </w:rPr>
        <w:sectPr>
          <w:pgSz w:w="11910" w:h="16840"/>
          <w:pgMar w:header="889" w:footer="1019" w:top="1140" w:bottom="1200" w:left="1020" w:right="0"/>
        </w:sectPr>
      </w:pPr>
    </w:p>
    <w:p>
      <w:pPr>
        <w:spacing w:before="52"/>
        <w:ind w:left="114" w:right="-20" w:firstLine="0"/>
        <w:jc w:val="left"/>
        <w:rPr>
          <w:rFonts w:ascii="宋体" w:hAnsi="宋体" w:cs="宋体" w:eastAsia="宋体" w:hint="default"/>
          <w:sz w:val="18"/>
          <w:szCs w:val="18"/>
        </w:rPr>
      </w:pPr>
      <w:r>
        <w:rPr>
          <w:rFonts w:ascii="宋体" w:hAnsi="宋体" w:cs="宋体" w:eastAsia="宋体" w:hint="default"/>
          <w:sz w:val="18"/>
          <w:szCs w:val="18"/>
        </w:rPr>
        <w:t>其他应收款核销说明：</w:t>
      </w:r>
    </w:p>
    <w:p>
      <w:pPr>
        <w:spacing w:before="116"/>
        <w:ind w:left="114" w:right="-2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其他应收款按款项性质分类情况</w:t>
      </w:r>
    </w:p>
    <w:p>
      <w:pPr>
        <w:spacing w:line="240" w:lineRule="auto" w:before="0"/>
        <w:rPr>
          <w:rFonts w:ascii="宋体" w:hAnsi="宋体" w:cs="宋体" w:eastAsia="宋体" w:hint="default"/>
          <w:sz w:val="18"/>
          <w:szCs w:val="18"/>
        </w:rPr>
      </w:pPr>
      <w:r>
        <w:rPr/>
        <w:br w:type="column"/>
      </w:r>
      <w:r>
        <w:rPr>
          <w:rFonts w:ascii="宋体"/>
          <w:sz w:val="18"/>
        </w:rPr>
      </w:r>
    </w:p>
    <w:p>
      <w:pPr>
        <w:spacing w:line="240" w:lineRule="auto" w:before="0"/>
        <w:rPr>
          <w:rFonts w:ascii="宋体" w:hAnsi="宋体" w:cs="宋体" w:eastAsia="宋体" w:hint="default"/>
          <w:sz w:val="18"/>
          <w:szCs w:val="18"/>
        </w:rPr>
      </w:pPr>
    </w:p>
    <w:p>
      <w:pPr>
        <w:spacing w:line="240" w:lineRule="auto" w:before="11"/>
        <w:rPr>
          <w:rFonts w:ascii="宋体" w:hAnsi="宋体" w:cs="宋体" w:eastAsia="宋体" w:hint="default"/>
          <w:sz w:val="21"/>
          <w:szCs w:val="21"/>
        </w:rPr>
      </w:pPr>
    </w:p>
    <w:p>
      <w:pPr>
        <w:spacing w:before="0"/>
        <w:ind w:left="113" w:right="0" w:firstLine="0"/>
        <w:jc w:val="left"/>
        <w:rPr>
          <w:rFonts w:ascii="宋体" w:hAnsi="宋体" w:cs="宋体" w:eastAsia="宋体" w:hint="default"/>
          <w:sz w:val="18"/>
          <w:szCs w:val="18"/>
        </w:rPr>
      </w:pPr>
      <w:r>
        <w:rPr>
          <w:rFonts w:ascii="宋体" w:hAnsi="宋体" w:cs="宋体" w:eastAsia="宋体" w:hint="default"/>
          <w:sz w:val="18"/>
          <w:szCs w:val="18"/>
        </w:rPr>
        <w:t>单位： 元</w:t>
      </w:r>
    </w:p>
    <w:p>
      <w:pPr>
        <w:spacing w:after="0"/>
        <w:jc w:val="left"/>
        <w:rPr>
          <w:rFonts w:ascii="宋体" w:hAnsi="宋体" w:cs="宋体" w:eastAsia="宋体" w:hint="default"/>
          <w:sz w:val="18"/>
          <w:szCs w:val="18"/>
        </w:rPr>
        <w:sectPr>
          <w:type w:val="continuous"/>
          <w:pgSz w:w="11910" w:h="16840"/>
          <w:pgMar w:top="1140" w:bottom="1200" w:left="1020" w:right="0"/>
          <w:cols w:num="2" w:equalWidth="0">
            <w:col w:w="2785" w:space="6045"/>
            <w:col w:w="2060"/>
          </w:cols>
        </w:sectPr>
      </w:pP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369"/>
        <w:gridCol w:w="3100"/>
        <w:gridCol w:w="3100"/>
      </w:tblGrid>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款项性质</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4" w:right="0"/>
              <w:jc w:val="left"/>
              <w:rPr>
                <w:rFonts w:ascii="宋体" w:hAnsi="宋体" w:cs="宋体" w:eastAsia="宋体" w:hint="default"/>
                <w:sz w:val="18"/>
                <w:szCs w:val="18"/>
              </w:rPr>
            </w:pPr>
            <w:r>
              <w:rPr>
                <w:rFonts w:ascii="宋体" w:hAnsi="宋体" w:cs="宋体" w:eastAsia="宋体" w:hint="default"/>
                <w:sz w:val="18"/>
                <w:szCs w:val="18"/>
              </w:rPr>
              <w:t>期末账面余额</w:t>
            </w:r>
          </w:p>
        </w:tc>
        <w:tc>
          <w:tcPr>
            <w:tcW w:w="310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04" w:right="0"/>
              <w:jc w:val="left"/>
              <w:rPr>
                <w:rFonts w:ascii="宋体" w:hAnsi="宋体" w:cs="宋体" w:eastAsia="宋体" w:hint="default"/>
                <w:sz w:val="18"/>
                <w:szCs w:val="18"/>
              </w:rPr>
            </w:pPr>
            <w:r>
              <w:rPr>
                <w:rFonts w:ascii="宋体" w:hAnsi="宋体" w:cs="宋体" w:eastAsia="宋体" w:hint="default"/>
                <w:sz w:val="18"/>
                <w:szCs w:val="18"/>
              </w:rPr>
              <w:t>期初账面余额</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保证金及押金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52,441,835.85</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53,286,981.22</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备用金</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4,899,185.23</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4,153,266.68</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47,000,000.00</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48,279,128.67</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5,511,160.00</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z w:val="18"/>
              </w:rPr>
              <w:t>857,403.48</w:t>
            </w:r>
          </w:p>
        </w:tc>
      </w:tr>
      <w:tr>
        <w:trPr>
          <w:trHeight w:val="402" w:hRule="exact"/>
        </w:trPr>
        <w:tc>
          <w:tcPr>
            <w:tcW w:w="336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109,852,181.08</w:t>
            </w:r>
          </w:p>
        </w:tc>
        <w:tc>
          <w:tcPr>
            <w:tcW w:w="310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106,576,780.05</w:t>
            </w:r>
          </w:p>
        </w:tc>
      </w:tr>
    </w:tbl>
    <w:p>
      <w:pPr>
        <w:spacing w:before="51"/>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按欠款方归集的期末余额前五名的其他应收款情况</w:t>
      </w:r>
    </w:p>
    <w:p>
      <w:pPr>
        <w:spacing w:before="103"/>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684"/>
        <w:gridCol w:w="1552"/>
        <w:gridCol w:w="1552"/>
        <w:gridCol w:w="1553"/>
        <w:gridCol w:w="1614"/>
        <w:gridCol w:w="1615"/>
      </w:tblGrid>
      <w:tr>
        <w:trPr>
          <w:trHeight w:val="1025"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76"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320" w:right="0"/>
              <w:jc w:val="left"/>
              <w:rPr>
                <w:rFonts w:ascii="宋体" w:hAnsi="宋体" w:cs="宋体" w:eastAsia="宋体" w:hint="default"/>
                <w:sz w:val="18"/>
                <w:szCs w:val="18"/>
              </w:rPr>
            </w:pPr>
            <w:r>
              <w:rPr>
                <w:rFonts w:ascii="宋体" w:hAnsi="宋体" w:cs="宋体" w:eastAsia="宋体" w:hint="default"/>
                <w:sz w:val="18"/>
                <w:szCs w:val="18"/>
              </w:rPr>
              <w:t>款项的性质</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left="410"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8"/>
              <w:ind w:right="0"/>
              <w:jc w:val="center"/>
              <w:rPr>
                <w:rFonts w:ascii="宋体" w:hAnsi="宋体" w:cs="宋体" w:eastAsia="宋体" w:hint="default"/>
                <w:sz w:val="18"/>
                <w:szCs w:val="18"/>
              </w:rPr>
            </w:pPr>
            <w:r>
              <w:rPr>
                <w:rFonts w:ascii="宋体" w:hAnsi="宋体" w:cs="宋体" w:eastAsia="宋体" w:hint="default"/>
                <w:sz w:val="18"/>
                <w:szCs w:val="18"/>
              </w:rPr>
              <w:t>账龄</w:t>
            </w:r>
          </w:p>
        </w:tc>
        <w:tc>
          <w:tcPr>
            <w:tcW w:w="161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71" w:right="171"/>
              <w:jc w:val="center"/>
              <w:rPr>
                <w:rFonts w:ascii="宋体" w:hAnsi="宋体" w:cs="宋体" w:eastAsia="宋体" w:hint="default"/>
                <w:sz w:val="18"/>
                <w:szCs w:val="18"/>
              </w:rPr>
            </w:pPr>
            <w:r>
              <w:rPr>
                <w:rFonts w:ascii="宋体" w:hAnsi="宋体" w:cs="宋体" w:eastAsia="宋体" w:hint="default"/>
                <w:sz w:val="18"/>
                <w:szCs w:val="18"/>
              </w:rPr>
              <w:t>占其他应收款期 末余额合计数的 比例</w:t>
            </w:r>
          </w:p>
        </w:tc>
        <w:tc>
          <w:tcPr>
            <w:tcW w:w="1615"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712" w:right="170" w:hanging="540"/>
              <w:jc w:val="left"/>
              <w:rPr>
                <w:rFonts w:ascii="宋体" w:hAnsi="宋体" w:cs="宋体" w:eastAsia="宋体" w:hint="default"/>
                <w:sz w:val="18"/>
                <w:szCs w:val="18"/>
              </w:rPr>
            </w:pPr>
            <w:r>
              <w:rPr>
                <w:rFonts w:ascii="宋体" w:hAnsi="宋体" w:cs="宋体" w:eastAsia="宋体" w:hint="default"/>
                <w:sz w:val="18"/>
                <w:szCs w:val="18"/>
              </w:rPr>
              <w:t>坏账准备期末余 额</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第一名</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往来款</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47,000,000.00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42.78%</w:t>
            </w:r>
          </w:p>
        </w:tc>
        <w:tc>
          <w:tcPr>
            <w:tcW w:w="1615"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第二名</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5,500,000.00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3"/>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5.01%</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2,750,000.00</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第三名</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5,000,000.00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4.55%</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1,500,000.00</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第四名</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2,131,997.00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1.94%</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206,699.70</w:t>
            </w:r>
          </w:p>
        </w:tc>
      </w:tr>
      <w:tr>
        <w:trPr>
          <w:trHeight w:val="402" w:hRule="exact"/>
        </w:trPr>
        <w:tc>
          <w:tcPr>
            <w:tcW w:w="168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第五名</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2,094,320.00</w:t>
            </w:r>
          </w:p>
        </w:tc>
        <w:tc>
          <w:tcPr>
            <w:tcW w:w="155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1.91%</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202,657.50</w:t>
            </w:r>
          </w:p>
        </w:tc>
      </w:tr>
      <w:tr>
        <w:trPr>
          <w:trHeight w:val="403" w:hRule="exact"/>
        </w:trPr>
        <w:tc>
          <w:tcPr>
            <w:tcW w:w="168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55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1"/>
              <w:jc w:val="center"/>
              <w:rPr>
                <w:rFonts w:ascii="Times New Roman" w:hAnsi="Times New Roman" w:cs="Times New Roman" w:eastAsia="Times New Roman" w:hint="default"/>
                <w:sz w:val="18"/>
                <w:szCs w:val="18"/>
              </w:rPr>
            </w:pPr>
            <w:r>
              <w:rPr>
                <w:rFonts w:ascii="Times New Roman"/>
                <w:sz w:val="18"/>
              </w:rPr>
              <w:t>--</w:t>
            </w:r>
          </w:p>
        </w:tc>
        <w:tc>
          <w:tcPr>
            <w:tcW w:w="1552"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1"/>
              <w:jc w:val="right"/>
              <w:rPr>
                <w:rFonts w:ascii="Times New Roman" w:hAnsi="Times New Roman" w:cs="Times New Roman" w:eastAsia="Times New Roman" w:hint="default"/>
                <w:sz w:val="18"/>
                <w:szCs w:val="18"/>
              </w:rPr>
            </w:pPr>
            <w:r>
              <w:rPr>
                <w:rFonts w:ascii="Times New Roman"/>
                <w:spacing w:val="-1"/>
                <w:sz w:val="18"/>
              </w:rPr>
              <w:t>61,726,317.00</w:t>
            </w:r>
          </w:p>
        </w:tc>
        <w:tc>
          <w:tcPr>
            <w:tcW w:w="155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c>
          <w:tcPr>
            <w:tcW w:w="161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56.19%</w:t>
            </w:r>
          </w:p>
        </w:tc>
        <w:tc>
          <w:tcPr>
            <w:tcW w:w="161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4,659,357.20</w:t>
            </w:r>
          </w:p>
        </w:tc>
      </w:tr>
    </w:tbl>
    <w:p>
      <w:pPr>
        <w:spacing w:before="51"/>
        <w:ind w:left="11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6)</w:t>
      </w:r>
      <w:r>
        <w:rPr>
          <w:rFonts w:ascii="宋体" w:hAnsi="宋体" w:cs="宋体" w:eastAsia="宋体" w:hint="default"/>
          <w:sz w:val="18"/>
          <w:szCs w:val="18"/>
        </w:rPr>
        <w:t>涉及政府补助的应收款项</w:t>
      </w:r>
    </w:p>
    <w:p>
      <w:pPr>
        <w:spacing w:before="102"/>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2026"/>
        <w:gridCol w:w="1866"/>
        <w:gridCol w:w="1866"/>
        <w:gridCol w:w="1868"/>
        <w:gridCol w:w="1944"/>
      </w:tblGrid>
      <w:tr>
        <w:trPr>
          <w:trHeight w:val="714" w:hRule="exact"/>
        </w:trPr>
        <w:tc>
          <w:tcPr>
            <w:tcW w:w="202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647" w:right="0"/>
              <w:jc w:val="left"/>
              <w:rPr>
                <w:rFonts w:ascii="宋体" w:hAnsi="宋体" w:cs="宋体" w:eastAsia="宋体" w:hint="default"/>
                <w:sz w:val="18"/>
                <w:szCs w:val="18"/>
              </w:rPr>
            </w:pPr>
            <w:r>
              <w:rPr>
                <w:rFonts w:ascii="宋体" w:hAnsi="宋体" w:cs="宋体" w:eastAsia="宋体" w:hint="default"/>
                <w:sz w:val="18"/>
                <w:szCs w:val="18"/>
              </w:rPr>
              <w:t>单位名称</w:t>
            </w:r>
          </w:p>
        </w:tc>
        <w:tc>
          <w:tcPr>
            <w:tcW w:w="1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06" w:right="0"/>
              <w:jc w:val="left"/>
              <w:rPr>
                <w:rFonts w:ascii="宋体" w:hAnsi="宋体" w:cs="宋体" w:eastAsia="宋体" w:hint="default"/>
                <w:sz w:val="18"/>
                <w:szCs w:val="18"/>
              </w:rPr>
            </w:pPr>
            <w:r>
              <w:rPr>
                <w:rFonts w:ascii="宋体" w:hAnsi="宋体" w:cs="宋体" w:eastAsia="宋体" w:hint="default"/>
                <w:sz w:val="18"/>
                <w:szCs w:val="18"/>
              </w:rPr>
              <w:t>政府补助项目名称</w:t>
            </w:r>
          </w:p>
        </w:tc>
        <w:tc>
          <w:tcPr>
            <w:tcW w:w="186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67"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8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568" w:right="0"/>
              <w:jc w:val="left"/>
              <w:rPr>
                <w:rFonts w:ascii="宋体" w:hAnsi="宋体" w:cs="宋体" w:eastAsia="宋体" w:hint="default"/>
                <w:sz w:val="18"/>
                <w:szCs w:val="18"/>
              </w:rPr>
            </w:pPr>
            <w:r>
              <w:rPr>
                <w:rFonts w:ascii="宋体" w:hAnsi="宋体" w:cs="宋体" w:eastAsia="宋体" w:hint="default"/>
                <w:sz w:val="18"/>
                <w:szCs w:val="18"/>
              </w:rPr>
              <w:t>期末账龄</w:t>
            </w:r>
          </w:p>
        </w:tc>
        <w:tc>
          <w:tcPr>
            <w:tcW w:w="194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697" w:right="101" w:hanging="594"/>
              <w:jc w:val="left"/>
              <w:rPr>
                <w:rFonts w:ascii="宋体" w:hAnsi="宋体" w:cs="宋体" w:eastAsia="宋体" w:hint="default"/>
                <w:sz w:val="18"/>
                <w:szCs w:val="18"/>
              </w:rPr>
            </w:pPr>
            <w:r>
              <w:rPr>
                <w:rFonts w:ascii="宋体" w:hAnsi="宋体" w:cs="宋体" w:eastAsia="宋体" w:hint="default"/>
                <w:spacing w:val="-8"/>
                <w:sz w:val="18"/>
                <w:szCs w:val="18"/>
              </w:rPr>
              <w:t>预计收取的时间、金额</w:t>
            </w:r>
            <w:r>
              <w:rPr>
                <w:rFonts w:ascii="宋体" w:hAnsi="宋体" w:cs="宋体" w:eastAsia="宋体" w:hint="default"/>
                <w:spacing w:val="-82"/>
                <w:sz w:val="18"/>
                <w:szCs w:val="18"/>
              </w:rPr>
              <w:t> </w:t>
            </w:r>
            <w:r>
              <w:rPr>
                <w:rFonts w:ascii="宋体" w:hAnsi="宋体" w:cs="宋体" w:eastAsia="宋体" w:hint="default"/>
                <w:spacing w:val="-82"/>
                <w:sz w:val="18"/>
                <w:szCs w:val="18"/>
              </w:rPr>
            </w:r>
            <w:r>
              <w:rPr>
                <w:rFonts w:ascii="宋体" w:hAnsi="宋体" w:cs="宋体" w:eastAsia="宋体" w:hint="default"/>
                <w:sz w:val="18"/>
                <w:szCs w:val="18"/>
              </w:rPr>
              <w:t>及依据</w:t>
            </w:r>
          </w:p>
        </w:tc>
      </w:tr>
    </w:tbl>
    <w:p>
      <w:pPr>
        <w:spacing w:line="260" w:lineRule="exact" w:before="0"/>
        <w:ind w:left="114" w:right="0" w:firstLine="0"/>
        <w:jc w:val="left"/>
        <w:rPr>
          <w:rFonts w:ascii="宋体" w:hAnsi="宋体" w:cs="宋体" w:eastAsia="宋体" w:hint="default"/>
          <w:sz w:val="21"/>
          <w:szCs w:val="21"/>
        </w:rPr>
      </w:pPr>
      <w:r>
        <w:rPr>
          <w:rFonts w:ascii="宋体" w:hAnsi="宋体" w:cs="宋体" w:eastAsia="宋体" w:hint="default"/>
          <w:sz w:val="21"/>
          <w:szCs w:val="21"/>
        </w:rPr>
        <w:t>期末无涉及政府补助的应收款项。</w:t>
      </w:r>
    </w:p>
    <w:p>
      <w:pPr>
        <w:pStyle w:val="BodyText"/>
        <w:spacing w:line="240" w:lineRule="auto" w:before="13"/>
        <w:ind w:right="0"/>
        <w:jc w:val="left"/>
      </w:pPr>
      <w:r>
        <w:rPr>
          <w:rFonts w:ascii="Times New Roman" w:hAnsi="Times New Roman" w:cs="Times New Roman" w:eastAsia="Times New Roman" w:hint="default"/>
        </w:rPr>
        <w:t>7)</w:t>
      </w:r>
      <w:r>
        <w:rPr/>
        <w:t>因金融资产转移而终止确认的其他应收款</w:t>
      </w:r>
    </w:p>
    <w:p>
      <w:pPr>
        <w:spacing w:line="324" w:lineRule="auto" w:before="4"/>
        <w:ind w:left="114" w:right="5292" w:firstLine="0"/>
        <w:jc w:val="left"/>
        <w:rPr>
          <w:rFonts w:ascii="宋体" w:hAnsi="宋体" w:cs="宋体" w:eastAsia="宋体" w:hint="default"/>
          <w:sz w:val="18"/>
          <w:szCs w:val="18"/>
        </w:rPr>
      </w:pPr>
      <w:r>
        <w:rPr>
          <w:rFonts w:ascii="宋体" w:hAnsi="宋体" w:cs="宋体" w:eastAsia="宋体" w:hint="default"/>
          <w:sz w:val="21"/>
          <w:szCs w:val="21"/>
        </w:rPr>
        <w:t>期末无因金融资产转移而终止确认的其他应收款。 </w:t>
      </w:r>
      <w:r>
        <w:rPr>
          <w:rFonts w:ascii="Times New Roman" w:hAnsi="Times New Roman" w:cs="Times New Roman" w:eastAsia="Times New Roman" w:hint="default"/>
          <w:sz w:val="18"/>
          <w:szCs w:val="18"/>
        </w:rPr>
        <w:t>8)</w:t>
      </w:r>
      <w:r>
        <w:rPr>
          <w:rFonts w:ascii="宋体" w:hAnsi="宋体" w:cs="宋体" w:eastAsia="宋体" w:hint="default"/>
          <w:sz w:val="18"/>
          <w:szCs w:val="18"/>
        </w:rPr>
        <w:t>转移其他应收款且继续涉入形成的资产、负债金额 </w:t>
      </w:r>
      <w:r>
        <w:rPr>
          <w:rFonts w:ascii="宋体" w:hAnsi="宋体" w:cs="宋体" w:eastAsia="宋体" w:hint="default"/>
          <w:sz w:val="21"/>
          <w:szCs w:val="21"/>
        </w:rPr>
        <w:t>期末无转移其他应收款且继续涉入形成的资产、负债金额。</w:t>
      </w:r>
      <w:r>
        <w:rPr>
          <w:rFonts w:ascii="宋体" w:hAnsi="宋体" w:cs="宋体" w:eastAsia="宋体" w:hint="default"/>
          <w:sz w:val="21"/>
          <w:szCs w:val="21"/>
        </w:rPr>
        <w:t> </w:t>
      </w:r>
      <w:r>
        <w:rPr>
          <w:rFonts w:ascii="宋体" w:hAnsi="宋体" w:cs="宋体" w:eastAsia="宋体" w:hint="default"/>
          <w:sz w:val="18"/>
          <w:szCs w:val="18"/>
        </w:rPr>
        <w:t>其他说明：</w:t>
      </w:r>
    </w:p>
    <w:p>
      <w:pPr>
        <w:spacing w:line="240" w:lineRule="auto" w:before="12"/>
        <w:rPr>
          <w:rFonts w:ascii="宋体" w:hAnsi="宋体" w:cs="宋体" w:eastAsia="宋体" w:hint="default"/>
          <w:sz w:val="21"/>
          <w:szCs w:val="21"/>
        </w:rPr>
      </w:pPr>
    </w:p>
    <w:p>
      <w:pPr>
        <w:spacing w:before="0"/>
        <w:ind w:left="114" w:right="0" w:firstLine="0"/>
        <w:jc w:val="left"/>
        <w:rPr>
          <w:rFonts w:ascii="宋体" w:hAnsi="宋体" w:cs="宋体" w:eastAsia="宋体" w:hint="default"/>
          <w:sz w:val="21"/>
          <w:szCs w:val="21"/>
        </w:rPr>
      </w:pPr>
      <w:bookmarkStart w:name="3、长期股权投资" w:id="499"/>
      <w:bookmarkEnd w:id="499"/>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、长期股权投资</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368"/>
        <w:gridCol w:w="4102"/>
        <w:gridCol w:w="4102"/>
      </w:tblGrid>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41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410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期初余额</w:t>
            </w:r>
          </w:p>
        </w:tc>
      </w:tr>
    </w:tbl>
    <w:p>
      <w:pPr>
        <w:spacing w:after="0" w:line="240" w:lineRule="auto"/>
        <w:jc w:val="center"/>
        <w:rPr>
          <w:rFonts w:ascii="宋体" w:hAnsi="宋体" w:cs="宋体" w:eastAsia="宋体" w:hint="default"/>
          <w:sz w:val="18"/>
          <w:szCs w:val="18"/>
        </w:rPr>
        <w:sectPr>
          <w:type w:val="continuous"/>
          <w:pgSz w:w="11910" w:h="16840"/>
          <w:pgMar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1368"/>
        <w:gridCol w:w="1368"/>
        <w:gridCol w:w="1367"/>
        <w:gridCol w:w="1367"/>
        <w:gridCol w:w="1368"/>
        <w:gridCol w:w="1367"/>
        <w:gridCol w:w="1367"/>
      </w:tblGrid>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317"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36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center"/>
              <w:rPr>
                <w:rFonts w:ascii="Times New Roman" w:hAnsi="Times New Roman" w:cs="Times New Roman" w:eastAsia="Times New Roman" w:hint="default"/>
                <w:sz w:val="18"/>
                <w:szCs w:val="18"/>
              </w:rPr>
            </w:pPr>
            <w:r>
              <w:rPr>
                <w:rFonts w:ascii="Times New Roman"/>
                <w:sz w:val="18"/>
              </w:rPr>
              <w:t>106,100,000.00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106,100,000.00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104,100,000.00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104,100,000.00</w:t>
            </w:r>
          </w:p>
        </w:tc>
      </w:tr>
      <w:tr>
        <w:trPr>
          <w:trHeight w:val="402" w:hRule="exact"/>
        </w:trPr>
        <w:tc>
          <w:tcPr>
            <w:tcW w:w="136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8" w:right="0"/>
              <w:jc w:val="center"/>
              <w:rPr>
                <w:rFonts w:ascii="Times New Roman" w:hAnsi="Times New Roman" w:cs="Times New Roman" w:eastAsia="Times New Roman" w:hint="default"/>
                <w:sz w:val="18"/>
                <w:szCs w:val="18"/>
              </w:rPr>
            </w:pPr>
            <w:r>
              <w:rPr>
                <w:rFonts w:ascii="Times New Roman"/>
                <w:sz w:val="18"/>
              </w:rPr>
              <w:t>106,100,000.00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106,100,000.00</w:t>
            </w:r>
          </w:p>
        </w:tc>
        <w:tc>
          <w:tcPr>
            <w:tcW w:w="136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5" w:right="0"/>
              <w:jc w:val="center"/>
              <w:rPr>
                <w:rFonts w:ascii="Times New Roman" w:hAnsi="Times New Roman" w:cs="Times New Roman" w:eastAsia="Times New Roman" w:hint="default"/>
                <w:sz w:val="18"/>
                <w:szCs w:val="18"/>
              </w:rPr>
            </w:pPr>
            <w:r>
              <w:rPr>
                <w:rFonts w:ascii="Times New Roman"/>
                <w:sz w:val="18"/>
              </w:rPr>
              <w:t>104,100,000.00</w:t>
            </w:r>
          </w:p>
        </w:tc>
        <w:tc>
          <w:tcPr>
            <w:tcW w:w="1367" w:type="dxa"/>
            <w:tcBorders>
              <w:top w:val="single" w:sz="4" w:space="0" w:color="000000"/>
              <w:left w:val="single" w:sz="4" w:space="0" w:color="000000"/>
              <w:bottom w:val="single" w:sz="4" w:space="0" w:color="000000"/>
              <w:right w:val="single" w:sz="4" w:space="0" w:color="000000"/>
            </w:tcBorders>
          </w:tcPr>
          <w:p>
            <w:pPr/>
          </w:p>
        </w:tc>
        <w:tc>
          <w:tcPr>
            <w:tcW w:w="136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26" w:right="0"/>
              <w:jc w:val="center"/>
              <w:rPr>
                <w:rFonts w:ascii="Times New Roman" w:hAnsi="Times New Roman" w:cs="Times New Roman" w:eastAsia="Times New Roman" w:hint="default"/>
                <w:sz w:val="18"/>
                <w:szCs w:val="18"/>
              </w:rPr>
            </w:pPr>
            <w:r>
              <w:rPr>
                <w:rFonts w:ascii="Times New Roman"/>
                <w:sz w:val="18"/>
              </w:rPr>
              <w:t>104,100,000.00</w:t>
            </w:r>
          </w:p>
        </w:tc>
      </w:tr>
    </w:tbl>
    <w:p>
      <w:pPr>
        <w:spacing w:line="240" w:lineRule="auto" w:before="3"/>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1）对子公司投资" w:id="500"/>
      <w:bookmarkEnd w:id="50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）对子公司投资</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448"/>
        <w:gridCol w:w="1336"/>
        <w:gridCol w:w="1336"/>
        <w:gridCol w:w="1334"/>
        <w:gridCol w:w="1336"/>
        <w:gridCol w:w="1389"/>
        <w:gridCol w:w="1390"/>
      </w:tblGrid>
      <w:tr>
        <w:trPr>
          <w:trHeight w:val="714"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268" w:right="0"/>
              <w:jc w:val="left"/>
              <w:rPr>
                <w:rFonts w:ascii="宋体" w:hAnsi="宋体" w:cs="宋体" w:eastAsia="宋体" w:hint="default"/>
                <w:sz w:val="18"/>
                <w:szCs w:val="18"/>
              </w:rPr>
            </w:pPr>
            <w:r>
              <w:rPr>
                <w:rFonts w:ascii="宋体" w:hAnsi="宋体" w:cs="宋体" w:eastAsia="宋体" w:hint="default"/>
                <w:sz w:val="18"/>
                <w:szCs w:val="18"/>
              </w:rPr>
              <w:t>被投资单位</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
              <w:jc w:val="center"/>
              <w:rPr>
                <w:rFonts w:ascii="宋体" w:hAnsi="宋体" w:cs="宋体" w:eastAsia="宋体" w:hint="default"/>
                <w:sz w:val="18"/>
                <w:szCs w:val="18"/>
              </w:rPr>
            </w:pPr>
            <w:r>
              <w:rPr>
                <w:rFonts w:ascii="宋体" w:hAnsi="宋体" w:cs="宋体" w:eastAsia="宋体" w:hint="default"/>
                <w:sz w:val="18"/>
                <w:szCs w:val="18"/>
              </w:rPr>
              <w:t>期初余额</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本期增加</w:t>
            </w:r>
          </w:p>
        </w:tc>
        <w:tc>
          <w:tcPr>
            <w:tcW w:w="133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本期减少</w:t>
            </w:r>
          </w:p>
        </w:tc>
        <w:tc>
          <w:tcPr>
            <w:tcW w:w="133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302"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138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09" w:right="148" w:hanging="361"/>
              <w:jc w:val="left"/>
              <w:rPr>
                <w:rFonts w:ascii="宋体" w:hAnsi="宋体" w:cs="宋体" w:eastAsia="宋体" w:hint="default"/>
                <w:sz w:val="18"/>
                <w:szCs w:val="18"/>
              </w:rPr>
            </w:pPr>
            <w:r>
              <w:rPr>
                <w:rFonts w:ascii="宋体" w:hAnsi="宋体" w:cs="宋体" w:eastAsia="宋体" w:hint="default"/>
                <w:sz w:val="18"/>
                <w:szCs w:val="18"/>
              </w:rPr>
              <w:t>本期计提减值 准备</w:t>
            </w:r>
          </w:p>
        </w:tc>
        <w:tc>
          <w:tcPr>
            <w:tcW w:w="1390"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1"/>
              <w:ind w:left="508" w:right="149" w:hanging="360"/>
              <w:jc w:val="left"/>
              <w:rPr>
                <w:rFonts w:ascii="宋体" w:hAnsi="宋体" w:cs="宋体" w:eastAsia="宋体" w:hint="default"/>
                <w:sz w:val="18"/>
                <w:szCs w:val="18"/>
              </w:rPr>
            </w:pPr>
            <w:r>
              <w:rPr>
                <w:rFonts w:ascii="宋体" w:hAnsi="宋体" w:cs="宋体" w:eastAsia="宋体" w:hint="default"/>
                <w:sz w:val="18"/>
                <w:szCs w:val="18"/>
              </w:rPr>
              <w:t>减值准备期末 余额</w:t>
            </w: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2"/>
              <w:jc w:val="left"/>
              <w:rPr>
                <w:rFonts w:ascii="宋体" w:hAnsi="宋体" w:cs="宋体" w:eastAsia="宋体" w:hint="default"/>
                <w:sz w:val="18"/>
                <w:szCs w:val="18"/>
              </w:rPr>
            </w:pPr>
            <w:r>
              <w:rPr>
                <w:rFonts w:ascii="宋体" w:hAnsi="宋体" w:cs="宋体" w:eastAsia="宋体" w:hint="default"/>
                <w:sz w:val="18"/>
                <w:szCs w:val="18"/>
              </w:rPr>
              <w:t>上海金档信息 技术有限公司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5" w:right="0"/>
              <w:jc w:val="center"/>
              <w:rPr>
                <w:rFonts w:ascii="Times New Roman" w:hAnsi="Times New Roman" w:cs="Times New Roman" w:eastAsia="Times New Roman" w:hint="default"/>
                <w:sz w:val="18"/>
                <w:szCs w:val="18"/>
              </w:rPr>
            </w:pPr>
            <w:r>
              <w:rPr>
                <w:rFonts w:ascii="Times New Roman"/>
                <w:sz w:val="18"/>
              </w:rPr>
              <w:t>15,000,000.00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15,000,000.00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2"/>
              <w:jc w:val="left"/>
              <w:rPr>
                <w:rFonts w:ascii="宋体" w:hAnsi="宋体" w:cs="宋体" w:eastAsia="宋体" w:hint="default"/>
                <w:sz w:val="18"/>
                <w:szCs w:val="18"/>
              </w:rPr>
            </w:pPr>
            <w:r>
              <w:rPr>
                <w:rFonts w:ascii="宋体" w:hAnsi="宋体" w:cs="宋体" w:eastAsia="宋体" w:hint="default"/>
                <w:sz w:val="18"/>
                <w:szCs w:val="18"/>
              </w:rPr>
              <w:t>光典信息发展 有限公司</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85" w:right="0"/>
              <w:jc w:val="center"/>
              <w:rPr>
                <w:rFonts w:ascii="Times New Roman" w:hAnsi="Times New Roman" w:cs="Times New Roman" w:eastAsia="Times New Roman" w:hint="default"/>
                <w:sz w:val="18"/>
                <w:szCs w:val="18"/>
              </w:rPr>
            </w:pPr>
            <w:r>
              <w:rPr>
                <w:rFonts w:ascii="Times New Roman"/>
                <w:sz w:val="18"/>
              </w:rPr>
              <w:t>89,100,000.00</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89,100,000.00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2"/>
              <w:jc w:val="left"/>
              <w:rPr>
                <w:rFonts w:ascii="宋体" w:hAnsi="宋体" w:cs="宋体" w:eastAsia="宋体" w:hint="default"/>
                <w:sz w:val="18"/>
                <w:szCs w:val="18"/>
              </w:rPr>
            </w:pPr>
            <w:r>
              <w:rPr>
                <w:rFonts w:ascii="宋体" w:hAnsi="宋体" w:cs="宋体" w:eastAsia="宋体" w:hint="default"/>
                <w:sz w:val="18"/>
                <w:szCs w:val="18"/>
              </w:rPr>
              <w:t>信发资产管理 有限责任公司</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7" w:right="0"/>
              <w:jc w:val="left"/>
              <w:rPr>
                <w:rFonts w:ascii="Times New Roman" w:hAnsi="Times New Roman" w:cs="Times New Roman" w:eastAsia="Times New Roman" w:hint="default"/>
                <w:sz w:val="18"/>
                <w:szCs w:val="18"/>
              </w:rPr>
            </w:pPr>
            <w:r>
              <w:rPr>
                <w:rFonts w:ascii="Times New Roman"/>
                <w:sz w:val="18"/>
              </w:rPr>
              <w:t>2,000,000.00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2,000,000.00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tcPr>
          <w:p>
            <w:pPr>
              <w:pStyle w:val="TableParagraph"/>
              <w:spacing w:line="316" w:lineRule="auto" w:before="51"/>
              <w:ind w:left="103" w:right="252"/>
              <w:jc w:val="left"/>
              <w:rPr>
                <w:rFonts w:ascii="宋体" w:hAnsi="宋体" w:cs="宋体" w:eastAsia="宋体" w:hint="default"/>
                <w:sz w:val="18"/>
                <w:szCs w:val="18"/>
              </w:rPr>
            </w:pPr>
            <w:r>
              <w:rPr>
                <w:rFonts w:ascii="宋体" w:hAnsi="宋体" w:cs="宋体" w:eastAsia="宋体" w:hint="default"/>
                <w:sz w:val="18"/>
                <w:szCs w:val="18"/>
              </w:rPr>
              <w:t>智秾信息发展 股份有限公司</w:t>
            </w:r>
          </w:p>
        </w:tc>
        <w:tc>
          <w:tcPr>
            <w:tcW w:w="1336"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144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0"/>
              <w:jc w:val="right"/>
              <w:rPr>
                <w:rFonts w:ascii="Times New Roman" w:hAnsi="Times New Roman" w:cs="Times New Roman" w:eastAsia="Times New Roman" w:hint="default"/>
                <w:sz w:val="18"/>
                <w:szCs w:val="18"/>
              </w:rPr>
            </w:pPr>
            <w:r>
              <w:rPr>
                <w:rFonts w:ascii="Times New Roman"/>
                <w:spacing w:val="-1"/>
                <w:sz w:val="18"/>
              </w:rPr>
              <w:t>104,100,000.0</w:t>
            </w:r>
          </w:p>
          <w:p>
            <w:pPr>
              <w:pStyle w:val="TableParagraph"/>
              <w:spacing w:line="240" w:lineRule="auto" w:before="105"/>
              <w:ind w:right="101"/>
              <w:jc w:val="right"/>
              <w:rPr>
                <w:rFonts w:ascii="Times New Roman" w:hAnsi="Times New Roman" w:cs="Times New Roman" w:eastAsia="Times New Roman" w:hint="default"/>
                <w:sz w:val="18"/>
                <w:szCs w:val="18"/>
              </w:rPr>
            </w:pPr>
            <w:r>
              <w:rPr>
                <w:rFonts w:ascii="Times New Roman"/>
                <w:sz w:val="18"/>
              </w:rPr>
              <w:t>0</w:t>
            </w: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left="277" w:right="0"/>
              <w:jc w:val="left"/>
              <w:rPr>
                <w:rFonts w:ascii="Times New Roman" w:hAnsi="Times New Roman" w:cs="Times New Roman" w:eastAsia="Times New Roman" w:hint="default"/>
                <w:sz w:val="18"/>
                <w:szCs w:val="18"/>
              </w:rPr>
            </w:pPr>
            <w:r>
              <w:rPr>
                <w:rFonts w:ascii="Times New Roman"/>
                <w:sz w:val="18"/>
              </w:rPr>
              <w:t>2,000,000.00</w:t>
            </w:r>
          </w:p>
        </w:tc>
        <w:tc>
          <w:tcPr>
            <w:tcW w:w="1334" w:type="dxa"/>
            <w:tcBorders>
              <w:top w:val="single" w:sz="4" w:space="0" w:color="000000"/>
              <w:left w:val="single" w:sz="4" w:space="0" w:color="000000"/>
              <w:bottom w:val="single" w:sz="4" w:space="0" w:color="000000"/>
              <w:right w:val="single" w:sz="4" w:space="0" w:color="000000"/>
            </w:tcBorders>
          </w:tcPr>
          <w:p>
            <w:pPr/>
          </w:p>
        </w:tc>
        <w:tc>
          <w:tcPr>
            <w:tcW w:w="133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right="101"/>
              <w:jc w:val="right"/>
              <w:rPr>
                <w:rFonts w:ascii="Times New Roman" w:hAnsi="Times New Roman" w:cs="Times New Roman" w:eastAsia="Times New Roman" w:hint="default"/>
                <w:sz w:val="18"/>
                <w:szCs w:val="18"/>
              </w:rPr>
            </w:pPr>
            <w:r>
              <w:rPr>
                <w:rFonts w:ascii="Times New Roman"/>
                <w:spacing w:val="-1"/>
                <w:sz w:val="18"/>
              </w:rPr>
              <w:t>106,100,000.0</w:t>
            </w:r>
          </w:p>
          <w:p>
            <w:pPr>
              <w:pStyle w:val="TableParagraph"/>
              <w:spacing w:line="240" w:lineRule="auto" w:before="105"/>
              <w:ind w:right="102"/>
              <w:jc w:val="right"/>
              <w:rPr>
                <w:rFonts w:ascii="Times New Roman" w:hAnsi="Times New Roman" w:cs="Times New Roman" w:eastAsia="Times New Roman" w:hint="default"/>
                <w:sz w:val="18"/>
                <w:szCs w:val="18"/>
              </w:rPr>
            </w:pPr>
            <w:r>
              <w:rPr>
                <w:rFonts w:ascii="Times New Roman"/>
                <w:sz w:val="18"/>
              </w:rPr>
              <w:t>0</w:t>
            </w:r>
          </w:p>
        </w:tc>
        <w:tc>
          <w:tcPr>
            <w:tcW w:w="1389" w:type="dxa"/>
            <w:tcBorders>
              <w:top w:val="single" w:sz="4" w:space="0" w:color="000000"/>
              <w:left w:val="single" w:sz="4" w:space="0" w:color="000000"/>
              <w:bottom w:val="single" w:sz="4" w:space="0" w:color="000000"/>
              <w:right w:val="single" w:sz="4" w:space="0" w:color="000000"/>
            </w:tcBorders>
          </w:tcPr>
          <w:p>
            <w:pPr/>
          </w:p>
        </w:tc>
        <w:tc>
          <w:tcPr>
            <w:tcW w:w="1390" w:type="dxa"/>
            <w:tcBorders>
              <w:top w:val="single" w:sz="4" w:space="0" w:color="000000"/>
              <w:left w:val="single" w:sz="4" w:space="0" w:color="000000"/>
              <w:bottom w:val="single" w:sz="4" w:space="0" w:color="000000"/>
              <w:right w:val="single" w:sz="4" w:space="0" w:color="000000"/>
            </w:tcBorders>
          </w:tcPr>
          <w:p>
            <w:pPr/>
          </w:p>
        </w:tc>
      </w:tr>
    </w:tbl>
    <w:p>
      <w:pPr>
        <w:spacing w:line="240" w:lineRule="auto" w:before="3"/>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2）对联营、合营企业投资" w:id="501"/>
      <w:bookmarkEnd w:id="50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）对联营、合营企业投资</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796"/>
        <w:gridCol w:w="798"/>
        <w:gridCol w:w="797"/>
        <w:gridCol w:w="798"/>
        <w:gridCol w:w="798"/>
        <w:gridCol w:w="798"/>
        <w:gridCol w:w="798"/>
        <w:gridCol w:w="798"/>
        <w:gridCol w:w="798"/>
        <w:gridCol w:w="798"/>
        <w:gridCol w:w="798"/>
        <w:gridCol w:w="798"/>
      </w:tblGrid>
      <w:tr>
        <w:trPr>
          <w:trHeight w:val="402" w:hRule="exact"/>
        </w:trPr>
        <w:tc>
          <w:tcPr>
            <w:tcW w:w="796"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319" w:lineRule="auto"/>
              <w:ind w:left="302" w:right="123" w:hanging="180"/>
              <w:jc w:val="left"/>
              <w:rPr>
                <w:rFonts w:ascii="宋体" w:hAnsi="宋体" w:cs="宋体" w:eastAsia="宋体" w:hint="default"/>
                <w:sz w:val="18"/>
                <w:szCs w:val="18"/>
              </w:rPr>
            </w:pPr>
            <w:r>
              <w:rPr>
                <w:rFonts w:ascii="宋体" w:hAnsi="宋体" w:cs="宋体" w:eastAsia="宋体" w:hint="default"/>
                <w:sz w:val="18"/>
                <w:szCs w:val="18"/>
              </w:rPr>
              <w:t>投资单 位</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319"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期初余 额</w:t>
            </w:r>
          </w:p>
        </w:tc>
        <w:tc>
          <w:tcPr>
            <w:tcW w:w="6384" w:type="dxa"/>
            <w:gridSpan w:val="8"/>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本期增减变动</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5"/>
                <w:szCs w:val="25"/>
              </w:rPr>
            </w:pPr>
          </w:p>
          <w:p>
            <w:pPr>
              <w:pStyle w:val="TableParagraph"/>
              <w:spacing w:line="319" w:lineRule="auto"/>
              <w:ind w:left="303" w:right="122" w:hanging="180"/>
              <w:jc w:val="left"/>
              <w:rPr>
                <w:rFonts w:ascii="宋体" w:hAnsi="宋体" w:cs="宋体" w:eastAsia="宋体" w:hint="default"/>
                <w:sz w:val="18"/>
                <w:szCs w:val="18"/>
              </w:rPr>
            </w:pPr>
            <w:r>
              <w:rPr>
                <w:rFonts w:ascii="宋体" w:hAnsi="宋体" w:cs="宋体" w:eastAsia="宋体" w:hint="default"/>
                <w:sz w:val="18"/>
                <w:szCs w:val="18"/>
              </w:rPr>
              <w:t>期末余 额</w:t>
            </w:r>
          </w:p>
        </w:tc>
        <w:tc>
          <w:tcPr>
            <w:tcW w:w="798"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13"/>
                <w:szCs w:val="13"/>
              </w:rPr>
            </w:pPr>
          </w:p>
          <w:p>
            <w:pPr>
              <w:pStyle w:val="TableParagraph"/>
              <w:spacing w:line="319" w:lineRule="auto"/>
              <w:ind w:left="123" w:right="122"/>
              <w:jc w:val="both"/>
              <w:rPr>
                <w:rFonts w:ascii="宋体" w:hAnsi="宋体" w:cs="宋体" w:eastAsia="宋体" w:hint="default"/>
                <w:sz w:val="18"/>
                <w:szCs w:val="18"/>
              </w:rPr>
            </w:pPr>
            <w:r>
              <w:rPr>
                <w:rFonts w:ascii="宋体" w:hAnsi="宋体" w:cs="宋体" w:eastAsia="宋体" w:hint="default"/>
                <w:sz w:val="18"/>
                <w:szCs w:val="18"/>
              </w:rPr>
              <w:t>减值准 备期末 余额</w:t>
            </w:r>
          </w:p>
        </w:tc>
      </w:tr>
      <w:tr>
        <w:trPr>
          <w:trHeight w:val="1338" w:hRule="exact"/>
        </w:trPr>
        <w:tc>
          <w:tcPr>
            <w:tcW w:w="796"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c>
          <w:tcPr>
            <w:tcW w:w="797"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02" w:right="122" w:hanging="180"/>
              <w:jc w:val="left"/>
              <w:rPr>
                <w:rFonts w:ascii="宋体" w:hAnsi="宋体" w:cs="宋体" w:eastAsia="宋体" w:hint="default"/>
                <w:sz w:val="18"/>
                <w:szCs w:val="18"/>
              </w:rPr>
            </w:pPr>
            <w:r>
              <w:rPr>
                <w:rFonts w:ascii="宋体" w:hAnsi="宋体" w:cs="宋体" w:eastAsia="宋体" w:hint="default"/>
                <w:sz w:val="18"/>
                <w:szCs w:val="18"/>
              </w:rPr>
              <w:t>追加投 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303" w:right="122" w:hanging="180"/>
              <w:jc w:val="left"/>
              <w:rPr>
                <w:rFonts w:ascii="宋体" w:hAnsi="宋体" w:cs="宋体" w:eastAsia="宋体" w:hint="default"/>
                <w:sz w:val="18"/>
                <w:szCs w:val="18"/>
              </w:rPr>
            </w:pPr>
            <w:r>
              <w:rPr>
                <w:rFonts w:ascii="宋体" w:hAnsi="宋体" w:cs="宋体" w:eastAsia="宋体" w:hint="default"/>
                <w:sz w:val="18"/>
                <w:szCs w:val="18"/>
              </w:rPr>
              <w:t>减少投 资</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23" w:right="123"/>
              <w:jc w:val="both"/>
              <w:rPr>
                <w:rFonts w:ascii="宋体" w:hAnsi="宋体" w:cs="宋体" w:eastAsia="宋体" w:hint="default"/>
                <w:sz w:val="18"/>
                <w:szCs w:val="18"/>
              </w:rPr>
            </w:pPr>
            <w:r>
              <w:rPr>
                <w:rFonts w:ascii="宋体" w:hAnsi="宋体" w:cs="宋体" w:eastAsia="宋体" w:hint="default"/>
                <w:sz w:val="18"/>
                <w:szCs w:val="18"/>
              </w:rPr>
              <w:t>权益法 下确认 的投资 损益</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12"/>
              <w:ind w:right="0"/>
              <w:jc w:val="left"/>
              <w:rPr>
                <w:rFonts w:ascii="宋体" w:hAnsi="宋体" w:cs="宋体" w:eastAsia="宋体" w:hint="default"/>
                <w:sz w:val="15"/>
                <w:szCs w:val="15"/>
              </w:rPr>
            </w:pPr>
          </w:p>
          <w:p>
            <w:pPr>
              <w:pStyle w:val="TableParagraph"/>
              <w:spacing w:line="316" w:lineRule="auto"/>
              <w:ind w:left="123" w:right="122"/>
              <w:jc w:val="both"/>
              <w:rPr>
                <w:rFonts w:ascii="宋体" w:hAnsi="宋体" w:cs="宋体" w:eastAsia="宋体" w:hint="default"/>
                <w:sz w:val="18"/>
                <w:szCs w:val="18"/>
              </w:rPr>
            </w:pPr>
            <w:r>
              <w:rPr>
                <w:rFonts w:ascii="宋体" w:hAnsi="宋体" w:cs="宋体" w:eastAsia="宋体" w:hint="default"/>
                <w:sz w:val="18"/>
                <w:szCs w:val="18"/>
              </w:rPr>
              <w:t>其他综 合收益 调整</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23" w:right="122"/>
              <w:jc w:val="left"/>
              <w:rPr>
                <w:rFonts w:ascii="宋体" w:hAnsi="宋体" w:cs="宋体" w:eastAsia="宋体" w:hint="default"/>
                <w:sz w:val="18"/>
                <w:szCs w:val="18"/>
              </w:rPr>
            </w:pPr>
            <w:r>
              <w:rPr>
                <w:rFonts w:ascii="宋体" w:hAnsi="宋体" w:cs="宋体" w:eastAsia="宋体" w:hint="default"/>
                <w:sz w:val="18"/>
                <w:szCs w:val="18"/>
              </w:rPr>
              <w:t>其他权 益变动</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23" w:right="122"/>
              <w:jc w:val="both"/>
              <w:rPr>
                <w:rFonts w:ascii="宋体" w:hAnsi="宋体" w:cs="宋体" w:eastAsia="宋体" w:hint="default"/>
                <w:sz w:val="18"/>
                <w:szCs w:val="18"/>
              </w:rPr>
            </w:pPr>
            <w:r>
              <w:rPr>
                <w:rFonts w:ascii="宋体" w:hAnsi="宋体" w:cs="宋体" w:eastAsia="宋体" w:hint="default"/>
                <w:sz w:val="18"/>
                <w:szCs w:val="18"/>
              </w:rPr>
              <w:t>宣告发 放现金 股利或 利润</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316" w:lineRule="auto" w:before="128"/>
              <w:ind w:left="123" w:right="123"/>
              <w:jc w:val="left"/>
              <w:rPr>
                <w:rFonts w:ascii="宋体" w:hAnsi="宋体" w:cs="宋体" w:eastAsia="宋体" w:hint="default"/>
                <w:sz w:val="18"/>
                <w:szCs w:val="18"/>
              </w:rPr>
            </w:pPr>
            <w:r>
              <w:rPr>
                <w:rFonts w:ascii="宋体" w:hAnsi="宋体" w:cs="宋体" w:eastAsia="宋体" w:hint="default"/>
                <w:sz w:val="18"/>
                <w:szCs w:val="18"/>
              </w:rPr>
              <w:t>计提减 值准备</w:t>
            </w:r>
          </w:p>
        </w:tc>
        <w:tc>
          <w:tcPr>
            <w:tcW w:w="79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1"/>
                <w:szCs w:val="21"/>
              </w:rPr>
            </w:pPr>
          </w:p>
          <w:p>
            <w:pPr>
              <w:pStyle w:val="TableParagraph"/>
              <w:spacing w:line="240" w:lineRule="auto"/>
              <w:ind w:left="21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798" w:type="dxa"/>
            <w:vMerge/>
            <w:tcBorders>
              <w:left w:val="single" w:sz="4" w:space="0" w:color="000000"/>
              <w:bottom w:val="single" w:sz="4" w:space="0" w:color="000000"/>
              <w:right w:val="single" w:sz="4" w:space="0" w:color="000000"/>
            </w:tcBorders>
            <w:shd w:val="clear" w:color="auto" w:fill="D2D2D2"/>
          </w:tcPr>
          <w:p>
            <w:pPr/>
          </w:p>
        </w:tc>
        <w:tc>
          <w:tcPr>
            <w:tcW w:w="798" w:type="dxa"/>
            <w:vMerge/>
            <w:tcBorders>
              <w:left w:val="single" w:sz="4" w:space="0" w:color="000000"/>
              <w:bottom w:val="single" w:sz="4" w:space="0" w:color="000000"/>
              <w:right w:val="single" w:sz="4" w:space="0" w:color="000000"/>
            </w:tcBorders>
            <w:shd w:val="clear" w:color="auto" w:fill="D2D2D2"/>
          </w:tcPr>
          <w:p>
            <w:pP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一、合营企业</w:t>
            </w:r>
          </w:p>
        </w:tc>
      </w:tr>
      <w:tr>
        <w:trPr>
          <w:trHeight w:val="402" w:hRule="exact"/>
        </w:trPr>
        <w:tc>
          <w:tcPr>
            <w:tcW w:w="9574" w:type="dxa"/>
            <w:gridSpan w:val="1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二、联营企业</w:t>
            </w:r>
          </w:p>
        </w:tc>
      </w:tr>
    </w:tbl>
    <w:p>
      <w:pPr>
        <w:spacing w:line="240" w:lineRule="auto" w:before="3"/>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3）其他说明" w:id="502"/>
      <w:bookmarkEnd w:id="50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）其他说明</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4、营业收入和营业成本" w:id="503"/>
      <w:bookmarkEnd w:id="503"/>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、营业收入和营业成本</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1994"/>
        <w:gridCol w:w="1838"/>
        <w:gridCol w:w="1913"/>
        <w:gridCol w:w="1913"/>
        <w:gridCol w:w="1913"/>
      </w:tblGrid>
      <w:tr>
        <w:trPr>
          <w:trHeight w:val="402" w:hRule="exact"/>
        </w:trPr>
        <w:tc>
          <w:tcPr>
            <w:tcW w:w="1994"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751"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8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r>
        <w:trPr>
          <w:trHeight w:val="401" w:hRule="exact"/>
        </w:trPr>
        <w:tc>
          <w:tcPr>
            <w:tcW w:w="1994" w:type="dxa"/>
            <w:vMerge/>
            <w:tcBorders>
              <w:left w:val="single" w:sz="4" w:space="0" w:color="000000"/>
              <w:bottom w:val="single" w:sz="4" w:space="0" w:color="000000"/>
              <w:right w:val="single" w:sz="4" w:space="0" w:color="000000"/>
            </w:tcBorders>
            <w:shd w:val="clear" w:color="auto" w:fill="D2D2D2"/>
          </w:tcPr>
          <w:p>
            <w:pPr/>
          </w:p>
        </w:tc>
        <w:tc>
          <w:tcPr>
            <w:tcW w:w="1838"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收入</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成本</w:t>
            </w:r>
          </w:p>
        </w:tc>
      </w:tr>
      <w:tr>
        <w:trPr>
          <w:trHeight w:val="403" w:hRule="exact"/>
        </w:trPr>
        <w:tc>
          <w:tcPr>
            <w:tcW w:w="1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主营业务</w:t>
            </w:r>
          </w:p>
        </w:tc>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00" w:right="0"/>
              <w:jc w:val="left"/>
              <w:rPr>
                <w:rFonts w:ascii="Times New Roman" w:hAnsi="Times New Roman" w:cs="Times New Roman" w:eastAsia="Times New Roman" w:hint="default"/>
                <w:sz w:val="18"/>
                <w:szCs w:val="18"/>
              </w:rPr>
            </w:pPr>
            <w:r>
              <w:rPr>
                <w:rFonts w:ascii="Times New Roman"/>
                <w:sz w:val="18"/>
              </w:rPr>
              <w:t>666,588,254.82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74" w:right="0"/>
              <w:jc w:val="left"/>
              <w:rPr>
                <w:rFonts w:ascii="Times New Roman" w:hAnsi="Times New Roman" w:cs="Times New Roman" w:eastAsia="Times New Roman" w:hint="default"/>
                <w:sz w:val="18"/>
                <w:szCs w:val="18"/>
              </w:rPr>
            </w:pPr>
            <w:r>
              <w:rPr>
                <w:rFonts w:ascii="Times New Roman"/>
                <w:sz w:val="18"/>
              </w:rPr>
              <w:t>502,750,621.43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75" w:right="0"/>
              <w:jc w:val="left"/>
              <w:rPr>
                <w:rFonts w:ascii="Times New Roman" w:hAnsi="Times New Roman" w:cs="Times New Roman" w:eastAsia="Times New Roman" w:hint="default"/>
                <w:sz w:val="18"/>
                <w:szCs w:val="18"/>
              </w:rPr>
            </w:pPr>
            <w:r>
              <w:rPr>
                <w:rFonts w:ascii="Times New Roman"/>
                <w:sz w:val="18"/>
              </w:rPr>
              <w:t>535,993,844.97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left="675" w:right="0"/>
              <w:jc w:val="left"/>
              <w:rPr>
                <w:rFonts w:ascii="Times New Roman" w:hAnsi="Times New Roman" w:cs="Times New Roman" w:eastAsia="Times New Roman" w:hint="default"/>
                <w:sz w:val="18"/>
                <w:szCs w:val="18"/>
              </w:rPr>
            </w:pPr>
            <w:r>
              <w:rPr>
                <w:rFonts w:ascii="Times New Roman"/>
                <w:sz w:val="18"/>
              </w:rPr>
              <w:t>352,151,541.18</w:t>
            </w:r>
          </w:p>
        </w:tc>
      </w:tr>
    </w:tbl>
    <w:p>
      <w:pPr>
        <w:spacing w:after="0" w:line="240" w:lineRule="auto"/>
        <w:jc w:val="left"/>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9"/>
        <w:rPr>
          <w:rFonts w:ascii="宋体" w:hAnsi="宋体" w:cs="宋体" w:eastAsia="宋体" w:hint="default"/>
          <w:sz w:val="22"/>
          <w:szCs w:val="22"/>
        </w:rPr>
      </w:pPr>
    </w:p>
    <w:tbl>
      <w:tblPr>
        <w:tblW w:w="0" w:type="auto"/>
        <w:jc w:val="left"/>
        <w:tblInd w:w="109" w:type="dxa"/>
        <w:tblLayout w:type="fixed"/>
        <w:tblCellMar>
          <w:top w:w="0" w:type="dxa"/>
          <w:left w:w="0" w:type="dxa"/>
          <w:bottom w:w="0" w:type="dxa"/>
          <w:right w:w="0" w:type="dxa"/>
        </w:tblCellMar>
        <w:tblLook w:val="01E0"/>
      </w:tblPr>
      <w:tblGrid>
        <w:gridCol w:w="1994"/>
        <w:gridCol w:w="1838"/>
        <w:gridCol w:w="1913"/>
        <w:gridCol w:w="1913"/>
        <w:gridCol w:w="1913"/>
      </w:tblGrid>
      <w:tr>
        <w:trPr>
          <w:trHeight w:val="402" w:hRule="exact"/>
        </w:trPr>
        <w:tc>
          <w:tcPr>
            <w:tcW w:w="199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183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00" w:right="0"/>
              <w:jc w:val="left"/>
              <w:rPr>
                <w:rFonts w:ascii="Times New Roman" w:hAnsi="Times New Roman" w:cs="Times New Roman" w:eastAsia="Times New Roman" w:hint="default"/>
                <w:sz w:val="18"/>
                <w:szCs w:val="18"/>
              </w:rPr>
            </w:pPr>
            <w:r>
              <w:rPr>
                <w:rFonts w:ascii="Times New Roman"/>
                <w:sz w:val="18"/>
              </w:rPr>
              <w:t>666,588,254.82</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4" w:right="0"/>
              <w:jc w:val="left"/>
              <w:rPr>
                <w:rFonts w:ascii="Times New Roman" w:hAnsi="Times New Roman" w:cs="Times New Roman" w:eastAsia="Times New Roman" w:hint="default"/>
                <w:sz w:val="18"/>
                <w:szCs w:val="18"/>
              </w:rPr>
            </w:pPr>
            <w:r>
              <w:rPr>
                <w:rFonts w:ascii="Times New Roman"/>
                <w:sz w:val="18"/>
              </w:rPr>
              <w:t>502,750,621.43</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5" w:right="0"/>
              <w:jc w:val="left"/>
              <w:rPr>
                <w:rFonts w:ascii="Times New Roman" w:hAnsi="Times New Roman" w:cs="Times New Roman" w:eastAsia="Times New Roman" w:hint="default"/>
                <w:sz w:val="18"/>
                <w:szCs w:val="18"/>
              </w:rPr>
            </w:pPr>
            <w:r>
              <w:rPr>
                <w:rFonts w:ascii="Times New Roman"/>
                <w:sz w:val="18"/>
              </w:rPr>
              <w:t>535,993,844.97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1"/>
              <w:ind w:left="675" w:right="0"/>
              <w:jc w:val="left"/>
              <w:rPr>
                <w:rFonts w:ascii="Times New Roman" w:hAnsi="Times New Roman" w:cs="Times New Roman" w:eastAsia="Times New Roman" w:hint="default"/>
                <w:sz w:val="18"/>
                <w:szCs w:val="18"/>
              </w:rPr>
            </w:pPr>
            <w:r>
              <w:rPr>
                <w:rFonts w:ascii="Times New Roman"/>
                <w:sz w:val="18"/>
              </w:rPr>
              <w:t>352,151,541.18</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z w:val="18"/>
          <w:szCs w:val="18"/>
        </w:rPr>
        <w:t>其他说明：</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5、投资收益" w:id="504"/>
      <w:bookmarkEnd w:id="504"/>
      <w:r>
        <w:rPr/>
      </w:r>
      <w:r>
        <w:rPr>
          <w:rFonts w:ascii="Times New Roman" w:hAnsi="Times New Roman" w:cs="Times New Roman" w:eastAsia="Times New Roman" w:hint="default"/>
          <w:b/>
          <w:bCs/>
          <w:sz w:val="21"/>
          <w:szCs w:val="21"/>
        </w:rPr>
        <w:t>5</w:t>
      </w:r>
      <w:r>
        <w:rPr>
          <w:rFonts w:ascii="宋体" w:hAnsi="宋体" w:cs="宋体" w:eastAsia="宋体" w:hint="default"/>
          <w:b/>
          <w:bCs/>
          <w:sz w:val="21"/>
          <w:szCs w:val="21"/>
        </w:rPr>
        <w:t>、投资收益</w:t>
      </w:r>
      <w:r>
        <w:rPr>
          <w:rFonts w:ascii="宋体" w:hAnsi="宋体" w:cs="宋体" w:eastAsia="宋体" w:hint="default"/>
          <w:sz w:val="21"/>
          <w:szCs w:val="21"/>
        </w:rPr>
      </w:r>
    </w:p>
    <w:p>
      <w:pPr>
        <w:spacing w:line="240" w:lineRule="auto" w:before="4"/>
        <w:rPr>
          <w:rFonts w:ascii="宋体" w:hAnsi="宋体" w:cs="宋体" w:eastAsia="宋体" w:hint="default"/>
          <w:b/>
          <w:bCs/>
          <w:sz w:val="23"/>
          <w:szCs w:val="23"/>
        </w:rPr>
      </w:pPr>
    </w:p>
    <w:p>
      <w:pPr>
        <w:spacing w:before="44"/>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13"/>
        <w:rPr>
          <w:rFonts w:ascii="宋体" w:hAnsi="宋体" w:cs="宋体" w:eastAsia="宋体" w:hint="default"/>
          <w:sz w:val="7"/>
          <w:szCs w:val="7"/>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本期发生额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1"/>
              <w:ind w:right="0"/>
              <w:jc w:val="center"/>
              <w:rPr>
                <w:rFonts w:ascii="宋体" w:hAnsi="宋体" w:cs="宋体" w:eastAsia="宋体" w:hint="default"/>
                <w:sz w:val="18"/>
                <w:szCs w:val="18"/>
              </w:rPr>
            </w:pPr>
            <w:r>
              <w:rPr>
                <w:rFonts w:ascii="宋体" w:hAnsi="宋体" w:cs="宋体" w:eastAsia="宋体" w:hint="default"/>
                <w:sz w:val="18"/>
                <w:szCs w:val="18"/>
              </w:rPr>
              <w:t>上期发生额</w:t>
            </w:r>
          </w:p>
        </w:tc>
      </w:tr>
    </w:tbl>
    <w:p>
      <w:pPr>
        <w:spacing w:line="240" w:lineRule="auto" w:before="2"/>
        <w:rPr>
          <w:rFonts w:ascii="宋体" w:hAnsi="宋体" w:cs="宋体" w:eastAsia="宋体" w:hint="default"/>
          <w:sz w:val="19"/>
          <w:szCs w:val="19"/>
        </w:rPr>
      </w:pPr>
    </w:p>
    <w:p>
      <w:pPr>
        <w:spacing w:before="35"/>
        <w:ind w:left="114" w:right="0" w:firstLine="0"/>
        <w:jc w:val="left"/>
        <w:rPr>
          <w:rFonts w:ascii="宋体" w:hAnsi="宋体" w:cs="宋体" w:eastAsia="宋体" w:hint="default"/>
          <w:sz w:val="21"/>
          <w:szCs w:val="21"/>
        </w:rPr>
      </w:pPr>
      <w:bookmarkStart w:name="6、其他" w:id="505"/>
      <w:bookmarkEnd w:id="505"/>
      <w:r>
        <w:rPr/>
      </w:r>
      <w:r>
        <w:rPr>
          <w:rFonts w:ascii="Times New Roman" w:hAnsi="Times New Roman" w:cs="Times New Roman" w:eastAsia="Times New Roman" w:hint="default"/>
          <w:b/>
          <w:bCs/>
          <w:sz w:val="21"/>
          <w:szCs w:val="21"/>
        </w:rPr>
        <w:t>6</w:t>
      </w:r>
      <w:r>
        <w:rPr>
          <w:rFonts w:ascii="宋体" w:hAnsi="宋体" w:cs="宋体" w:eastAsia="宋体" w:hint="default"/>
          <w:b/>
          <w:bCs/>
          <w:sz w:val="21"/>
          <w:szCs w:val="21"/>
        </w:rPr>
        <w:t>、其他</w:t>
      </w:r>
      <w:r>
        <w:rPr>
          <w:rFonts w:ascii="宋体" w:hAnsi="宋体" w:cs="宋体" w:eastAsia="宋体" w:hint="default"/>
          <w:sz w:val="21"/>
          <w:szCs w:val="21"/>
        </w:rPr>
      </w:r>
    </w:p>
    <w:p>
      <w:pPr>
        <w:spacing w:line="240" w:lineRule="auto" w:before="12"/>
        <w:rPr>
          <w:rFonts w:ascii="宋体" w:hAnsi="宋体" w:cs="宋体" w:eastAsia="宋体" w:hint="default"/>
          <w:b/>
          <w:bCs/>
          <w:sz w:val="22"/>
          <w:szCs w:val="22"/>
        </w:rPr>
      </w:pPr>
    </w:p>
    <w:p>
      <w:pPr>
        <w:pStyle w:val="Heading4"/>
        <w:spacing w:line="240" w:lineRule="auto"/>
        <w:ind w:right="0"/>
        <w:jc w:val="left"/>
        <w:rPr>
          <w:b w:val="0"/>
          <w:bCs w:val="0"/>
        </w:rPr>
      </w:pPr>
      <w:bookmarkStart w:name="十八、补充资料" w:id="506"/>
      <w:bookmarkEnd w:id="506"/>
      <w:r>
        <w:rPr>
          <w:b w:val="0"/>
          <w:bCs w:val="0"/>
        </w:rPr>
      </w:r>
      <w:r>
        <w:rPr/>
        <w:t>十八、补充资料</w:t>
      </w:r>
      <w:r>
        <w:rPr>
          <w:b w:val="0"/>
          <w:bCs w:val="0"/>
        </w:rPr>
      </w:r>
    </w:p>
    <w:p>
      <w:pPr>
        <w:spacing w:line="240" w:lineRule="auto" w:before="9"/>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当期非经常性损益明细表" w:id="507"/>
      <w:bookmarkEnd w:id="507"/>
      <w:r>
        <w:rPr/>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、当期非经常性损益明细表</w:t>
      </w:r>
      <w:r>
        <w:rPr>
          <w:rFonts w:ascii="宋体" w:hAnsi="宋体" w:cs="宋体" w:eastAsia="宋体" w:hint="default"/>
          <w:sz w:val="21"/>
          <w:szCs w:val="21"/>
        </w:rPr>
      </w:r>
    </w:p>
    <w:p>
      <w:pPr>
        <w:spacing w:line="240" w:lineRule="auto" w:before="3"/>
        <w:rPr>
          <w:rFonts w:ascii="宋体" w:hAnsi="宋体" w:cs="宋体" w:eastAsia="宋体" w:hint="default"/>
          <w:b/>
          <w:bCs/>
          <w:sz w:val="23"/>
          <w:szCs w:val="23"/>
        </w:rPr>
      </w:pPr>
    </w:p>
    <w:p>
      <w:pPr>
        <w:spacing w:before="44"/>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before="116"/>
        <w:ind w:left="0" w:right="1130" w:firstLine="0"/>
        <w:jc w:val="right"/>
        <w:rPr>
          <w:rFonts w:ascii="宋体" w:hAnsi="宋体" w:cs="宋体" w:eastAsia="宋体" w:hint="default"/>
          <w:sz w:val="18"/>
          <w:szCs w:val="18"/>
        </w:rPr>
      </w:pPr>
      <w:r>
        <w:rPr>
          <w:rFonts w:ascii="宋体" w:hAnsi="宋体" w:cs="宋体" w:eastAsia="宋体" w:hint="default"/>
          <w:sz w:val="18"/>
          <w:szCs w:val="18"/>
        </w:rPr>
        <w:t>单位： 元</w:t>
      </w:r>
    </w:p>
    <w:p>
      <w:pPr>
        <w:spacing w:line="240" w:lineRule="auto" w:before="0"/>
        <w:rPr>
          <w:rFonts w:ascii="宋体" w:hAnsi="宋体" w:cs="宋体" w:eastAsia="宋体" w:hint="default"/>
          <w:sz w:val="8"/>
          <w:szCs w:val="8"/>
        </w:rPr>
      </w:pPr>
    </w:p>
    <w:tbl>
      <w:tblPr>
        <w:tblW w:w="0" w:type="auto"/>
        <w:jc w:val="left"/>
        <w:tblInd w:w="109" w:type="dxa"/>
        <w:tblLayout w:type="fixed"/>
        <w:tblCellMar>
          <w:top w:w="0" w:type="dxa"/>
          <w:left w:w="0" w:type="dxa"/>
          <w:bottom w:w="0" w:type="dxa"/>
          <w:right w:w="0" w:type="dxa"/>
        </w:tblCellMar>
        <w:tblLook w:val="01E0"/>
      </w:tblPr>
      <w:tblGrid>
        <w:gridCol w:w="3324"/>
        <w:gridCol w:w="3059"/>
        <w:gridCol w:w="3186"/>
      </w:tblGrid>
      <w:tr>
        <w:trPr>
          <w:trHeight w:val="401"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3059"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非流动资产处置损益</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42,373.26</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1026"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9" w:lineRule="auto" w:before="52"/>
              <w:ind w:left="103" w:right="149"/>
              <w:jc w:val="both"/>
              <w:rPr>
                <w:rFonts w:ascii="宋体" w:hAnsi="宋体" w:cs="宋体" w:eastAsia="宋体" w:hint="default"/>
                <w:sz w:val="18"/>
                <w:szCs w:val="18"/>
              </w:rPr>
            </w:pPr>
            <w:r>
              <w:rPr>
                <w:rFonts w:ascii="宋体" w:hAnsi="宋体" w:cs="宋体" w:eastAsia="宋体" w:hint="default"/>
                <w:sz w:val="18"/>
                <w:szCs w:val="18"/>
              </w:rPr>
              <w:t>计入当期损益的政府补助（与企业业务 密切相关，按照国家统一标准定额或定 量享受的政府补助除外）</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27,601,525.00</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714"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149"/>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 出</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w w:val="95"/>
                <w:sz w:val="18"/>
              </w:rPr>
              <w:t>-91,275.28</w:t>
            </w:r>
            <w:r>
              <w:rPr>
                <w:rFonts w:ascii="Times New Roman"/>
                <w:sz w:val="18"/>
              </w:rPr>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股份支付</w:t>
            </w:r>
          </w:p>
        </w:tc>
        <w:tc>
          <w:tcPr>
            <w:tcW w:w="3059" w:type="dxa"/>
            <w:tcBorders>
              <w:top w:val="single" w:sz="4" w:space="0" w:color="000000"/>
              <w:left w:val="single" w:sz="4" w:space="0" w:color="000000"/>
              <w:bottom w:val="single" w:sz="4" w:space="0" w:color="000000"/>
              <w:right w:val="single" w:sz="4" w:space="0" w:color="000000"/>
            </w:tcBorders>
          </w:tcPr>
          <w:p>
            <w:pP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减：所得税影响额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4,121,835.64</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2"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463" w:right="0"/>
              <w:jc w:val="left"/>
              <w:rPr>
                <w:rFonts w:ascii="宋体" w:hAnsi="宋体" w:cs="宋体" w:eastAsia="宋体" w:hint="default"/>
                <w:sz w:val="18"/>
                <w:szCs w:val="18"/>
              </w:rPr>
            </w:pPr>
            <w:r>
              <w:rPr>
                <w:rFonts w:ascii="宋体" w:hAnsi="宋体" w:cs="宋体" w:eastAsia="宋体" w:hint="default"/>
                <w:sz w:val="18"/>
                <w:szCs w:val="18"/>
              </w:rPr>
              <w:t>少数股东权益影响额</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z w:val="18"/>
              </w:rPr>
              <w:t>31,126.25</w:t>
            </w:r>
          </w:p>
        </w:tc>
        <w:tc>
          <w:tcPr>
            <w:tcW w:w="3186" w:type="dxa"/>
            <w:tcBorders>
              <w:top w:val="single" w:sz="4" w:space="0" w:color="000000"/>
              <w:left w:val="single" w:sz="4" w:space="0" w:color="000000"/>
              <w:bottom w:val="single" w:sz="4" w:space="0" w:color="000000"/>
              <w:right w:val="single" w:sz="4" w:space="0" w:color="000000"/>
            </w:tcBorders>
          </w:tcPr>
          <w:p>
            <w:pPr/>
          </w:p>
        </w:tc>
      </w:tr>
      <w:tr>
        <w:trPr>
          <w:trHeight w:val="403" w:hRule="exact"/>
        </w:trPr>
        <w:tc>
          <w:tcPr>
            <w:tcW w:w="3324"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z w:val="18"/>
                <w:szCs w:val="18"/>
              </w:rPr>
              <w:t>合计</w:t>
            </w:r>
          </w:p>
        </w:tc>
        <w:tc>
          <w:tcPr>
            <w:tcW w:w="305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2"/>
              <w:ind w:right="100"/>
              <w:jc w:val="right"/>
              <w:rPr>
                <w:rFonts w:ascii="Times New Roman" w:hAnsi="Times New Roman" w:cs="Times New Roman" w:eastAsia="Times New Roman" w:hint="default"/>
                <w:sz w:val="18"/>
                <w:szCs w:val="18"/>
              </w:rPr>
            </w:pPr>
            <w:r>
              <w:rPr>
                <w:rFonts w:ascii="Times New Roman"/>
                <w:spacing w:val="-1"/>
                <w:sz w:val="18"/>
              </w:rPr>
              <w:t>23,399,661.09</w:t>
            </w:r>
          </w:p>
        </w:tc>
        <w:tc>
          <w:tcPr>
            <w:tcW w:w="3186"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92"/>
              <w:ind w:right="0"/>
              <w:jc w:val="center"/>
              <w:rPr>
                <w:rFonts w:ascii="Times New Roman" w:hAnsi="Times New Roman" w:cs="Times New Roman" w:eastAsia="Times New Roman" w:hint="default"/>
                <w:sz w:val="18"/>
                <w:szCs w:val="18"/>
              </w:rPr>
            </w:pPr>
            <w:r>
              <w:rPr>
                <w:rFonts w:ascii="Times New Roman"/>
                <w:sz w:val="18"/>
              </w:rPr>
              <w:t>--</w:t>
            </w:r>
          </w:p>
        </w:tc>
      </w:tr>
    </w:tbl>
    <w:p>
      <w:pPr>
        <w:spacing w:before="51"/>
        <w:ind w:left="114" w:right="0" w:firstLine="0"/>
        <w:jc w:val="left"/>
        <w:rPr>
          <w:rFonts w:ascii="宋体" w:hAnsi="宋体" w:cs="宋体" w:eastAsia="宋体" w:hint="default"/>
          <w:sz w:val="18"/>
          <w:szCs w:val="18"/>
        </w:rPr>
      </w:pPr>
      <w:r>
        <w:rPr>
          <w:rFonts w:ascii="宋体" w:hAnsi="宋体" w:cs="宋体" w:eastAsia="宋体" w:hint="default"/>
          <w:spacing w:val="-3"/>
          <w:sz w:val="18"/>
          <w:szCs w:val="18"/>
        </w:rPr>
        <w:t>对公司根据《公开发行证券的公司信息披露解释性公告第</w:t>
      </w:r>
      <w:r>
        <w:rPr>
          <w:rFonts w:ascii="宋体" w:hAnsi="宋体" w:cs="宋体" w:eastAsia="宋体" w:hint="default"/>
          <w:spacing w:val="-39"/>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5"/>
          <w:sz w:val="18"/>
          <w:szCs w:val="18"/>
        </w:rPr>
        <w:t> </w:t>
      </w:r>
      <w:r>
        <w:rPr>
          <w:rFonts w:ascii="宋体" w:hAnsi="宋体" w:cs="宋体" w:eastAsia="宋体" w:hint="default"/>
          <w:spacing w:val="-7"/>
          <w:sz w:val="18"/>
          <w:szCs w:val="18"/>
        </w:rPr>
        <w:t>号——非经常性损益》定义界定的非经常性损益项目，以及把《公</w:t>
      </w:r>
    </w:p>
    <w:p>
      <w:pPr>
        <w:spacing w:line="302" w:lineRule="auto" w:before="61"/>
        <w:ind w:left="114" w:right="1118" w:firstLine="0"/>
        <w:jc w:val="left"/>
        <w:rPr>
          <w:rFonts w:ascii="宋体" w:hAnsi="宋体" w:cs="宋体" w:eastAsia="宋体" w:hint="default"/>
          <w:sz w:val="18"/>
          <w:szCs w:val="18"/>
        </w:rPr>
      </w:pPr>
      <w:r>
        <w:rPr>
          <w:rFonts w:ascii="宋体" w:hAnsi="宋体" w:cs="宋体" w:eastAsia="宋体" w:hint="default"/>
          <w:sz w:val="18"/>
          <w:szCs w:val="18"/>
        </w:rPr>
        <w:t>开发行证券的公司信息披露解释性公告第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6"/>
          <w:sz w:val="18"/>
          <w:szCs w:val="18"/>
        </w:rPr>
        <w:t> </w:t>
      </w:r>
      <w:r>
        <w:rPr>
          <w:rFonts w:ascii="宋体" w:hAnsi="宋体" w:cs="宋体" w:eastAsia="宋体" w:hint="default"/>
          <w:spacing w:val="-3"/>
          <w:sz w:val="18"/>
          <w:szCs w:val="18"/>
        </w:rPr>
        <w:t>号——非经常性损益》中列举的非经常性损益项目界定为经常性损益的项目，应</w:t>
      </w:r>
      <w:r>
        <w:rPr>
          <w:rFonts w:ascii="宋体" w:hAnsi="宋体" w:cs="宋体" w:eastAsia="宋体" w:hint="default"/>
          <w:sz w:val="18"/>
          <w:szCs w:val="18"/>
        </w:rPr>
        <w:t> 说明原因。</w:t>
      </w:r>
    </w:p>
    <w:p>
      <w:pPr>
        <w:spacing w:before="69"/>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1"/>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净资产收益率及每股收益" w:id="508"/>
      <w:bookmarkEnd w:id="508"/>
      <w:r>
        <w:rPr/>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、净资产收益率及每股收益</w:t>
      </w:r>
      <w:r>
        <w:rPr>
          <w:rFonts w:ascii="宋体" w:hAnsi="宋体" w:cs="宋体" w:eastAsia="宋体" w:hint="default"/>
          <w:sz w:val="21"/>
          <w:szCs w:val="21"/>
        </w:rPr>
      </w:r>
    </w:p>
    <w:p>
      <w:pPr>
        <w:spacing w:line="240" w:lineRule="auto" w:before="9"/>
        <w:rPr>
          <w:rFonts w:ascii="宋体" w:hAnsi="宋体" w:cs="宋体" w:eastAsia="宋体" w:hint="default"/>
          <w:b/>
          <w:bCs/>
          <w:sz w:val="25"/>
          <w:szCs w:val="25"/>
        </w:rPr>
      </w:pPr>
    </w:p>
    <w:tbl>
      <w:tblPr>
        <w:tblW w:w="0" w:type="auto"/>
        <w:jc w:val="left"/>
        <w:tblInd w:w="109" w:type="dxa"/>
        <w:tblLayout w:type="fixed"/>
        <w:tblCellMar>
          <w:top w:w="0" w:type="dxa"/>
          <w:left w:w="0" w:type="dxa"/>
          <w:bottom w:w="0" w:type="dxa"/>
          <w:right w:w="0" w:type="dxa"/>
        </w:tblCellMar>
        <w:tblLook w:val="01E0"/>
      </w:tblPr>
      <w:tblGrid>
        <w:gridCol w:w="2662"/>
        <w:gridCol w:w="3081"/>
        <w:gridCol w:w="1913"/>
        <w:gridCol w:w="1913"/>
      </w:tblGrid>
      <w:tr>
        <w:trPr>
          <w:trHeight w:val="403" w:hRule="exact"/>
        </w:trPr>
        <w:tc>
          <w:tcPr>
            <w:tcW w:w="2662"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876"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3081" w:type="dxa"/>
            <w:vMerge w:val="restart"/>
            <w:tcBorders>
              <w:top w:val="single" w:sz="4" w:space="0" w:color="000000"/>
              <w:left w:val="single" w:sz="4" w:space="0" w:color="000000"/>
              <w:right w:val="single" w:sz="4" w:space="0" w:color="000000"/>
            </w:tcBorders>
            <w:shd w:val="clear" w:color="auto" w:fill="D2D2D2"/>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634"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3826" w:type="dxa"/>
            <w:gridSpan w:val="2"/>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0"/>
              <w:jc w:val="center"/>
              <w:rPr>
                <w:rFonts w:ascii="宋体" w:hAnsi="宋体" w:cs="宋体" w:eastAsia="宋体" w:hint="default"/>
                <w:sz w:val="18"/>
                <w:szCs w:val="18"/>
              </w:rPr>
            </w:pPr>
            <w:r>
              <w:rPr>
                <w:rFonts w:ascii="宋体" w:hAnsi="宋体" w:cs="宋体" w:eastAsia="宋体" w:hint="default"/>
                <w:sz w:val="18"/>
                <w:szCs w:val="18"/>
              </w:rPr>
              <w:t>每股收益</w:t>
            </w:r>
          </w:p>
        </w:tc>
      </w:tr>
      <w:tr>
        <w:trPr>
          <w:trHeight w:val="401" w:hRule="exact"/>
        </w:trPr>
        <w:tc>
          <w:tcPr>
            <w:tcW w:w="2662" w:type="dxa"/>
            <w:vMerge/>
            <w:tcBorders>
              <w:left w:val="single" w:sz="4" w:space="0" w:color="000000"/>
              <w:bottom w:val="single" w:sz="4" w:space="0" w:color="000000"/>
              <w:right w:val="single" w:sz="4" w:space="0" w:color="000000"/>
            </w:tcBorders>
            <w:shd w:val="clear" w:color="auto" w:fill="D2D2D2"/>
          </w:tcPr>
          <w:p>
            <w:pPr/>
          </w:p>
        </w:tc>
        <w:tc>
          <w:tcPr>
            <w:tcW w:w="3081" w:type="dxa"/>
            <w:vMerge/>
            <w:tcBorders>
              <w:left w:val="single" w:sz="4" w:space="0" w:color="000000"/>
              <w:bottom w:val="single" w:sz="4" w:space="0" w:color="000000"/>
              <w:right w:val="single" w:sz="4" w:space="0" w:color="000000"/>
            </w:tcBorders>
            <w:shd w:val="clear" w:color="auto" w:fill="D2D2D2"/>
          </w:tcPr>
          <w:p>
            <w:pP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right="11"/>
              <w:jc w:val="right"/>
              <w:rPr>
                <w:rFonts w:ascii="宋体" w:hAnsi="宋体" w:cs="宋体" w:eastAsia="宋体" w:hint="default"/>
                <w:sz w:val="18"/>
                <w:szCs w:val="18"/>
              </w:rPr>
            </w:pPr>
            <w:r>
              <w:rPr>
                <w:rFonts w:ascii="宋体" w:hAnsi="宋体" w:cs="宋体" w:eastAsia="宋体" w:hint="default"/>
                <w:spacing w:val="-6"/>
                <w:sz w:val="18"/>
                <w:szCs w:val="18"/>
              </w:rPr>
              <w:t>基本每股收益（元</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股）</w:t>
            </w:r>
          </w:p>
        </w:tc>
        <w:tc>
          <w:tcPr>
            <w:tcW w:w="1913"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240" w:lineRule="auto" w:before="52"/>
              <w:ind w:left="103" w:right="0"/>
              <w:jc w:val="left"/>
              <w:rPr>
                <w:rFonts w:ascii="宋体" w:hAnsi="宋体" w:cs="宋体" w:eastAsia="宋体" w:hint="default"/>
                <w:sz w:val="18"/>
                <w:szCs w:val="18"/>
              </w:rPr>
            </w:pPr>
            <w:r>
              <w:rPr>
                <w:rFonts w:ascii="宋体" w:hAnsi="宋体" w:cs="宋体" w:eastAsia="宋体" w:hint="default"/>
                <w:spacing w:val="-6"/>
                <w:sz w:val="18"/>
                <w:szCs w:val="18"/>
              </w:rPr>
              <w:t>稀释每股收益（元</w:t>
            </w:r>
            <w:r>
              <w:rPr>
                <w:rFonts w:ascii="Times New Roman" w:hAnsi="Times New Roman" w:cs="Times New Roman" w:eastAsia="Times New Roman" w:hint="default"/>
                <w:spacing w:val="-6"/>
                <w:sz w:val="18"/>
                <w:szCs w:val="18"/>
              </w:rPr>
              <w:t>/</w:t>
            </w:r>
            <w:r>
              <w:rPr>
                <w:rFonts w:ascii="宋体" w:hAnsi="宋体" w:cs="宋体" w:eastAsia="宋体" w:hint="default"/>
                <w:spacing w:val="-6"/>
                <w:sz w:val="18"/>
                <w:szCs w:val="18"/>
              </w:rPr>
              <w:t>股）</w:t>
            </w:r>
          </w:p>
        </w:tc>
      </w:tr>
      <w:tr>
        <w:trPr>
          <w:trHeight w:val="714"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3"/>
              <w:ind w:left="103" w:right="207"/>
              <w:jc w:val="left"/>
              <w:rPr>
                <w:rFonts w:ascii="宋体" w:hAnsi="宋体" w:cs="宋体" w:eastAsia="宋体" w:hint="default"/>
                <w:sz w:val="18"/>
                <w:szCs w:val="18"/>
              </w:rPr>
            </w:pPr>
            <w:r>
              <w:rPr>
                <w:rFonts w:ascii="宋体" w:hAnsi="宋体" w:cs="宋体" w:eastAsia="宋体" w:hint="default"/>
                <w:sz w:val="18"/>
                <w:szCs w:val="18"/>
              </w:rPr>
              <w:t>归属于公司普通股股东的净利 润</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10.56%</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0.370</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9"/>
                <w:szCs w:val="19"/>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0.370</w:t>
            </w:r>
          </w:p>
        </w:tc>
      </w:tr>
      <w:tr>
        <w:trPr>
          <w:trHeight w:val="715" w:hRule="exact"/>
        </w:trPr>
        <w:tc>
          <w:tcPr>
            <w:tcW w:w="2662" w:type="dxa"/>
            <w:tcBorders>
              <w:top w:val="single" w:sz="4" w:space="0" w:color="000000"/>
              <w:left w:val="single" w:sz="4" w:space="0" w:color="000000"/>
              <w:bottom w:val="single" w:sz="4" w:space="0" w:color="000000"/>
              <w:right w:val="single" w:sz="4" w:space="0" w:color="000000"/>
            </w:tcBorders>
            <w:shd w:val="clear" w:color="auto" w:fill="D2D2D2"/>
          </w:tcPr>
          <w:p>
            <w:pPr>
              <w:pStyle w:val="TableParagraph"/>
              <w:spacing w:line="316" w:lineRule="auto" w:before="52"/>
              <w:ind w:left="103" w:right="207"/>
              <w:jc w:val="left"/>
              <w:rPr>
                <w:rFonts w:ascii="宋体" w:hAnsi="宋体" w:cs="宋体" w:eastAsia="宋体" w:hint="default"/>
                <w:sz w:val="18"/>
                <w:szCs w:val="18"/>
              </w:rPr>
            </w:pPr>
            <w:r>
              <w:rPr>
                <w:rFonts w:ascii="宋体" w:hAnsi="宋体" w:cs="宋体" w:eastAsia="宋体" w:hint="default"/>
                <w:sz w:val="18"/>
                <w:szCs w:val="18"/>
              </w:rPr>
              <w:t>扣除非经常性损益后归属于公 司普通股股东的净利润</w:t>
            </w:r>
          </w:p>
        </w:tc>
        <w:tc>
          <w:tcPr>
            <w:tcW w:w="3081"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5.19%</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0.177</w:t>
            </w:r>
          </w:p>
        </w:tc>
        <w:tc>
          <w:tcPr>
            <w:tcW w:w="191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z w:val="18"/>
              </w:rPr>
              <w:t>0.177</w:t>
            </w:r>
          </w:p>
        </w:tc>
      </w:tr>
    </w:tbl>
    <w:p>
      <w:pPr>
        <w:spacing w:after="0" w:line="240" w:lineRule="auto"/>
        <w:jc w:val="right"/>
        <w:rPr>
          <w:rFonts w:ascii="Times New Roman" w:hAnsi="Times New Roman" w:cs="Times New Roman" w:eastAsia="Times New Roman" w:hint="default"/>
          <w:sz w:val="18"/>
          <w:szCs w:val="18"/>
        </w:rPr>
        <w:sectPr>
          <w:pgSz w:w="11910" w:h="16840"/>
          <w:pgMar w:header="889" w:footer="1019" w:top="1140" w:bottom="1200" w:left="1020" w:right="0"/>
        </w:sectPr>
      </w:pPr>
    </w:p>
    <w:p>
      <w:pPr>
        <w:spacing w:line="240" w:lineRule="auto" w:before="13"/>
        <w:rPr>
          <w:rFonts w:ascii="宋体" w:hAnsi="宋体" w:cs="宋体" w:eastAsia="宋体" w:hint="default"/>
          <w:b/>
          <w:bCs/>
          <w:sz w:val="18"/>
          <w:szCs w:val="18"/>
        </w:rPr>
      </w:pPr>
    </w:p>
    <w:p>
      <w:pPr>
        <w:spacing w:before="35"/>
        <w:ind w:left="114" w:right="0" w:firstLine="0"/>
        <w:jc w:val="left"/>
        <w:rPr>
          <w:rFonts w:ascii="宋体" w:hAnsi="宋体" w:cs="宋体" w:eastAsia="宋体" w:hint="default"/>
          <w:sz w:val="21"/>
          <w:szCs w:val="21"/>
        </w:rPr>
      </w:pPr>
      <w:bookmarkStart w:name="3、境内外会计准则下会计数据差异" w:id="509"/>
      <w:bookmarkEnd w:id="509"/>
      <w:r>
        <w:rPr/>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、境内外会计准则下会计数据差异</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1）同时按照国际会计准则与按中国会计准则披露的财务报告中净利润和净资产差异情况" w:id="510"/>
      <w:bookmarkEnd w:id="510"/>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1</w:t>
      </w:r>
      <w:r>
        <w:rPr>
          <w:rFonts w:ascii="宋体" w:hAnsi="宋体" w:cs="宋体" w:eastAsia="宋体" w:hint="default"/>
          <w:b/>
          <w:bCs/>
          <w:sz w:val="21"/>
          <w:szCs w:val="21"/>
        </w:rPr>
        <w:t>）同时按照国际会计准则与按中国会计准则披露的财务报告中净利润和净资产差异情况</w:t>
      </w:r>
      <w:r>
        <w:rPr>
          <w:rFonts w:ascii="宋体" w:hAnsi="宋体" w:cs="宋体" w:eastAsia="宋体" w:hint="default"/>
          <w:sz w:val="21"/>
          <w:szCs w:val="21"/>
        </w:rPr>
      </w:r>
    </w:p>
    <w:p>
      <w:pPr>
        <w:spacing w:line="240" w:lineRule="auto" w:before="8"/>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0"/>
        <w:rPr>
          <w:rFonts w:ascii="宋体" w:hAnsi="宋体" w:cs="宋体" w:eastAsia="宋体" w:hint="default"/>
          <w:sz w:val="26"/>
          <w:szCs w:val="26"/>
        </w:rPr>
      </w:pPr>
    </w:p>
    <w:p>
      <w:pPr>
        <w:spacing w:before="0"/>
        <w:ind w:left="114" w:right="0" w:firstLine="0"/>
        <w:jc w:val="left"/>
        <w:rPr>
          <w:rFonts w:ascii="宋体" w:hAnsi="宋体" w:cs="宋体" w:eastAsia="宋体" w:hint="default"/>
          <w:sz w:val="21"/>
          <w:szCs w:val="21"/>
        </w:rPr>
      </w:pPr>
      <w:bookmarkStart w:name="（2）同时按照境外会计准则与按中国会计准则披露的财务报告中净利润和净资产差异情况" w:id="511"/>
      <w:bookmarkEnd w:id="511"/>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2</w:t>
      </w:r>
      <w:r>
        <w:rPr>
          <w:rFonts w:ascii="宋体" w:hAnsi="宋体" w:cs="宋体" w:eastAsia="宋体" w:hint="default"/>
          <w:b/>
          <w:bCs/>
          <w:sz w:val="21"/>
          <w:szCs w:val="21"/>
        </w:rPr>
        <w:t>）同时按照境外会计准则与按中国会计准则披露的财务报告中净利润和净资产差异情况</w:t>
      </w:r>
      <w:r>
        <w:rPr>
          <w:rFonts w:ascii="宋体" w:hAnsi="宋体" w:cs="宋体" w:eastAsia="宋体" w:hint="default"/>
          <w:sz w:val="21"/>
          <w:szCs w:val="21"/>
        </w:rPr>
      </w:r>
    </w:p>
    <w:p>
      <w:pPr>
        <w:spacing w:line="240" w:lineRule="auto" w:before="9"/>
        <w:rPr>
          <w:rFonts w:ascii="宋体" w:hAnsi="宋体" w:cs="宋体" w:eastAsia="宋体" w:hint="default"/>
          <w:b/>
          <w:bCs/>
          <w:sz w:val="26"/>
          <w:szCs w:val="26"/>
        </w:rPr>
      </w:pPr>
    </w:p>
    <w:p>
      <w:pPr>
        <w:spacing w:before="0"/>
        <w:ind w:left="114" w:right="0" w:firstLine="0"/>
        <w:jc w:val="left"/>
        <w:rPr>
          <w:rFonts w:ascii="宋体" w:hAnsi="宋体" w:cs="宋体" w:eastAsia="宋体" w:hint="default"/>
          <w:sz w:val="18"/>
          <w:szCs w:val="18"/>
        </w:rPr>
      </w:pPr>
      <w:r>
        <w:rPr>
          <w:rFonts w:ascii="宋体" w:hAnsi="宋体" w:cs="宋体" w:eastAsia="宋体" w:hint="default"/>
          <w:sz w:val="18"/>
          <w:szCs w:val="18"/>
        </w:rPr>
        <w:t>□ 适用 √ 不适用</w:t>
      </w:r>
    </w:p>
    <w:p>
      <w:pPr>
        <w:spacing w:line="240" w:lineRule="auto" w:before="11"/>
        <w:rPr>
          <w:rFonts w:ascii="宋体" w:hAnsi="宋体" w:cs="宋体" w:eastAsia="宋体" w:hint="default"/>
          <w:sz w:val="26"/>
          <w:szCs w:val="26"/>
        </w:rPr>
      </w:pPr>
    </w:p>
    <w:p>
      <w:pPr>
        <w:spacing w:line="259" w:lineRule="auto" w:before="0"/>
        <w:ind w:left="114" w:right="0" w:firstLine="0"/>
        <w:jc w:val="left"/>
        <w:rPr>
          <w:rFonts w:ascii="宋体" w:hAnsi="宋体" w:cs="宋体" w:eastAsia="宋体" w:hint="default"/>
          <w:sz w:val="21"/>
          <w:szCs w:val="21"/>
        </w:rPr>
      </w:pPr>
      <w:bookmarkStart w:name="（3）境内外会计准则下会计数据差异原因说明，对已经境外审计机构审计的数据进行差异" w:id="512"/>
      <w:bookmarkEnd w:id="512"/>
      <w:r>
        <w:rPr/>
      </w:r>
      <w:r>
        <w:rPr>
          <w:rFonts w:ascii="宋体" w:hAnsi="宋体" w:cs="宋体" w:eastAsia="宋体" w:hint="default"/>
          <w:b/>
          <w:bCs/>
          <w:sz w:val="21"/>
          <w:szCs w:val="21"/>
        </w:rPr>
        <w:t>（</w:t>
      </w:r>
      <w:r>
        <w:rPr>
          <w:rFonts w:ascii="Times New Roman" w:hAnsi="Times New Roman" w:cs="Times New Roman" w:eastAsia="Times New Roman" w:hint="default"/>
          <w:b/>
          <w:bCs/>
          <w:sz w:val="21"/>
          <w:szCs w:val="21"/>
        </w:rPr>
        <w:t>3</w:t>
      </w:r>
      <w:r>
        <w:rPr>
          <w:rFonts w:ascii="宋体" w:hAnsi="宋体" w:cs="宋体" w:eastAsia="宋体" w:hint="default"/>
          <w:b/>
          <w:bCs/>
          <w:sz w:val="21"/>
          <w:szCs w:val="21"/>
        </w:rPr>
        <w:t>）境内外会计准则下会计数据差异原因说明，对已经境外审计机构审计的数据进行差异调节的，应注</w:t>
      </w:r>
      <w:r>
        <w:rPr>
          <w:rFonts w:ascii="宋体" w:hAnsi="宋体" w:cs="宋体" w:eastAsia="宋体" w:hint="default"/>
          <w:b/>
          <w:bCs/>
          <w:spacing w:val="-74"/>
          <w:sz w:val="21"/>
          <w:szCs w:val="21"/>
        </w:rPr>
        <w:t> </w:t>
      </w:r>
      <w:r>
        <w:rPr>
          <w:rFonts w:ascii="宋体" w:hAnsi="宋体" w:cs="宋体" w:eastAsia="宋体" w:hint="default"/>
          <w:b/>
          <w:bCs/>
          <w:spacing w:val="-74"/>
          <w:sz w:val="21"/>
          <w:szCs w:val="21"/>
        </w:rPr>
      </w:r>
      <w:r>
        <w:rPr>
          <w:rFonts w:ascii="宋体" w:hAnsi="宋体" w:cs="宋体" w:eastAsia="宋体" w:hint="default"/>
          <w:b/>
          <w:bCs/>
          <w:sz w:val="21"/>
          <w:szCs w:val="21"/>
        </w:rPr>
        <w:t>明该境外机构的名称</w:t>
      </w:r>
      <w:r>
        <w:rPr>
          <w:rFonts w:ascii="宋体" w:hAnsi="宋体" w:cs="宋体" w:eastAsia="宋体" w:hint="default"/>
          <w:sz w:val="21"/>
          <w:szCs w:val="21"/>
        </w:rPr>
      </w:r>
    </w:p>
    <w:p>
      <w:pPr>
        <w:spacing w:line="240" w:lineRule="auto" w:before="8"/>
        <w:rPr>
          <w:rFonts w:ascii="宋体" w:hAnsi="宋体" w:cs="宋体" w:eastAsia="宋体" w:hint="default"/>
          <w:b/>
          <w:bCs/>
          <w:sz w:val="24"/>
          <w:szCs w:val="24"/>
        </w:rPr>
      </w:pPr>
    </w:p>
    <w:p>
      <w:pPr>
        <w:spacing w:before="0"/>
        <w:ind w:left="114" w:right="0" w:firstLine="0"/>
        <w:jc w:val="left"/>
        <w:rPr>
          <w:rFonts w:ascii="宋体" w:hAnsi="宋体" w:cs="宋体" w:eastAsia="宋体" w:hint="default"/>
          <w:sz w:val="21"/>
          <w:szCs w:val="21"/>
        </w:rPr>
      </w:pPr>
      <w:bookmarkStart w:name="4、其他" w:id="513"/>
      <w:bookmarkEnd w:id="513"/>
      <w:r>
        <w:rPr/>
      </w:r>
      <w:r>
        <w:rPr>
          <w:rFonts w:ascii="Times New Roman" w:hAnsi="Times New Roman" w:cs="Times New Roman" w:eastAsia="Times New Roman" w:hint="default"/>
          <w:b/>
          <w:bCs/>
          <w:sz w:val="21"/>
          <w:szCs w:val="21"/>
        </w:rPr>
        <w:t>4</w:t>
      </w:r>
      <w:r>
        <w:rPr>
          <w:rFonts w:ascii="宋体" w:hAnsi="宋体" w:cs="宋体" w:eastAsia="宋体" w:hint="default"/>
          <w:b/>
          <w:bCs/>
          <w:sz w:val="21"/>
          <w:szCs w:val="21"/>
        </w:rPr>
        <w:t>、其他</w:t>
      </w:r>
      <w:r>
        <w:rPr>
          <w:rFonts w:ascii="宋体" w:hAnsi="宋体" w:cs="宋体" w:eastAsia="宋体" w:hint="default"/>
          <w:sz w:val="21"/>
          <w:szCs w:val="21"/>
        </w:rPr>
      </w:r>
    </w:p>
    <w:p>
      <w:pPr>
        <w:spacing w:after="0"/>
        <w:jc w:val="left"/>
        <w:rPr>
          <w:rFonts w:ascii="宋体" w:hAnsi="宋体" w:cs="宋体" w:eastAsia="宋体" w:hint="default"/>
          <w:sz w:val="21"/>
          <w:szCs w:val="21"/>
        </w:rPr>
        <w:sectPr>
          <w:pgSz w:w="11910" w:h="16840"/>
          <w:pgMar w:header="889" w:footer="1019" w:top="1140" w:bottom="1200" w:left="1020" w:right="0"/>
        </w:sectPr>
      </w:pPr>
    </w:p>
    <w:p>
      <w:pPr>
        <w:spacing w:line="240" w:lineRule="auto" w:before="0"/>
        <w:rPr>
          <w:rFonts w:ascii="宋体" w:hAnsi="宋体" w:cs="宋体" w:eastAsia="宋体" w:hint="default"/>
          <w:b/>
          <w:bCs/>
          <w:sz w:val="20"/>
          <w:szCs w:val="20"/>
        </w:rPr>
      </w:pPr>
    </w:p>
    <w:p>
      <w:pPr>
        <w:spacing w:line="240" w:lineRule="auto" w:before="7"/>
        <w:rPr>
          <w:rFonts w:ascii="宋体" w:hAnsi="宋体" w:cs="宋体" w:eastAsia="宋体" w:hint="default"/>
          <w:b/>
          <w:bCs/>
          <w:sz w:val="14"/>
          <w:szCs w:val="14"/>
        </w:rPr>
      </w:pPr>
    </w:p>
    <w:p>
      <w:pPr>
        <w:pStyle w:val="Heading1"/>
        <w:spacing w:line="240" w:lineRule="auto"/>
        <w:ind w:left="3246" w:right="0"/>
        <w:jc w:val="left"/>
        <w:rPr>
          <w:b w:val="0"/>
          <w:bCs w:val="0"/>
        </w:rPr>
      </w:pPr>
      <w:bookmarkStart w:name="第十二节 备查文件目录" w:id="514"/>
      <w:bookmarkEnd w:id="514"/>
      <w:r>
        <w:rPr>
          <w:b w:val="0"/>
          <w:bCs w:val="0"/>
        </w:rPr>
      </w:r>
      <w:bookmarkStart w:name="_bookmark10" w:id="515"/>
      <w:bookmarkEnd w:id="515"/>
      <w:r>
        <w:rPr>
          <w:b w:val="0"/>
          <w:bCs w:val="0"/>
        </w:rPr>
      </w:r>
      <w:r>
        <w:rPr/>
        <w:t>第十二节</w:t>
      </w:r>
      <w:r>
        <w:rPr>
          <w:spacing w:val="-8"/>
        </w:rPr>
        <w:t> </w:t>
      </w:r>
      <w:r>
        <w:rPr/>
        <w:t>备查文件目录</w:t>
      </w:r>
      <w:r>
        <w:rPr>
          <w:b w:val="0"/>
          <w:bCs w:val="0"/>
        </w:rPr>
      </w:r>
    </w:p>
    <w:p>
      <w:pPr>
        <w:spacing w:line="240" w:lineRule="auto" w:before="6"/>
        <w:rPr>
          <w:rFonts w:ascii="宋体" w:hAnsi="宋体" w:cs="宋体" w:eastAsia="宋体" w:hint="default"/>
          <w:b/>
          <w:bCs/>
          <w:sz w:val="42"/>
          <w:szCs w:val="42"/>
        </w:rPr>
      </w:pPr>
    </w:p>
    <w:p>
      <w:pPr>
        <w:spacing w:line="319" w:lineRule="auto" w:before="0"/>
        <w:ind w:left="114" w:right="1032" w:firstLine="0"/>
        <w:jc w:val="left"/>
        <w:rPr>
          <w:rFonts w:ascii="宋体" w:hAnsi="宋体" w:cs="宋体" w:eastAsia="宋体" w:hint="default"/>
          <w:sz w:val="18"/>
          <w:szCs w:val="18"/>
        </w:rPr>
      </w:pPr>
      <w:r>
        <w:rPr>
          <w:rFonts w:ascii="宋体" w:hAnsi="宋体" w:cs="宋体" w:eastAsia="宋体" w:hint="default"/>
          <w:sz w:val="18"/>
          <w:szCs w:val="18"/>
        </w:rPr>
        <w:t>一、载有法定代表人张曙华先生、主管会计工作负责人张颖女士、会计机构负责人范燕青女士签名并盖章的财务报告文本； 二、载有会计师事务所盖章、注册会计师签名并盖章的审计报告原件； 三、经公司法定代表人张曙华先生签名的</w:t>
      </w:r>
      <w:r>
        <w:rPr>
          <w:rFonts w:ascii="宋体" w:hAnsi="宋体" w:cs="宋体" w:eastAsia="宋体" w:hint="default"/>
          <w:sz w:val="18"/>
          <w:szCs w:val="18"/>
        </w:rPr>
        <w:t>2018</w:t>
      </w:r>
      <w:r>
        <w:rPr>
          <w:rFonts w:ascii="宋体" w:hAnsi="宋体" w:cs="宋体" w:eastAsia="宋体" w:hint="default"/>
          <w:sz w:val="18"/>
          <w:szCs w:val="18"/>
        </w:rPr>
        <w:t>年年度报告原件；</w:t>
      </w:r>
    </w:p>
    <w:p>
      <w:pPr>
        <w:spacing w:line="316" w:lineRule="auto" w:before="17"/>
        <w:ind w:left="114" w:right="7152" w:firstLine="0"/>
        <w:jc w:val="left"/>
        <w:rPr>
          <w:rFonts w:ascii="宋体" w:hAnsi="宋体" w:cs="宋体" w:eastAsia="宋体" w:hint="default"/>
          <w:sz w:val="18"/>
          <w:szCs w:val="18"/>
        </w:rPr>
      </w:pPr>
      <w:r>
        <w:rPr>
          <w:rFonts w:ascii="宋体" w:hAnsi="宋体" w:cs="宋体" w:eastAsia="宋体" w:hint="default"/>
          <w:sz w:val="18"/>
          <w:szCs w:val="18"/>
        </w:rPr>
        <w:t>四、其他有关资料。 以上备查文件备置地点：公司董事会办公室。</w:t>
      </w:r>
    </w:p>
    <w:sectPr>
      <w:pgSz w:w="11910" w:h="16840"/>
      <w:pgMar w:header="889" w:footer="1019" w:top="1140" w:bottom="1200" w:left="102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宋体">
    <w:altName w:val="宋体"/>
    <w:charset w:val="86"/>
    <w:family w:val="auto"/>
    <w:pitch w:val="variable"/>
  </w:font>
  <w:font w:name="MS Gothic">
    <w:altName w:val="MS Gothic"/>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32224" type="#_x0000_t75" stroked="false">
          <v:imagedata r:id="rId1" o:title=""/>
        </v:shape>
      </w:pict>
    </w:r>
    <w:r>
      <w:rPr/>
      <w:pict>
        <v:shape style="position:absolute;margin-left:55.700001pt;margin-top:793.5979pt;width:6.5pt;height:11pt;mso-position-horizontal-relative:page;mso-position-vertical-relative:page;z-index:-123220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32176" type="#_x0000_t75" stroked="false">
          <v:imagedata r:id="rId1" o:title=""/>
        </v:shape>
      </w:pict>
    </w:r>
    <w:r>
      <w:rPr/>
      <w:pict>
        <v:shape style="position:absolute;margin-left:54.700001pt;margin-top:779.977905pt;width:13pt;height:11pt;mso-position-horizontal-relative:page;mso-position-vertical-relative:page;z-index:-12321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32128" type="#_x0000_t75" stroked="false">
          <v:imagedata r:id="rId1" o:title=""/>
        </v:shape>
      </w:pict>
    </w:r>
    <w:r>
      <w:rPr/>
      <w:pict>
        <v:shape style="position:absolute;margin-left:55.700001pt;margin-top:779.977905pt;width:15.5pt;height:11pt;mso-position-horizontal-relative:page;mso-position-vertical-relative:page;z-index:-1232104"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100</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32080" type="#_x0000_t75" stroked="false">
          <v:imagedata r:id="rId1" o:title=""/>
        </v:shape>
      </w:pict>
    </w:r>
    <w:r>
      <w:rPr/>
      <w:pict>
        <v:shape style="position:absolute;margin-left:54.700001pt;margin-top:779.977905pt;width:17.5pt;height:11pt;mso-position-horizontal-relative:page;mso-position-vertical-relative:page;z-index:-123205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101</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31984" type="#_x0000_t75" stroked="false">
          <v:imagedata r:id="rId1" o:title=""/>
        </v:shape>
      </w:pict>
    </w:r>
    <w:r>
      <w:rPr/>
      <w:pict>
        <v:shape style="position:absolute;margin-left:119.5pt;margin-top:753.77655pt;width:420.1pt;height:12.5pt;mso-position-horizontal-relative:page;mso-position-vertical-relative:page;z-index:-1231960" type="#_x0000_t202" filled="false" stroked="false">
          <v:textbox inset="0,0,0,0">
            <w:txbxContent>
              <w:p>
                <w:pPr>
                  <w:spacing w:line="230" w:lineRule="exact" w:before="0"/>
                  <w:ind w:left="20" w:right="0" w:firstLine="0"/>
                  <w:jc w:val="left"/>
                  <w:rPr>
                    <w:rFonts w:ascii="宋体" w:hAnsi="宋体" w:cs="宋体" w:eastAsia="宋体" w:hint="default"/>
                    <w:sz w:val="21"/>
                    <w:szCs w:val="21"/>
                  </w:rPr>
                </w:pPr>
                <w:r>
                  <w:rPr>
                    <w:rFonts w:ascii="宋体" w:hAnsi="宋体" w:cs="宋体" w:eastAsia="宋体" w:hint="default"/>
                    <w:spacing w:val="-1"/>
                    <w:sz w:val="21"/>
                    <w:szCs w:val="21"/>
                  </w:rPr>
                  <w:t>以权益结算的股份支付换取职工提供服务的，以授予职工权益工具的公允价值计量。本公司</w:t>
                </w:r>
              </w:p>
            </w:txbxContent>
          </v:textbox>
          <w10:wrap type="none"/>
        </v:shape>
      </w:pict>
    </w:r>
    <w:r>
      <w:rPr/>
      <w:pict>
        <v:shape style="position:absolute;margin-left:54.700001pt;margin-top:779.977905pt;width:17.5pt;height:11pt;mso-position-horizontal-relative:page;mso-position-vertical-relative:page;z-index:-12319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163</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31912" type="#_x0000_t75" stroked="false">
          <v:imagedata r:id="rId1" o:title=""/>
        </v:shape>
      </w:pict>
    </w:r>
    <w:r>
      <w:rPr/>
      <w:pict>
        <v:shape style="position:absolute;margin-left:54.700001pt;margin-top:779.977905pt;width:17.5pt;height:11pt;mso-position-horizontal-relative:page;mso-position-vertical-relative:page;z-index:-1231888"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164</w:t>
                </w:r>
                <w:r>
                  <w:rPr/>
                  <w:fldChar w:fldCharType="end"/>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31864" type="#_x0000_t75" stroked="false">
          <v:imagedata r:id="rId1" o:title=""/>
        </v:shape>
      </w:pict>
    </w:r>
    <w:r>
      <w:rPr/>
      <w:pict>
        <v:shape style="position:absolute;margin-left:55.700001pt;margin-top:779.977905pt;width:15.5pt;height:11pt;mso-position-horizontal-relative:page;mso-position-vertical-relative:page;z-index:-1231840" type="#_x0000_t202" filled="false" stroked="false">
          <v:textbox inset="0,0,0,0">
            <w:txbxContent>
              <w:p>
                <w:pPr>
                  <w:spacing w:line="204" w:lineRule="exact" w:before="0"/>
                  <w:ind w:left="20" w:right="0" w:firstLine="0"/>
                  <w:jc w:val="left"/>
                  <w:rPr>
                    <w:rFonts w:ascii="Times New Roman" w:hAnsi="Times New Roman" w:cs="Times New Roman" w:eastAsia="Times New Roman" w:hint="default"/>
                    <w:sz w:val="18"/>
                    <w:szCs w:val="18"/>
                  </w:rPr>
                </w:pPr>
                <w:r>
                  <w:rPr>
                    <w:rFonts w:ascii="Times New Roman"/>
                    <w:sz w:val="18"/>
                  </w:rPr>
                  <w:t>200</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31816" type="#_x0000_t75" stroked="false">
          <v:imagedata r:id="rId1" o:title=""/>
        </v:shape>
      </w:pict>
    </w:r>
    <w:r>
      <w:rPr/>
      <w:pict>
        <v:shape style="position:absolute;margin-left:54.700001pt;margin-top:779.977905pt;width:17.5pt;height:11pt;mso-position-horizontal-relative:page;mso-position-vertical-relative:page;z-index:-123179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201</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35.634705pt;margin-top:806.72052pt;width:59.493346pt;height:26.794713pt;mso-position-horizontal-relative:page;mso-position-vertical-relative:page;z-index:-1231768" type="#_x0000_t75" stroked="false">
          <v:imagedata r:id="rId1" o:title=""/>
        </v:shape>
      </w:pict>
    </w:r>
    <w:r>
      <w:rPr/>
      <w:pict>
        <v:shape style="position:absolute;margin-left:54.700001pt;margin-top:779.977905pt;width:17.5pt;height:11pt;mso-position-horizontal-relative:page;mso-position-vertical-relative:page;z-index:-12317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210</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type id="_x0000_t202" o:spt="202" coordsize="21600,21600" path="m,l,21600r21600,l21600,xe">
          <v:stroke joinstyle="miter"/>
          <v:path gradientshapeok="t" o:connecttype="rect"/>
        </v:shapetype>
        <v:shape style="position:absolute;margin-left:323.220001pt;margin-top:40.105606pt;width:213.55pt;height:11.5pt;mso-position-horizontal-relative:page;mso-position-vertical-relative:page;z-index:-12322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上海中信信息发展股份有限公司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年年度报告全文</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56.700001pt;margin-top:44.449982pt;width:69.5pt;height:10.95pt;mso-position-horizontal-relative:page;mso-position-vertical-relative:page;z-index:-1232032" type="#_x0000_t75" stroked="false">
          <v:imagedata r:id="rId1" o:title=""/>
        </v:shape>
      </w:pict>
    </w:r>
    <w:r>
      <w:rPr/>
      <w:pict>
        <v:shape style="position:absolute;margin-left:323.220001pt;margin-top:46.645607pt;width:213.55pt;height:11.5pt;mso-position-horizontal-relative:page;mso-position-vertical-relative:page;z-index:-12320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上海中信信息发展股份有限公司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2018 </w:t>
                </w:r>
                <w:r>
                  <w:rPr>
                    <w:rFonts w:ascii="宋体" w:hAnsi="宋体" w:cs="宋体" w:eastAsia="宋体" w:hint="default"/>
                    <w:sz w:val="18"/>
                    <w:szCs w:val="18"/>
                  </w:rPr>
                  <w:t>年年度报告全文</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59"/>
      <w:ind w:left="114"/>
    </w:pPr>
    <w:rPr>
      <w:rFonts w:ascii="宋体" w:hAnsi="宋体" w:eastAsia="宋体"/>
      <w:b/>
      <w:bCs/>
      <w:sz w:val="24"/>
      <w:szCs w:val="24"/>
    </w:rPr>
  </w:style>
  <w:style w:styleId="BodyText" w:type="paragraph">
    <w:name w:val="Body Text"/>
    <w:basedOn w:val="Normal"/>
    <w:uiPriority w:val="1"/>
    <w:qFormat/>
    <w:pPr>
      <w:ind w:left="114"/>
    </w:pPr>
    <w:rPr>
      <w:rFonts w:ascii="宋体" w:hAnsi="宋体" w:eastAsia="宋体"/>
      <w:sz w:val="24"/>
      <w:szCs w:val="24"/>
    </w:rPr>
  </w:style>
  <w:style w:styleId="Heading1" w:type="paragraph">
    <w:name w:val="Heading 1"/>
    <w:basedOn w:val="Normal"/>
    <w:uiPriority w:val="1"/>
    <w:qFormat/>
    <w:pPr>
      <w:spacing w:before="1"/>
      <w:ind w:left="2383"/>
      <w:outlineLvl w:val="1"/>
    </w:pPr>
    <w:rPr>
      <w:rFonts w:ascii="宋体" w:hAnsi="宋体" w:eastAsia="宋体"/>
      <w:b/>
      <w:bCs/>
      <w:sz w:val="32"/>
      <w:szCs w:val="32"/>
    </w:rPr>
  </w:style>
  <w:style w:styleId="Heading2" w:type="paragraph">
    <w:name w:val="Heading 2"/>
    <w:basedOn w:val="Normal"/>
    <w:uiPriority w:val="1"/>
    <w:qFormat/>
    <w:pPr>
      <w:ind w:left="114"/>
      <w:outlineLvl w:val="2"/>
    </w:pPr>
    <w:rPr>
      <w:rFonts w:ascii="宋体" w:hAnsi="宋体" w:eastAsia="宋体"/>
      <w:b/>
      <w:bCs/>
      <w:sz w:val="28"/>
      <w:szCs w:val="28"/>
    </w:rPr>
  </w:style>
  <w:style w:styleId="Heading3" w:type="paragraph">
    <w:name w:val="Heading 3"/>
    <w:basedOn w:val="Normal"/>
    <w:uiPriority w:val="1"/>
    <w:qFormat/>
    <w:pPr>
      <w:ind w:left="114" w:firstLine="568"/>
      <w:outlineLvl w:val="3"/>
    </w:pPr>
    <w:rPr>
      <w:rFonts w:ascii="宋体" w:hAnsi="宋体" w:eastAsia="宋体"/>
      <w:sz w:val="28"/>
      <w:szCs w:val="28"/>
    </w:rPr>
  </w:style>
  <w:style w:styleId="Heading4" w:type="paragraph">
    <w:name w:val="Heading 4"/>
    <w:basedOn w:val="Normal"/>
    <w:uiPriority w:val="1"/>
    <w:qFormat/>
    <w:pPr>
      <w:ind w:left="114"/>
      <w:outlineLvl w:val="4"/>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2.png"/><Relationship Id="rId8" Type="http://schemas.openxmlformats.org/officeDocument/2006/relationships/footer" Target="footer2.xml"/><Relationship Id="rId9" Type="http://schemas.openxmlformats.org/officeDocument/2006/relationships/hyperlink" Target="http://www.cesgroup.com.cn/" TargetMode="External"/><Relationship Id="rId10" Type="http://schemas.openxmlformats.org/officeDocument/2006/relationships/hyperlink" Target="mailto:ir@cesgroup.com.cn" TargetMode="External"/><Relationship Id="rId11" Type="http://schemas.openxmlformats.org/officeDocument/2006/relationships/hyperlink" Target="http://www.cninfo.com.cn/" TargetMode="External"/><Relationship Id="rId12" Type="http://schemas.openxmlformats.org/officeDocument/2006/relationships/image" Target="media/image3.png"/><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image" Target="media/image4.jpeg"/><Relationship Id="rId16" Type="http://schemas.openxmlformats.org/officeDocument/2006/relationships/image" Target="media/image5.png"/><Relationship Id="rId17" Type="http://schemas.openxmlformats.org/officeDocument/2006/relationships/hyperlink" Target="http://www.cninfo.com.c/" TargetMode="External"/><Relationship Id="rId18" Type="http://schemas.openxmlformats.org/officeDocument/2006/relationships/header" Target="header2.xml"/><Relationship Id="rId19" Type="http://schemas.openxmlformats.org/officeDocument/2006/relationships/footer" Target="footer5.xm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footer" Target="footer8.xml"/><Relationship Id="rId23" Type="http://schemas.openxmlformats.org/officeDocument/2006/relationships/footer" Target="footer9.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1.jpeg"/></Relationships>

</file>

<file path=word/_rels/footer5.xml.rels><?xml version="1.0" encoding="UTF-8" standalone="yes"?>
<Relationships xmlns="http://schemas.openxmlformats.org/package/2006/relationships"><Relationship Id="rId1" Type="http://schemas.openxmlformats.org/officeDocument/2006/relationships/image" Target="media/image1.jpeg"/></Relationships>

</file>

<file path=word/_rels/footer6.xml.rels><?xml version="1.0" encoding="UTF-8" standalone="yes"?>
<Relationships xmlns="http://schemas.openxmlformats.org/package/2006/relationships"><Relationship Id="rId1" Type="http://schemas.openxmlformats.org/officeDocument/2006/relationships/image" Target="media/image1.jpeg"/></Relationships>

</file>

<file path=word/_rels/footer7.xml.rels><?xml version="1.0" encoding="UTF-8" standalone="yes"?>
<Relationships xmlns="http://schemas.openxmlformats.org/package/2006/relationships"><Relationship Id="rId1" Type="http://schemas.openxmlformats.org/officeDocument/2006/relationships/image" Target="media/image1.jpeg"/></Relationships>

</file>

<file path=word/_rels/footer8.xml.rels><?xml version="1.0" encoding="UTF-8" standalone="yes"?>
<Relationships xmlns="http://schemas.openxmlformats.org/package/2006/relationships"><Relationship Id="rId1" Type="http://schemas.openxmlformats.org/officeDocument/2006/relationships/image" Target="media/image1.jpeg"/></Relationships>

</file>

<file path=word/_rels/footer9.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anson</dc:creator>
  <dcterms:created xsi:type="dcterms:W3CDTF">2020-05-04T22:42:18Z</dcterms:created>
  <dcterms:modified xsi:type="dcterms:W3CDTF">2020-05-04T22:42:18Z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2019-04-10T00:00:00Z</vt:filetime>
  </property>
  <property fmtid="{D5CDD505-2E9C-101B-9397-08002B2CF9AE}" pid="3" name="Creator">
    <vt:lpwstr>Microsoft® Office Word 2007</vt:lpwstr>
  </property>
  <property fmtid="{D5CDD505-2E9C-101B-9397-08002B2CF9AE}" pid="4" name="LastSaved">
    <vt:filetime>2020-05-04T00:00:00Z</vt:filetime>
  </property>
</Properties>
</file>