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line="460" w:lineRule="exact" w:before="0"/>
        <w:ind w:left="2381" w:right="3405" w:firstLine="0"/>
        <w:jc w:val="center"/>
        <w:rPr>
          <w:rFonts w:ascii="宋体" w:hAnsi="宋体" w:cs="宋体" w:eastAsia="宋体" w:hint="default"/>
          <w:sz w:val="36"/>
          <w:szCs w:val="36"/>
        </w:rPr>
      </w:pPr>
      <w:r>
        <w:rPr>
          <w:rFonts w:ascii="宋体" w:hAnsi="宋体" w:cs="宋体" w:eastAsia="宋体" w:hint="default"/>
          <w:b/>
          <w:bCs/>
          <w:sz w:val="36"/>
          <w:szCs w:val="36"/>
        </w:rPr>
        <w:t>上海中信信息发展股份有限公司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381"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381" w:right="339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845" w:right="1133"/>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firstLine="562"/>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2"/>
        <w:ind w:right="1131" w:firstLine="562"/>
        <w:jc w:val="both"/>
        <w:rPr>
          <w:b w:val="0"/>
          <w:bCs w:val="0"/>
        </w:rPr>
      </w:pPr>
      <w:r>
        <w:rPr>
          <w:w w:val="95"/>
        </w:rPr>
        <w:t>公司负责人张曙华、主管会计工作负责人张颖及会计机构负责人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范燕青声明：保证年度报告中财务报告的真实、准确、完整。</w:t>
      </w:r>
      <w:r>
        <w:rPr>
          <w:b w:val="0"/>
          <w:bCs w:val="0"/>
        </w:rPr>
      </w:r>
    </w:p>
    <w:p>
      <w:pPr>
        <w:pStyle w:val="Heading2"/>
        <w:spacing w:line="472" w:lineRule="auto" w:before="148"/>
        <w:ind w:left="674" w:right="1133"/>
        <w:jc w:val="left"/>
        <w:rPr>
          <w:b w:val="0"/>
          <w:bCs w:val="0"/>
        </w:rPr>
      </w:pPr>
      <w:r>
        <w:rPr/>
        <w:t>所有董事均已出席了审议本报告的董事会会议。</w:t>
      </w:r>
      <w:r>
        <w:rPr>
          <w:w w:val="99"/>
        </w:rPr>
        <w:t> </w:t>
      </w:r>
      <w:r>
        <w:rPr>
          <w:spacing w:val="2"/>
        </w:rPr>
        <w:t>本报告中如有涉及未来的计划、业绩预测等方面的内容，均不构成本公司</w:t>
      </w:r>
      <w:r>
        <w:rPr>
          <w:b w:val="0"/>
          <w:bCs w:val="0"/>
          <w:spacing w:val="2"/>
        </w:rPr>
      </w:r>
    </w:p>
    <w:p>
      <w:pPr>
        <w:pStyle w:val="Heading2"/>
        <w:spacing w:line="408" w:lineRule="auto"/>
        <w:ind w:right="1129"/>
        <w:jc w:val="left"/>
        <w:rPr>
          <w:b w:val="0"/>
          <w:bCs w:val="0"/>
        </w:rPr>
      </w:pPr>
      <w:r>
        <w:rPr>
          <w:spacing w:val="2"/>
        </w:rPr>
        <w:t>对任何投资者及相关人士的承诺，投资者及相关人士均应对此保持足够的风险</w:t>
      </w:r>
      <w:r>
        <w:rPr>
          <w:w w:val="99"/>
        </w:rPr>
        <w:t> </w:t>
      </w:r>
      <w:r>
        <w:rPr/>
        <w:t>认识，并且应当理解计划、预测与承诺之间的差异。</w:t>
      </w:r>
      <w:r>
        <w:rPr>
          <w:b w:val="0"/>
          <w:bCs w:val="0"/>
        </w:rPr>
      </w:r>
    </w:p>
    <w:p>
      <w:pPr>
        <w:pStyle w:val="Heading2"/>
        <w:spacing w:line="408" w:lineRule="auto" w:before="162"/>
        <w:ind w:right="1126" w:firstLine="562"/>
        <w:jc w:val="both"/>
        <w:rPr>
          <w:b w:val="0"/>
          <w:bCs w:val="0"/>
        </w:rPr>
      </w:pPr>
      <w:r>
        <w:rPr>
          <w:spacing w:val="2"/>
        </w:rPr>
        <w:t>公司在经营管理中可能面临的风险与对策举措已在本报告中第四节“经营</w:t>
      </w:r>
      <w:r>
        <w:rPr>
          <w:spacing w:val="2"/>
          <w:w w:val="99"/>
        </w:rPr>
        <w:t> </w:t>
      </w:r>
      <w:r>
        <w:rPr>
          <w:spacing w:val="2"/>
        </w:rPr>
        <w:t>情况讨论与分析”之“一、概述”部分予以描述。敬请广大投资者关注，并注</w:t>
      </w:r>
      <w:r>
        <w:rPr>
          <w:w w:val="99"/>
        </w:rPr>
        <w:t> </w:t>
      </w:r>
      <w:r>
        <w:rPr/>
        <w:t>意投资风险。</w:t>
      </w:r>
      <w:r>
        <w:rPr>
          <w:b w:val="0"/>
          <w:bCs w:val="0"/>
        </w:rPr>
      </w:r>
    </w:p>
    <w:p>
      <w:pPr>
        <w:pStyle w:val="Heading2"/>
        <w:spacing w:line="398" w:lineRule="auto" w:before="162"/>
        <w:ind w:right="986" w:firstLine="562"/>
        <w:jc w:val="left"/>
        <w:rPr>
          <w:b w:val="0"/>
          <w:bCs w:val="0"/>
        </w:rPr>
      </w:pPr>
      <w:r>
        <w:rPr>
          <w:rFonts w:ascii="Times New Roman" w:hAnsi="Times New Roman" w:cs="Times New Roman" w:eastAsia="Times New Roman" w:hint="default"/>
        </w:rPr>
        <w:t>2019 </w:t>
      </w:r>
      <w:r>
        <w:rPr/>
        <w:t>年，公司通过集中竞价方式累计回购公司股份 </w:t>
      </w:r>
      <w:r>
        <w:rPr>
          <w:rFonts w:ascii="Times New Roman" w:hAnsi="Times New Roman" w:cs="Times New Roman" w:eastAsia="Times New Roman" w:hint="default"/>
        </w:rPr>
        <w:t>796,820</w:t>
      </w:r>
      <w:r>
        <w:rPr>
          <w:rFonts w:ascii="Times New Roman" w:hAnsi="Times New Roman" w:cs="Times New Roman" w:eastAsia="Times New Roman" w:hint="default"/>
          <w:spacing w:val="10"/>
        </w:rPr>
        <w:t> </w:t>
      </w:r>
      <w:r>
        <w:rPr/>
        <w:t>股，支付现金</w:t>
      </w:r>
      <w:r>
        <w:rPr>
          <w:w w:val="99"/>
        </w:rPr>
        <w:t> </w:t>
      </w:r>
      <w:r>
        <w:rPr>
          <w:w w:val="99"/>
        </w:rPr>
        <w:t>总额为</w:t>
      </w:r>
      <w:r>
        <w:rPr>
          <w:spacing w:val="-63"/>
          <w:w w:val="99"/>
        </w:rPr>
        <w:t> </w:t>
      </w:r>
      <w:r>
        <w:rPr>
          <w:rFonts w:ascii="Times New Roman" w:hAnsi="Times New Roman" w:cs="Times New Roman" w:eastAsia="Times New Roman" w:hint="default"/>
          <w:spacing w:val="-2"/>
          <w:w w:val="100"/>
        </w:rPr>
        <w:t>13,538,693.02</w:t>
      </w:r>
      <w:r>
        <w:rPr>
          <w:rFonts w:ascii="Times New Roman" w:hAnsi="Times New Roman" w:cs="Times New Roman" w:eastAsia="Times New Roman" w:hint="default"/>
          <w:spacing w:val="10"/>
          <w:w w:val="100"/>
        </w:rPr>
        <w:t> </w:t>
      </w:r>
      <w:r>
        <w:rPr>
          <w:spacing w:val="-11"/>
          <w:w w:val="99"/>
        </w:rPr>
        <w:t>元（不含交易费用）。根据《深圳证券交易所上市公司回购</w:t>
      </w:r>
      <w:r>
        <w:rPr>
          <w:spacing w:val="-122"/>
          <w:w w:val="99"/>
        </w:rPr>
        <w:t> </w:t>
      </w:r>
      <w:r>
        <w:rPr>
          <w:spacing w:val="-122"/>
          <w:w w:val="99"/>
        </w:rPr>
      </w:r>
      <w:r>
        <w:rPr>
          <w:spacing w:val="2"/>
        </w:rPr>
        <w:t>股份实施细则》有关规定，公司当年已实施的股份回购金额视同现金分红，纳</w:t>
      </w:r>
      <w:r>
        <w:rPr>
          <w:w w:val="99"/>
        </w:rPr>
        <w:t> </w:t>
      </w:r>
      <w:r>
        <w:rPr>
          <w:spacing w:val="-2"/>
        </w:rPr>
        <w:t>入该年度现金分红的相关比例计算。基于上述规定，公司计划不派发现金红利，</w:t>
      </w:r>
      <w:r>
        <w:rPr>
          <w:spacing w:val="-130"/>
        </w:rPr>
        <w:t> </w:t>
      </w:r>
      <w:r>
        <w:rPr>
          <w:spacing w:val="-130"/>
        </w:rPr>
      </w:r>
      <w:r>
        <w:rPr/>
        <w:t>不送红股，不以公积金转增股本。</w:t>
      </w:r>
      <w:r>
        <w:rPr>
          <w:b w:val="0"/>
          <w:bCs w:val="0"/>
        </w:rPr>
      </w:r>
    </w:p>
    <w:p>
      <w:pPr>
        <w:spacing w:after="0" w:line="398" w:lineRule="auto"/>
        <w:jc w:val="left"/>
        <w:sectPr>
          <w:footerReference w:type="default" r:id="rId7"/>
          <w:pgSz w:w="11910" w:h="16840"/>
          <w:pgMar w:footer="1021"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line="460" w:lineRule="exact" w:before="0"/>
        <w:ind w:left="2381" w:right="339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4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29"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
              </w:rPr>
              <w:t> </w:t>
            </w:r>
            <w:r>
              <w:rPr/>
              <w:t>优先股相关情况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
              </w:rPr>
              <w:t> </w:t>
            </w:r>
            <w:r>
              <w:rPr/>
              <w:t>可转换公司债券相关情况</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4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第九节</w:t>
            </w:r>
            <w:r>
              <w:rPr>
                <w:spacing w:val="1"/>
              </w:rPr>
              <w:t> </w:t>
            </w:r>
            <w:r>
              <w:rPr/>
              <w:t>董事、监事、高级管理人员和员工情况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1"/>
              </w:rPr>
              <w:t> </w:t>
            </w:r>
            <w:r>
              <w:rPr/>
              <w:t>公司治理</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第十一节</w:t>
            </w:r>
            <w:r>
              <w:rPr>
                <w:spacing w:val="-2"/>
              </w:rPr>
              <w:t> </w:t>
            </w:r>
            <w:r>
              <w:rPr/>
              <w:t>公司债券相关情况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2"/>
              </w:rPr>
              <w:t> </w:t>
            </w:r>
            <w:r>
              <w:rPr/>
              <w:t>财务报告</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第十三节</w:t>
            </w:r>
            <w:r>
              <w:rPr>
                <w:spacing w:val="-2"/>
              </w:rPr>
              <w:t> </w:t>
            </w:r>
            <w:r>
              <w:rPr/>
              <w:t>备查文件目录</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4" w:footer="1021" w:top="1100" w:bottom="1220" w:left="1020" w:right="0"/>
        </w:sectPr>
      </w:pPr>
    </w:p>
    <w:p>
      <w:pPr>
        <w:spacing w:before="906"/>
        <w:ind w:left="2381" w:right="339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公司、本公司、信息发展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中山证券有限责任公司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期末、本期末、报告期末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金档公司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光典公司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光典信息发展有限公司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追溯云公司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智秾公司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智秾信息发展股份有限公司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信发资产公司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信发资产管理有限责任公司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追索公司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上海追索信息科技有限公司</w:t>
            </w:r>
          </w:p>
        </w:tc>
      </w:tr>
      <w:tr>
        <w:trPr>
          <w:trHeight w:val="133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99"/>
              <w:jc w:val="left"/>
              <w:rPr>
                <w:rFonts w:ascii="宋体" w:hAnsi="宋体" w:cs="宋体" w:eastAsia="宋体" w:hint="default"/>
                <w:sz w:val="18"/>
                <w:szCs w:val="18"/>
              </w:rPr>
            </w:pPr>
            <w:r>
              <w:rPr>
                <w:rFonts w:ascii="宋体" w:hAnsi="宋体" w:cs="宋体" w:eastAsia="宋体" w:hint="default"/>
                <w:spacing w:val="-1"/>
                <w:sz w:val="18"/>
                <w:szCs w:val="18"/>
              </w:rPr>
              <w:t>利用块链式数据结构来验证与存储数据、利用分布式节点共识算法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来生成和更新数据、利用密码学的方式保证数据传输和访问的安 </w:t>
            </w:r>
            <w:r>
              <w:rPr>
                <w:rFonts w:ascii="宋体" w:hAnsi="宋体" w:cs="宋体" w:eastAsia="宋体" w:hint="default"/>
                <w:spacing w:val="-1"/>
                <w:sz w:val="18"/>
                <w:szCs w:val="18"/>
              </w:rPr>
              <w:t>全、利用由自动化脚本代码组成的智能合约来编程和操作数据的一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种全新的分布式基础架构与计算方式。</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both"/>
              <w:rPr>
                <w:rFonts w:ascii="宋体" w:hAnsi="宋体" w:cs="宋体" w:eastAsia="宋体" w:hint="default"/>
                <w:sz w:val="18"/>
                <w:szCs w:val="18"/>
              </w:rPr>
            </w:pPr>
            <w:r>
              <w:rPr>
                <w:rFonts w:ascii="宋体" w:hAnsi="宋体" w:cs="宋体" w:eastAsia="宋体" w:hint="default"/>
                <w:spacing w:val="-1"/>
                <w:sz w:val="18"/>
                <w:szCs w:val="18"/>
              </w:rPr>
              <w:t>由数量巨大、结构复杂、类型众多的数据构成的数据集合，是需要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新处理模式才能具有更强的决策力、洞察发现力和流程优化能力的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海量、高增长率和多样化的信息资产。</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SaaS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99"/>
              <w:jc w:val="left"/>
              <w:rPr>
                <w:rFonts w:ascii="宋体" w:hAnsi="宋体" w:cs="宋体" w:eastAsia="宋体" w:hint="default"/>
                <w:sz w:val="18"/>
                <w:szCs w:val="18"/>
              </w:rPr>
            </w:pPr>
            <w:r>
              <w:rPr>
                <w:rFonts w:ascii="宋体" w:hAnsi="宋体" w:cs="宋体" w:eastAsia="宋体" w:hint="default"/>
                <w:spacing w:val="-7"/>
                <w:w w:val="99"/>
                <w:sz w:val="18"/>
                <w:szCs w:val="18"/>
              </w:rPr>
              <w:t>“软件即服务”（</w:t>
            </w:r>
            <w:r>
              <w:rPr>
                <w:rFonts w:ascii="Times New Roman" w:hAnsi="Times New Roman" w:cs="Times New Roman" w:eastAsia="Times New Roman" w:hint="default"/>
                <w:spacing w:val="-7"/>
                <w:w w:val="99"/>
                <w:sz w:val="18"/>
                <w:szCs w:val="18"/>
              </w:rPr>
              <w:t>Software</w:t>
            </w:r>
            <w:r>
              <w:rPr>
                <w:rFonts w:ascii="Times New Roman" w:hAnsi="Times New Roman" w:cs="Times New Roman" w:eastAsia="Times New Roman" w:hint="default"/>
                <w:spacing w:val="4"/>
                <w:w w:val="99"/>
                <w:sz w:val="18"/>
                <w:szCs w:val="18"/>
              </w:rPr>
              <w:t> </w:t>
            </w:r>
            <w:r>
              <w:rPr>
                <w:rFonts w:ascii="Times New Roman" w:hAnsi="Times New Roman" w:cs="Times New Roman" w:eastAsia="Times New Roman" w:hint="default"/>
                <w:spacing w:val="-1"/>
                <w:w w:val="99"/>
                <w:sz w:val="18"/>
                <w:szCs w:val="18"/>
              </w:rPr>
              <w:t>as</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
                <w:w w:val="99"/>
                <w:sz w:val="18"/>
                <w:szCs w:val="18"/>
              </w:rPr>
              <w:t>Service</w:t>
            </w:r>
            <w:r>
              <w:rPr>
                <w:rFonts w:ascii="宋体" w:hAnsi="宋体" w:cs="宋体" w:eastAsia="宋体" w:hint="default"/>
                <w:spacing w:val="-2"/>
                <w:w w:val="99"/>
                <w:sz w:val="18"/>
                <w:szCs w:val="18"/>
              </w:rPr>
              <w:t>）的英文缩写，是云计算模式</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下的应用软件服务模式。</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追溯</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Inside</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追溯云公司提供的一种信息服务，是将追溯服务植入食品生产、加</w:t>
            </w:r>
          </w:p>
        </w:tc>
      </w:tr>
    </w:tbl>
    <w:p>
      <w:pPr>
        <w:spacing w:after="0" w:line="240" w:lineRule="auto"/>
        <w:jc w:val="left"/>
        <w:rPr>
          <w:rFonts w:ascii="宋体" w:hAnsi="宋体" w:cs="宋体" w:eastAsia="宋体" w:hint="default"/>
          <w:sz w:val="18"/>
          <w:szCs w:val="18"/>
        </w:rPr>
        <w:sectPr>
          <w:headerReference w:type="default" r:id="rId8"/>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525"/>
        <w:gridCol w:w="620"/>
        <w:gridCol w:w="5425"/>
      </w:tblGrid>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00"/>
              <w:jc w:val="left"/>
              <w:rPr>
                <w:rFonts w:ascii="宋体" w:hAnsi="宋体" w:cs="宋体" w:eastAsia="宋体" w:hint="default"/>
                <w:sz w:val="18"/>
                <w:szCs w:val="18"/>
              </w:rPr>
            </w:pPr>
            <w:r>
              <w:rPr>
                <w:rFonts w:ascii="宋体" w:hAnsi="宋体" w:cs="宋体" w:eastAsia="宋体" w:hint="default"/>
                <w:spacing w:val="-1"/>
                <w:sz w:val="18"/>
                <w:szCs w:val="18"/>
              </w:rPr>
              <w:t>工、流通、消费等食品安全追溯链条各环节中，实现可追溯食品的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正向追踪和反向溯源。</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生物芯片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7"/>
              <w:jc w:val="left"/>
              <w:rPr>
                <w:rFonts w:ascii="宋体" w:hAnsi="宋体" w:cs="宋体" w:eastAsia="宋体" w:hint="default"/>
                <w:sz w:val="18"/>
                <w:szCs w:val="18"/>
              </w:rPr>
            </w:pPr>
            <w:r>
              <w:rPr>
                <w:rFonts w:ascii="宋体" w:hAnsi="宋体" w:cs="宋体" w:eastAsia="宋体" w:hint="default"/>
                <w:spacing w:val="-1"/>
                <w:sz w:val="18"/>
                <w:szCs w:val="18"/>
              </w:rPr>
              <w:t>是通过缩微技术，根据分子间特异性相互作用的原理，将生命科学</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领域中不连续的分析过程集成于硅芯片或玻璃芯片表面的微型生 </w:t>
            </w:r>
            <w:r>
              <w:rPr>
                <w:rFonts w:ascii="宋体" w:hAnsi="宋体" w:cs="宋体" w:eastAsia="宋体" w:hint="default"/>
                <w:spacing w:val="-1"/>
                <w:sz w:val="18"/>
                <w:szCs w:val="18"/>
              </w:rPr>
              <w:t>物化学分析系统，以实现对细胞、蛋白质、基因及其它生物组分的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准确、快速、大信息量检测的技术。</w:t>
            </w:r>
          </w:p>
        </w:tc>
      </w:tr>
      <w:tr>
        <w:trPr>
          <w:trHeight w:val="133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安心检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7"/>
              <w:jc w:val="both"/>
              <w:rPr>
                <w:rFonts w:ascii="宋体" w:hAnsi="宋体" w:cs="宋体" w:eastAsia="宋体" w:hint="default"/>
                <w:sz w:val="18"/>
                <w:szCs w:val="18"/>
              </w:rPr>
            </w:pPr>
            <w:r>
              <w:rPr>
                <w:rFonts w:ascii="宋体" w:hAnsi="宋体" w:cs="宋体" w:eastAsia="宋体" w:hint="default"/>
                <w:spacing w:val="-1"/>
                <w:sz w:val="18"/>
                <w:szCs w:val="18"/>
              </w:rPr>
              <w:t>追溯云公司提供的一种食品安全快检服务，通过在社区设立专业快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检实验中心，对蔬菜、生猪等消费量大、保质期短、食品安全风险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相对较高的食品和食用农产品开展集中式检测，对零售环节食品安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全进行管控，为居民提供食品安全保障。</w:t>
            </w:r>
          </w:p>
        </w:tc>
      </w:tr>
      <w:tr>
        <w:trPr>
          <w:trHeight w:val="196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长三角联盟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7"/>
              <w:jc w:val="both"/>
              <w:rPr>
                <w:rFonts w:ascii="宋体" w:hAnsi="宋体" w:cs="宋体" w:eastAsia="宋体" w:hint="default"/>
                <w:sz w:val="18"/>
                <w:szCs w:val="18"/>
              </w:rPr>
            </w:pPr>
            <w:r>
              <w:rPr>
                <w:rFonts w:ascii="宋体" w:hAnsi="宋体" w:cs="宋体" w:eastAsia="宋体" w:hint="default"/>
                <w:sz w:val="18"/>
                <w:szCs w:val="18"/>
              </w:rPr>
              <w:t>长三角重要产品（区块链）追溯联盟的简称。是为贯彻党中央、国 务院关于长三角地区一体化发展的重要指示精神，在商务部、三省 一市商务主管部门指导下成立的非营利性社会组织。联盟旨在以国 家产业政策为指导，以市场为主导，以企业为主体，搭建江、浙、 沪、皖三省一市重要产品追溯的互联、互通、互认、互查平台，提 </w:t>
            </w:r>
            <w:r>
              <w:rPr>
                <w:rFonts w:ascii="宋体" w:hAnsi="宋体" w:cs="宋体" w:eastAsia="宋体" w:hint="default"/>
                <w:spacing w:val="-4"/>
                <w:sz w:val="18"/>
                <w:szCs w:val="18"/>
              </w:rPr>
              <w:t>升长三角区域重要产品追溯标准化、信息化、集约化和品牌化水平。</w:t>
            </w:r>
          </w:p>
        </w:tc>
      </w:tr>
      <w:tr>
        <w:trPr>
          <w:trHeight w:val="227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安全可控</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87"/>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上海中信信息发展股份有限公司致力于研发和推广具有自主知识 产权的信息系统，推出基于国产自主、安全、可控的档案管理系统 和监狱管理系统等，并与业内众多国产芯片、服务器、操作系统、 中间件、数据库等软硬厂商技术合作，系统研发过程中充分与合作 伙伴共同进行技术消化、吸收再创新，构建广泛兼容、自主可控、 安全可信、性能稳定、高效可用的信息系统，目前已经逐步应用于 相应的各级政府机关的信息系统当中。</w:t>
            </w:r>
          </w:p>
        </w:tc>
      </w:tr>
      <w:tr>
        <w:trPr>
          <w:trHeight w:val="320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人工智能</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8"/>
              <w:jc w:val="left"/>
              <w:rPr>
                <w:rFonts w:ascii="宋体" w:hAnsi="宋体" w:cs="宋体" w:eastAsia="宋体" w:hint="default"/>
                <w:sz w:val="18"/>
                <w:szCs w:val="18"/>
              </w:rPr>
            </w:pPr>
            <w:r>
              <w:rPr>
                <w:rFonts w:ascii="宋体" w:hAnsi="宋体" w:cs="宋体" w:eastAsia="宋体" w:hint="default"/>
                <w:spacing w:val="-1"/>
                <w:w w:val="99"/>
                <w:sz w:val="18"/>
                <w:szCs w:val="18"/>
              </w:rPr>
              <w:t>人工智能（</w:t>
            </w:r>
            <w:r>
              <w:rPr>
                <w:rFonts w:ascii="Times New Roman" w:hAnsi="Times New Roman" w:cs="Times New Roman" w:eastAsia="Times New Roman" w:hint="default"/>
                <w:spacing w:val="-1"/>
                <w:w w:val="99"/>
                <w:sz w:val="18"/>
                <w:szCs w:val="18"/>
              </w:rPr>
              <w:t>Artificial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5"/>
                <w:w w:val="99"/>
                <w:sz w:val="18"/>
                <w:szCs w:val="18"/>
              </w:rPr>
              <w:t>Intelligence</w:t>
            </w:r>
            <w:r>
              <w:rPr>
                <w:rFonts w:ascii="宋体" w:hAnsi="宋体" w:cs="宋体" w:eastAsia="宋体" w:hint="default"/>
                <w:spacing w:val="-5"/>
                <w:w w:val="99"/>
                <w:sz w:val="18"/>
                <w:szCs w:val="18"/>
              </w:rPr>
              <w:t>），英文缩写为</w:t>
            </w:r>
            <w:r>
              <w:rPr>
                <w:rFonts w:ascii="宋体" w:hAnsi="宋体" w:cs="宋体" w:eastAsia="宋体" w:hint="default"/>
                <w:w w:val="99"/>
                <w:sz w:val="18"/>
                <w:szCs w:val="18"/>
              </w:rPr>
              <w:t> </w:t>
            </w:r>
            <w:r>
              <w:rPr>
                <w:rFonts w:ascii="Times New Roman" w:hAnsi="Times New Roman" w:cs="Times New Roman" w:eastAsia="Times New Roman" w:hint="default"/>
                <w:spacing w:val="-1"/>
                <w:w w:val="99"/>
                <w:sz w:val="18"/>
                <w:szCs w:val="18"/>
              </w:rPr>
              <w:t>AI</w:t>
            </w:r>
            <w:r>
              <w:rPr>
                <w:rFonts w:ascii="宋体" w:hAnsi="宋体" w:cs="宋体" w:eastAsia="宋体" w:hint="default"/>
                <w:spacing w:val="-1"/>
                <w:w w:val="99"/>
                <w:sz w:val="18"/>
                <w:szCs w:val="18"/>
              </w:rPr>
              <w:t>。它是研究、开</w:t>
            </w:r>
            <w:r>
              <w:rPr>
                <w:rFonts w:ascii="宋体" w:hAnsi="宋体" w:cs="宋体" w:eastAsia="宋体" w:hint="default"/>
                <w:spacing w:val="-67"/>
                <w:w w:val="99"/>
                <w:sz w:val="18"/>
                <w:szCs w:val="18"/>
              </w:rPr>
              <w:t> </w:t>
            </w:r>
            <w:r>
              <w:rPr>
                <w:rFonts w:ascii="宋体" w:hAnsi="宋体" w:cs="宋体" w:eastAsia="宋体" w:hint="default"/>
                <w:spacing w:val="-67"/>
                <w:w w:val="99"/>
                <w:sz w:val="18"/>
                <w:szCs w:val="18"/>
              </w:rPr>
            </w:r>
            <w:r>
              <w:rPr>
                <w:rFonts w:ascii="宋体" w:hAnsi="宋体" w:cs="宋体" w:eastAsia="宋体" w:hint="default"/>
                <w:sz w:val="18"/>
                <w:szCs w:val="18"/>
              </w:rPr>
              <w:t>发用于模拟、延伸和扩展人的智能的理论、方法、技术及应用系统</w:t>
            </w:r>
            <w:r>
              <w:rPr>
                <w:rFonts w:ascii="宋体" w:hAnsi="宋体" w:cs="宋体" w:eastAsia="宋体" w:hint="default"/>
                <w:sz w:val="18"/>
                <w:szCs w:val="18"/>
              </w:rPr>
              <w:t> 的一门新的技术科学。人工智能是计算机科学的一个分支，它企图 了解智能的实质，并生产出一种新的能以人类智能相似的方式做出 </w:t>
            </w:r>
            <w:r>
              <w:rPr>
                <w:rFonts w:ascii="宋体" w:hAnsi="宋体" w:cs="宋体" w:eastAsia="宋体" w:hint="default"/>
                <w:spacing w:val="-4"/>
                <w:sz w:val="18"/>
                <w:szCs w:val="18"/>
              </w:rPr>
              <w:t>反应的智能机器，该领域的研究包括机器人、语言识别、图像识别、</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自然语言处理和专家系统等。人工智能从诞生以来，理论和技术日</w:t>
            </w:r>
            <w:r>
              <w:rPr>
                <w:rFonts w:ascii="宋体" w:hAnsi="宋体" w:cs="宋体" w:eastAsia="宋体" w:hint="default"/>
                <w:sz w:val="18"/>
                <w:szCs w:val="18"/>
              </w:rPr>
              <w:t> 益成熟，应用领域也不断扩大，可以设想，未来人工智能带来的科 </w:t>
            </w:r>
            <w:r>
              <w:rPr>
                <w:rFonts w:ascii="宋体" w:hAnsi="宋体" w:cs="宋体" w:eastAsia="宋体" w:hint="default"/>
                <w:spacing w:val="-4"/>
                <w:sz w:val="18"/>
                <w:szCs w:val="18"/>
              </w:rPr>
              <w:t>技产品，将会是人类智慧的“容器”。人工智能可以对人的意识、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思维的信息过程进行模拟。人工智能不是人的智能，但能像人那样</w:t>
            </w:r>
            <w:r>
              <w:rPr>
                <w:rFonts w:ascii="宋体" w:hAnsi="宋体" w:cs="宋体" w:eastAsia="宋体" w:hint="default"/>
                <w:sz w:val="18"/>
                <w:szCs w:val="18"/>
              </w:rPr>
              <w:t> 思考、也可能超过人的智能。</w:t>
            </w:r>
          </w:p>
        </w:tc>
      </w:tr>
      <w:tr>
        <w:trPr>
          <w:trHeight w:val="285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9"/>
              <w:jc w:val="left"/>
              <w:rPr>
                <w:rFonts w:ascii="宋体" w:hAnsi="宋体" w:cs="宋体" w:eastAsia="宋体" w:hint="default"/>
                <w:sz w:val="18"/>
                <w:szCs w:val="18"/>
              </w:rPr>
            </w:pPr>
            <w:r>
              <w:rPr>
                <w:rFonts w:ascii="宋体" w:hAnsi="宋体" w:cs="宋体" w:eastAsia="宋体" w:hint="default"/>
                <w:sz w:val="18"/>
                <w:szCs w:val="18"/>
              </w:rPr>
              <w:t>物联网（英语：</w:t>
            </w:r>
            <w:r>
              <w:rPr>
                <w:rFonts w:ascii="Times New Roman" w:hAnsi="Times New Roman" w:cs="Times New Roman" w:eastAsia="Times New Roman" w:hint="default"/>
                <w:sz w:val="18"/>
                <w:szCs w:val="18"/>
              </w:rPr>
              <w:t>Internet of Things</w:t>
            </w:r>
            <w:r>
              <w:rPr>
                <w:rFonts w:ascii="宋体" w:hAnsi="宋体" w:cs="宋体" w:eastAsia="宋体" w:hint="default"/>
                <w:sz w:val="18"/>
                <w:szCs w:val="18"/>
              </w:rPr>
              <w:t>，缩写</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IoT</w:t>
            </w:r>
            <w:r>
              <w:rPr>
                <w:rFonts w:ascii="宋体" w:hAnsi="宋体" w:cs="宋体" w:eastAsia="宋体" w:hint="default"/>
                <w:sz w:val="18"/>
                <w:szCs w:val="18"/>
              </w:rPr>
              <w:t>）是互联网、传统电信 网等信息承载体，让所有能行使独立功能的普通物体实现互联互通 的网络。物联网一般为无线网，而由于每个人周围的设备可以达到 一千至五千个，所以物联网可能要包含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兆至一千兆个物体。 在物联网上，每个人都可以应用电子标签将真实的物体上网联结， 在物联网上都可以查出它们的具体位置。通过物联网可以用中心计 </w:t>
            </w:r>
            <w:r>
              <w:rPr>
                <w:rFonts w:ascii="宋体" w:hAnsi="宋体" w:cs="宋体" w:eastAsia="宋体" w:hint="default"/>
                <w:spacing w:val="-4"/>
                <w:sz w:val="18"/>
                <w:szCs w:val="18"/>
              </w:rPr>
              <w:t>算机对机器、设备、人员进行集中管理、控制，也可以对家庭设备、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汽车进行遥控，以及搜索位置、防止物品被盗等，类似自动化操控</w:t>
            </w:r>
            <w:r>
              <w:rPr>
                <w:rFonts w:ascii="宋体" w:hAnsi="宋体" w:cs="宋体" w:eastAsia="宋体" w:hint="default"/>
                <w:sz w:val="18"/>
                <w:szCs w:val="18"/>
              </w:rPr>
              <w:t> 系统，同时透过收集这些小事的数据，最后可以聚集成大数据，包</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525"/>
        <w:gridCol w:w="620"/>
        <w:gridCol w:w="5425"/>
      </w:tblGrid>
      <w:tr>
        <w:trPr>
          <w:trHeight w:val="675"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02"/>
              <w:jc w:val="left"/>
              <w:rPr>
                <w:rFonts w:ascii="宋体" w:hAnsi="宋体" w:cs="宋体" w:eastAsia="宋体" w:hint="default"/>
                <w:sz w:val="18"/>
                <w:szCs w:val="18"/>
              </w:rPr>
            </w:pPr>
            <w:r>
              <w:rPr>
                <w:rFonts w:ascii="宋体" w:hAnsi="宋体" w:cs="宋体" w:eastAsia="宋体" w:hint="default"/>
                <w:spacing w:val="-1"/>
                <w:sz w:val="18"/>
                <w:szCs w:val="18"/>
              </w:rPr>
              <w:t>含重新设计道路以减少车祸、都市更新、灾害预测与犯罪防治、流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行病控制等等社会的重大改变，实现物和物相联。</w:t>
            </w:r>
          </w:p>
        </w:tc>
      </w:tr>
    </w:tbl>
    <w:p>
      <w:pPr>
        <w:spacing w:after="0" w:line="319"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left="2683" w:right="1133"/>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33"/>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信息发展</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300469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信息发展</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CHINA</w:t>
            </w:r>
            <w:r>
              <w:rPr>
                <w:rFonts w:ascii="Times New Roman"/>
                <w:spacing w:val="-17"/>
                <w:sz w:val="18"/>
              </w:rPr>
              <w:t> </w:t>
            </w:r>
            <w:r>
              <w:rPr>
                <w:rFonts w:ascii="Times New Roman"/>
                <w:sz w:val="18"/>
              </w:rPr>
              <w:t>INFORMATION</w:t>
            </w:r>
            <w:r>
              <w:rPr>
                <w:rFonts w:ascii="Times New Roman"/>
                <w:spacing w:val="-6"/>
                <w:sz w:val="18"/>
              </w:rPr>
              <w:t> </w:t>
            </w:r>
            <w:r>
              <w:rPr>
                <w:rFonts w:ascii="Times New Roman"/>
                <w:sz w:val="18"/>
              </w:rPr>
              <w:t>DEVELOPMENT</w:t>
            </w:r>
            <w:r>
              <w:rPr>
                <w:rFonts w:ascii="Times New Roman"/>
                <w:spacing w:val="-8"/>
                <w:sz w:val="18"/>
              </w:rPr>
              <w:t> </w:t>
            </w:r>
            <w:r>
              <w:rPr>
                <w:rFonts w:ascii="Times New Roman"/>
                <w:sz w:val="18"/>
              </w:rPr>
              <w:t>INC.,</w:t>
            </w:r>
            <w:r>
              <w:rPr>
                <w:rFonts w:ascii="Times New Roman"/>
                <w:spacing w:val="-4"/>
                <w:sz w:val="18"/>
              </w:rPr>
              <w:t> </w:t>
            </w:r>
            <w:r>
              <w:rPr>
                <w:rFonts w:ascii="Times New Roman"/>
                <w:spacing w:val="-6"/>
                <w:sz w:val="18"/>
              </w:rPr>
              <w:t>LTD.</w:t>
            </w:r>
            <w:r>
              <w:rPr>
                <w:rFonts w:ascii="Times New Roman"/>
                <w:spacing w:val="-5"/>
                <w:sz w:val="18"/>
              </w:rPr>
              <w:t> </w:t>
            </w:r>
            <w:r>
              <w:rPr>
                <w:rFonts w:ascii="Times New Roman"/>
                <w:sz w:val="18"/>
              </w:rPr>
              <w:t>SHANGHAI</w:t>
            </w:r>
          </w:p>
        </w:tc>
      </w:tr>
      <w:tr>
        <w:trPr>
          <w:trHeight w:val="716"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CES</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上海市静安区昌平路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710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302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200040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200333</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9">
              <w:r>
                <w:rPr>
                  <w:rFonts w:ascii="Times New Roman"/>
                  <w:sz w:val="18"/>
                </w:rPr>
                <w:t>www.cesgroup.com.cn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曹晔</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上海市中江路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021-51208285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021-51208285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021-51208285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021-51208285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ir@cesgroup.com.cn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71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51"/>
              <w:jc w:val="left"/>
              <w:rPr>
                <w:rFonts w:ascii="宋体" w:hAnsi="宋体" w:cs="宋体" w:eastAsia="宋体" w:hint="default"/>
                <w:sz w:val="18"/>
                <w:szCs w:val="18"/>
              </w:rPr>
            </w:pPr>
            <w:r>
              <w:rPr>
                <w:rFonts w:ascii="宋体" w:hAnsi="宋体" w:cs="宋体" w:eastAsia="宋体" w:hint="default"/>
                <w:spacing w:val="-20"/>
                <w:sz w:val="18"/>
                <w:szCs w:val="18"/>
              </w:rPr>
              <w:t>巨潮资讯网、《证券时报》、《证券日报》、《中国证券报》、《上海证券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b/>
          <w:bCs/>
          <w:sz w:val="20"/>
          <w:szCs w:val="20"/>
        </w:rPr>
      </w:pPr>
    </w:p>
    <w:p>
      <w:pPr>
        <w:pStyle w:val="Heading4"/>
        <w:spacing w:line="240" w:lineRule="auto" w:before="26"/>
        <w:ind w:right="1133"/>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立信会计事务所（特殊普通合伙）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庄继宁、吴海燕</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公司聘请的报告期内履行持续督导职责的财务顾问</w:t>
      </w:r>
    </w:p>
    <w:p>
      <w:pPr>
        <w:spacing w:before="27"/>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640,198,270.89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706,940,063.53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564,293,578.68</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-150,581,542.58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44,803,214.13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-436.10%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33,207,874.96</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-172,588,079.58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21,403,553.04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-906.35%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22,571,861.70</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-25,630,675.04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4,012,417.86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-738.78%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8,210,200.08</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0.275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-431.82%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0.275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-39.46%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142" w:hanging="629"/>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1,311,478,196.75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1,375,043,026.11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1,217,276,834.99</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305,814,708.30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452,583,483.54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422,372,877.07</w:t>
            </w:r>
          </w:p>
        </w:tc>
      </w:tr>
    </w:tbl>
    <w:p>
      <w:pPr>
        <w:spacing w:line="240" w:lineRule="auto" w:before="1"/>
        <w:rPr>
          <w:rFonts w:ascii="宋体" w:hAnsi="宋体" w:cs="宋体" w:eastAsia="宋体" w:hint="default"/>
          <w:sz w:val="18"/>
          <w:szCs w:val="18"/>
        </w:rPr>
      </w:pPr>
    </w:p>
    <w:p>
      <w:pPr>
        <w:pStyle w:val="Heading4"/>
        <w:spacing w:line="240" w:lineRule="auto" w:before="26"/>
        <w:ind w:right="1133"/>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55,315,162.37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233,548,111.76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176,116,375.21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175,218,621.55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-16,339,655.74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15,065,414.14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1,884,817.35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-151,192,118.33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71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-20,268,855.95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13,518,118.55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-3,395,637.82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-162,441,704.36</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-133,116,859.35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-16,134,698.22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-21,426,826.15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145,047,708.68</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121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公司报告期不存在按照国际会计准则与按照中国会计准则披露的财务报告中净利润和净资产差异情况。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26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4"/>
        <w:spacing w:line="240" w:lineRule="auto"/>
        <w:ind w:right="1133"/>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8,679,209.61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42,373.26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18,006,762.08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27,601,525.00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12,528,675.00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226,405.13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-777,507.16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-91,275.28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58,351.16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3,796,849.25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4,121,835.64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1,888,053.93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331,483.41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31,126.25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62,958.97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22,006,537.00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23,399,661.09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10,636,013.26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号——非经常性损益》定义界定的非经常性损益项目，以及把《公</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00" w:lineRule="auto" w:before="44"/>
        <w:ind w:left="11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72"/>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300" w:lineRule="auto" w:before="115"/>
        <w:ind w:left="11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405"/>
        <w:jc w:val="center"/>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33"/>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12"/>
        <w:rPr>
          <w:rFonts w:ascii="宋体" w:hAnsi="宋体" w:cs="宋体" w:eastAsia="宋体" w:hint="default"/>
          <w:b/>
          <w:bCs/>
          <w:sz w:val="24"/>
          <w:szCs w:val="24"/>
        </w:rPr>
      </w:pPr>
    </w:p>
    <w:p>
      <w:pPr>
        <w:spacing w:line="312" w:lineRule="exact" w:before="0"/>
        <w:ind w:left="593" w:right="1133" w:firstLine="2"/>
        <w:jc w:val="left"/>
        <w:rPr>
          <w:rFonts w:ascii="宋体" w:hAnsi="宋体" w:cs="宋体" w:eastAsia="宋体" w:hint="default"/>
          <w:sz w:val="24"/>
          <w:szCs w:val="24"/>
        </w:rPr>
      </w:pPr>
      <w:r>
        <w:rPr>
          <w:rFonts w:ascii="宋体" w:hAnsi="宋体" w:cs="宋体" w:eastAsia="宋体" w:hint="default"/>
          <w:b/>
          <w:bCs/>
          <w:sz w:val="24"/>
          <w:szCs w:val="24"/>
        </w:rPr>
        <w:t>（一）主营业务概要</w:t>
      </w:r>
      <w:r>
        <w:rPr>
          <w:rFonts w:ascii="宋体" w:hAnsi="宋体" w:cs="宋体" w:eastAsia="宋体" w:hint="default"/>
          <w:b/>
          <w:bCs/>
          <w:w w:val="99"/>
          <w:sz w:val="24"/>
          <w:szCs w:val="24"/>
        </w:rPr>
        <w:t> </w:t>
      </w:r>
      <w:r>
        <w:rPr>
          <w:rFonts w:ascii="宋体" w:hAnsi="宋体" w:cs="宋体" w:eastAsia="宋体" w:hint="default"/>
          <w:sz w:val="24"/>
          <w:szCs w:val="24"/>
        </w:rPr>
        <w:t>信息发展是一家运用区块链和大数据等技术，面向智慧食安、智慧档案、智慧司法等政</w:t>
      </w:r>
    </w:p>
    <w:p>
      <w:pPr>
        <w:pStyle w:val="Heading5"/>
        <w:spacing w:line="312" w:lineRule="exact"/>
        <w:ind w:right="986"/>
        <w:jc w:val="left"/>
      </w:pPr>
      <w:r>
        <w:rPr>
          <w:spacing w:val="-2"/>
        </w:rPr>
        <w:t>府和企业，为数字中国提供行业专有云综合解决方案的服务运营商。信息发展</w:t>
      </w:r>
      <w:r>
        <w:rPr>
          <w:rFonts w:ascii="宋体" w:hAnsi="宋体" w:cs="宋体" w:eastAsia="宋体" w:hint="default"/>
          <w:spacing w:val="-2"/>
        </w:rPr>
        <w:t>2.0</w:t>
      </w:r>
      <w:r>
        <w:rPr>
          <w:spacing w:val="-2"/>
        </w:rPr>
        <w:t>战略可以概</w:t>
      </w:r>
      <w:r>
        <w:rPr>
          <w:spacing w:val="-117"/>
        </w:rPr>
        <w:t> </w:t>
      </w:r>
      <w:r>
        <w:rPr>
          <w:spacing w:val="-9"/>
        </w:rPr>
        <w:t>括为“一体两翼、数链驱动”：即以智慧食安为“一体”，以智慧档案、智慧司法为“两翼”，</w:t>
      </w:r>
      <w:r>
        <w:rPr>
          <w:spacing w:val="-102"/>
        </w:rPr>
        <w:t> </w:t>
      </w:r>
      <w:r>
        <w:rPr>
          <w:spacing w:val="-102"/>
        </w:rPr>
      </w:r>
      <w:r>
        <w:rPr>
          <w:spacing w:val="-4"/>
        </w:rPr>
        <w:t>以区块链创新中心和大数据智能创新中心为“技术引擎”，赋能公司三大行业。</w:t>
      </w:r>
    </w:p>
    <w:p>
      <w:pPr>
        <w:pStyle w:val="Heading5"/>
        <w:spacing w:line="283" w:lineRule="exact"/>
        <w:ind w:right="1133" w:firstLine="480"/>
        <w:jc w:val="left"/>
      </w:pPr>
      <w:r>
        <w:rPr/>
        <w:t>未来公司将更聚焦智慧食安领域，加快向产品型、服务型公司迈进，在保持政府客户基</w:t>
      </w:r>
    </w:p>
    <w:p>
      <w:pPr>
        <w:pStyle w:val="Heading5"/>
        <w:spacing w:line="312" w:lineRule="exact" w:before="30"/>
        <w:ind w:right="1154"/>
        <w:jc w:val="left"/>
      </w:pPr>
      <w:r>
        <w:rPr/>
        <w:t>数的前提下大力开拓企业客户，在全公司签约额稳步增长的情况下，全力加速推进</w:t>
      </w:r>
      <w:r>
        <w:rPr>
          <w:rFonts w:ascii="宋体" w:hAnsi="宋体" w:cs="宋体" w:eastAsia="宋体" w:hint="default"/>
        </w:rPr>
        <w:t>SaaS</w:t>
      </w:r>
      <w:r>
        <w:rPr/>
        <w:t>产品 研发、销售和服务，实现公司各项经济指标的不断提升。</w:t>
      </w:r>
    </w:p>
    <w:p>
      <w:pPr>
        <w:spacing w:line="240" w:lineRule="auto" w:before="11"/>
        <w:rPr>
          <w:rFonts w:ascii="宋体" w:hAnsi="宋体" w:cs="宋体" w:eastAsia="宋体" w:hint="default"/>
          <w:sz w:val="23"/>
          <w:szCs w:val="23"/>
        </w:rPr>
      </w:pPr>
    </w:p>
    <w:p>
      <w:pPr>
        <w:spacing w:line="312" w:lineRule="exact" w:before="0"/>
        <w:ind w:left="595" w:right="1151" w:firstLine="0"/>
        <w:jc w:val="left"/>
        <w:rPr>
          <w:rFonts w:ascii="宋体" w:hAnsi="宋体" w:cs="宋体" w:eastAsia="宋体" w:hint="default"/>
          <w:sz w:val="24"/>
          <w:szCs w:val="24"/>
        </w:rPr>
      </w:pPr>
      <w:r>
        <w:rPr>
          <w:rFonts w:ascii="宋体" w:hAnsi="宋体" w:cs="宋体" w:eastAsia="宋体" w:hint="default"/>
          <w:b/>
          <w:bCs/>
          <w:sz w:val="24"/>
          <w:szCs w:val="24"/>
        </w:rPr>
        <w:t>（二）智慧食安业务概要</w:t>
      </w:r>
      <w:r>
        <w:rPr>
          <w:rFonts w:ascii="宋体" w:hAnsi="宋体" w:cs="宋体" w:eastAsia="宋体" w:hint="default"/>
          <w:b/>
          <w:bCs/>
          <w:w w:val="99"/>
          <w:sz w:val="24"/>
          <w:szCs w:val="24"/>
        </w:rPr>
        <w:t> </w:t>
      </w:r>
      <w:r>
        <w:rPr>
          <w:rFonts w:ascii="宋体" w:hAnsi="宋体" w:cs="宋体" w:eastAsia="宋体" w:hint="default"/>
          <w:sz w:val="24"/>
          <w:szCs w:val="24"/>
        </w:rPr>
        <w:t>自</w:t>
      </w:r>
      <w:r>
        <w:rPr>
          <w:rFonts w:ascii="宋体" w:hAnsi="宋体" w:cs="宋体" w:eastAsia="宋体" w:hint="default"/>
          <w:sz w:val="24"/>
          <w:szCs w:val="24"/>
        </w:rPr>
        <w:t>2008</w:t>
      </w:r>
      <w:r>
        <w:rPr>
          <w:rFonts w:ascii="宋体" w:hAnsi="宋体" w:cs="宋体" w:eastAsia="宋体" w:hint="default"/>
          <w:sz w:val="24"/>
          <w:szCs w:val="24"/>
        </w:rPr>
        <w:t>年来，公司在食品安全行业砥砺前行，凭借完整的解决方案、过硬的产品和优质</w:t>
      </w:r>
    </w:p>
    <w:p>
      <w:pPr>
        <w:pStyle w:val="Heading5"/>
        <w:spacing w:line="312" w:lineRule="exact"/>
        <w:ind w:right="1170"/>
        <w:jc w:val="both"/>
      </w:pPr>
      <w:r>
        <w:rPr/>
        <w:t>的服务，在全国市场积极布局，形成了良好的行业口碑和强劲的市场竞争力。近三年以来， 公司投入大量资源研究物联网、</w:t>
      </w:r>
      <w:r>
        <w:rPr>
          <w:rFonts w:ascii="宋体" w:hAnsi="宋体" w:cs="宋体" w:eastAsia="宋体" w:hint="default"/>
        </w:rPr>
        <w:t>SaaS</w:t>
      </w:r>
      <w:r>
        <w:rPr/>
        <w:t>服务、区块链、大数据等技术在食安领域的应用，目前 已取得较好的成绩。</w:t>
      </w:r>
    </w:p>
    <w:p>
      <w:pPr>
        <w:spacing w:line="268" w:lineRule="auto" w:before="10"/>
        <w:ind w:left="595" w:right="1151"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、智慧食安农业方面</w:t>
      </w:r>
      <w:r>
        <w:rPr>
          <w:rFonts w:ascii="宋体" w:hAnsi="宋体" w:cs="宋体" w:eastAsia="宋体" w:hint="default"/>
          <w:b/>
          <w:bCs/>
          <w:w w:val="99"/>
          <w:sz w:val="24"/>
          <w:szCs w:val="24"/>
        </w:rPr>
        <w:t> </w:t>
      </w:r>
      <w:r>
        <w:rPr>
          <w:rFonts w:ascii="宋体" w:hAnsi="宋体" w:cs="宋体" w:eastAsia="宋体" w:hint="default"/>
          <w:sz w:val="24"/>
          <w:szCs w:val="24"/>
        </w:rPr>
        <w:t>公司智慧农业业务由旗下子公司——智秾信息发展股份有限公司负责开拓，智秾公司致</w:t>
      </w:r>
    </w:p>
    <w:p>
      <w:pPr>
        <w:pStyle w:val="Heading5"/>
        <w:spacing w:line="282" w:lineRule="exact"/>
        <w:ind w:right="1133"/>
        <w:jc w:val="left"/>
      </w:pPr>
      <w:r>
        <w:rPr/>
        <w:t>力于加快推动农业农村数字化发展，农业农村生产经营精准化、管理服务智能化、乡村治理</w:t>
      </w:r>
    </w:p>
    <w:p>
      <w:pPr>
        <w:pStyle w:val="Heading5"/>
        <w:spacing w:line="312" w:lineRule="exact" w:before="30"/>
        <w:ind w:right="1154"/>
        <w:jc w:val="left"/>
      </w:pPr>
      <w:r>
        <w:rPr/>
        <w:t>数字化，</w:t>
      </w:r>
      <w:r>
        <w:rPr>
          <w:rFonts w:ascii="宋体" w:hAnsi="宋体" w:cs="宋体" w:eastAsia="宋体" w:hint="default"/>
        </w:rPr>
        <w:t>2019</w:t>
      </w:r>
      <w:r>
        <w:rPr/>
        <w:t>年一方面积极开拓重大农业项目占领制高点，另一方面加快研发新产品，拓展 产品营销渠道，加快跑马圈地。</w:t>
      </w:r>
    </w:p>
    <w:p>
      <w:pPr>
        <w:spacing w:line="268" w:lineRule="auto" w:before="10"/>
        <w:ind w:left="595" w:right="1151"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、智慧食安流通方面</w:t>
      </w:r>
      <w:r>
        <w:rPr>
          <w:rFonts w:ascii="宋体" w:hAnsi="宋体" w:cs="宋体" w:eastAsia="宋体" w:hint="default"/>
          <w:b/>
          <w:bCs/>
          <w:w w:val="99"/>
          <w:sz w:val="24"/>
          <w:szCs w:val="24"/>
        </w:rPr>
        <w:t> </w:t>
      </w:r>
      <w:r>
        <w:rPr>
          <w:rFonts w:ascii="宋体" w:hAnsi="宋体" w:cs="宋体" w:eastAsia="宋体" w:hint="default"/>
          <w:sz w:val="24"/>
          <w:szCs w:val="24"/>
        </w:rPr>
        <w:t>公司智慧流通业务由全资子公司上海追索信息科技有限公司负责开展，流通业务是公司</w:t>
      </w:r>
    </w:p>
    <w:p>
      <w:pPr>
        <w:pStyle w:val="Heading5"/>
        <w:spacing w:line="312" w:lineRule="exact"/>
        <w:ind w:right="1154"/>
        <w:jc w:val="left"/>
      </w:pPr>
      <w:r>
        <w:rPr/>
        <w:t>食安业务的主营方向，</w:t>
      </w:r>
      <w:r>
        <w:rPr>
          <w:rFonts w:ascii="宋体" w:hAnsi="宋体" w:cs="宋体" w:eastAsia="宋体" w:hint="default"/>
        </w:rPr>
        <w:t>2019</w:t>
      </w:r>
      <w:r>
        <w:rPr/>
        <w:t>年公司持续加大在流通领域的投入，保持了全国领先优势，继续 扩大与竞争对手的差距。</w:t>
      </w:r>
    </w:p>
    <w:p>
      <w:pPr>
        <w:spacing w:line="268" w:lineRule="auto" w:before="10"/>
        <w:ind w:left="595" w:right="1151"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、智慧食安消费方面</w:t>
      </w:r>
      <w:r>
        <w:rPr>
          <w:rFonts w:ascii="宋体" w:hAnsi="宋体" w:cs="宋体" w:eastAsia="宋体" w:hint="default"/>
          <w:b/>
          <w:bCs/>
          <w:w w:val="99"/>
          <w:sz w:val="24"/>
          <w:szCs w:val="24"/>
        </w:rPr>
        <w:t> </w:t>
      </w:r>
      <w:r>
        <w:rPr>
          <w:rFonts w:ascii="宋体" w:hAnsi="宋体" w:cs="宋体" w:eastAsia="宋体" w:hint="default"/>
          <w:sz w:val="24"/>
          <w:szCs w:val="24"/>
        </w:rPr>
        <w:t>公司智慧消费业务由旗下子公司——追溯云信息发展股份有限公司负责开拓，追溯云的</w:t>
      </w:r>
    </w:p>
    <w:p>
      <w:pPr>
        <w:pStyle w:val="Heading5"/>
        <w:spacing w:line="312" w:lineRule="exact"/>
        <w:ind w:right="996"/>
        <w:jc w:val="left"/>
        <w:rPr>
          <w:rFonts w:ascii="宋体" w:hAnsi="宋体" w:cs="宋体" w:eastAsia="宋体" w:hint="default"/>
        </w:rPr>
      </w:pPr>
      <w:r>
        <w:rPr>
          <w:spacing w:val="-2"/>
        </w:rPr>
        <w:t>愿景是成为最权威的食品安全第三方服务平台，以让人人都能吃上安全、放心的食品为使命。</w:t>
      </w:r>
      <w:r>
        <w:rPr/>
        <w:t> 立足食品安全，围绕食品的全产业链，提供食品品质、标准、安全相关的咨询、认证、检测 和信息化应用服务。</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16</w:t>
      </w:r>
      <w:r>
        <w:rPr/>
        <w:t>日追溯云（上海）信用科技有限公司正式成立并于</w:t>
      </w:r>
      <w:r>
        <w:rPr>
          <w:rFonts w:ascii="宋体" w:hAnsi="宋体" w:cs="宋体" w:eastAsia="宋体" w:hint="default"/>
        </w:rPr>
        <w:t>2019</w:t>
      </w:r>
      <w:r>
        <w:rPr/>
        <w:t>年</w:t>
      </w:r>
      <w:r>
        <w:rPr>
          <w:rFonts w:ascii="宋体" w:hAnsi="宋体" w:cs="宋体" w:eastAsia="宋体" w:hint="default"/>
        </w:rPr>
        <w:t>6</w:t>
      </w:r>
    </w:p>
    <w:p>
      <w:pPr>
        <w:pStyle w:val="Heading5"/>
        <w:spacing w:line="312" w:lineRule="exact"/>
        <w:ind w:right="1171"/>
        <w:jc w:val="both"/>
      </w:pPr>
      <w:r>
        <w:rPr/>
        <w:t>月与上海市社会信用促进中心达成全面合作，信用顾问、数据平台、大数据联合实验室正式 启动，标志着追溯云正式进军食品安全信用评级领域。追溯云以云计算为应用平台端口，二 维码为追溯信息载体，大数据分析为决策依据，将追溯颗粒度做到每个商品的每个批次、将 追溯深度贯穿原产地到消费者手中的全链路，不断推动产品质量追溯系统智能化、信息化、 协同化。我们坚持以信息化手段提升监管效能，提高消费者查询追溯信息的便捷性，为食品 安全提供保障。</w:t>
      </w:r>
    </w:p>
    <w:p>
      <w:pPr>
        <w:pStyle w:val="Heading4"/>
        <w:spacing w:line="282" w:lineRule="exact"/>
        <w:ind w:left="595" w:right="1133"/>
        <w:jc w:val="left"/>
        <w:rPr>
          <w:b w:val="0"/>
          <w:bCs w:val="0"/>
        </w:rPr>
      </w:pPr>
      <w:r>
        <w:rPr>
          <w:rFonts w:ascii="宋体" w:hAnsi="宋体" w:cs="宋体" w:eastAsia="宋体" w:hint="default"/>
        </w:rPr>
        <w:t>4</w:t>
      </w:r>
      <w:r>
        <w:rPr/>
        <w:t>、技术创新方面</w:t>
      </w:r>
      <w:r>
        <w:rPr>
          <w:b w:val="0"/>
          <w:bCs w:val="0"/>
        </w:rPr>
      </w:r>
    </w:p>
    <w:p>
      <w:pPr>
        <w:pStyle w:val="Heading5"/>
        <w:spacing w:line="312" w:lineRule="exact" w:before="29"/>
        <w:ind w:right="1129" w:firstLine="482"/>
        <w:jc w:val="left"/>
      </w:pPr>
      <w:r>
        <w:rPr>
          <w:rFonts w:ascii="宋体" w:hAnsi="宋体" w:cs="宋体" w:eastAsia="宋体" w:hint="default"/>
          <w:spacing w:val="-3"/>
        </w:rPr>
        <w:t>2018</w:t>
      </w:r>
      <w:r>
        <w:rPr>
          <w:spacing w:val="-3"/>
        </w:rPr>
        <w:t>年信息发展和霍尼韦尔达成战略合作，在上海共同组建信息发展</w:t>
      </w:r>
      <w:r>
        <w:rPr>
          <w:rFonts w:ascii="宋体" w:hAnsi="宋体" w:cs="宋体" w:eastAsia="宋体" w:hint="default"/>
          <w:spacing w:val="-3"/>
        </w:rPr>
        <w:t>-</w:t>
      </w:r>
      <w:r>
        <w:rPr>
          <w:spacing w:val="-3"/>
        </w:rPr>
        <w:t>霍尼韦尔联合创新</w:t>
      </w:r>
      <w:r>
        <w:rPr/>
        <w:t> </w:t>
      </w:r>
      <w:r>
        <w:rPr>
          <w:spacing w:val="-11"/>
        </w:rPr>
        <w:t>实验室，“区块链技术在农产品质量安全追溯中的应用”、“生物芯片在便携式农残快检设备的</w:t>
      </w:r>
    </w:p>
    <w:p>
      <w:pPr>
        <w:spacing w:after="0" w:line="312"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1171"/>
        <w:jc w:val="both"/>
      </w:pPr>
      <w:r>
        <w:rPr/>
        <w:t>研制与推广”两个领域的新科技、新技术展开战略性、前瞻性研发。实验室的成立加快推进 了公司在食品安全领域的科技创新、模式创新、业务创新、应用创新，显著提升了核心竞争 力。双方对实验室的投入已于报告期内陆续到位。</w:t>
      </w:r>
    </w:p>
    <w:p>
      <w:pPr>
        <w:pStyle w:val="Heading5"/>
        <w:spacing w:line="312" w:lineRule="exact" w:before="29"/>
        <w:ind w:right="1132" w:firstLine="482"/>
        <w:jc w:val="both"/>
      </w:pPr>
      <w:r>
        <w:rPr>
          <w:rFonts w:ascii="宋体" w:hAnsi="宋体" w:cs="宋体" w:eastAsia="宋体" w:hint="default"/>
          <w:spacing w:val="-3"/>
        </w:rPr>
        <w:t>2019</w:t>
      </w:r>
      <w:r>
        <w:rPr>
          <w:spacing w:val="-3"/>
        </w:rPr>
        <w:t>年是信息发展</w:t>
      </w:r>
      <w:r>
        <w:rPr>
          <w:rFonts w:ascii="宋体" w:hAnsi="宋体" w:cs="宋体" w:eastAsia="宋体" w:hint="default"/>
          <w:spacing w:val="-3"/>
        </w:rPr>
        <w:t>2.0</w:t>
      </w:r>
      <w:r>
        <w:rPr>
          <w:spacing w:val="-3"/>
        </w:rPr>
        <w:t>战略的元年，公司面临外部市场经济下行与内部改革与转型的双重</w:t>
      </w:r>
      <w:r>
        <w:rPr/>
        <w:t> 压力，智慧食安业务坚持稳固当下，布局未来。整个智慧食品安全全程追溯领域围绕一个核 </w:t>
      </w:r>
      <w:r>
        <w:rPr>
          <w:spacing w:val="-5"/>
        </w:rPr>
        <w:t>心（食品安全供应链大数据平台），持续构建智慧农业云、智慧农批云、智慧零售云、智慧冷</w:t>
      </w:r>
      <w:r>
        <w:rPr/>
        <w:t> </w:t>
      </w:r>
      <w:r>
        <w:rPr>
          <w:spacing w:val="-6"/>
        </w:rPr>
        <w:t>链云等行业专有云（</w:t>
      </w:r>
      <w:r>
        <w:rPr>
          <w:rFonts w:ascii="宋体" w:hAnsi="宋体" w:cs="宋体" w:eastAsia="宋体" w:hint="default"/>
          <w:spacing w:val="-6"/>
        </w:rPr>
        <w:t>SaaS</w:t>
      </w:r>
      <w:r>
        <w:rPr>
          <w:spacing w:val="-6"/>
        </w:rPr>
        <w:t>），实现信息流、资金流、物流、商流的“四流合一”，食安供应链</w:t>
      </w:r>
      <w:r>
        <w:rPr>
          <w:spacing w:val="-101"/>
        </w:rPr>
        <w:t> </w:t>
      </w:r>
      <w:r>
        <w:rPr>
          <w:spacing w:val="-101"/>
        </w:rPr>
      </w:r>
      <w:r>
        <w:rPr/>
        <w:t>生态圈已初具规模。</w:t>
      </w:r>
    </w:p>
    <w:p>
      <w:pPr>
        <w:spacing w:line="240" w:lineRule="auto" w:before="11"/>
        <w:rPr>
          <w:rFonts w:ascii="宋体" w:hAnsi="宋体" w:cs="宋体" w:eastAsia="宋体" w:hint="default"/>
          <w:sz w:val="23"/>
          <w:szCs w:val="23"/>
        </w:rPr>
      </w:pPr>
    </w:p>
    <w:p>
      <w:pPr>
        <w:spacing w:line="312" w:lineRule="exact" w:before="0"/>
        <w:ind w:left="533" w:right="1093" w:firstLine="0"/>
        <w:jc w:val="left"/>
        <w:rPr>
          <w:rFonts w:ascii="宋体" w:hAnsi="宋体" w:cs="宋体" w:eastAsia="宋体" w:hint="default"/>
          <w:sz w:val="24"/>
          <w:szCs w:val="24"/>
        </w:rPr>
      </w:pPr>
      <w:r>
        <w:rPr>
          <w:rFonts w:ascii="宋体" w:hAnsi="宋体" w:cs="宋体" w:eastAsia="宋体" w:hint="default"/>
          <w:b/>
          <w:bCs/>
          <w:sz w:val="24"/>
          <w:szCs w:val="24"/>
        </w:rPr>
        <w:t>（三）智慧档案业务概要</w:t>
      </w:r>
      <w:r>
        <w:rPr>
          <w:rFonts w:ascii="宋体" w:hAnsi="宋体" w:cs="宋体" w:eastAsia="宋体" w:hint="default"/>
          <w:b/>
          <w:bCs/>
          <w:w w:val="99"/>
          <w:sz w:val="24"/>
          <w:szCs w:val="24"/>
        </w:rPr>
        <w:t> </w:t>
      </w:r>
      <w:r>
        <w:rPr>
          <w:rFonts w:ascii="宋体" w:hAnsi="宋体" w:cs="宋体" w:eastAsia="宋体" w:hint="default"/>
          <w:sz w:val="24"/>
          <w:szCs w:val="24"/>
        </w:rPr>
        <w:t>依托在档案信息化领域的深厚积淀，紧跟信息发展</w:t>
      </w:r>
      <w:r>
        <w:rPr>
          <w:rFonts w:ascii="宋体" w:hAnsi="宋体" w:cs="宋体" w:eastAsia="宋体" w:hint="default"/>
          <w:sz w:val="24"/>
          <w:szCs w:val="24"/>
        </w:rPr>
        <w:t>2.0</w:t>
      </w:r>
      <w:r>
        <w:rPr>
          <w:rFonts w:ascii="宋体" w:hAnsi="宋体" w:cs="宋体" w:eastAsia="宋体" w:hint="default"/>
          <w:sz w:val="24"/>
          <w:szCs w:val="24"/>
        </w:rPr>
        <w:t>战略，以技术和行业经验为驱动，</w:t>
      </w:r>
    </w:p>
    <w:p>
      <w:pPr>
        <w:pStyle w:val="Heading5"/>
        <w:spacing w:line="283" w:lineRule="exact"/>
        <w:ind w:right="0"/>
        <w:jc w:val="both"/>
      </w:pPr>
      <w:r>
        <w:rPr/>
        <w:t>为各级档案</w:t>
      </w:r>
      <w:r>
        <w:rPr>
          <w:spacing w:val="-15"/>
        </w:rPr>
        <w:t>局</w:t>
      </w:r>
      <w:r>
        <w:rPr/>
        <w:t>（馆</w:t>
      </w:r>
      <w:r>
        <w:rPr>
          <w:spacing w:val="-120"/>
        </w:rPr>
        <w:t>）</w:t>
      </w:r>
      <w:r>
        <w:rPr>
          <w:spacing w:val="-12"/>
        </w:rPr>
        <w:t>、</w:t>
      </w:r>
      <w:r>
        <w:rPr/>
        <w:t>政府机关单位</w:t>
      </w:r>
      <w:r>
        <w:rPr>
          <w:spacing w:val="-15"/>
        </w:rPr>
        <w:t>、</w:t>
      </w:r>
      <w:r>
        <w:rPr/>
        <w:t>公检法司部门</w:t>
      </w:r>
      <w:r>
        <w:rPr>
          <w:spacing w:val="-15"/>
        </w:rPr>
        <w:t>、</w:t>
      </w:r>
      <w:r>
        <w:rPr/>
        <w:t>公共事业部门</w:t>
      </w:r>
      <w:r>
        <w:rPr>
          <w:spacing w:val="-15"/>
        </w:rPr>
        <w:t>、</w:t>
      </w:r>
      <w:r>
        <w:rPr/>
        <w:t>企业集团等各级</w:t>
      </w:r>
      <w:r>
        <w:rPr>
          <w:spacing w:val="-15"/>
        </w:rPr>
        <w:t>、</w:t>
      </w:r>
      <w:r>
        <w:rPr>
          <w:spacing w:val="2"/>
        </w:rPr>
        <w:t>各</w:t>
      </w:r>
      <w:r>
        <w:rPr/>
        <w:t>类</w:t>
      </w:r>
    </w:p>
    <w:p>
      <w:pPr>
        <w:pStyle w:val="Heading5"/>
        <w:spacing w:line="312" w:lineRule="exact" w:before="30"/>
        <w:ind w:right="1134"/>
        <w:jc w:val="both"/>
      </w:pPr>
      <w:r>
        <w:rPr/>
        <w:t>档案部门提供档案咨询规划、软件技术开发、数字档案馆室建设、智慧档案馆建设、数据分</w:t>
      </w:r>
      <w:r>
        <w:rPr>
          <w:spacing w:val="-91"/>
        </w:rPr>
        <w:t> </w:t>
      </w:r>
      <w:r>
        <w:rPr>
          <w:spacing w:val="-91"/>
        </w:rPr>
      </w:r>
      <w:r>
        <w:rPr/>
        <w:t>析检测与分析等在内的全方位信息化服务。同时，积极利用区块链、云计算、大数据、人工</w:t>
      </w:r>
      <w:r>
        <w:rPr>
          <w:spacing w:val="-86"/>
        </w:rPr>
        <w:t> </w:t>
      </w:r>
      <w:r>
        <w:rPr>
          <w:spacing w:val="-86"/>
        </w:rPr>
      </w:r>
      <w:r>
        <w:rPr/>
        <w:t>智能等先进技术，不断完善档案信息化综合解决方案，为客户提供量身定制的档案行业专有</w:t>
      </w:r>
      <w:r>
        <w:rPr>
          <w:spacing w:val="-91"/>
        </w:rPr>
        <w:t> </w:t>
      </w:r>
      <w:r>
        <w:rPr>
          <w:spacing w:val="-91"/>
        </w:rPr>
      </w:r>
      <w:r>
        <w:rPr/>
        <w:t>云和档案大数据服务，构建互联网</w:t>
      </w:r>
      <w:r>
        <w:rPr>
          <w:rFonts w:ascii="宋体" w:hAnsi="宋体" w:cs="宋体" w:eastAsia="宋体" w:hint="default"/>
        </w:rPr>
        <w:t>+</w:t>
      </w:r>
      <w:r>
        <w:rPr/>
        <w:t>时代的智慧档案产业生态圈。</w:t>
      </w:r>
    </w:p>
    <w:p>
      <w:pPr>
        <w:pStyle w:val="Heading4"/>
        <w:spacing w:line="282" w:lineRule="exact"/>
        <w:ind w:left="533" w:right="1133"/>
        <w:jc w:val="left"/>
        <w:rPr>
          <w:b w:val="0"/>
          <w:bCs w:val="0"/>
        </w:rPr>
      </w:pPr>
      <w:r>
        <w:rPr>
          <w:rFonts w:ascii="宋体" w:hAnsi="宋体" w:cs="宋体" w:eastAsia="宋体" w:hint="default"/>
        </w:rPr>
        <w:t>1</w:t>
      </w:r>
      <w:r>
        <w:rPr/>
        <w:t>、产品</w:t>
      </w:r>
      <w:r>
        <w:rPr>
          <w:b w:val="0"/>
          <w:bCs w:val="0"/>
        </w:rPr>
      </w:r>
    </w:p>
    <w:p>
      <w:pPr>
        <w:spacing w:line="312" w:lineRule="exact" w:before="29"/>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）海量电子档案安全保存一体机</w:t>
      </w:r>
      <w:r>
        <w:rPr>
          <w:rFonts w:ascii="宋体" w:hAnsi="宋体" w:cs="宋体" w:eastAsia="宋体" w:hint="default"/>
          <w:b/>
          <w:bCs/>
          <w:w w:val="99"/>
          <w:sz w:val="24"/>
          <w:szCs w:val="24"/>
        </w:rPr>
        <w:t> </w:t>
      </w:r>
      <w:r>
        <w:rPr>
          <w:rFonts w:ascii="宋体" w:hAnsi="宋体" w:cs="宋体" w:eastAsia="宋体" w:hint="default"/>
          <w:spacing w:val="2"/>
          <w:sz w:val="24"/>
          <w:szCs w:val="24"/>
        </w:rPr>
        <w:t>针对客户对于档案保存管理的不同需求，公司海量电子档案安全保存一体机提供多种档</w:t>
      </w:r>
      <w:r>
        <w:rPr>
          <w:rFonts w:ascii="宋体" w:hAnsi="宋体" w:cs="宋体" w:eastAsia="宋体" w:hint="default"/>
          <w:sz w:val="24"/>
          <w:szCs w:val="24"/>
        </w:rPr>
      </w:r>
    </w:p>
    <w:p>
      <w:pPr>
        <w:pStyle w:val="Heading5"/>
        <w:spacing w:line="312" w:lineRule="exact"/>
        <w:ind w:right="1009"/>
        <w:jc w:val="left"/>
      </w:pPr>
      <w:r>
        <w:rPr>
          <w:spacing w:val="-5"/>
        </w:rPr>
        <w:t>案存储组合方式，创新地综合运用磁盘、磁带和光盘等多种存储介质，采用</w:t>
      </w:r>
      <w:r>
        <w:rPr>
          <w:rFonts w:ascii="宋体" w:hAnsi="宋体" w:cs="宋体" w:eastAsia="宋体" w:hint="default"/>
          <w:spacing w:val="-5"/>
        </w:rPr>
        <w:t>321</w:t>
      </w:r>
      <w:r>
        <w:rPr>
          <w:spacing w:val="-5"/>
        </w:rPr>
        <w:t>存储备份机制，</w:t>
      </w:r>
      <w:r>
        <w:rPr>
          <w:spacing w:val="-107"/>
        </w:rPr>
        <w:t> </w:t>
      </w:r>
      <w:r>
        <w:rPr/>
        <w:t>磁光电融合存储方案，集智能监控、多级存储设备管理于一体，为用户提供自动备份、定期</w:t>
      </w:r>
      <w:r>
        <w:rPr>
          <w:spacing w:val="-91"/>
        </w:rPr>
        <w:t> </w:t>
      </w:r>
      <w:r>
        <w:rPr>
          <w:spacing w:val="-91"/>
        </w:rPr>
      </w:r>
      <w:r>
        <w:rPr/>
        <w:t>检测、智能恢复、问题追踪及处理等功能。</w:t>
      </w:r>
    </w:p>
    <w:p>
      <w:pPr>
        <w:spacing w:line="312" w:lineRule="exact" w:before="0"/>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）光典档案信息资源管理软件</w:t>
      </w:r>
      <w:r>
        <w:rPr>
          <w:rFonts w:ascii="宋体" w:hAnsi="宋体" w:cs="宋体" w:eastAsia="宋体" w:hint="default"/>
          <w:b/>
          <w:bCs/>
          <w:w w:val="99"/>
          <w:sz w:val="24"/>
          <w:szCs w:val="24"/>
        </w:rPr>
        <w:t> </w:t>
      </w:r>
      <w:r>
        <w:rPr>
          <w:rFonts w:ascii="宋体" w:hAnsi="宋体" w:cs="宋体" w:eastAsia="宋体" w:hint="default"/>
          <w:spacing w:val="2"/>
          <w:sz w:val="24"/>
          <w:szCs w:val="24"/>
        </w:rPr>
        <w:t>适用于政府机关、企事业单位、企业集团等客户群体，提供方便快捷的文件资料管理服</w:t>
      </w:r>
      <w:r>
        <w:rPr>
          <w:rFonts w:ascii="宋体" w:hAnsi="宋体" w:cs="宋体" w:eastAsia="宋体" w:hint="default"/>
          <w:sz w:val="24"/>
          <w:szCs w:val="24"/>
        </w:rPr>
      </w:r>
    </w:p>
    <w:p>
      <w:pPr>
        <w:pStyle w:val="Heading5"/>
        <w:spacing w:line="312" w:lineRule="exact"/>
        <w:ind w:right="1139"/>
        <w:jc w:val="both"/>
      </w:pPr>
      <w:r>
        <w:rPr/>
        <w:t>务，满足日益增长的数据安全性和存储海量化的需求，进而实现档案的全生命周期管理。此</w:t>
      </w:r>
      <w:r>
        <w:rPr>
          <w:spacing w:val="-91"/>
        </w:rPr>
        <w:t> </w:t>
      </w:r>
      <w:r>
        <w:rPr>
          <w:spacing w:val="-91"/>
        </w:rPr>
      </w:r>
      <w:r>
        <w:rPr/>
        <w:t>外，光典档案信息资源管理软件可以对电子文件进行真实性、完整性、安全性、可用性检测</w:t>
      </w:r>
      <w:r>
        <w:rPr>
          <w:spacing w:val="-91"/>
        </w:rPr>
        <w:t> </w:t>
      </w:r>
      <w:r>
        <w:rPr>
          <w:spacing w:val="-91"/>
        </w:rPr>
      </w:r>
      <w:r>
        <w:rPr/>
        <w:t>并支持电子文件单套制管理。</w:t>
      </w:r>
    </w:p>
    <w:p>
      <w:pPr>
        <w:spacing w:line="312" w:lineRule="exact" w:before="0"/>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）光典数字档案馆一体化平台</w:t>
      </w:r>
      <w:r>
        <w:rPr>
          <w:rFonts w:ascii="宋体" w:hAnsi="宋体" w:cs="宋体" w:eastAsia="宋体" w:hint="default"/>
          <w:b/>
          <w:bCs/>
          <w:w w:val="99"/>
          <w:sz w:val="24"/>
          <w:szCs w:val="24"/>
        </w:rPr>
        <w:t> </w:t>
      </w:r>
      <w:r>
        <w:rPr>
          <w:rFonts w:ascii="宋体" w:hAnsi="宋体" w:cs="宋体" w:eastAsia="宋体" w:hint="default"/>
          <w:spacing w:val="-10"/>
          <w:sz w:val="24"/>
          <w:szCs w:val="24"/>
        </w:rPr>
        <w:t>融合从档案收集管理到查询利用全流程服务系统，根据客户的不同需求，以“标准”、“量</w:t>
      </w:r>
    </w:p>
    <w:p>
      <w:pPr>
        <w:pStyle w:val="Heading5"/>
        <w:spacing w:line="312" w:lineRule="exact"/>
        <w:ind w:right="1134"/>
        <w:jc w:val="both"/>
      </w:pPr>
      <w:r>
        <w:rPr>
          <w:spacing w:val="-6"/>
        </w:rPr>
        <w:t>身”、“安全”和“发展”为应用价值出发点，基于软件工厂的设计思想，为国家各级综合档</w:t>
      </w:r>
      <w:r>
        <w:rPr>
          <w:spacing w:val="-85"/>
        </w:rPr>
        <w:t> </w:t>
      </w:r>
      <w:r>
        <w:rPr>
          <w:spacing w:val="-85"/>
        </w:rPr>
      </w:r>
      <w:r>
        <w:rPr>
          <w:spacing w:val="-5"/>
        </w:rPr>
        <w:t>案局（馆）、专业专门档案馆、大型企业集团、高校等客户提供平台化、无插件、易交互、高</w:t>
      </w:r>
      <w:r>
        <w:rPr>
          <w:spacing w:val="-118"/>
        </w:rPr>
        <w:t> </w:t>
      </w:r>
      <w:r>
        <w:rPr>
          <w:spacing w:val="-118"/>
        </w:rPr>
      </w:r>
      <w:r>
        <w:rPr/>
        <w:t>性能的数字档案馆管理系统。</w:t>
      </w:r>
    </w:p>
    <w:p>
      <w:pPr>
        <w:spacing w:line="268" w:lineRule="auto" w:before="10"/>
        <w:ind w:left="593" w:right="1133" w:hanging="6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）光典“数字档案”馆室一体化平台</w:t>
      </w:r>
      <w:r>
        <w:rPr>
          <w:rFonts w:ascii="宋体" w:hAnsi="宋体" w:cs="宋体" w:eastAsia="宋体" w:hint="default"/>
          <w:b/>
          <w:bCs/>
          <w:w w:val="99"/>
          <w:sz w:val="24"/>
          <w:szCs w:val="24"/>
        </w:rPr>
        <w:t> </w:t>
      </w:r>
      <w:r>
        <w:rPr>
          <w:rFonts w:ascii="宋体" w:hAnsi="宋体" w:cs="宋体" w:eastAsia="宋体" w:hint="default"/>
          <w:sz w:val="24"/>
          <w:szCs w:val="24"/>
        </w:rPr>
        <w:t>包含电子文件归档处理系统、集中式档案室管理系统、电子档案移交接收系统等业务系</w:t>
      </w:r>
    </w:p>
    <w:p>
      <w:pPr>
        <w:pStyle w:val="Heading5"/>
        <w:spacing w:line="282" w:lineRule="exact"/>
        <w:ind w:right="0"/>
        <w:jc w:val="both"/>
      </w:pPr>
      <w:r>
        <w:rPr/>
        <w:t>统，具有平台化、易交互、高性能、安全性等特征，可根据客户需求，实现业务构建的灵活</w:t>
      </w:r>
    </w:p>
    <w:p>
      <w:pPr>
        <w:pStyle w:val="Heading5"/>
        <w:spacing w:line="312" w:lineRule="exact" w:before="30"/>
        <w:ind w:right="1133"/>
        <w:jc w:val="both"/>
      </w:pPr>
      <w:r>
        <w:rPr/>
        <w:t>配置，自由组合，按需更新，从而实现弹性、智能、安全、可扩的档案信息资源管理，能满</w:t>
      </w:r>
      <w:r>
        <w:rPr>
          <w:spacing w:val="-91"/>
        </w:rPr>
        <w:t> </w:t>
      </w:r>
      <w:r>
        <w:rPr>
          <w:spacing w:val="-91"/>
        </w:rPr>
      </w:r>
      <w:r>
        <w:rPr>
          <w:spacing w:val="-6"/>
        </w:rPr>
        <w:t>足档案局（馆）、政府机关、公检法司、企事业单位、高等院校等各级、各类档案用户的管理</w:t>
      </w:r>
      <w:r>
        <w:rPr>
          <w:spacing w:val="-80"/>
        </w:rPr>
        <w:t> </w:t>
      </w:r>
      <w:r>
        <w:rPr>
          <w:spacing w:val="-80"/>
        </w:rPr>
      </w:r>
      <w:r>
        <w:rPr/>
        <w:t>需求。</w:t>
      </w:r>
    </w:p>
    <w:p>
      <w:pPr>
        <w:spacing w:line="312" w:lineRule="exact" w:before="40"/>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）光典自助查档一体机</w:t>
      </w:r>
      <w:r>
        <w:rPr>
          <w:rFonts w:ascii="宋体" w:hAnsi="宋体" w:cs="宋体" w:eastAsia="宋体" w:hint="default"/>
          <w:b/>
          <w:bCs/>
          <w:w w:val="99"/>
          <w:sz w:val="24"/>
          <w:szCs w:val="24"/>
        </w:rPr>
        <w:t> </w:t>
      </w:r>
      <w:r>
        <w:rPr>
          <w:rFonts w:ascii="宋体" w:hAnsi="宋体" w:cs="宋体" w:eastAsia="宋体" w:hint="default"/>
          <w:spacing w:val="2"/>
          <w:sz w:val="24"/>
          <w:szCs w:val="24"/>
        </w:rPr>
        <w:t>自助查档一体机是一套软件与硬件集成的智能终端，依靠性能稳定的硬件终端与便捷友</w:t>
      </w:r>
      <w:r>
        <w:rPr>
          <w:rFonts w:ascii="宋体" w:hAnsi="宋体" w:cs="宋体" w:eastAsia="宋体" w:hint="default"/>
          <w:sz w:val="24"/>
          <w:szCs w:val="24"/>
        </w:rPr>
      </w:r>
    </w:p>
    <w:p>
      <w:pPr>
        <w:pStyle w:val="Heading5"/>
        <w:spacing w:line="312" w:lineRule="exact"/>
        <w:ind w:right="1134"/>
        <w:jc w:val="both"/>
      </w:pPr>
      <w:r>
        <w:rPr/>
        <w:t>好的前端软件实现个人身份的识别与登记，融入先进的人脸识别、人证对比技术，将查档业</w:t>
      </w:r>
      <w:r>
        <w:rPr>
          <w:spacing w:val="-91"/>
        </w:rPr>
        <w:t> </w:t>
      </w:r>
      <w:r>
        <w:rPr>
          <w:spacing w:val="-91"/>
        </w:rPr>
      </w:r>
      <w:r>
        <w:rPr/>
        <w:t>务转换为自助式办理，从而推进档案的资源的开放利用工作，响应“让群众少跑腿，数据多</w:t>
      </w:r>
      <w:r>
        <w:rPr>
          <w:spacing w:val="-87"/>
        </w:rPr>
        <w:t> </w:t>
      </w:r>
      <w:r>
        <w:rPr>
          <w:spacing w:val="-87"/>
        </w:rPr>
      </w:r>
      <w:r>
        <w:rPr/>
        <w:t>跑路”的号召，让用户查档、用档更便捷高效。</w:t>
      </w:r>
    </w:p>
    <w:p>
      <w:pPr>
        <w:pStyle w:val="Heading4"/>
        <w:spacing w:line="283" w:lineRule="exact"/>
        <w:ind w:left="533" w:right="1133"/>
        <w:jc w:val="left"/>
        <w:rPr>
          <w:b w:val="0"/>
          <w:bCs w:val="0"/>
        </w:rPr>
      </w:pPr>
      <w:r>
        <w:rPr/>
        <w:t>（</w:t>
      </w:r>
      <w:r>
        <w:rPr>
          <w:rFonts w:ascii="宋体" w:hAnsi="宋体" w:cs="宋体" w:eastAsia="宋体" w:hint="default"/>
        </w:rPr>
        <w:t>6</w:t>
      </w:r>
      <w:r>
        <w:rPr/>
        <w:t>）光典电子档案单套制管理系统</w:t>
      </w:r>
      <w:r>
        <w:rPr>
          <w:b w:val="0"/>
          <w:bCs w:val="0"/>
        </w:rPr>
      </w:r>
    </w:p>
    <w:p>
      <w:pPr>
        <w:spacing w:after="0" w:line="283" w:lineRule="exact"/>
        <w:jc w:val="left"/>
        <w:sectPr>
          <w:pgSz w:w="11910" w:h="16840"/>
          <w:pgMar w:header="906" w:footer="1021" w:top="1100" w:bottom="1220" w:left="1020" w:right="0"/>
        </w:sectPr>
      </w:pPr>
    </w:p>
    <w:p>
      <w:pPr>
        <w:spacing w:line="240" w:lineRule="auto" w:before="6"/>
        <w:rPr>
          <w:rFonts w:ascii="宋体" w:hAnsi="宋体" w:cs="宋体" w:eastAsia="宋体" w:hint="default"/>
          <w:b/>
          <w:bCs/>
          <w:sz w:val="20"/>
          <w:szCs w:val="20"/>
        </w:rPr>
      </w:pPr>
    </w:p>
    <w:p>
      <w:pPr>
        <w:pStyle w:val="Heading5"/>
        <w:spacing w:line="237" w:lineRule="auto" w:before="28"/>
        <w:ind w:right="1131" w:firstLine="420"/>
        <w:jc w:val="both"/>
      </w:pPr>
      <w:r>
        <w:rPr>
          <w:spacing w:val="2"/>
        </w:rPr>
        <w:t>电子文件归档和电子档案“单套制”管理是相对于纸质、电子“双套制”归档模式而言 </w:t>
      </w:r>
      <w:r>
        <w:rPr/>
        <w:t>的一种制度创新。它颠覆性地改变了传统的文件收集、整理和归档方式，将电子文件管理嵌</w:t>
      </w:r>
      <w:r>
        <w:rPr>
          <w:spacing w:val="-91"/>
        </w:rPr>
        <w:t> </w:t>
      </w:r>
      <w:r>
        <w:rPr>
          <w:spacing w:val="-91"/>
        </w:rPr>
      </w:r>
      <w:r>
        <w:rPr/>
        <w:t>入文件形成、运转、管理、利用的源头和全生命周期，从而实现电子档案的全程化、专业化</w:t>
      </w:r>
      <w:r>
        <w:rPr>
          <w:spacing w:val="-91"/>
        </w:rPr>
        <w:t> </w:t>
      </w:r>
      <w:r>
        <w:rPr>
          <w:spacing w:val="-91"/>
        </w:rPr>
      </w:r>
      <w:r>
        <w:rPr/>
        <w:t>管理，有助于解决党政机关、企事业单位电子文件和电子档案管理的共性问题和难点问题。</w:t>
      </w:r>
    </w:p>
    <w:p>
      <w:pPr>
        <w:spacing w:line="268" w:lineRule="auto" w:before="0"/>
        <w:ind w:left="593" w:right="1133" w:hanging="6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7</w:t>
      </w:r>
      <w:r>
        <w:rPr>
          <w:rFonts w:ascii="宋体" w:hAnsi="宋体" w:cs="宋体" w:eastAsia="宋体" w:hint="default"/>
          <w:b/>
          <w:bCs/>
          <w:sz w:val="24"/>
          <w:szCs w:val="24"/>
        </w:rPr>
        <w:t>）国产化环境下的应用适配</w:t>
      </w:r>
      <w:r>
        <w:rPr>
          <w:rFonts w:ascii="宋体" w:hAnsi="宋体" w:cs="宋体" w:eastAsia="宋体" w:hint="default"/>
          <w:b/>
          <w:bCs/>
          <w:w w:val="99"/>
          <w:sz w:val="24"/>
          <w:szCs w:val="24"/>
        </w:rPr>
        <w:t> </w:t>
      </w:r>
      <w:r>
        <w:rPr>
          <w:rFonts w:ascii="宋体" w:hAnsi="宋体" w:cs="宋体" w:eastAsia="宋体" w:hint="default"/>
          <w:sz w:val="24"/>
          <w:szCs w:val="24"/>
        </w:rPr>
        <w:t>公司聚焦档案业务领域研发的信息技术应用创新产品包含光典档案信息资源管理系统应</w:t>
      </w:r>
    </w:p>
    <w:p>
      <w:pPr>
        <w:pStyle w:val="Heading5"/>
        <w:spacing w:line="312" w:lineRule="exact"/>
        <w:ind w:right="1131"/>
        <w:jc w:val="both"/>
      </w:pPr>
      <w:r>
        <w:rPr>
          <w:spacing w:val="-5"/>
        </w:rPr>
        <w:t>用软件（</w:t>
      </w:r>
      <w:r>
        <w:rPr>
          <w:rFonts w:ascii="宋体" w:hAnsi="宋体" w:cs="宋体" w:eastAsia="宋体" w:hint="default"/>
          <w:spacing w:val="-5"/>
        </w:rPr>
        <w:t>A1</w:t>
      </w:r>
      <w:r>
        <w:rPr>
          <w:spacing w:val="-5"/>
        </w:rPr>
        <w:t>版）、光典数字档案馆一体化平台应用软件（</w:t>
      </w:r>
      <w:r>
        <w:rPr>
          <w:rFonts w:ascii="宋体" w:hAnsi="宋体" w:cs="宋体" w:eastAsia="宋体" w:hint="default"/>
          <w:spacing w:val="-5"/>
        </w:rPr>
        <w:t>A1</w:t>
      </w:r>
      <w:r>
        <w:rPr>
          <w:spacing w:val="-5"/>
        </w:rPr>
        <w:t>版）、光典“数字档案”馆室一体</w:t>
      </w:r>
      <w:r>
        <w:rPr>
          <w:spacing w:val="-111"/>
        </w:rPr>
        <w:t> </w:t>
      </w:r>
      <w:r>
        <w:rPr>
          <w:spacing w:val="-111"/>
        </w:rPr>
      </w:r>
      <w:r>
        <w:rPr/>
        <w:t>化平台等，创新产品主要采用中标麒麟、中科方德等操作系统，兼容达梦、人大金仓、瀚高</w:t>
      </w:r>
      <w:r>
        <w:rPr>
          <w:spacing w:val="-91"/>
        </w:rPr>
        <w:t> </w:t>
      </w:r>
      <w:r>
        <w:rPr>
          <w:spacing w:val="-91"/>
        </w:rPr>
      </w:r>
      <w:r>
        <w:rPr/>
        <w:t>等数据库和东方通、金蝶等中间件，可完全满足用户的产品需求，客户反响良好，未来发展</w:t>
      </w:r>
      <w:r>
        <w:rPr>
          <w:spacing w:val="-91"/>
        </w:rPr>
        <w:t> </w:t>
      </w:r>
      <w:r>
        <w:rPr>
          <w:spacing w:val="-91"/>
        </w:rPr>
      </w:r>
      <w:r>
        <w:rPr/>
        <w:t>前景广阔。</w:t>
      </w:r>
    </w:p>
    <w:p>
      <w:pPr>
        <w:pStyle w:val="Heading4"/>
        <w:spacing w:line="313" w:lineRule="exact" w:before="7"/>
        <w:ind w:left="533" w:right="1133"/>
        <w:jc w:val="left"/>
        <w:rPr>
          <w:b w:val="0"/>
          <w:bCs w:val="0"/>
        </w:rPr>
      </w:pPr>
      <w:r>
        <w:rPr>
          <w:rFonts w:ascii="宋体" w:hAnsi="宋体" w:cs="宋体" w:eastAsia="宋体" w:hint="default"/>
        </w:rPr>
        <w:t>2</w:t>
      </w:r>
      <w:r>
        <w:rPr/>
        <w:t>、整体解决方案</w:t>
      </w:r>
      <w:r>
        <w:rPr>
          <w:b w:val="0"/>
          <w:bCs w:val="0"/>
        </w:rPr>
      </w:r>
    </w:p>
    <w:p>
      <w:pPr>
        <w:spacing w:before="0"/>
        <w:ind w:left="533" w:right="113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）数字档案馆整体解决方案</w:t>
      </w:r>
      <w:r>
        <w:rPr>
          <w:rFonts w:ascii="宋体" w:hAnsi="宋体" w:cs="宋体" w:eastAsia="宋体" w:hint="default"/>
          <w:b/>
          <w:bCs/>
          <w:w w:val="99"/>
          <w:sz w:val="24"/>
          <w:szCs w:val="24"/>
        </w:rPr>
        <w:t> </w:t>
      </w:r>
      <w:r>
        <w:rPr>
          <w:rFonts w:ascii="宋体" w:hAnsi="宋体" w:cs="宋体" w:eastAsia="宋体" w:hint="default"/>
          <w:spacing w:val="-5"/>
          <w:sz w:val="24"/>
          <w:szCs w:val="24"/>
        </w:rPr>
        <w:t>数字档案馆解决方案：数字档案馆解决方案遵循国家《数字档案馆建设指南》、《数字档</w:t>
      </w:r>
    </w:p>
    <w:p>
      <w:pPr>
        <w:pStyle w:val="Heading5"/>
        <w:spacing w:line="312" w:lineRule="exact" w:before="28"/>
        <w:ind w:right="1136"/>
        <w:jc w:val="both"/>
      </w:pPr>
      <w:r>
        <w:rPr/>
        <w:t>案馆系统测试办法》等标准规范要求，结合公司多年数字档案馆建设成功经验，面向全国各</w:t>
      </w:r>
      <w:r>
        <w:rPr>
          <w:spacing w:val="-91"/>
        </w:rPr>
        <w:t> </w:t>
      </w:r>
      <w:r>
        <w:rPr>
          <w:spacing w:val="-91"/>
        </w:rPr>
      </w:r>
      <w:r>
        <w:rPr/>
        <w:t>级各类档案馆信息化建设，通过融合先进的信息技术和全新的发展思路，提供全产业链的档</w:t>
      </w:r>
      <w:r>
        <w:rPr>
          <w:spacing w:val="-91"/>
        </w:rPr>
        <w:t> </w:t>
      </w:r>
      <w:r>
        <w:rPr>
          <w:spacing w:val="-91"/>
        </w:rPr>
      </w:r>
      <w:r>
        <w:rPr/>
        <w:t>案信息化服务，建立电子档案的收集、加工、管理、保存、利用的信息化过程体系，建设立</w:t>
      </w:r>
      <w:r>
        <w:rPr>
          <w:spacing w:val="-91"/>
        </w:rPr>
        <w:t> </w:t>
      </w:r>
      <w:r>
        <w:rPr>
          <w:spacing w:val="-91"/>
        </w:rPr>
      </w:r>
      <w:r>
        <w:rPr>
          <w:spacing w:val="-6"/>
        </w:rPr>
        <w:t>档单位、区（县）、地（市）、省（市）多级的档案数据库，最终构建覆盖局域网、政务网、</w:t>
      </w:r>
      <w:r>
        <w:rPr>
          <w:spacing w:val="-83"/>
        </w:rPr>
        <w:t> </w:t>
      </w:r>
      <w:r>
        <w:rPr>
          <w:spacing w:val="-83"/>
        </w:rPr>
      </w:r>
      <w:r>
        <w:rPr/>
        <w:t>互联网三网平台的档案信息资源共享总库，不断满足档案利用者和档案管理者的需求。</w:t>
      </w:r>
    </w:p>
    <w:p>
      <w:pPr>
        <w:spacing w:line="312" w:lineRule="exact" w:before="0"/>
        <w:ind w:left="533" w:right="113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）数字档案室整体解决方案</w:t>
      </w:r>
      <w:r>
        <w:rPr>
          <w:rFonts w:ascii="宋体" w:hAnsi="宋体" w:cs="宋体" w:eastAsia="宋体" w:hint="default"/>
          <w:b/>
          <w:bCs/>
          <w:w w:val="99"/>
          <w:sz w:val="24"/>
          <w:szCs w:val="24"/>
        </w:rPr>
        <w:t> </w:t>
      </w:r>
      <w:r>
        <w:rPr>
          <w:rFonts w:ascii="宋体" w:hAnsi="宋体" w:cs="宋体" w:eastAsia="宋体" w:hint="default"/>
          <w:spacing w:val="2"/>
          <w:sz w:val="24"/>
          <w:szCs w:val="24"/>
        </w:rPr>
        <w:t>数字档案室整体方案：在《全国档案事业发展“十三五”规划纲要》指导下，基于《数</w:t>
      </w:r>
    </w:p>
    <w:p>
      <w:pPr>
        <w:pStyle w:val="Heading5"/>
        <w:spacing w:line="312" w:lineRule="exact"/>
        <w:ind w:right="986"/>
        <w:jc w:val="left"/>
      </w:pPr>
      <w:r>
        <w:rPr>
          <w:spacing w:val="-11"/>
        </w:rPr>
        <w:t>字档案室建设指南》、国家档案局第</w:t>
      </w:r>
      <w:r>
        <w:rPr>
          <w:rFonts w:ascii="宋体" w:hAnsi="宋体" w:cs="宋体" w:eastAsia="宋体" w:hint="default"/>
          <w:spacing w:val="-11"/>
        </w:rPr>
        <w:t>8</w:t>
      </w:r>
      <w:r>
        <w:rPr>
          <w:spacing w:val="-11"/>
        </w:rPr>
        <w:t>号令《机关文件材料归档范围和文书档案保管期限规定》、</w:t>
      </w:r>
      <w:r>
        <w:rPr>
          <w:spacing w:val="-88"/>
        </w:rPr>
        <w:t> </w:t>
      </w:r>
      <w:r>
        <w:rPr>
          <w:spacing w:val="-88"/>
        </w:rPr>
      </w:r>
      <w:r>
        <w:rPr/>
        <w:t>国家档案局第</w:t>
      </w:r>
      <w:r>
        <w:rPr>
          <w:rFonts w:ascii="宋体" w:hAnsi="宋体" w:cs="宋体" w:eastAsia="宋体" w:hint="default"/>
        </w:rPr>
        <w:t>10</w:t>
      </w:r>
      <w:r>
        <w:rPr/>
        <w:t>号令《企业文件材料归档范围和档案保管期限规定》以及《数字档案室建设</w:t>
      </w:r>
      <w:r>
        <w:rPr>
          <w:spacing w:val="-91"/>
        </w:rPr>
        <w:t> </w:t>
      </w:r>
      <w:r>
        <w:rPr>
          <w:spacing w:val="-91"/>
        </w:rPr>
      </w:r>
      <w:r>
        <w:rPr/>
        <w:t>评价办法》等相关标准规范指引，以“泛档案、大数据、重利用”为理念，面向机关、企事</w:t>
      </w:r>
    </w:p>
    <w:p>
      <w:pPr>
        <w:pStyle w:val="Heading5"/>
        <w:spacing w:line="312" w:lineRule="exact"/>
        <w:ind w:right="1133"/>
        <w:jc w:val="left"/>
      </w:pPr>
      <w:r>
        <w:rPr/>
        <w:t>业单位、公检法司、金融、教育、建工、制造业等多行业进行档案信息化建设的整体解决方</w:t>
      </w:r>
      <w:r>
        <w:rPr>
          <w:spacing w:val="-91"/>
        </w:rPr>
        <w:t> </w:t>
      </w:r>
      <w:r>
        <w:rPr>
          <w:spacing w:val="-91"/>
        </w:rPr>
      </w:r>
      <w:r>
        <w:rPr/>
        <w:t>案，全面实现档案资源数字化、档案管理信息化、档案服务知识化。</w:t>
      </w:r>
    </w:p>
    <w:p>
      <w:pPr>
        <w:pStyle w:val="Heading4"/>
        <w:spacing w:line="283" w:lineRule="exact"/>
        <w:ind w:left="533" w:right="1133"/>
        <w:jc w:val="left"/>
        <w:rPr>
          <w:b w:val="0"/>
          <w:bCs w:val="0"/>
        </w:rPr>
      </w:pPr>
      <w:r>
        <w:rPr/>
        <w:t>（</w:t>
      </w:r>
      <w:r>
        <w:rPr>
          <w:rFonts w:ascii="宋体" w:hAnsi="宋体" w:cs="宋体" w:eastAsia="宋体" w:hint="default"/>
        </w:rPr>
        <w:t>3</w:t>
      </w:r>
      <w:r>
        <w:rPr/>
        <w:t>）智慧档案馆整体解决方案</w:t>
      </w:r>
      <w:r>
        <w:rPr>
          <w:b w:val="0"/>
          <w:bCs w:val="0"/>
        </w:rPr>
      </w:r>
    </w:p>
    <w:p>
      <w:pPr>
        <w:pStyle w:val="Heading5"/>
        <w:spacing w:line="312" w:lineRule="exact" w:before="69"/>
        <w:ind w:right="1036" w:firstLine="480"/>
        <w:jc w:val="left"/>
      </w:pPr>
      <w:r>
        <w:rPr/>
        <w:t>智慧档案馆整体解决方案：智慧档案馆是档案业务信息化的高级形态，它是在现有的数 字档案馆建设成果的基础上，为了跟进和融入当前我国智慧城市和智慧中国建设的大趋势，</w:t>
      </w:r>
      <w:r>
        <w:rPr>
          <w:spacing w:val="-91"/>
        </w:rPr>
        <w:t> </w:t>
      </w:r>
      <w:r>
        <w:rPr>
          <w:spacing w:val="-91"/>
        </w:rPr>
      </w:r>
      <w:r>
        <w:rPr>
          <w:spacing w:val="-14"/>
        </w:rPr>
        <w:t>通过“模式创新”、“技术创新”、“理念创新”，对传统数字档案馆进行了继承、延展和提升，</w:t>
      </w:r>
      <w:r>
        <w:rPr/>
        <w:t> 将档案信息化水平推向新的阶段。它以新一代信息技术为支撑，结合云计算、大数据、区块</w:t>
      </w:r>
      <w:r>
        <w:rPr>
          <w:spacing w:val="-91"/>
        </w:rPr>
        <w:t> </w:t>
      </w:r>
      <w:r>
        <w:rPr>
          <w:spacing w:val="-91"/>
        </w:rPr>
      </w:r>
      <w:r>
        <w:rPr/>
        <w:t>链、物联网、人工智能以及移动应用等最新理念，以全面透彻的感知、互动协同的互联、智</w:t>
      </w:r>
      <w:r>
        <w:rPr>
          <w:spacing w:val="-91"/>
        </w:rPr>
        <w:t> </w:t>
      </w:r>
      <w:r>
        <w:rPr>
          <w:spacing w:val="-91"/>
        </w:rPr>
      </w:r>
      <w:r>
        <w:rPr/>
        <w:t>能融合的应用以及以人为本的可持续创新为主要建设内容，提高对档案实体、档案内容、档</w:t>
      </w:r>
      <w:r>
        <w:rPr>
          <w:spacing w:val="-91"/>
        </w:rPr>
        <w:t> </w:t>
      </w:r>
      <w:r>
        <w:rPr>
          <w:spacing w:val="-91"/>
        </w:rPr>
      </w:r>
      <w:r>
        <w:rPr/>
        <w:t>案服务和档案管理信息感知、处置能力，实现档案资源的高度智能化管理和泛在化的开发利</w:t>
      </w:r>
      <w:r>
        <w:rPr>
          <w:spacing w:val="-91"/>
        </w:rPr>
        <w:t> </w:t>
      </w:r>
      <w:r>
        <w:rPr>
          <w:spacing w:val="-91"/>
        </w:rPr>
      </w:r>
      <w:r>
        <w:rPr/>
        <w:t>用。</w:t>
      </w:r>
    </w:p>
    <w:p>
      <w:pPr>
        <w:spacing w:before="10"/>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）档案资源共建共享整体解决方案</w:t>
      </w:r>
      <w:r>
        <w:rPr>
          <w:rFonts w:ascii="宋体" w:hAnsi="宋体" w:cs="宋体" w:eastAsia="宋体" w:hint="default"/>
          <w:b/>
          <w:bCs/>
          <w:w w:val="99"/>
          <w:sz w:val="24"/>
          <w:szCs w:val="24"/>
        </w:rPr>
        <w:t> </w:t>
      </w:r>
      <w:r>
        <w:rPr>
          <w:rFonts w:ascii="宋体" w:hAnsi="宋体" w:cs="宋体" w:eastAsia="宋体" w:hint="default"/>
          <w:spacing w:val="2"/>
          <w:sz w:val="24"/>
          <w:szCs w:val="24"/>
        </w:rPr>
        <w:t>档案资源共建共享解决方案：依托各省市网络环境，整合分布式异构电子文件（档案）</w:t>
      </w:r>
      <w:r>
        <w:rPr>
          <w:rFonts w:ascii="宋体" w:hAnsi="宋体" w:cs="宋体" w:eastAsia="宋体" w:hint="default"/>
          <w:sz w:val="24"/>
          <w:szCs w:val="24"/>
        </w:rPr>
      </w:r>
    </w:p>
    <w:p>
      <w:pPr>
        <w:pStyle w:val="Heading5"/>
        <w:spacing w:line="312" w:lineRule="exact" w:before="28"/>
        <w:ind w:right="986"/>
        <w:jc w:val="left"/>
      </w:pPr>
      <w:r>
        <w:rPr>
          <w:spacing w:val="-3"/>
        </w:rPr>
        <w:t>资源，实现全省范围跨馆电子文件（档案）的网上申请、到馆取件、快递送达的“一网查档，</w:t>
      </w:r>
      <w:r>
        <w:rPr>
          <w:spacing w:val="-80"/>
        </w:rPr>
        <w:t> </w:t>
      </w:r>
      <w:r>
        <w:rPr>
          <w:spacing w:val="-80"/>
        </w:rPr>
      </w:r>
      <w:r>
        <w:rPr/>
        <w:t>百馆联动”的省域远程查档利用新模式，以及地市县民生档案跨馆、跨区、跨行业的远程出</w:t>
      </w:r>
      <w:r>
        <w:rPr>
          <w:spacing w:val="-91"/>
        </w:rPr>
        <w:t> </w:t>
      </w:r>
      <w:r>
        <w:rPr>
          <w:spacing w:val="-91"/>
        </w:rPr>
      </w:r>
      <w:r>
        <w:rPr/>
        <w:t>证便民服务。支持移动端通过微信公众号、微信小程序、支付宝生活号、支付宝小程序、各</w:t>
      </w:r>
      <w:r>
        <w:rPr>
          <w:spacing w:val="-91"/>
        </w:rPr>
        <w:t> </w:t>
      </w:r>
      <w:r>
        <w:rPr>
          <w:spacing w:val="-91"/>
        </w:rPr>
      </w:r>
      <w:r>
        <w:rPr/>
        <w:t>类政务服务类</w:t>
      </w:r>
      <w:r>
        <w:rPr>
          <w:rFonts w:ascii="Times New Roman" w:hAnsi="Times New Roman" w:cs="Times New Roman" w:eastAsia="Times New Roman" w:hint="default"/>
        </w:rPr>
        <w:t>APP</w:t>
      </w:r>
      <w:r>
        <w:rPr/>
        <w:t>应用嵌入以及手机短信等，进行“矩阵式”档案利用服务多途径拓展、延</w:t>
      </w:r>
      <w:r>
        <w:rPr>
          <w:spacing w:val="-48"/>
        </w:rPr>
        <w:t> </w:t>
      </w:r>
      <w:r>
        <w:rPr>
          <w:spacing w:val="-48"/>
        </w:rPr>
      </w:r>
      <w:r>
        <w:rPr/>
        <w:t>伸。</w:t>
      </w:r>
    </w:p>
    <w:p>
      <w:pPr>
        <w:spacing w:line="268" w:lineRule="auto" w:before="10"/>
        <w:ind w:left="533" w:right="1213"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）档案数据安全存储整体解决方案</w:t>
      </w:r>
      <w:r>
        <w:rPr>
          <w:rFonts w:ascii="宋体" w:hAnsi="宋体" w:cs="宋体" w:eastAsia="宋体" w:hint="default"/>
          <w:b/>
          <w:bCs/>
          <w:w w:val="99"/>
          <w:sz w:val="24"/>
          <w:szCs w:val="24"/>
        </w:rPr>
        <w:t> </w:t>
      </w:r>
      <w:r>
        <w:rPr>
          <w:rFonts w:ascii="宋体" w:hAnsi="宋体" w:cs="宋体" w:eastAsia="宋体" w:hint="default"/>
          <w:sz w:val="24"/>
          <w:szCs w:val="24"/>
        </w:rPr>
        <w:t>海量档案数据安全存储解决方案：是公司基于多年档案信息化业务经验和技术积累，面</w:t>
      </w:r>
    </w:p>
    <w:p>
      <w:pPr>
        <w:spacing w:after="0" w:line="268" w:lineRule="auto"/>
        <w:jc w:val="left"/>
        <w:rPr>
          <w:rFonts w:ascii="宋体" w:hAnsi="宋体" w:cs="宋体" w:eastAsia="宋体" w:hint="default"/>
          <w:sz w:val="24"/>
          <w:szCs w:val="24"/>
        </w:rPr>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5" w:lineRule="auto" w:before="31"/>
        <w:ind w:right="986"/>
        <w:jc w:val="left"/>
      </w:pPr>
      <w:r>
        <w:rPr/>
        <w:t>向电子档案长久安全保存需求推出的解决方案。它创新地综合运用磁盘、磁带和光盘等多种 存储介质，以海量电子档案安全保存一体机为支撑，采用</w:t>
      </w:r>
      <w:r>
        <w:rPr>
          <w:rFonts w:ascii="Times New Roman" w:hAnsi="Times New Roman" w:cs="Times New Roman" w:eastAsia="Times New Roman" w:hint="default"/>
        </w:rPr>
        <w:t>321</w:t>
      </w:r>
      <w:r>
        <w:rPr/>
        <w:t>存储备份机制，磁光电融合存储 </w:t>
      </w:r>
      <w:r>
        <w:rPr>
          <w:spacing w:val="-3"/>
        </w:rPr>
        <w:t>方案，集智能监控、多级存储设备管理于一体，为用户提供自动备份、定期检测、智能恢复、</w:t>
      </w:r>
      <w:r>
        <w:rPr>
          <w:spacing w:val="-82"/>
        </w:rPr>
        <w:t> </w:t>
      </w:r>
      <w:r>
        <w:rPr>
          <w:spacing w:val="-82"/>
        </w:rPr>
      </w:r>
      <w:r>
        <w:rPr/>
        <w:t>问题追踪及处理等功能，保障电子档案数据在长久保存过程中的安全、可靠。</w:t>
      </w:r>
    </w:p>
    <w:p>
      <w:pPr>
        <w:spacing w:line="312" w:lineRule="exact" w:before="29"/>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6</w:t>
      </w:r>
      <w:r>
        <w:rPr>
          <w:rFonts w:ascii="宋体" w:hAnsi="宋体" w:cs="宋体" w:eastAsia="宋体" w:hint="default"/>
          <w:b/>
          <w:bCs/>
          <w:sz w:val="24"/>
          <w:szCs w:val="24"/>
        </w:rPr>
        <w:t>）档案馆舍智能化系统解决方案</w:t>
      </w:r>
      <w:r>
        <w:rPr>
          <w:rFonts w:ascii="宋体" w:hAnsi="宋体" w:cs="宋体" w:eastAsia="宋体" w:hint="default"/>
          <w:b/>
          <w:bCs/>
          <w:w w:val="99"/>
          <w:sz w:val="24"/>
          <w:szCs w:val="24"/>
        </w:rPr>
        <w:t> </w:t>
      </w:r>
      <w:r>
        <w:rPr>
          <w:rFonts w:ascii="宋体" w:hAnsi="宋体" w:cs="宋体" w:eastAsia="宋体" w:hint="default"/>
          <w:spacing w:val="2"/>
          <w:sz w:val="24"/>
          <w:szCs w:val="24"/>
        </w:rPr>
        <w:t>档案馆舍智能化系统解决方案：以档案馆建筑物为平台，综合运用计算机技术、通信网</w:t>
      </w:r>
      <w:r>
        <w:rPr>
          <w:rFonts w:ascii="宋体" w:hAnsi="宋体" w:cs="宋体" w:eastAsia="宋体" w:hint="default"/>
          <w:sz w:val="24"/>
          <w:szCs w:val="24"/>
        </w:rPr>
      </w:r>
    </w:p>
    <w:p>
      <w:pPr>
        <w:pStyle w:val="Heading5"/>
        <w:spacing w:line="312" w:lineRule="exact"/>
        <w:ind w:right="996"/>
        <w:jc w:val="left"/>
      </w:pPr>
      <w:r>
        <w:rPr/>
        <w:t>络技术、智能楼宇技术、物联网技术、传感与监测技术、虚拟现实技术等先进技术，通过将</w:t>
      </w:r>
      <w:r>
        <w:rPr>
          <w:spacing w:val="-87"/>
        </w:rPr>
        <w:t> </w:t>
      </w:r>
      <w:r>
        <w:rPr>
          <w:spacing w:val="-87"/>
        </w:rPr>
      </w:r>
      <w:r>
        <w:rPr/>
        <w:t>档案馆内的智能密集架、环境控制、安防消防、门禁监控、声控灯控、信息发布等智能设备</w:t>
      </w:r>
      <w:r>
        <w:rPr>
          <w:spacing w:val="-91"/>
        </w:rPr>
        <w:t> </w:t>
      </w:r>
      <w:r>
        <w:rPr>
          <w:spacing w:val="-91"/>
        </w:rPr>
      </w:r>
      <w:r>
        <w:rPr>
          <w:spacing w:val="-2"/>
        </w:rPr>
        <w:t>的集成，建设一个规划合理、功能完善、技术先进的智能化管理系统，使档案馆舍具有感知、</w:t>
      </w:r>
      <w:r>
        <w:rPr/>
        <w:t> </w:t>
      </w:r>
      <w:r>
        <w:rPr>
          <w:spacing w:val="-3"/>
        </w:rPr>
        <w:t>传输、记忆、推理、判断和决策的能力，满足档案馆建筑设计安全、绿色、节能环保的要求，</w:t>
      </w:r>
      <w:r>
        <w:rPr>
          <w:spacing w:val="-85"/>
        </w:rPr>
        <w:t> </w:t>
      </w:r>
      <w:r>
        <w:rPr>
          <w:spacing w:val="-85"/>
        </w:rPr>
      </w:r>
      <w:r>
        <w:rPr/>
        <w:t>以及档案馆“五位一体”建设要求。</w:t>
      </w:r>
    </w:p>
    <w:p>
      <w:pPr>
        <w:pStyle w:val="Heading4"/>
        <w:spacing w:line="283" w:lineRule="exact"/>
        <w:ind w:left="533" w:right="1133"/>
        <w:jc w:val="left"/>
        <w:rPr>
          <w:b w:val="0"/>
          <w:bCs w:val="0"/>
        </w:rPr>
      </w:pPr>
      <w:r>
        <w:rPr/>
        <w:t>（</w:t>
      </w:r>
      <w:r>
        <w:rPr>
          <w:rFonts w:ascii="宋体" w:hAnsi="宋体" w:cs="宋体" w:eastAsia="宋体" w:hint="default"/>
        </w:rPr>
        <w:t>7</w:t>
      </w:r>
      <w:r>
        <w:rPr/>
        <w:t>）电子档案全生命周期管整体理解决方案</w:t>
      </w:r>
      <w:r>
        <w:rPr>
          <w:b w:val="0"/>
          <w:bCs w:val="0"/>
        </w:rPr>
      </w:r>
    </w:p>
    <w:p>
      <w:pPr>
        <w:pStyle w:val="Heading5"/>
        <w:spacing w:line="312" w:lineRule="exact" w:before="30"/>
        <w:ind w:right="1130" w:firstLine="600"/>
        <w:jc w:val="both"/>
      </w:pPr>
      <w:r>
        <w:rPr>
          <w:spacing w:val="-3"/>
        </w:rPr>
        <w:t>电子档案全生命周期管理解决方案：立足于电子文件归档、电子档案管理、电子档案移</w:t>
      </w:r>
      <w:r>
        <w:rPr/>
        <w:t> 交接收、电子档案长期保存等电子档案管理过程中的关键环节，基于公司成熟的产品，通过 解决归档技术问题、电子档案真实性保障问题、电子档案安全保存问题等电子档案管理中的 重点和难点问题，确保电子档案全生命周期管理中电子档案的真实性、完整性、可用性和安 全性，实现海量电子档案长期安全保存。</w:t>
      </w:r>
    </w:p>
    <w:p>
      <w:pPr>
        <w:spacing w:line="312" w:lineRule="exact" w:before="0"/>
        <w:ind w:left="713" w:right="1129" w:hanging="1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8</w:t>
      </w:r>
      <w:r>
        <w:rPr>
          <w:rFonts w:ascii="宋体" w:hAnsi="宋体" w:cs="宋体" w:eastAsia="宋体" w:hint="default"/>
          <w:b/>
          <w:bCs/>
          <w:sz w:val="24"/>
          <w:szCs w:val="24"/>
        </w:rPr>
        <w:t>）档案应用创新技术替代整体解决方案</w:t>
      </w:r>
      <w:r>
        <w:rPr>
          <w:rFonts w:ascii="宋体" w:hAnsi="宋体" w:cs="宋体" w:eastAsia="宋体" w:hint="default"/>
          <w:b/>
          <w:bCs/>
          <w:w w:val="99"/>
          <w:sz w:val="24"/>
          <w:szCs w:val="24"/>
        </w:rPr>
        <w:t> </w:t>
      </w:r>
      <w:r>
        <w:rPr>
          <w:rFonts w:ascii="宋体" w:hAnsi="宋体" w:cs="宋体" w:eastAsia="宋体" w:hint="default"/>
          <w:spacing w:val="-3"/>
          <w:sz w:val="24"/>
          <w:szCs w:val="24"/>
        </w:rPr>
        <w:t>档案应用创新技术替代解决方案：紧跟国家自主安全可控发展政策的步伐，通过对国产</w:t>
      </w:r>
    </w:p>
    <w:p>
      <w:pPr>
        <w:pStyle w:val="Heading5"/>
        <w:spacing w:line="312" w:lineRule="exact"/>
        <w:ind w:right="1170"/>
        <w:jc w:val="both"/>
      </w:pPr>
      <w:r>
        <w:rPr/>
        <w:t>安全可靠软硬件的对比分析，开展安全可靠环境下档案系统软硬件的适配性，包括国产芯片 和国产服务器适配测试、浏览器适配测试、中间件适配测试、操作系统适配测试、工具软件 适配测试、国产外设适配测试等一系列改造和测试，确保档案系统能在国产安全可靠环境下 稳定的运行。</w:t>
      </w:r>
    </w:p>
    <w:p>
      <w:pPr>
        <w:pStyle w:val="Heading4"/>
        <w:spacing w:line="283" w:lineRule="exact"/>
        <w:ind w:left="533" w:right="1133"/>
        <w:jc w:val="left"/>
        <w:rPr>
          <w:b w:val="0"/>
          <w:bCs w:val="0"/>
        </w:rPr>
      </w:pPr>
      <w:r>
        <w:rPr/>
        <w:t>（</w:t>
      </w:r>
      <w:r>
        <w:rPr>
          <w:rFonts w:ascii="宋体" w:hAnsi="宋体" w:cs="宋体" w:eastAsia="宋体" w:hint="default"/>
        </w:rPr>
        <w:t>9</w:t>
      </w:r>
      <w:r>
        <w:rPr/>
        <w:t>）档案寄存托管整体解决方案</w:t>
      </w:r>
      <w:r>
        <w:rPr>
          <w:b w:val="0"/>
          <w:bCs w:val="0"/>
        </w:rPr>
      </w:r>
    </w:p>
    <w:p>
      <w:pPr>
        <w:pStyle w:val="Heading5"/>
        <w:spacing w:line="312" w:lineRule="exact" w:before="30"/>
        <w:ind w:right="1130" w:firstLine="600"/>
        <w:jc w:val="both"/>
      </w:pPr>
      <w:r>
        <w:rPr>
          <w:spacing w:val="-3"/>
        </w:rPr>
        <w:t>档案寄存托管解决方案：依托信息发展标准化、专业化和国际领先的档案寄存中心，致</w:t>
      </w:r>
      <w:r>
        <w:rPr/>
        <w:t> 力于用超前的理念、先进的技术和优质的服务，通过线上和线下相结合的模式，提供档案保 管、档案运送、档案整理、数字化加工、安全销毁、在线利用等业务，为政府机关、事业单 位、金融行业、制造行业等各类客户提供专业、安全、便捷的档案和商业文档的存储托管和 灾备服务。</w:t>
      </w:r>
    </w:p>
    <w:p>
      <w:pPr>
        <w:pStyle w:val="Heading4"/>
        <w:spacing w:line="283" w:lineRule="exact"/>
        <w:ind w:left="533" w:right="1133"/>
        <w:jc w:val="left"/>
        <w:rPr>
          <w:b w:val="0"/>
          <w:bCs w:val="0"/>
        </w:rPr>
      </w:pPr>
      <w:r>
        <w:rPr/>
        <w:t>（</w:t>
      </w:r>
      <w:r>
        <w:rPr>
          <w:rFonts w:ascii="宋体" w:hAnsi="宋体" w:cs="宋体" w:eastAsia="宋体" w:hint="default"/>
        </w:rPr>
        <w:t>10</w:t>
      </w:r>
      <w:r>
        <w:rPr/>
        <w:t>）档案咨询规划服务解决方案</w:t>
      </w:r>
      <w:r>
        <w:rPr>
          <w:b w:val="0"/>
          <w:bCs w:val="0"/>
        </w:rPr>
      </w:r>
    </w:p>
    <w:p>
      <w:pPr>
        <w:pStyle w:val="Heading5"/>
        <w:spacing w:line="312" w:lineRule="exact" w:before="69"/>
        <w:ind w:right="1133" w:firstLine="420"/>
        <w:jc w:val="both"/>
      </w:pPr>
      <w:r>
        <w:rPr>
          <w:spacing w:val="5"/>
        </w:rPr>
        <w:t>公司搭建专业的咨询专家团队</w:t>
      </w:r>
      <w:r>
        <w:rPr>
          <w:rFonts w:ascii="宋体" w:hAnsi="宋体" w:cs="宋体" w:eastAsia="宋体" w:hint="default"/>
          <w:spacing w:val="5"/>
        </w:rPr>
        <w:t>,</w:t>
      </w:r>
      <w:r>
        <w:rPr>
          <w:spacing w:val="5"/>
        </w:rPr>
        <w:t>能够基于档案十三五规划及单位实际业务现状进行整体</w:t>
      </w:r>
      <w:r>
        <w:rPr/>
        <w:t> </w:t>
      </w:r>
      <w:r>
        <w:rPr>
          <w:spacing w:val="3"/>
        </w:rPr>
        <w:t>档案信息化咨询服务</w:t>
      </w:r>
      <w:r>
        <w:rPr>
          <w:rFonts w:ascii="宋体" w:hAnsi="宋体" w:cs="宋体" w:eastAsia="宋体" w:hint="default"/>
          <w:spacing w:val="3"/>
        </w:rPr>
        <w:t>,</w:t>
      </w:r>
      <w:r>
        <w:rPr>
          <w:spacing w:val="3"/>
        </w:rPr>
        <w:t>帮助用户解决在档案管理过程中遇到的组织管理不足、档案工作效率</w:t>
      </w:r>
      <w:r>
        <w:rPr>
          <w:spacing w:val="-104"/>
        </w:rPr>
        <w:t> </w:t>
      </w:r>
      <w:r>
        <w:rPr>
          <w:spacing w:val="-104"/>
        </w:rPr>
      </w:r>
      <w:r>
        <w:rPr/>
        <w:t>低，档案利用不便、数据安全性差等问题，提供档案管理建设的理论基础和业务规范，最终</w:t>
      </w:r>
      <w:r>
        <w:rPr>
          <w:spacing w:val="-91"/>
        </w:rPr>
        <w:t> </w:t>
      </w:r>
      <w:r>
        <w:rPr>
          <w:spacing w:val="-91"/>
        </w:rPr>
      </w:r>
      <w:r>
        <w:rPr/>
        <w:t>实现档案管理扁平化、业务流程便捷化，从制度、流程、数据规范等方面实现档案全生命周</w:t>
      </w:r>
      <w:r>
        <w:rPr>
          <w:spacing w:val="-91"/>
        </w:rPr>
        <w:t> </w:t>
      </w:r>
      <w:r>
        <w:rPr>
          <w:spacing w:val="-91"/>
        </w:rPr>
      </w:r>
      <w:r>
        <w:rPr/>
        <w:t>期的管理，全面提升档案管理水平。</w:t>
      </w:r>
    </w:p>
    <w:p>
      <w:pPr>
        <w:spacing w:line="240" w:lineRule="auto" w:before="12"/>
        <w:rPr>
          <w:rFonts w:ascii="宋体" w:hAnsi="宋体" w:cs="宋体" w:eastAsia="宋体" w:hint="default"/>
          <w:sz w:val="29"/>
          <w:szCs w:val="29"/>
        </w:rPr>
      </w:pPr>
    </w:p>
    <w:p>
      <w:pPr>
        <w:spacing w:line="312" w:lineRule="exact" w:before="0"/>
        <w:ind w:left="533" w:right="1129" w:firstLine="0"/>
        <w:jc w:val="left"/>
        <w:rPr>
          <w:rFonts w:ascii="宋体" w:hAnsi="宋体" w:cs="宋体" w:eastAsia="宋体" w:hint="default"/>
          <w:sz w:val="24"/>
          <w:szCs w:val="24"/>
        </w:rPr>
      </w:pPr>
      <w:r>
        <w:rPr>
          <w:rFonts w:ascii="宋体" w:hAnsi="宋体" w:cs="宋体" w:eastAsia="宋体" w:hint="default"/>
          <w:b/>
          <w:bCs/>
          <w:spacing w:val="-10"/>
          <w:w w:val="99"/>
          <w:sz w:val="24"/>
          <w:szCs w:val="24"/>
        </w:rPr>
        <w:t>（四）、智慧司法业务概要</w:t>
      </w:r>
      <w:r>
        <w:rPr>
          <w:rFonts w:ascii="宋体" w:hAnsi="宋体" w:cs="宋体" w:eastAsia="宋体" w:hint="default"/>
          <w:b/>
          <w:bCs/>
          <w:spacing w:val="-111"/>
          <w:w w:val="99"/>
          <w:sz w:val="24"/>
          <w:szCs w:val="24"/>
        </w:rPr>
        <w:t> </w:t>
      </w:r>
      <w:r>
        <w:rPr>
          <w:rFonts w:ascii="宋体" w:hAnsi="宋体" w:cs="宋体" w:eastAsia="宋体" w:hint="default"/>
          <w:b/>
          <w:bCs/>
          <w:spacing w:val="-111"/>
          <w:w w:val="99"/>
          <w:sz w:val="24"/>
          <w:szCs w:val="24"/>
        </w:rPr>
      </w:r>
      <w:r>
        <w:rPr>
          <w:rFonts w:ascii="宋体" w:hAnsi="宋体" w:cs="宋体" w:eastAsia="宋体" w:hint="default"/>
          <w:spacing w:val="2"/>
          <w:sz w:val="24"/>
          <w:szCs w:val="24"/>
        </w:rPr>
        <w:t>智慧司法业务紧跟司法部“数字法治、智慧司法”信息化体系建设步伐，运用云计算、</w:t>
      </w:r>
      <w:r>
        <w:rPr>
          <w:rFonts w:ascii="宋体" w:hAnsi="宋体" w:cs="宋体" w:eastAsia="宋体" w:hint="default"/>
          <w:sz w:val="24"/>
          <w:szCs w:val="24"/>
        </w:rPr>
      </w:r>
    </w:p>
    <w:p>
      <w:pPr>
        <w:pStyle w:val="Heading5"/>
        <w:spacing w:line="312" w:lineRule="exact"/>
        <w:ind w:right="1010"/>
        <w:jc w:val="both"/>
      </w:pPr>
      <w:r>
        <w:rPr/>
        <w:t>大数据、人工智能、区块链等新技术，助力构建我国司法“大平台共享、大系统共治、大数</w:t>
      </w:r>
      <w:r>
        <w:rPr>
          <w:spacing w:val="-88"/>
        </w:rPr>
        <w:t> </w:t>
      </w:r>
      <w:r>
        <w:rPr>
          <w:spacing w:val="-88"/>
        </w:rPr>
      </w:r>
      <w:r>
        <w:rPr/>
        <w:t>据慧治”的信息化新格局。依托公司长期在司法领域积累的行业经验和技术优势，重点聚焦</w:t>
      </w:r>
      <w:r>
        <w:rPr>
          <w:spacing w:val="-89"/>
        </w:rPr>
        <w:t> </w:t>
      </w:r>
      <w:r>
        <w:rPr>
          <w:spacing w:val="-89"/>
        </w:rPr>
      </w:r>
      <w:r>
        <w:rPr/>
        <w:t>监狱业务，以省级智慧监所统一管理平台为依托，抢占市场制高点，积极研发前端智能装备</w:t>
      </w:r>
      <w:r>
        <w:rPr>
          <w:spacing w:val="-91"/>
        </w:rPr>
        <w:t> </w:t>
      </w:r>
      <w:r>
        <w:rPr>
          <w:spacing w:val="-91"/>
        </w:rPr>
      </w:r>
      <w:r>
        <w:rPr>
          <w:spacing w:val="-2"/>
        </w:rPr>
        <w:t>产品，努力打造智慧司法生态圈。同步拓展公安等政法领域，为智慧警务建设提供优秀方案。</w:t>
      </w:r>
    </w:p>
    <w:p>
      <w:pPr>
        <w:pStyle w:val="Heading4"/>
        <w:spacing w:line="282" w:lineRule="exact"/>
        <w:ind w:left="533" w:right="1133"/>
        <w:jc w:val="left"/>
        <w:rPr>
          <w:b w:val="0"/>
          <w:bCs w:val="0"/>
        </w:rPr>
      </w:pPr>
      <w:r>
        <w:rPr>
          <w:rFonts w:ascii="宋体" w:hAnsi="宋体" w:cs="宋体" w:eastAsia="宋体" w:hint="default"/>
        </w:rPr>
        <w:t>1</w:t>
      </w:r>
      <w:r>
        <w:rPr/>
        <w:t>、产品</w:t>
      </w:r>
      <w:r>
        <w:rPr>
          <w:b w:val="0"/>
          <w:bCs w:val="0"/>
        </w:rPr>
      </w:r>
    </w:p>
    <w:p>
      <w:pPr>
        <w:pStyle w:val="Heading4"/>
        <w:spacing w:line="313" w:lineRule="exact"/>
        <w:ind w:left="533" w:right="1133"/>
        <w:jc w:val="left"/>
        <w:rPr>
          <w:b w:val="0"/>
          <w:bCs w:val="0"/>
        </w:rPr>
      </w:pPr>
      <w:r>
        <w:rPr/>
        <w:t>（</w:t>
      </w:r>
      <w:r>
        <w:rPr>
          <w:rFonts w:ascii="宋体" w:hAnsi="宋体" w:cs="宋体" w:eastAsia="宋体" w:hint="default"/>
        </w:rPr>
        <w:t>1</w:t>
      </w:r>
      <w:r>
        <w:rPr/>
        <w:t>）智慧监所统一管理平台</w:t>
      </w:r>
      <w:r>
        <w:rPr>
          <w:b w:val="0"/>
          <w:bCs w:val="0"/>
        </w:rPr>
      </w:r>
    </w:p>
    <w:p>
      <w:pPr>
        <w:spacing w:after="0" w:line="313" w:lineRule="exact"/>
        <w:jc w:val="left"/>
        <w:sectPr>
          <w:pgSz w:w="11910" w:h="16840"/>
          <w:pgMar w:header="906" w:footer="1021" w:top="1100" w:bottom="1220" w:left="1020" w:right="0"/>
        </w:sectPr>
      </w:pPr>
    </w:p>
    <w:p>
      <w:pPr>
        <w:spacing w:line="240" w:lineRule="auto" w:before="6"/>
        <w:rPr>
          <w:rFonts w:ascii="宋体" w:hAnsi="宋体" w:cs="宋体" w:eastAsia="宋体" w:hint="default"/>
          <w:b/>
          <w:bCs/>
          <w:sz w:val="20"/>
          <w:szCs w:val="20"/>
        </w:rPr>
      </w:pPr>
    </w:p>
    <w:p>
      <w:pPr>
        <w:pStyle w:val="Heading5"/>
        <w:spacing w:line="237" w:lineRule="auto" w:before="28"/>
        <w:ind w:right="1133" w:firstLine="420"/>
        <w:jc w:val="both"/>
      </w:pPr>
      <w:r>
        <w:rPr>
          <w:spacing w:val="2"/>
        </w:rPr>
        <w:t>智慧监所统一管理平台按照司法部智慧监所技术规范要求，立足智慧监所建设的顶层设 </w:t>
      </w:r>
      <w:r>
        <w:rPr/>
        <w:t>计，以“集约高效、共享开放、安全可靠、按需服务”为设计原则，充分体现当前监狱信息</w:t>
      </w:r>
      <w:r>
        <w:rPr>
          <w:spacing w:val="-89"/>
        </w:rPr>
        <w:t> </w:t>
      </w:r>
      <w:r>
        <w:rPr>
          <w:spacing w:val="-89"/>
        </w:rPr>
      </w:r>
      <w:r>
        <w:rPr/>
        <w:t>化建设“大数据、高共享、智能化、超融合”智慧特征。以综合业务管理、指挥调度、安全</w:t>
      </w:r>
      <w:r>
        <w:rPr>
          <w:spacing w:val="-90"/>
        </w:rPr>
        <w:t> </w:t>
      </w:r>
      <w:r>
        <w:rPr>
          <w:spacing w:val="-90"/>
        </w:rPr>
      </w:r>
      <w:r>
        <w:rPr/>
        <w:t>防范、数据分析研判、数据交换共享为核心内容，构建数据信息全面准确、业务应用灵活普</w:t>
      </w:r>
      <w:r>
        <w:rPr>
          <w:spacing w:val="-88"/>
        </w:rPr>
        <w:t> </w:t>
      </w:r>
      <w:r>
        <w:rPr>
          <w:spacing w:val="-88"/>
        </w:rPr>
      </w:r>
      <w:r>
        <w:rPr/>
        <w:t>及、分析运维智慧高效、规范标准科学统一的智慧监狱云平台，为监狱管理和公共服务提供</w:t>
      </w:r>
      <w:r>
        <w:rPr>
          <w:spacing w:val="-91"/>
        </w:rPr>
        <w:t> </w:t>
      </w:r>
      <w:r>
        <w:rPr>
          <w:spacing w:val="-91"/>
        </w:rPr>
      </w:r>
      <w:r>
        <w:rPr/>
        <w:t>有力支持，充分强化监狱安防能力，提高监狱整体管理水平，打造高效的警务运行机制，提</w:t>
      </w:r>
      <w:r>
        <w:rPr>
          <w:spacing w:val="-91"/>
        </w:rPr>
        <w:t> </w:t>
      </w:r>
      <w:r>
        <w:rPr>
          <w:spacing w:val="-91"/>
        </w:rPr>
      </w:r>
      <w:r>
        <w:rPr/>
        <w:t>升监狱现代化治理能力，全面贯彻落实司法部“数字法治、智慧司法”战略部署。</w:t>
      </w:r>
    </w:p>
    <w:p>
      <w:pPr>
        <w:spacing w:line="312" w:lineRule="exact" w:before="29"/>
        <w:ind w:left="533" w:right="1116"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）社区矫正智慧监管平台</w:t>
      </w:r>
      <w:r>
        <w:rPr>
          <w:rFonts w:ascii="宋体" w:hAnsi="宋体" w:cs="宋体" w:eastAsia="宋体" w:hint="default"/>
          <w:b/>
          <w:bCs/>
          <w:w w:val="99"/>
          <w:sz w:val="24"/>
          <w:szCs w:val="24"/>
        </w:rPr>
        <w:t> </w:t>
      </w:r>
      <w:r>
        <w:rPr>
          <w:rFonts w:ascii="宋体" w:hAnsi="宋体" w:cs="宋体" w:eastAsia="宋体" w:hint="default"/>
          <w:sz w:val="24"/>
          <w:szCs w:val="24"/>
        </w:rPr>
        <w:t>社区矫正智慧监管平台是遵循“智慧矫正”的建设指导方针，是根据“数字法治</w:t>
      </w:r>
      <w:r>
        <w:rPr>
          <w:rFonts w:ascii="宋体" w:hAnsi="宋体" w:cs="宋体" w:eastAsia="宋体" w:hint="default"/>
          <w:spacing w:val="-23"/>
          <w:sz w:val="24"/>
          <w:szCs w:val="24"/>
        </w:rPr>
        <w:t> </w:t>
      </w:r>
      <w:r>
        <w:rPr>
          <w:rFonts w:ascii="宋体" w:hAnsi="宋体" w:cs="宋体" w:eastAsia="宋体" w:hint="default"/>
          <w:sz w:val="24"/>
          <w:szCs w:val="24"/>
        </w:rPr>
        <w:t>智慧司</w:t>
      </w:r>
    </w:p>
    <w:p>
      <w:pPr>
        <w:pStyle w:val="Heading5"/>
        <w:spacing w:line="312" w:lineRule="exact"/>
        <w:ind w:right="1135"/>
        <w:jc w:val="both"/>
      </w:pPr>
      <w:r>
        <w:rPr/>
        <w:t>法”信息化体系的“大平台共享、大系统共治、大数据慧治”总体框架要求，构建集业务管</w:t>
      </w:r>
      <w:r>
        <w:rPr>
          <w:spacing w:val="-89"/>
        </w:rPr>
        <w:t> </w:t>
      </w:r>
      <w:r>
        <w:rPr>
          <w:spacing w:val="-89"/>
        </w:rPr>
      </w:r>
      <w:r>
        <w:rPr/>
        <w:t>理、移动办公、指挥调度、辅助决策、应急处置功能于一体的社区矫正全智能化体系。</w:t>
      </w:r>
    </w:p>
    <w:p>
      <w:pPr>
        <w:pStyle w:val="Heading5"/>
        <w:spacing w:line="283" w:lineRule="exact"/>
        <w:ind w:right="0" w:firstLine="420"/>
        <w:jc w:val="both"/>
      </w:pPr>
      <w:r>
        <w:rPr>
          <w:spacing w:val="2"/>
        </w:rPr>
        <w:t>社区矫正智慧监管平台主要包括：社区矫正工作一体化管理平台、移动办公监控平台、</w:t>
      </w:r>
      <w:r>
        <w:rPr/>
      </w:r>
    </w:p>
    <w:p>
      <w:pPr>
        <w:pStyle w:val="Heading5"/>
        <w:spacing w:line="312" w:lineRule="exact" w:before="30"/>
        <w:ind w:right="1139"/>
        <w:jc w:val="both"/>
      </w:pPr>
      <w:r>
        <w:rPr/>
        <w:t>社区矫正指挥中心平台、社区矫正数据中心及交换共享平台、大数据分析平台和智能应用支</w:t>
      </w:r>
      <w:r>
        <w:rPr>
          <w:spacing w:val="-91"/>
        </w:rPr>
        <w:t> </w:t>
      </w:r>
      <w:r>
        <w:rPr>
          <w:spacing w:val="-91"/>
        </w:rPr>
      </w:r>
      <w:r>
        <w:rPr/>
        <w:t>撑系统等应用体系。</w:t>
      </w:r>
    </w:p>
    <w:p>
      <w:pPr>
        <w:pStyle w:val="Heading5"/>
        <w:spacing w:line="312" w:lineRule="exact"/>
        <w:ind w:right="1133" w:firstLine="420"/>
        <w:jc w:val="both"/>
      </w:pPr>
      <w:r>
        <w:rPr>
          <w:spacing w:val="2"/>
        </w:rPr>
        <w:t>社区矫正智慧监管平台是以数据一体化、管理智能化、互联移动化、指挥可视化为目标 </w:t>
      </w:r>
      <w:r>
        <w:rPr/>
        <w:t>的社区矫正信息化系统。贯穿社区矫正工作全生命周期，提高教育改造工作质量，提升社区</w:t>
      </w:r>
      <w:r>
        <w:rPr>
          <w:spacing w:val="-91"/>
        </w:rPr>
        <w:t> </w:t>
      </w:r>
      <w:r>
        <w:rPr>
          <w:spacing w:val="-91"/>
        </w:rPr>
      </w:r>
      <w:r>
        <w:rPr/>
        <w:t>矫正工作效率，助力提升社会治理现代化水平。</w:t>
      </w:r>
    </w:p>
    <w:p>
      <w:pPr>
        <w:spacing w:line="312" w:lineRule="exact" w:before="0"/>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）监所智能化产品</w:t>
      </w:r>
      <w:r>
        <w:rPr>
          <w:rFonts w:ascii="宋体" w:hAnsi="宋体" w:cs="宋体" w:eastAsia="宋体" w:hint="default"/>
          <w:b/>
          <w:bCs/>
          <w:w w:val="99"/>
          <w:sz w:val="24"/>
          <w:szCs w:val="24"/>
        </w:rPr>
        <w:t> </w:t>
      </w:r>
      <w:r>
        <w:rPr>
          <w:rFonts w:ascii="宋体" w:hAnsi="宋体" w:cs="宋体" w:eastAsia="宋体" w:hint="default"/>
          <w:spacing w:val="2"/>
          <w:sz w:val="24"/>
          <w:szCs w:val="24"/>
        </w:rPr>
        <w:t>公司以智慧监所统一管理平台为基础，成立产品研发中心，研发监所智能化系列产品终</w:t>
      </w:r>
      <w:r>
        <w:rPr>
          <w:rFonts w:ascii="宋体" w:hAnsi="宋体" w:cs="宋体" w:eastAsia="宋体" w:hint="default"/>
          <w:sz w:val="24"/>
          <w:szCs w:val="24"/>
        </w:rPr>
      </w:r>
    </w:p>
    <w:p>
      <w:pPr>
        <w:pStyle w:val="Heading5"/>
        <w:spacing w:line="312" w:lineRule="exact"/>
        <w:ind w:right="1138"/>
        <w:jc w:val="both"/>
      </w:pPr>
      <w:r>
        <w:rPr/>
        <w:t>端，与平台实行无缝对接，服务智慧监所实战。开发形成了监所管控系列产品、警务行政类</w:t>
      </w:r>
      <w:r>
        <w:rPr>
          <w:spacing w:val="-90"/>
        </w:rPr>
        <w:t> </w:t>
      </w:r>
      <w:r>
        <w:rPr>
          <w:spacing w:val="-90"/>
        </w:rPr>
      </w:r>
      <w:r>
        <w:rPr/>
        <w:t>产品、针对服刑人员的产品以及对外服务的系列产品四大支柱类产品。具体包括监舍门口一</w:t>
      </w:r>
      <w:r>
        <w:rPr>
          <w:spacing w:val="-91"/>
        </w:rPr>
        <w:t> </w:t>
      </w:r>
      <w:r>
        <w:rPr>
          <w:spacing w:val="-91"/>
        </w:rPr>
      </w:r>
      <w:r>
        <w:rPr/>
        <w:t>体机、监舍室内一体机、监狱释放人员身份核查一体机、警务通、金融通等产品，为监所行</w:t>
      </w:r>
      <w:r>
        <w:rPr>
          <w:spacing w:val="-91"/>
        </w:rPr>
        <w:t> </w:t>
      </w:r>
      <w:r>
        <w:rPr>
          <w:spacing w:val="-91"/>
        </w:rPr>
      </w:r>
      <w:r>
        <w:rPr/>
        <w:t>业提供完备的技术及产品支持服务。</w:t>
      </w:r>
    </w:p>
    <w:p>
      <w:pPr>
        <w:pStyle w:val="Heading4"/>
        <w:spacing w:line="283" w:lineRule="exact"/>
        <w:ind w:left="533" w:right="1133"/>
        <w:jc w:val="left"/>
        <w:rPr>
          <w:b w:val="0"/>
          <w:bCs w:val="0"/>
        </w:rPr>
      </w:pPr>
      <w:r>
        <w:rPr/>
        <w:t>（</w:t>
      </w:r>
      <w:r>
        <w:rPr>
          <w:rFonts w:ascii="宋体" w:hAnsi="宋体" w:cs="宋体" w:eastAsia="宋体" w:hint="default"/>
        </w:rPr>
        <w:t>4</w:t>
      </w:r>
      <w:r>
        <w:rPr/>
        <w:t>）警用</w:t>
      </w:r>
      <w:r>
        <w:rPr>
          <w:rFonts w:ascii="宋体" w:hAnsi="宋体" w:cs="宋体" w:eastAsia="宋体" w:hint="default"/>
        </w:rPr>
        <w:t>e</w:t>
      </w:r>
      <w:r>
        <w:rPr/>
        <w:t>体机</w:t>
      </w:r>
      <w:r>
        <w:rPr>
          <w:b w:val="0"/>
          <w:bCs w:val="0"/>
        </w:rPr>
      </w:r>
    </w:p>
    <w:p>
      <w:pPr>
        <w:pStyle w:val="Heading5"/>
        <w:spacing w:line="312" w:lineRule="exact" w:before="30"/>
        <w:ind w:right="1133" w:firstLine="420"/>
        <w:jc w:val="both"/>
      </w:pPr>
      <w:r>
        <w:rPr>
          <w:spacing w:val="-1"/>
        </w:rPr>
        <w:t>“警务</w:t>
      </w:r>
      <w:r>
        <w:rPr>
          <w:rFonts w:ascii="宋体" w:hAnsi="宋体" w:cs="宋体" w:eastAsia="宋体" w:hint="default"/>
          <w:spacing w:val="-1"/>
        </w:rPr>
        <w:t>e</w:t>
      </w:r>
      <w:r>
        <w:rPr>
          <w:spacing w:val="-1"/>
        </w:rPr>
        <w:t>体机”是以大数据为核心，打通各警种数据链路，汇聚交警、治安、出入境、户</w:t>
      </w:r>
      <w:r>
        <w:rPr/>
        <w:t> 籍等</w:t>
      </w:r>
      <w:r>
        <w:rPr>
          <w:rFonts w:ascii="宋体" w:hAnsi="宋体" w:cs="宋体" w:eastAsia="宋体" w:hint="default"/>
        </w:rPr>
        <w:t>7</w:t>
      </w:r>
      <w:r>
        <w:rPr/>
        <w:t>大警种</w:t>
      </w:r>
      <w:r>
        <w:rPr>
          <w:rFonts w:ascii="宋体" w:hAnsi="宋体" w:cs="宋体" w:eastAsia="宋体" w:hint="default"/>
        </w:rPr>
        <w:t>58</w:t>
      </w:r>
      <w:r>
        <w:rPr/>
        <w:t>类</w:t>
      </w:r>
      <w:r>
        <w:rPr>
          <w:rFonts w:ascii="宋体" w:hAnsi="宋体" w:cs="宋体" w:eastAsia="宋体" w:hint="default"/>
        </w:rPr>
        <w:t>220</w:t>
      </w:r>
      <w:r>
        <w:rPr/>
        <w:t>余项警务服务，专用于警务领域信息查询、业务办理的综合警务自助终</w:t>
      </w:r>
      <w:r>
        <w:rPr>
          <w:spacing w:val="-92"/>
        </w:rPr>
        <w:t> </w:t>
      </w:r>
      <w:r>
        <w:rPr>
          <w:spacing w:val="-92"/>
        </w:rPr>
      </w:r>
      <w:r>
        <w:rPr/>
        <w:t>端，采用多重生物识别系统，通过身份证件读取、指纹识别及人脸识别三合一的多重身份认</w:t>
      </w:r>
      <w:r>
        <w:rPr>
          <w:spacing w:val="-86"/>
        </w:rPr>
        <w:t> </w:t>
      </w:r>
      <w:r>
        <w:rPr>
          <w:spacing w:val="-86"/>
        </w:rPr>
      </w:r>
      <w:r>
        <w:rPr/>
        <w:t>证，致力构建一体化、一站式、全自助警务服务平台，为群众提供高效透明，方便快捷的警</w:t>
      </w:r>
      <w:r>
        <w:rPr>
          <w:spacing w:val="-91"/>
        </w:rPr>
        <w:t> </w:t>
      </w:r>
      <w:r>
        <w:rPr>
          <w:spacing w:val="-91"/>
        </w:rPr>
      </w:r>
      <w:r>
        <w:rPr/>
        <w:t>务服务。具体包括：业务办理主机、居住证受理办理机、交通违法查询处理机、二合一自助</w:t>
      </w:r>
      <w:r>
        <w:rPr>
          <w:spacing w:val="-91"/>
        </w:rPr>
        <w:t> </w:t>
      </w:r>
      <w:r>
        <w:rPr>
          <w:spacing w:val="-91"/>
        </w:rPr>
      </w:r>
      <w:r>
        <w:rPr/>
        <w:t>拍照机等整体机。</w:t>
      </w:r>
    </w:p>
    <w:p>
      <w:pPr>
        <w:pStyle w:val="Heading4"/>
        <w:spacing w:line="282" w:lineRule="exact"/>
        <w:ind w:left="533" w:right="1133"/>
        <w:jc w:val="left"/>
        <w:rPr>
          <w:b w:val="0"/>
          <w:bCs w:val="0"/>
        </w:rPr>
      </w:pPr>
      <w:r>
        <w:rPr>
          <w:rFonts w:ascii="宋体" w:hAnsi="宋体" w:cs="宋体" w:eastAsia="宋体" w:hint="default"/>
        </w:rPr>
        <w:t>2</w:t>
      </w:r>
      <w:r>
        <w:rPr/>
        <w:t>、整体解决方案</w:t>
      </w:r>
      <w:r>
        <w:rPr>
          <w:b w:val="0"/>
          <w:bCs w:val="0"/>
        </w:rPr>
      </w:r>
    </w:p>
    <w:p>
      <w:pPr>
        <w:spacing w:line="312" w:lineRule="exact" w:before="29"/>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）智慧监狱整体解决方案</w:t>
      </w:r>
      <w:r>
        <w:rPr>
          <w:rFonts w:ascii="宋体" w:hAnsi="宋体" w:cs="宋体" w:eastAsia="宋体" w:hint="default"/>
          <w:b/>
          <w:bCs/>
          <w:w w:val="99"/>
          <w:sz w:val="24"/>
          <w:szCs w:val="24"/>
        </w:rPr>
        <w:t> </w:t>
      </w:r>
      <w:r>
        <w:rPr>
          <w:rFonts w:ascii="宋体" w:hAnsi="宋体" w:cs="宋体" w:eastAsia="宋体" w:hint="default"/>
          <w:spacing w:val="2"/>
          <w:sz w:val="24"/>
          <w:szCs w:val="24"/>
        </w:rPr>
        <w:t>该解决方案是以《智慧监狱技术规范》为标准，充分运用物联网、云计算、大数据、人</w:t>
      </w:r>
      <w:r>
        <w:rPr>
          <w:rFonts w:ascii="宋体" w:hAnsi="宋体" w:cs="宋体" w:eastAsia="宋体" w:hint="default"/>
          <w:sz w:val="24"/>
          <w:szCs w:val="24"/>
        </w:rPr>
      </w:r>
    </w:p>
    <w:p>
      <w:pPr>
        <w:pStyle w:val="Heading5"/>
        <w:spacing w:line="312" w:lineRule="exact"/>
        <w:ind w:right="1135"/>
        <w:jc w:val="both"/>
      </w:pPr>
      <w:r>
        <w:rPr/>
        <w:t>工智能、区块链等现代信息技术与监狱各项业务深度融合，形成标准规范科学统一、数据信</w:t>
      </w:r>
      <w:r>
        <w:rPr>
          <w:spacing w:val="-91"/>
        </w:rPr>
        <w:t> </w:t>
      </w:r>
      <w:r>
        <w:rPr>
          <w:spacing w:val="-91"/>
        </w:rPr>
      </w:r>
      <w:r>
        <w:rPr/>
        <w:t>息全面准确、业务应用灵活普及、研判预警智慧高效的应用体系。以全面透彻的感知、互动</w:t>
      </w:r>
    </w:p>
    <w:p>
      <w:pPr>
        <w:pStyle w:val="Heading5"/>
        <w:spacing w:line="312" w:lineRule="exact"/>
        <w:ind w:right="1132"/>
        <w:jc w:val="both"/>
      </w:pPr>
      <w:r>
        <w:rPr/>
        <w:t>协同的互联、智能融合的应用为主要建设内容，实现对监所全方位的智能监管，全面提升人</w:t>
      </w:r>
      <w:r>
        <w:rPr>
          <w:spacing w:val="-88"/>
        </w:rPr>
        <w:t> </w:t>
      </w:r>
      <w:r>
        <w:rPr>
          <w:spacing w:val="-88"/>
        </w:rPr>
      </w:r>
      <w:r>
        <w:rPr/>
        <w:t>防、物防、技防、联防一体化水平，各个应用系统相互之间实现融合贯通、信息共享为监狱</w:t>
      </w:r>
      <w:r>
        <w:rPr>
          <w:spacing w:val="-91"/>
        </w:rPr>
        <w:t> </w:t>
      </w:r>
      <w:r>
        <w:rPr>
          <w:spacing w:val="-91"/>
        </w:rPr>
      </w:r>
      <w:r>
        <w:rPr/>
        <w:t>各项管理工作提供信息化服务。</w:t>
      </w:r>
      <w:r>
        <w:rPr>
          <w:spacing w:val="-81"/>
        </w:rPr>
        <w:t> </w:t>
      </w:r>
      <w:r>
        <w:rPr/>
        <w:t>帮助监狱最大限度地汇集整合监管改造信息资源和社会信息</w:t>
      </w:r>
      <w:r>
        <w:rPr/>
        <w:t> 资源，全面推动各类数据的集成应用，开展罪犯危险程度评估，有效防范罪犯越狱脱逃、暴</w:t>
      </w:r>
      <w:r>
        <w:rPr>
          <w:spacing w:val="-91"/>
        </w:rPr>
        <w:t> </w:t>
      </w:r>
      <w:r>
        <w:rPr>
          <w:spacing w:val="-91"/>
        </w:rPr>
      </w:r>
      <w:r>
        <w:rPr/>
        <w:t>力袭警、自伤自残等监管安防事件；通过大数据建模，揭示各类罪犯改造规律，为提升改造</w:t>
      </w:r>
      <w:r>
        <w:rPr>
          <w:spacing w:val="-91"/>
        </w:rPr>
        <w:t> </w:t>
      </w:r>
      <w:r>
        <w:rPr>
          <w:spacing w:val="-91"/>
        </w:rPr>
      </w:r>
      <w:r>
        <w:rPr/>
        <w:t>质量提供科技支撑。</w:t>
      </w:r>
    </w:p>
    <w:p>
      <w:pPr>
        <w:spacing w:line="312" w:lineRule="exact" w:before="0"/>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）监狱行业专有云整体解决方案</w:t>
      </w:r>
      <w:r>
        <w:rPr>
          <w:rFonts w:ascii="宋体" w:hAnsi="宋体" w:cs="宋体" w:eastAsia="宋体" w:hint="default"/>
          <w:b/>
          <w:bCs/>
          <w:w w:val="99"/>
          <w:sz w:val="24"/>
          <w:szCs w:val="24"/>
        </w:rPr>
        <w:t> </w:t>
      </w:r>
      <w:r>
        <w:rPr>
          <w:rFonts w:ascii="宋体" w:hAnsi="宋体" w:cs="宋体" w:eastAsia="宋体" w:hint="default"/>
          <w:spacing w:val="2"/>
          <w:sz w:val="24"/>
          <w:szCs w:val="24"/>
        </w:rPr>
        <w:t>监狱行业专有云是为监狱信息化应用单独使用而构建的。该解决方案通过云计算方式充</w:t>
      </w:r>
      <w:r>
        <w:rPr>
          <w:rFonts w:ascii="宋体" w:hAnsi="宋体" w:cs="宋体" w:eastAsia="宋体" w:hint="default"/>
          <w:sz w:val="24"/>
          <w:szCs w:val="24"/>
        </w:rPr>
      </w:r>
    </w:p>
    <w:p>
      <w:pPr>
        <w:pStyle w:val="Heading5"/>
        <w:spacing w:line="283" w:lineRule="exact"/>
        <w:ind w:right="0"/>
        <w:jc w:val="both"/>
      </w:pPr>
      <w:r>
        <w:rPr/>
        <w:t>分利用主机计算能力、网络和存储空间，提供基础设施即服务</w:t>
      </w:r>
      <w:r>
        <w:rPr>
          <w:rFonts w:ascii="宋体" w:hAnsi="宋体" w:cs="宋体" w:eastAsia="宋体" w:hint="default"/>
        </w:rPr>
        <w:t>(IaaS)</w:t>
      </w:r>
      <w:r>
        <w:rPr/>
        <w:t>的云计算服务。实现集</w:t>
      </w:r>
    </w:p>
    <w:p>
      <w:pPr>
        <w:spacing w:after="0" w:line="283"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1002"/>
        <w:jc w:val="left"/>
      </w:pPr>
      <w:r>
        <w:rPr>
          <w:spacing w:val="-2"/>
        </w:rPr>
        <w:t>中按需提供基础</w:t>
      </w:r>
      <w:r>
        <w:rPr>
          <w:rFonts w:ascii="宋体" w:hAnsi="宋体" w:cs="宋体" w:eastAsia="宋体" w:hint="default"/>
          <w:spacing w:val="-2"/>
        </w:rPr>
        <w:t>IT</w:t>
      </w:r>
      <w:r>
        <w:rPr>
          <w:spacing w:val="-2"/>
        </w:rPr>
        <w:t>资源、对各类</w:t>
      </w:r>
      <w:r>
        <w:rPr>
          <w:rFonts w:ascii="宋体" w:hAnsi="宋体" w:cs="宋体" w:eastAsia="宋体" w:hint="default"/>
          <w:spacing w:val="-2"/>
        </w:rPr>
        <w:t>IT</w:t>
      </w:r>
      <w:r>
        <w:rPr>
          <w:spacing w:val="-2"/>
        </w:rPr>
        <w:t>资源的统一管理、调度和维护、提高</w:t>
      </w:r>
      <w:r>
        <w:rPr>
          <w:rFonts w:ascii="宋体" w:hAnsi="宋体" w:cs="宋体" w:eastAsia="宋体" w:hint="default"/>
          <w:spacing w:val="-2"/>
        </w:rPr>
        <w:t>IT</w:t>
      </w:r>
      <w:r>
        <w:rPr>
          <w:spacing w:val="-2"/>
        </w:rPr>
        <w:t>系统整体分布密度，</w:t>
      </w:r>
      <w:r>
        <w:rPr>
          <w:spacing w:val="-116"/>
        </w:rPr>
        <w:t> </w:t>
      </w:r>
      <w:r>
        <w:rPr/>
        <w:t>提高资源使用效率，降低能耗。通过专有云建设，统一设备管理，低维护成本，解决扩展性</w:t>
      </w:r>
      <w:r>
        <w:rPr>
          <w:spacing w:val="-91"/>
        </w:rPr>
        <w:t> </w:t>
      </w:r>
      <w:r>
        <w:rPr>
          <w:spacing w:val="-91"/>
        </w:rPr>
      </w:r>
      <w:r>
        <w:rPr/>
        <w:t>问题，发挥资源部署周期短等优势，把单位投入到传统</w:t>
      </w:r>
      <w:r>
        <w:rPr>
          <w:rFonts w:ascii="宋体" w:hAnsi="宋体" w:cs="宋体" w:eastAsia="宋体" w:hint="default"/>
        </w:rPr>
        <w:t>IT</w:t>
      </w:r>
      <w:r>
        <w:rPr/>
        <w:t>建设与维护的核心资源释放出来，</w:t>
      </w:r>
      <w:r>
        <w:rPr>
          <w:spacing w:val="-88"/>
        </w:rPr>
        <w:t> </w:t>
      </w:r>
      <w:r>
        <w:rPr>
          <w:spacing w:val="-88"/>
        </w:rPr>
      </w:r>
      <w:r>
        <w:rPr/>
        <w:t>聚焦单位主流业务。同时基于监狱专有云实现业务重构、流程再造，解决平台与数据孤岛、</w:t>
      </w:r>
      <w:r>
        <w:rPr>
          <w:spacing w:val="-91"/>
        </w:rPr>
        <w:t> </w:t>
      </w:r>
      <w:r>
        <w:rPr>
          <w:spacing w:val="-91"/>
        </w:rPr>
      </w:r>
      <w:r>
        <w:rPr/>
        <w:t>防篡溯源，提升海量数据安全，帮助监狱行业实现各业务系统数据汇聚共享，相互调用，相</w:t>
      </w:r>
      <w:r>
        <w:rPr>
          <w:spacing w:val="-91"/>
        </w:rPr>
        <w:t> </w:t>
      </w:r>
      <w:r>
        <w:rPr>
          <w:spacing w:val="-91"/>
        </w:rPr>
      </w:r>
      <w:r>
        <w:rPr/>
        <w:t>互印证，为各类业务应用创新提供云资源和云服务支撑，保障系统和数据安全、稳定、可靠</w:t>
      </w:r>
      <w:r>
        <w:rPr>
          <w:spacing w:val="-88"/>
        </w:rPr>
        <w:t> </w:t>
      </w:r>
      <w:r>
        <w:rPr>
          <w:spacing w:val="-88"/>
        </w:rPr>
      </w:r>
      <w:r>
        <w:rPr/>
        <w:t>运行。</w:t>
      </w:r>
    </w:p>
    <w:p>
      <w:pPr>
        <w:spacing w:line="312" w:lineRule="exact" w:before="29"/>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）司法监狱大数据整体解决方案</w:t>
      </w:r>
      <w:r>
        <w:rPr>
          <w:rFonts w:ascii="宋体" w:hAnsi="宋体" w:cs="宋体" w:eastAsia="宋体" w:hint="default"/>
          <w:b/>
          <w:bCs/>
          <w:w w:val="99"/>
          <w:sz w:val="24"/>
          <w:szCs w:val="24"/>
        </w:rPr>
        <w:t> </w:t>
      </w:r>
      <w:r>
        <w:rPr>
          <w:rFonts w:ascii="宋体" w:hAnsi="宋体" w:cs="宋体" w:eastAsia="宋体" w:hint="default"/>
          <w:spacing w:val="-4"/>
          <w:sz w:val="24"/>
          <w:szCs w:val="24"/>
        </w:rPr>
        <w:t>该解决方案基于贯彻落实国务院《促进大数据发展行动纲要》，围绕大系统、大平台、大</w:t>
      </w:r>
    </w:p>
    <w:p>
      <w:pPr>
        <w:pStyle w:val="Heading5"/>
        <w:spacing w:line="312" w:lineRule="exact"/>
        <w:ind w:right="1139"/>
        <w:jc w:val="both"/>
      </w:pPr>
      <w:r>
        <w:rPr/>
        <w:t>数据、大支撑体系的建设方向，构建平台互通、信息共享、全面感知、迅捷精准的新型司法</w:t>
      </w:r>
      <w:r>
        <w:rPr>
          <w:spacing w:val="-91"/>
        </w:rPr>
        <w:t> </w:t>
      </w:r>
      <w:r>
        <w:rPr>
          <w:spacing w:val="-91"/>
        </w:rPr>
      </w:r>
      <w:r>
        <w:rPr/>
        <w:t>大数据安全平台架构体系。加强大数据研究分析，深化大数据在司法行政各业务系统应用，</w:t>
      </w:r>
      <w:r>
        <w:rPr>
          <w:spacing w:val="-91"/>
        </w:rPr>
        <w:t> </w:t>
      </w:r>
      <w:r>
        <w:rPr>
          <w:spacing w:val="-91"/>
        </w:rPr>
      </w:r>
      <w:r>
        <w:rPr/>
        <w:t>形成大数据治理应用体系；运用大数据技术整合监狱的资源，打通系统之间的壁垒，延伸数</w:t>
      </w:r>
    </w:p>
    <w:p>
      <w:pPr>
        <w:pStyle w:val="Heading5"/>
        <w:spacing w:line="312" w:lineRule="exact"/>
        <w:ind w:right="1139"/>
        <w:jc w:val="both"/>
      </w:pPr>
      <w:r>
        <w:rPr/>
        <w:t>据的使用能力，为监狱行业高效管理、工作创新提供数据研判，全面提升监狱大数据的管理</w:t>
      </w:r>
      <w:r>
        <w:rPr>
          <w:spacing w:val="-91"/>
        </w:rPr>
        <w:t> </w:t>
      </w:r>
      <w:r>
        <w:rPr>
          <w:spacing w:val="-91"/>
        </w:rPr>
      </w:r>
      <w:r>
        <w:rPr/>
        <w:t>服务能力和决策水平。</w:t>
      </w:r>
    </w:p>
    <w:p>
      <w:pPr>
        <w:spacing w:line="312" w:lineRule="exact" w:before="0"/>
        <w:ind w:left="533" w:right="11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4</w:t>
      </w:r>
      <w:r>
        <w:rPr>
          <w:rFonts w:ascii="宋体" w:hAnsi="宋体" w:cs="宋体" w:eastAsia="宋体" w:hint="default"/>
          <w:b/>
          <w:bCs/>
          <w:sz w:val="24"/>
          <w:szCs w:val="24"/>
        </w:rPr>
        <w:t>）公安智慧警务室整体解决方案</w:t>
      </w:r>
      <w:r>
        <w:rPr>
          <w:rFonts w:ascii="宋体" w:hAnsi="宋体" w:cs="宋体" w:eastAsia="宋体" w:hint="default"/>
          <w:b/>
          <w:bCs/>
          <w:w w:val="99"/>
          <w:sz w:val="24"/>
          <w:szCs w:val="24"/>
        </w:rPr>
        <w:t> </w:t>
      </w:r>
      <w:r>
        <w:rPr>
          <w:rFonts w:ascii="宋体" w:hAnsi="宋体" w:cs="宋体" w:eastAsia="宋体" w:hint="default"/>
          <w:spacing w:val="2"/>
          <w:sz w:val="24"/>
          <w:szCs w:val="24"/>
        </w:rPr>
        <w:t>该方案是基于当前互联网与物联网技术，运用大数据、云计算等智能平台进行分析和处</w:t>
      </w:r>
      <w:r>
        <w:rPr>
          <w:rFonts w:ascii="宋体" w:hAnsi="宋体" w:cs="宋体" w:eastAsia="宋体" w:hint="default"/>
          <w:sz w:val="24"/>
          <w:szCs w:val="24"/>
        </w:rPr>
      </w:r>
    </w:p>
    <w:p>
      <w:pPr>
        <w:pStyle w:val="Heading5"/>
        <w:spacing w:line="312" w:lineRule="exact"/>
        <w:ind w:right="1139"/>
        <w:jc w:val="both"/>
      </w:pPr>
      <w:r>
        <w:rPr/>
        <w:t>理，通过多重高科技生物识别系统进行个人实名制认证，在阳光警务和互联网＋公安政务平</w:t>
      </w:r>
      <w:r>
        <w:rPr>
          <w:spacing w:val="-91"/>
        </w:rPr>
        <w:t> </w:t>
      </w:r>
      <w:r>
        <w:rPr>
          <w:spacing w:val="-91"/>
        </w:rPr>
      </w:r>
      <w:r>
        <w:rPr/>
        <w:t>台的建设基础上，利用跨平台、跨部门、跨警种、跨地区的信息共享机制，打通各警种数据</w:t>
      </w:r>
      <w:r>
        <w:rPr>
          <w:spacing w:val="-91"/>
        </w:rPr>
        <w:t> </w:t>
      </w:r>
      <w:r>
        <w:rPr>
          <w:spacing w:val="-91"/>
        </w:rPr>
      </w:r>
      <w:r>
        <w:rPr/>
        <w:t>链路，打造公安业务有机协同、公安工作高效规范、各类数据动态鲜活、各种信息高度共享</w:t>
      </w:r>
      <w:r>
        <w:rPr>
          <w:spacing w:val="-91"/>
        </w:rPr>
        <w:t> </w:t>
      </w:r>
      <w:r>
        <w:rPr>
          <w:spacing w:val="-91"/>
        </w:rPr>
      </w:r>
      <w:r>
        <w:rPr>
          <w:spacing w:val="-4"/>
        </w:rPr>
        <w:t>的警务工作新模式，为社会大众提供便民“微服务”，提升人民群众满意度。</w:t>
      </w:r>
    </w:p>
    <w:p>
      <w:pPr>
        <w:spacing w:line="240" w:lineRule="auto" w:before="11"/>
        <w:rPr>
          <w:rFonts w:ascii="宋体" w:hAnsi="宋体" w:cs="宋体" w:eastAsia="宋体" w:hint="default"/>
          <w:sz w:val="23"/>
          <w:szCs w:val="23"/>
        </w:rPr>
      </w:pPr>
    </w:p>
    <w:p>
      <w:pPr>
        <w:pStyle w:val="Heading4"/>
        <w:spacing w:line="312" w:lineRule="exact"/>
        <w:ind w:left="533" w:right="8284"/>
        <w:jc w:val="left"/>
        <w:rPr>
          <w:b w:val="0"/>
          <w:bCs w:val="0"/>
        </w:rPr>
      </w:pPr>
      <w:r>
        <w:rPr>
          <w:spacing w:val="-15"/>
          <w:w w:val="99"/>
        </w:rPr>
        <w:t>（五）、创新中心</w:t>
      </w:r>
      <w:r>
        <w:rPr>
          <w:spacing w:val="-115"/>
          <w:w w:val="99"/>
        </w:rPr>
        <w:t> </w:t>
      </w:r>
      <w:r>
        <w:rPr>
          <w:spacing w:val="-115"/>
          <w:w w:val="99"/>
        </w:rPr>
      </w:r>
      <w:r>
        <w:rPr>
          <w:rFonts w:ascii="宋体" w:hAnsi="宋体" w:cs="宋体" w:eastAsia="宋体" w:hint="default"/>
        </w:rPr>
        <w:t>1</w:t>
      </w:r>
      <w:r>
        <w:rPr/>
        <w:t>、区块链创新中心</w:t>
      </w:r>
      <w:r>
        <w:rPr>
          <w:b w:val="0"/>
          <w:bCs w:val="0"/>
        </w:rPr>
      </w:r>
    </w:p>
    <w:p>
      <w:pPr>
        <w:pStyle w:val="Heading5"/>
        <w:spacing w:line="312" w:lineRule="exact" w:before="101"/>
        <w:ind w:right="1009"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日《区块链信息服务管理规定》正式实施以来，国家互联网信息办公室于今 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日发布第一批共</w:t>
      </w:r>
      <w:r>
        <w:rPr>
          <w:rFonts w:ascii="Times New Roman" w:hAnsi="Times New Roman" w:cs="Times New Roman" w:eastAsia="Times New Roman" w:hint="default"/>
        </w:rPr>
        <w:t>197</w:t>
      </w:r>
      <w:r>
        <w:rPr/>
        <w:t>个境内区块链信息服务名称及备案编号。并于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日发</w:t>
      </w:r>
      <w:r>
        <w:rPr>
          <w:spacing w:val="-85"/>
        </w:rPr>
        <w:t> </w:t>
      </w:r>
      <w:r>
        <w:rPr>
          <w:spacing w:val="-5"/>
        </w:rPr>
        <w:t>布了第二批共</w:t>
      </w:r>
      <w:r>
        <w:rPr>
          <w:rFonts w:ascii="Times New Roman" w:hAnsi="Times New Roman" w:cs="Times New Roman" w:eastAsia="Times New Roman" w:hint="default"/>
          <w:spacing w:val="-5"/>
        </w:rPr>
        <w:t>309</w:t>
      </w:r>
      <w:r>
        <w:rPr>
          <w:spacing w:val="-5"/>
        </w:rPr>
        <w:t>个境内区块链信息服务名称及备案编号，其应用方向涵盖文旅、教育、电商、</w:t>
      </w:r>
      <w:r>
        <w:rPr>
          <w:spacing w:val="-109"/>
        </w:rPr>
        <w:t> </w:t>
      </w:r>
      <w:r>
        <w:rPr>
          <w:spacing w:val="-109"/>
        </w:rPr>
      </w:r>
      <w:r>
        <w:rPr/>
        <w:t>司法、医疗、供应链金融等多个领域。其中我司获得了基于区块链的存证应用管理平台（沪</w:t>
      </w:r>
      <w:r>
        <w:rPr>
          <w:spacing w:val="-91"/>
        </w:rPr>
        <w:t> </w:t>
      </w:r>
      <w:r>
        <w:rPr>
          <w:spacing w:val="-91"/>
        </w:rPr>
      </w:r>
      <w:r>
        <w:rPr>
          <w:spacing w:val="44"/>
        </w:rPr>
        <w:t>网信备</w:t>
      </w:r>
      <w:r>
        <w:rPr>
          <w:spacing w:val="-53"/>
        </w:rPr>
        <w:t> </w:t>
      </w:r>
      <w:r>
        <w:rPr>
          <w:rFonts w:ascii="Times New Roman" w:hAnsi="Times New Roman" w:cs="Times New Roman" w:eastAsia="Times New Roman" w:hint="default"/>
        </w:rPr>
        <w:t>31010619371530680049</w:t>
      </w:r>
      <w:r>
        <w:rPr>
          <w:rFonts w:ascii="Times New Roman" w:hAnsi="Times New Roman" w:cs="Times New Roman" w:eastAsia="Times New Roman" w:hint="default"/>
          <w:spacing w:val="7"/>
        </w:rPr>
        <w:t> </w:t>
      </w:r>
      <w:r>
        <w:rPr/>
        <w:t>号</w:t>
      </w:r>
      <w:r>
        <w:rPr>
          <w:spacing w:val="-54"/>
        </w:rPr>
        <w:t> </w:t>
      </w:r>
      <w:r>
        <w:rPr>
          <w:spacing w:val="-27"/>
        </w:rPr>
        <w:t>）、</w:t>
      </w:r>
      <w:r>
        <w:rPr>
          <w:spacing w:val="-54"/>
        </w:rPr>
        <w:t> </w:t>
      </w:r>
      <w:r>
        <w:rPr/>
        <w:t>基</w:t>
      </w:r>
      <w:r>
        <w:rPr>
          <w:spacing w:val="-54"/>
        </w:rPr>
        <w:t> </w:t>
      </w:r>
      <w:r>
        <w:rPr/>
        <w:t>于</w:t>
      </w:r>
      <w:r>
        <w:rPr>
          <w:spacing w:val="-56"/>
        </w:rPr>
        <w:t> </w:t>
      </w:r>
      <w:r>
        <w:rPr/>
        <w:t>区</w:t>
      </w:r>
      <w:r>
        <w:rPr>
          <w:spacing w:val="-54"/>
        </w:rPr>
        <w:t> </w:t>
      </w:r>
      <w:r>
        <w:rPr/>
        <w:t>块</w:t>
      </w:r>
      <w:r>
        <w:rPr>
          <w:spacing w:val="-54"/>
        </w:rPr>
        <w:t> </w:t>
      </w:r>
      <w:r>
        <w:rPr/>
        <w:t>链</w:t>
      </w:r>
      <w:r>
        <w:rPr>
          <w:spacing w:val="-54"/>
        </w:rPr>
        <w:t> </w:t>
      </w:r>
      <w:r>
        <w:rPr/>
        <w:t>的</w:t>
      </w:r>
      <w:r>
        <w:rPr>
          <w:spacing w:val="-54"/>
        </w:rPr>
        <w:t> </w:t>
      </w:r>
      <w:r>
        <w:rPr/>
        <w:t>追</w:t>
      </w:r>
      <w:r>
        <w:rPr>
          <w:spacing w:val="-54"/>
        </w:rPr>
        <w:t> </w:t>
      </w:r>
      <w:r>
        <w:rPr/>
        <w:t>溯</w:t>
      </w:r>
      <w:r>
        <w:rPr>
          <w:spacing w:val="-56"/>
        </w:rPr>
        <w:t> </w:t>
      </w:r>
      <w:r>
        <w:rPr/>
        <w:t>存</w:t>
      </w:r>
      <w:r>
        <w:rPr>
          <w:spacing w:val="-54"/>
        </w:rPr>
        <w:t> </w:t>
      </w:r>
      <w:r>
        <w:rPr/>
        <w:t>证</w:t>
      </w:r>
      <w:r>
        <w:rPr>
          <w:spacing w:val="-56"/>
        </w:rPr>
        <w:t> </w:t>
      </w:r>
      <w:r>
        <w:rPr/>
        <w:t>云</w:t>
      </w:r>
      <w:r>
        <w:rPr>
          <w:spacing w:val="-54"/>
        </w:rPr>
        <w:t> </w:t>
      </w:r>
      <w:r>
        <w:rPr/>
        <w:t>平</w:t>
      </w:r>
      <w:r>
        <w:rPr>
          <w:spacing w:val="-54"/>
        </w:rPr>
        <w:t> </w:t>
      </w:r>
      <w:r>
        <w:rPr/>
        <w:t>台</w:t>
      </w:r>
      <w:r>
        <w:rPr>
          <w:spacing w:val="-54"/>
        </w:rPr>
        <w:t> </w:t>
      </w:r>
      <w:r>
        <w:rPr/>
        <w:t>（</w:t>
      </w:r>
      <w:r>
        <w:rPr>
          <w:spacing w:val="-54"/>
        </w:rPr>
        <w:t> </w:t>
      </w:r>
      <w:r>
        <w:rPr/>
        <w:t>沪</w:t>
      </w:r>
      <w:r>
        <w:rPr>
          <w:spacing w:val="-54"/>
        </w:rPr>
        <w:t> </w:t>
      </w:r>
      <w:r>
        <w:rPr/>
        <w:t>网</w:t>
      </w:r>
      <w:r>
        <w:rPr>
          <w:spacing w:val="-56"/>
        </w:rPr>
        <w:t> </w:t>
      </w:r>
      <w:r>
        <w:rPr/>
        <w:t>信</w:t>
      </w:r>
      <w:r>
        <w:rPr>
          <w:spacing w:val="-54"/>
        </w:rPr>
        <w:t> </w:t>
      </w:r>
      <w:r>
        <w:rPr/>
        <w:t>备</w:t>
      </w:r>
      <w:r>
        <w:rPr/>
        <w:t> </w:t>
      </w:r>
      <w:r>
        <w:rPr>
          <w:rFonts w:ascii="Times New Roman" w:hAnsi="Times New Roman" w:cs="Times New Roman" w:eastAsia="Times New Roman" w:hint="default"/>
        </w:rPr>
        <w:t>31010619371530680022</w:t>
      </w:r>
      <w:r>
        <w:rPr>
          <w:rFonts w:ascii="Times New Roman" w:hAnsi="Times New Roman" w:cs="Times New Roman" w:eastAsia="Times New Roman" w:hint="default"/>
          <w:spacing w:val="34"/>
        </w:rPr>
        <w:t> </w:t>
      </w:r>
      <w:r>
        <w:rPr/>
        <w:t>号</w:t>
      </w:r>
      <w:r>
        <w:rPr>
          <w:spacing w:val="-27"/>
        </w:rPr>
        <w:t> </w:t>
      </w:r>
      <w:r>
        <w:rPr>
          <w:spacing w:val="-14"/>
        </w:rPr>
        <w:t>）、</w:t>
      </w:r>
      <w:r>
        <w:rPr>
          <w:spacing w:val="-25"/>
        </w:rPr>
        <w:t> </w:t>
      </w:r>
      <w:r>
        <w:rPr/>
        <w:t>基</w:t>
      </w:r>
      <w:r>
        <w:rPr>
          <w:spacing w:val="-27"/>
        </w:rPr>
        <w:t> </w:t>
      </w:r>
      <w:r>
        <w:rPr/>
        <w:t>于</w:t>
      </w:r>
      <w:r>
        <w:rPr>
          <w:spacing w:val="-25"/>
        </w:rPr>
        <w:t> </w:t>
      </w:r>
      <w:r>
        <w:rPr/>
        <w:t>区</w:t>
      </w:r>
      <w:r>
        <w:rPr>
          <w:spacing w:val="-27"/>
        </w:rPr>
        <w:t> </w:t>
      </w:r>
      <w:r>
        <w:rPr/>
        <w:t>块</w:t>
      </w:r>
      <w:r>
        <w:rPr>
          <w:spacing w:val="-25"/>
        </w:rPr>
        <w:t> </w:t>
      </w:r>
      <w:r>
        <w:rPr/>
        <w:t>链</w:t>
      </w:r>
      <w:r>
        <w:rPr>
          <w:spacing w:val="-27"/>
        </w:rPr>
        <w:t> </w:t>
      </w:r>
      <w:r>
        <w:rPr/>
        <w:t>的</w:t>
      </w:r>
      <w:r>
        <w:rPr>
          <w:spacing w:val="-27"/>
        </w:rPr>
        <w:t> </w:t>
      </w:r>
      <w:r>
        <w:rPr/>
        <w:t>供</w:t>
      </w:r>
      <w:r>
        <w:rPr>
          <w:spacing w:val="-27"/>
        </w:rPr>
        <w:t> </w:t>
      </w:r>
      <w:r>
        <w:rPr/>
        <w:t>应</w:t>
      </w:r>
      <w:r>
        <w:rPr>
          <w:spacing w:val="-25"/>
        </w:rPr>
        <w:t> </w:t>
      </w:r>
      <w:r>
        <w:rPr/>
        <w:t>链</w:t>
      </w:r>
      <w:r>
        <w:rPr>
          <w:spacing w:val="-27"/>
        </w:rPr>
        <w:t> </w:t>
      </w:r>
      <w:r>
        <w:rPr/>
        <w:t>管</w:t>
      </w:r>
      <w:r>
        <w:rPr>
          <w:spacing w:val="-25"/>
        </w:rPr>
        <w:t> </w:t>
      </w:r>
      <w:r>
        <w:rPr/>
        <w:t>理</w:t>
      </w:r>
      <w:r>
        <w:rPr>
          <w:spacing w:val="-25"/>
        </w:rPr>
        <w:t> </w:t>
      </w:r>
      <w:r>
        <w:rPr/>
        <w:t>云</w:t>
      </w:r>
      <w:r>
        <w:rPr>
          <w:spacing w:val="-27"/>
        </w:rPr>
        <w:t> </w:t>
      </w:r>
      <w:r>
        <w:rPr/>
        <w:t>平</w:t>
      </w:r>
      <w:r>
        <w:rPr>
          <w:spacing w:val="-27"/>
        </w:rPr>
        <w:t> </w:t>
      </w:r>
      <w:r>
        <w:rPr/>
        <w:t>台</w:t>
      </w:r>
      <w:r>
        <w:rPr>
          <w:spacing w:val="-27"/>
        </w:rPr>
        <w:t> </w:t>
      </w:r>
      <w:r>
        <w:rPr/>
        <w:t>（</w:t>
      </w:r>
      <w:r>
        <w:rPr>
          <w:spacing w:val="-25"/>
        </w:rPr>
        <w:t> </w:t>
      </w:r>
      <w:r>
        <w:rPr/>
        <w:t>沪</w:t>
      </w:r>
      <w:r>
        <w:rPr>
          <w:spacing w:val="-27"/>
        </w:rPr>
        <w:t> </w:t>
      </w:r>
      <w:r>
        <w:rPr/>
        <w:t>网</w:t>
      </w:r>
      <w:r>
        <w:rPr>
          <w:spacing w:val="-25"/>
        </w:rPr>
        <w:t> </w:t>
      </w:r>
      <w:r>
        <w:rPr/>
        <w:t>信</w:t>
      </w:r>
      <w:r>
        <w:rPr>
          <w:spacing w:val="-25"/>
        </w:rPr>
        <w:t> </w:t>
      </w:r>
      <w:r>
        <w:rPr/>
        <w:t>备</w:t>
      </w:r>
    </w:p>
    <w:p>
      <w:pPr>
        <w:pStyle w:val="Heading5"/>
        <w:spacing w:line="302" w:lineRule="exact"/>
        <w:ind w:right="0"/>
        <w:jc w:val="both"/>
      </w:pPr>
      <w:r>
        <w:rPr>
          <w:rFonts w:ascii="Times New Roman" w:hAnsi="Times New Roman" w:cs="Times New Roman" w:eastAsia="Times New Roman" w:hint="default"/>
        </w:rPr>
        <w:t>31010619371530680014</w:t>
      </w:r>
      <w:r>
        <w:rPr/>
        <w:t>号</w:t>
      </w:r>
      <w:r>
        <w:rPr>
          <w:spacing w:val="-120"/>
        </w:rPr>
        <w:t>）</w:t>
      </w:r>
      <w:r>
        <w:rPr/>
        <w:t>。</w:t>
      </w:r>
    </w:p>
    <w:p>
      <w:pPr>
        <w:pStyle w:val="Heading5"/>
        <w:spacing w:line="232" w:lineRule="auto" w:before="86"/>
        <w:ind w:right="986"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月，中共中央、国务院发布关于深化改革加强食品安全工作的意见。意见提到， </w:t>
      </w:r>
      <w:r>
        <w:rPr>
          <w:spacing w:val="-6"/>
        </w:rPr>
        <w:t>推进“互联网</w:t>
      </w:r>
      <w:r>
        <w:rPr>
          <w:rFonts w:ascii="Times New Roman" w:hAnsi="Times New Roman" w:cs="Times New Roman" w:eastAsia="Times New Roman" w:hint="default"/>
          <w:spacing w:val="-6"/>
        </w:rPr>
        <w:t>+</w:t>
      </w:r>
      <w:r>
        <w:rPr>
          <w:spacing w:val="-6"/>
        </w:rPr>
        <w:t>食品”监管。建立基于大数据分析的食品安全信息平台，推进大数据、云计算、</w:t>
      </w:r>
      <w:r>
        <w:rPr>
          <w:spacing w:val="-89"/>
        </w:rPr>
        <w:t> </w:t>
      </w:r>
      <w:r>
        <w:rPr>
          <w:spacing w:val="-89"/>
        </w:rPr>
      </w:r>
      <w:r>
        <w:rPr/>
        <w:t>物联网、人工智能、区块链等技术在食品安全监管领域的应用，实施智慧监管，逐步实现食</w:t>
      </w:r>
      <w:r>
        <w:rPr>
          <w:spacing w:val="-91"/>
        </w:rPr>
        <w:t> </w:t>
      </w:r>
      <w:r>
        <w:rPr>
          <w:spacing w:val="-91"/>
        </w:rPr>
      </w:r>
      <w:r>
        <w:rPr/>
        <w:t>品安全违法犯罪线索网上排查汇聚和案件网上移送、网上受理、网上监督，提升监管工作信</w:t>
      </w:r>
      <w:r>
        <w:rPr>
          <w:spacing w:val="-91"/>
        </w:rPr>
        <w:t> </w:t>
      </w:r>
      <w:r>
        <w:rPr>
          <w:spacing w:val="-91"/>
        </w:rPr>
      </w:r>
      <w:r>
        <w:rPr/>
        <w:t>息化水平。</w:t>
      </w:r>
    </w:p>
    <w:p>
      <w:pPr>
        <w:pStyle w:val="Heading5"/>
        <w:spacing w:line="312" w:lineRule="exact" w:before="130"/>
        <w:ind w:right="1132" w:firstLine="480"/>
        <w:jc w:val="both"/>
      </w:pPr>
      <w:r>
        <w:rPr>
          <w:spacing w:val="-3"/>
        </w:rPr>
        <w:t>国务院食品安全委员会也于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月发布《</w:t>
      </w:r>
      <w:r>
        <w:rPr>
          <w:rFonts w:ascii="Times New Roman" w:hAnsi="Times New Roman" w:cs="Times New Roman" w:eastAsia="Times New Roman" w:hint="default"/>
          <w:spacing w:val="-3"/>
        </w:rPr>
        <w:t>2019</w:t>
      </w:r>
      <w:r>
        <w:rPr>
          <w:spacing w:val="-3"/>
        </w:rPr>
        <w:t>年食品安全重点工作安排》，提出“推</w:t>
      </w:r>
      <w:r>
        <w:rPr/>
        <w:t> </w:t>
      </w:r>
      <w:r>
        <w:rPr>
          <w:spacing w:val="-3"/>
        </w:rPr>
        <w:t>进‘互联网</w:t>
      </w:r>
      <w:r>
        <w:rPr>
          <w:rFonts w:ascii="Times New Roman" w:hAnsi="Times New Roman" w:cs="Times New Roman" w:eastAsia="Times New Roman" w:hint="default"/>
          <w:spacing w:val="-3"/>
        </w:rPr>
        <w:t>+</w:t>
      </w:r>
      <w:r>
        <w:rPr>
          <w:spacing w:val="-3"/>
        </w:rPr>
        <w:t>食品’监管，重点运用大数据、云计算、物联网、人工智能、区块链技术，建立</w:t>
      </w:r>
      <w:r>
        <w:rPr>
          <w:spacing w:val="-95"/>
        </w:rPr>
        <w:t> </w:t>
      </w:r>
      <w:r>
        <w:rPr>
          <w:spacing w:val="-95"/>
        </w:rPr>
      </w:r>
      <w:r>
        <w:rPr>
          <w:spacing w:val="-4"/>
        </w:rPr>
        <w:t>重点食品追溯协作平台，发挥‘智慧监管’作用，提高食品安全风险管理能力。”</w:t>
      </w:r>
    </w:p>
    <w:p>
      <w:pPr>
        <w:pStyle w:val="Heading5"/>
        <w:spacing w:line="312" w:lineRule="exact" w:before="100"/>
        <w:ind w:right="1130"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月，上海市副市长吴清表示，上海将不断地深化金融与科技的联动，落实国际金</w:t>
      </w:r>
      <w:r>
        <w:rPr/>
        <w:t> 融中心建设的三年行动计划，加快建设金融科技中心，推动金融机构在上海发展金融科技，</w:t>
      </w:r>
      <w:r>
        <w:rPr>
          <w:spacing w:val="-91"/>
        </w:rPr>
        <w:t> </w:t>
      </w:r>
      <w:r>
        <w:rPr>
          <w:spacing w:val="-91"/>
        </w:rPr>
      </w:r>
      <w:r>
        <w:rPr/>
        <w:t>构建金融科技产业链，鼓励金融服务于人工智能、区块链、云计算等科技手段，为新金融人</w:t>
      </w:r>
      <w:r>
        <w:rPr>
          <w:spacing w:val="-91"/>
        </w:rPr>
        <w:t> </w:t>
      </w:r>
      <w:r>
        <w:rPr>
          <w:spacing w:val="-91"/>
        </w:rPr>
      </w:r>
      <w:r>
        <w:rPr/>
        <w:t>才培养、产教融合纵深发展提供土壤。同时上海市科委、上海市经信委、上海市商委等委办</w:t>
      </w:r>
      <w:r>
        <w:rPr>
          <w:spacing w:val="-91"/>
        </w:rPr>
        <w:t> </w:t>
      </w:r>
      <w:r>
        <w:rPr>
          <w:spacing w:val="-91"/>
        </w:rPr>
      </w:r>
      <w:r>
        <w:rPr/>
        <w:t>局以及各区县纷纷出台了区块链专项支持、发展政策引导以及优化产业发展环境，大力推动</w:t>
      </w:r>
    </w:p>
    <w:p>
      <w:pPr>
        <w:spacing w:after="0" w:line="312"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40" w:lineRule="auto" w:before="26"/>
        <w:ind w:right="1133"/>
        <w:jc w:val="left"/>
      </w:pPr>
      <w:r>
        <w:rPr/>
        <w:t>区块链技术研究与应用创新。</w:t>
      </w:r>
    </w:p>
    <w:p>
      <w:pPr>
        <w:pStyle w:val="Heading5"/>
        <w:spacing w:line="312" w:lineRule="exact" w:before="130"/>
        <w:ind w:right="1132" w:firstLine="48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月，中国银保监会发布了推动供应链金融服务实体经济的指导意见，指出鼓励银</w:t>
      </w:r>
      <w:r>
        <w:rPr/>
        <w:t> 行业金融机构在依法合规、信息交互充分、风险管控有效的基础上，运用互联网、物联网、</w:t>
      </w:r>
      <w:r>
        <w:rPr>
          <w:spacing w:val="-91"/>
        </w:rPr>
        <w:t> </w:t>
      </w:r>
      <w:r>
        <w:rPr>
          <w:spacing w:val="-91"/>
        </w:rPr>
      </w:r>
      <w:r>
        <w:rPr/>
        <w:t>区块链、生物识别、人工智能等技术，与核心企业等合作搭建服务上下游链条企业的供应链</w:t>
      </w:r>
      <w:r>
        <w:rPr>
          <w:spacing w:val="-91"/>
        </w:rPr>
        <w:t> </w:t>
      </w:r>
      <w:r>
        <w:rPr>
          <w:spacing w:val="-91"/>
        </w:rPr>
      </w:r>
      <w:r>
        <w:rPr/>
        <w:t>金融服务平台。</w:t>
      </w:r>
    </w:p>
    <w:p>
      <w:pPr>
        <w:pStyle w:val="Heading5"/>
        <w:spacing w:line="312" w:lineRule="exact" w:before="98"/>
        <w:ind w:right="996" w:firstLine="48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日，中共中央政治局就区块链技术发展现状和趋势进行第十八次集体学习，</w:t>
      </w:r>
      <w:r>
        <w:rPr/>
        <w:t> 会议上习近平总书记指出：区块链技术应用已延伸到数字金融、物联网、智能制造、供应链</w:t>
      </w:r>
      <w:r>
        <w:rPr>
          <w:spacing w:val="-91"/>
        </w:rPr>
        <w:t> </w:t>
      </w:r>
      <w:r>
        <w:rPr>
          <w:spacing w:val="-91"/>
        </w:rPr>
      </w:r>
      <w:r>
        <w:rPr/>
        <w:t>管理、数字资产交易等多个领域。目前，全球主要国家都在加快布局区块链技术发展。我国</w:t>
      </w:r>
      <w:r>
        <w:rPr>
          <w:spacing w:val="-91"/>
        </w:rPr>
        <w:t> </w:t>
      </w:r>
      <w:r>
        <w:rPr>
          <w:spacing w:val="-91"/>
        </w:rPr>
      </w:r>
      <w:r>
        <w:rPr/>
        <w:t>在区块链领域拥有良好基础，要加快推动区块链技术和产业创新发展，积极推进区块链和经</w:t>
      </w:r>
      <w:r>
        <w:rPr>
          <w:spacing w:val="-89"/>
        </w:rPr>
        <w:t> </w:t>
      </w:r>
      <w:r>
        <w:rPr>
          <w:spacing w:val="-89"/>
        </w:rPr>
      </w:r>
      <w:r>
        <w:rPr>
          <w:spacing w:val="-2"/>
        </w:rPr>
        <w:t>济社会融合发展。并强调：要把区块链作为核心技术自主创新的重要突破口，明确主攻方向，</w:t>
      </w:r>
      <w:r>
        <w:rPr/>
        <w:t> 加大投入力度，着力攻克一批关键核心技术，加快推动区块链技术和产业创新发展。</w:t>
      </w:r>
    </w:p>
    <w:p>
      <w:pPr>
        <w:pStyle w:val="Heading5"/>
        <w:spacing w:line="312" w:lineRule="exact" w:before="101"/>
        <w:ind w:right="1133" w:firstLine="480"/>
        <w:jc w:val="both"/>
      </w:pPr>
      <w:r>
        <w:rPr/>
        <w:t>区块链创新中心投入巨大资源，集中优势力量，着力打造研发区块链底层平台以及“区 块链网关”等配套工具，已成功申请区块链发明专利</w:t>
      </w:r>
      <w:r>
        <w:rPr>
          <w:rFonts w:ascii="宋体" w:hAnsi="宋体" w:cs="宋体" w:eastAsia="宋体" w:hint="default"/>
        </w:rPr>
        <w:t>12</w:t>
      </w:r>
      <w:r>
        <w:rPr/>
        <w:t>项，全力打造国内领先的“信发链”</w:t>
      </w:r>
      <w:r>
        <w:rPr>
          <w:spacing w:val="-88"/>
        </w:rPr>
        <w:t> </w:t>
      </w:r>
      <w:r>
        <w:rPr>
          <w:spacing w:val="-88"/>
        </w:rPr>
      </w:r>
      <w:r>
        <w:rPr>
          <w:spacing w:val="-6"/>
        </w:rPr>
        <w:t>区块链管理平台、“信发通”通证服务平台、“灵光云”云管平台系列工具。对内以智慧食安</w:t>
      </w:r>
      <w:r>
        <w:rPr>
          <w:spacing w:val="-82"/>
        </w:rPr>
        <w:t> </w:t>
      </w:r>
      <w:r>
        <w:rPr>
          <w:spacing w:val="-82"/>
        </w:rPr>
      </w:r>
      <w:r>
        <w:rPr/>
        <w:t>供应链生态圈区块链应用为重点，兼顾对智慧档案、智慧司法业务的赋能；对外拓展电子存</w:t>
      </w:r>
      <w:r>
        <w:rPr>
          <w:spacing w:val="-86"/>
        </w:rPr>
        <w:t> </w:t>
      </w:r>
      <w:r>
        <w:rPr>
          <w:spacing w:val="-86"/>
        </w:rPr>
      </w:r>
      <w:r>
        <w:rPr/>
        <w:t>证、药品溯源、供应链管理等业务领域，已初步实现“信发链”在多行业的应用落地。</w:t>
      </w:r>
    </w:p>
    <w:p>
      <w:pPr>
        <w:pStyle w:val="Heading5"/>
        <w:spacing w:line="268" w:lineRule="auto" w:before="70"/>
        <w:ind w:left="593" w:right="986" w:hanging="60"/>
        <w:jc w:val="left"/>
      </w:pPr>
      <w:r>
        <w:rPr>
          <w:rFonts w:ascii="宋体" w:hAnsi="宋体" w:cs="宋体" w:eastAsia="宋体" w:hint="default"/>
          <w:b/>
          <w:bCs/>
        </w:rPr>
        <w:t>2</w:t>
      </w:r>
      <w:r>
        <w:rPr>
          <w:rFonts w:ascii="宋体" w:hAnsi="宋体" w:cs="宋体" w:eastAsia="宋体" w:hint="default"/>
          <w:b/>
          <w:bCs/>
        </w:rPr>
        <w:t>、大数据创新中心</w:t>
      </w:r>
      <w:r>
        <w:rPr>
          <w:rFonts w:ascii="宋体" w:hAnsi="宋体" w:cs="宋体" w:eastAsia="宋体" w:hint="default"/>
          <w:b/>
          <w:bCs/>
          <w:w w:val="99"/>
        </w:rPr>
        <w:t> </w:t>
      </w:r>
      <w:r>
        <w:rPr>
          <w:spacing w:val="-3"/>
        </w:rPr>
        <w:t>自</w:t>
      </w:r>
      <w:r>
        <w:rPr>
          <w:rFonts w:ascii="宋体" w:hAnsi="宋体" w:cs="宋体" w:eastAsia="宋体" w:hint="default"/>
          <w:spacing w:val="-3"/>
        </w:rPr>
        <w:t>2014</w:t>
      </w:r>
      <w:r>
        <w:rPr>
          <w:spacing w:val="-3"/>
        </w:rPr>
        <w:t>年大数据首次写入政府工作报告以来，大数据技术逐渐成为各级政府关注的热点，</w:t>
      </w:r>
    </w:p>
    <w:p>
      <w:pPr>
        <w:pStyle w:val="Heading5"/>
        <w:spacing w:line="280" w:lineRule="exact"/>
        <w:ind w:right="1133"/>
        <w:jc w:val="left"/>
      </w:pPr>
      <w:r>
        <w:rPr/>
        <w:t>政府数据开放共享、数据流通与交易、利用大数据保障和改善民生等概念深入人心，各大相</w:t>
      </w:r>
    </w:p>
    <w:p>
      <w:pPr>
        <w:pStyle w:val="Heading5"/>
        <w:spacing w:line="237" w:lineRule="auto" w:before="1"/>
        <w:ind w:right="1011"/>
        <w:jc w:val="left"/>
      </w:pPr>
      <w:r>
        <w:rPr>
          <w:spacing w:val="-2"/>
        </w:rPr>
        <w:t>关政策从顶层出发推动应用落地。</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月，国务院印发《促进大数据发展行动纲要》（以</w:t>
      </w:r>
      <w:r>
        <w:rPr/>
        <w:t> </w:t>
      </w:r>
      <w:r>
        <w:rPr>
          <w:spacing w:val="-6"/>
        </w:rPr>
        <w:t>下简称《纲要》），系统部署了我国大数据发展工作，至此，大数据成为国家级的发展战略。</w:t>
      </w:r>
      <w:r>
        <w:rPr>
          <w:spacing w:val="-85"/>
        </w:rPr>
        <w:t> </w:t>
      </w:r>
      <w:r>
        <w:rPr>
          <w:spacing w:val="-85"/>
        </w:rPr>
      </w:r>
      <w:r>
        <w:rPr>
          <w:rFonts w:ascii="宋体" w:hAnsi="宋体" w:cs="宋体" w:eastAsia="宋体" w:hint="default"/>
          <w:spacing w:val="-7"/>
        </w:rPr>
        <w:t>2017</w:t>
      </w:r>
      <w:r>
        <w:rPr>
          <w:spacing w:val="-7"/>
        </w:rPr>
        <w:t>年</w:t>
      </w:r>
      <w:r>
        <w:rPr>
          <w:rFonts w:ascii="宋体" w:hAnsi="宋体" w:cs="宋体" w:eastAsia="宋体" w:hint="default"/>
          <w:spacing w:val="-7"/>
        </w:rPr>
        <w:t>1</w:t>
      </w:r>
      <w:r>
        <w:rPr>
          <w:spacing w:val="-7"/>
        </w:rPr>
        <w:t>月，工信部编制印发《大数据产业发展规划（</w:t>
      </w:r>
      <w:r>
        <w:rPr>
          <w:rFonts w:ascii="宋体" w:hAnsi="宋体" w:cs="宋体" w:eastAsia="宋体" w:hint="default"/>
          <w:spacing w:val="-7"/>
        </w:rPr>
        <w:t>2016-2020</w:t>
      </w:r>
      <w:r>
        <w:rPr>
          <w:spacing w:val="-7"/>
        </w:rPr>
        <w:t>年）》。发展目标：到</w:t>
      </w:r>
      <w:r>
        <w:rPr>
          <w:rFonts w:ascii="宋体" w:hAnsi="宋体" w:cs="宋体" w:eastAsia="宋体" w:hint="default"/>
          <w:spacing w:val="-7"/>
        </w:rPr>
        <w:t>2020</w:t>
      </w:r>
      <w:r>
        <w:rPr>
          <w:spacing w:val="-7"/>
        </w:rPr>
        <w:t>年，</w:t>
      </w:r>
      <w:r>
        <w:rPr>
          <w:spacing w:val="-88"/>
        </w:rPr>
        <w:t> </w:t>
      </w:r>
      <w:r>
        <w:rPr/>
        <w:t>技术先进、应用繁荣、保障有力的大数据产业体系基本形成。大数据相关产品和服务业务收</w:t>
      </w:r>
      <w:r>
        <w:rPr>
          <w:spacing w:val="-91"/>
        </w:rPr>
        <w:t> </w:t>
      </w:r>
      <w:r>
        <w:rPr>
          <w:spacing w:val="-91"/>
        </w:rPr>
      </w:r>
      <w:r>
        <w:rPr/>
        <w:t>入突破</w:t>
      </w:r>
      <w:r>
        <w:rPr>
          <w:rFonts w:ascii="宋体" w:hAnsi="宋体" w:cs="宋体" w:eastAsia="宋体" w:hint="default"/>
        </w:rPr>
        <w:t>1</w:t>
      </w:r>
      <w:r>
        <w:rPr/>
        <w:t>万亿元，年均复合增长率保持</w:t>
      </w:r>
      <w:r>
        <w:rPr>
          <w:rFonts w:ascii="宋体" w:hAnsi="宋体" w:cs="宋体" w:eastAsia="宋体" w:hint="default"/>
        </w:rPr>
        <w:t>30%</w:t>
      </w:r>
      <w:r>
        <w:rPr/>
        <w:t>左右，加快建设数据强国，为实现制造强国和网络</w:t>
      </w:r>
      <w:r>
        <w:rPr>
          <w:spacing w:val="-88"/>
        </w:rPr>
        <w:t> </w:t>
      </w:r>
      <w:r>
        <w:rPr>
          <w:spacing w:val="-88"/>
        </w:rPr>
      </w:r>
      <w:r>
        <w:rPr>
          <w:spacing w:val="-7"/>
        </w:rPr>
        <w:t>强国提供强大的产业支撑。</w:t>
      </w:r>
      <w:r>
        <w:rPr>
          <w:rFonts w:ascii="宋体" w:hAnsi="宋体" w:cs="宋体" w:eastAsia="宋体" w:hint="default"/>
          <w:spacing w:val="-7"/>
        </w:rPr>
        <w:t>2018</w:t>
      </w:r>
      <w:r>
        <w:rPr>
          <w:spacing w:val="-7"/>
        </w:rPr>
        <w:t>年</w:t>
      </w:r>
      <w:r>
        <w:rPr>
          <w:rFonts w:ascii="宋体" w:hAnsi="宋体" w:cs="宋体" w:eastAsia="宋体" w:hint="default"/>
          <w:spacing w:val="-7"/>
        </w:rPr>
        <w:t>7</w:t>
      </w:r>
      <w:r>
        <w:rPr>
          <w:spacing w:val="-7"/>
        </w:rPr>
        <w:t>月，工信部印发《推动企业上云实施指南（</w:t>
      </w:r>
      <w:r>
        <w:rPr>
          <w:rFonts w:ascii="宋体" w:hAnsi="宋体" w:cs="宋体" w:eastAsia="宋体" w:hint="default"/>
          <w:spacing w:val="-7"/>
        </w:rPr>
        <w:t>2018-2020</w:t>
      </w:r>
      <w:r>
        <w:rPr>
          <w:spacing w:val="-7"/>
        </w:rPr>
        <w:t>年）》</w:t>
      </w:r>
      <w:r>
        <w:rPr>
          <w:spacing w:val="-99"/>
        </w:rPr>
        <w:t> </w:t>
      </w:r>
      <w:r>
        <w:rPr>
          <w:spacing w:val="-99"/>
        </w:rPr>
      </w:r>
      <w:r>
        <w:rPr>
          <w:spacing w:val="-2"/>
        </w:rPr>
        <w:t>明确，到</w:t>
      </w:r>
      <w:r>
        <w:rPr>
          <w:rFonts w:ascii="宋体" w:hAnsi="宋体" w:cs="宋体" w:eastAsia="宋体" w:hint="default"/>
          <w:spacing w:val="-2"/>
        </w:rPr>
        <w:t>2020</w:t>
      </w:r>
      <w:r>
        <w:rPr>
          <w:spacing w:val="-2"/>
        </w:rPr>
        <w:t>年，力争实现企业上云环境进一步优化，行业企业上云意识和积极性明显提高，</w:t>
      </w:r>
      <w:r>
        <w:rPr>
          <w:spacing w:val="-118"/>
        </w:rPr>
        <w:t> </w:t>
      </w:r>
      <w:r>
        <w:rPr>
          <w:spacing w:val="-118"/>
        </w:rPr>
      </w:r>
      <w:r>
        <w:rPr/>
        <w:t>上云比例和应用深度显著提升，云计算在企业生产、经营、管理中的应用广泛普及，全国新</w:t>
      </w:r>
      <w:r>
        <w:rPr>
          <w:spacing w:val="-91"/>
        </w:rPr>
        <w:t> </w:t>
      </w:r>
      <w:r>
        <w:rPr>
          <w:spacing w:val="-91"/>
        </w:rPr>
      </w:r>
      <w:r>
        <w:rPr/>
        <w:t>增上云企业</w:t>
      </w:r>
      <w:r>
        <w:rPr>
          <w:rFonts w:ascii="宋体" w:hAnsi="宋体" w:cs="宋体" w:eastAsia="宋体" w:hint="default"/>
        </w:rPr>
        <w:t>100</w:t>
      </w:r>
      <w:r>
        <w:rPr/>
        <w:t>万家，形成典型标杆应用案例</w:t>
      </w:r>
      <w:r>
        <w:rPr>
          <w:rFonts w:ascii="宋体" w:hAnsi="宋体" w:cs="宋体" w:eastAsia="宋体" w:hint="default"/>
        </w:rPr>
        <w:t>100</w:t>
      </w:r>
      <w:r>
        <w:rPr/>
        <w:t>个以上，形成一批有影响力、带动力的云平</w:t>
      </w:r>
      <w:r>
        <w:rPr>
          <w:spacing w:val="-87"/>
        </w:rPr>
        <w:t> </w:t>
      </w:r>
      <w:r>
        <w:rPr>
          <w:spacing w:val="-87"/>
        </w:rPr>
      </w:r>
      <w:r>
        <w:rPr>
          <w:spacing w:val="-2"/>
        </w:rPr>
        <w:t>台和企业上云体验中心。为了抓住产业机遇，全国</w:t>
      </w:r>
      <w:r>
        <w:rPr>
          <w:rFonts w:ascii="宋体" w:hAnsi="宋体" w:cs="宋体" w:eastAsia="宋体" w:hint="default"/>
          <w:spacing w:val="-2"/>
        </w:rPr>
        <w:t>31</w:t>
      </w:r>
      <w:r>
        <w:rPr>
          <w:spacing w:val="-2"/>
        </w:rPr>
        <w:t>省市陆续出台相关政策，据不完全统计，</w:t>
      </w:r>
      <w:r>
        <w:rPr>
          <w:spacing w:val="-118"/>
        </w:rPr>
        <w:t> </w:t>
      </w:r>
      <w:r>
        <w:rPr>
          <w:spacing w:val="-118"/>
        </w:rPr>
      </w:r>
      <w:r>
        <w:rPr/>
        <w:t>各地出台大数据相关政策共计</w:t>
      </w:r>
      <w:r>
        <w:rPr>
          <w:rFonts w:ascii="宋体" w:hAnsi="宋体" w:cs="宋体" w:eastAsia="宋体" w:hint="default"/>
        </w:rPr>
        <w:t>160</w:t>
      </w:r>
      <w:r>
        <w:rPr/>
        <w:t>条。充分说明了各地政府在大数据产业布局方面的重视。</w:t>
      </w:r>
    </w:p>
    <w:p>
      <w:pPr>
        <w:pStyle w:val="Heading5"/>
        <w:spacing w:line="237" w:lineRule="auto" w:before="42"/>
        <w:ind w:right="1133" w:firstLine="480"/>
        <w:jc w:val="both"/>
      </w:pPr>
      <w:r>
        <w:rPr/>
        <w:t>作为公司创新引擎之一，大数据智能创新中心不断加强人才队伍建设和研发投入，立足 专业积极探索大数据赋能业务的信息化整体解决方案，用数据作为重要生产要素带动业务提</w:t>
      </w:r>
      <w:r>
        <w:rPr>
          <w:spacing w:val="-91"/>
        </w:rPr>
        <w:t> </w:t>
      </w:r>
      <w:r>
        <w:rPr>
          <w:spacing w:val="-91"/>
        </w:rPr>
      </w:r>
      <w:r>
        <w:rPr/>
        <w:t>速，为业务增能提供全程保障，为政府及企业决策提供科学依据。加快研发“信发数”数据</w:t>
      </w:r>
      <w:r>
        <w:rPr>
          <w:spacing w:val="-86"/>
        </w:rPr>
        <w:t> </w:t>
      </w:r>
      <w:r>
        <w:rPr>
          <w:spacing w:val="-86"/>
        </w:rPr>
      </w:r>
      <w:r>
        <w:rPr/>
        <w:t>赋能平台，涵盖数据共享交换子系统、数据质量管理、数据治理、数据分析等子系统，为数</w:t>
      </w:r>
      <w:r>
        <w:rPr>
          <w:spacing w:val="-87"/>
        </w:rPr>
        <w:t> </w:t>
      </w:r>
      <w:r>
        <w:rPr>
          <w:spacing w:val="-87"/>
        </w:rPr>
      </w:r>
      <w:r>
        <w:rPr/>
        <w:t>据管理和运营服务提供基础性工具。</w:t>
      </w:r>
    </w:p>
    <w:p>
      <w:pPr>
        <w:pStyle w:val="Heading5"/>
        <w:spacing w:line="312" w:lineRule="exact" w:before="69"/>
        <w:ind w:right="1126" w:firstLine="480"/>
        <w:jc w:val="both"/>
      </w:pPr>
      <w:r>
        <w:rPr/>
        <w:t>大数据智能创新中心明确自身定位：一、建立数据分析和算法能力，面向政府和企业用 户，开拓数据运营服务；二、赋能公司事业群开展大数据业务；三、研发和推广大数据领域</w:t>
      </w:r>
      <w:r>
        <w:rPr>
          <w:spacing w:val="-91"/>
        </w:rPr>
        <w:t> </w:t>
      </w:r>
      <w:r>
        <w:rPr>
          <w:spacing w:val="-91"/>
        </w:rPr>
      </w:r>
      <w:r>
        <w:rPr/>
        <w:t>应用和工具；四、以大数据创新生态应用为切入，孵化新领域新行业。得益于公司长期的技</w:t>
      </w:r>
      <w:r>
        <w:rPr>
          <w:spacing w:val="-91"/>
        </w:rPr>
        <w:t> </w:t>
      </w:r>
      <w:r>
        <w:rPr>
          <w:spacing w:val="-91"/>
        </w:rPr>
      </w:r>
      <w:r>
        <w:rPr>
          <w:spacing w:val="-2"/>
        </w:rPr>
        <w:t>术投入，报告期内，公司承建的“上海一网通办系统”</w:t>
      </w:r>
      <w:r>
        <w:rPr>
          <w:rFonts w:ascii="宋体" w:hAnsi="宋体" w:cs="宋体" w:eastAsia="宋体" w:hint="default"/>
          <w:spacing w:val="-2"/>
        </w:rPr>
        <w:t>-</w:t>
      </w:r>
      <w:r>
        <w:rPr>
          <w:spacing w:val="-2"/>
        </w:rPr>
        <w:t>上海市数据共享交换平台数据质量监</w:t>
      </w:r>
      <w:r>
        <w:rPr/>
        <w:t> 管及支撑子系统顺利通过验收，并持续为上海市公共数据提供数据质量管理运营服务；成功</w:t>
      </w:r>
      <w:r>
        <w:rPr>
          <w:spacing w:val="-91"/>
        </w:rPr>
        <w:t> </w:t>
      </w:r>
      <w:r>
        <w:rPr>
          <w:spacing w:val="-91"/>
        </w:rPr>
      </w:r>
      <w:r>
        <w:rPr/>
        <w:t>中标上海科技创新资源数据中心基础云平台建设，并顺利完成项目验收；承建上海农业数据</w:t>
      </w:r>
      <w:r>
        <w:rPr>
          <w:spacing w:val="-88"/>
        </w:rPr>
        <w:t> </w:t>
      </w:r>
      <w:r>
        <w:rPr>
          <w:spacing w:val="-88"/>
        </w:rPr>
      </w:r>
      <w:r>
        <w:rPr>
          <w:spacing w:val="-2"/>
        </w:rPr>
        <w:t>资源库数据治理及应用系统建设，承建上港集团下属上海海勃物流软件有限公司</w:t>
      </w:r>
      <w:r>
        <w:rPr>
          <w:rFonts w:ascii="宋体" w:hAnsi="宋体" w:cs="宋体" w:eastAsia="宋体" w:hint="default"/>
          <w:spacing w:val="-2"/>
        </w:rPr>
        <w:t>-</w:t>
      </w:r>
      <w:r>
        <w:rPr>
          <w:spacing w:val="-2"/>
        </w:rPr>
        <w:t>数据分析技</w:t>
      </w:r>
      <w:r>
        <w:rPr>
          <w:spacing w:val="-118"/>
        </w:rPr>
        <w:t> </w:t>
      </w:r>
      <w:r>
        <w:rPr>
          <w:spacing w:val="-2"/>
        </w:rPr>
        <w:t>术平台系统项目。同时，大数据智能创新中心全力赋能公司三大事业群，形成“大数据</w:t>
      </w:r>
      <w:r>
        <w:rPr>
          <w:rFonts w:ascii="宋体" w:hAnsi="宋体" w:cs="宋体" w:eastAsia="宋体" w:hint="default"/>
          <w:spacing w:val="-2"/>
        </w:rPr>
        <w:t>+</w:t>
      </w:r>
      <w:r>
        <w:rPr>
          <w:spacing w:val="-2"/>
        </w:rPr>
        <w:t>三大</w:t>
      </w:r>
      <w:r>
        <w:rPr/>
      </w:r>
    </w:p>
    <w:p>
      <w:pPr>
        <w:spacing w:after="0" w:line="312"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996"/>
        <w:jc w:val="left"/>
      </w:pPr>
      <w:r>
        <w:rPr>
          <w:spacing w:val="-2"/>
        </w:rPr>
        <w:t>行业”联合解决方案，积极打造标杆案例，积极赋能上海市浦东档案局、高淳市监狱管理局、</w:t>
      </w:r>
      <w:r>
        <w:rPr/>
        <w:t> 广州市商务委、上海市妇女联合会、上海市机关事务管理局等客户的大数据应用项目。除此</w:t>
      </w:r>
      <w:r>
        <w:rPr>
          <w:spacing w:val="-91"/>
        </w:rPr>
        <w:t> </w:t>
      </w:r>
      <w:r>
        <w:rPr>
          <w:spacing w:val="-91"/>
        </w:rPr>
      </w:r>
      <w:r>
        <w:rPr/>
        <w:t>之外，通过各大标杆项目逐步形成标准化的解决方案，包括大数据治理服务综合解决方案、</w:t>
      </w:r>
      <w:r>
        <w:rPr>
          <w:spacing w:val="-91"/>
        </w:rPr>
        <w:t> </w:t>
      </w:r>
      <w:r>
        <w:rPr>
          <w:spacing w:val="-91"/>
        </w:rPr>
      </w:r>
      <w:r>
        <w:rPr/>
        <w:t>主体特征挖掘研判分析解决方案、智慧党建云平台解决方案、监控大数据综合解决方案、国</w:t>
      </w:r>
      <w:r>
        <w:rPr>
          <w:spacing w:val="-86"/>
        </w:rPr>
        <w:t> </w:t>
      </w:r>
      <w:r>
        <w:rPr>
          <w:spacing w:val="-86"/>
        </w:rPr>
      </w:r>
      <w:r>
        <w:rPr/>
        <w:t>产化协同办公安全集成解决方案等一系列聚焦行业的创新应用。构建大数据</w:t>
      </w:r>
      <w:r>
        <w:rPr>
          <w:rFonts w:ascii="宋体" w:hAnsi="宋体" w:cs="宋体" w:eastAsia="宋体" w:hint="default"/>
        </w:rPr>
        <w:t>+</w:t>
      </w:r>
      <w:r>
        <w:rPr/>
        <w:t>智慧服务</w:t>
      </w:r>
      <w:r>
        <w:rPr>
          <w:rFonts w:ascii="宋体" w:hAnsi="宋体" w:cs="宋体" w:eastAsia="宋体" w:hint="default"/>
        </w:rPr>
        <w:t>+</w:t>
      </w:r>
      <w:r>
        <w:rPr/>
        <w:t>创新</w:t>
      </w:r>
      <w:r>
        <w:rPr>
          <w:spacing w:val="-86"/>
        </w:rPr>
        <w:t> </w:t>
      </w:r>
      <w:r>
        <w:rPr/>
        <w:t>监管的全新模式。</w:t>
      </w:r>
    </w:p>
    <w:p>
      <w:pPr>
        <w:spacing w:line="240" w:lineRule="auto" w:before="13"/>
        <w:rPr>
          <w:rFonts w:ascii="宋体" w:hAnsi="宋体" w:cs="宋体" w:eastAsia="宋体" w:hint="default"/>
          <w:sz w:val="22"/>
          <w:szCs w:val="22"/>
        </w:rPr>
      </w:pPr>
    </w:p>
    <w:p>
      <w:pPr>
        <w:pStyle w:val="Heading4"/>
        <w:spacing w:line="240" w:lineRule="auto"/>
        <w:ind w:right="1133"/>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1"/>
        <w:gridCol w:w="6519"/>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报告期末较期初增长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281.21%</w:t>
            </w:r>
            <w:r>
              <w:rPr>
                <w:rFonts w:ascii="宋体" w:hAnsi="宋体" w:cs="宋体" w:eastAsia="宋体" w:hint="default"/>
                <w:sz w:val="18"/>
                <w:szCs w:val="18"/>
              </w:rPr>
              <w:t>，主要系在建项目材料采购的预付款增加</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报告期末较期初增长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122.80%</w:t>
            </w:r>
            <w:r>
              <w:rPr>
                <w:rFonts w:ascii="宋体" w:hAnsi="宋体" w:cs="宋体" w:eastAsia="宋体" w:hint="default"/>
                <w:sz w:val="18"/>
                <w:szCs w:val="18"/>
              </w:rPr>
              <w:t>，主要系出售子公司应收股利款所致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报告期末较期初下降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48.84%</w:t>
            </w:r>
            <w:r>
              <w:rPr>
                <w:rFonts w:ascii="宋体" w:hAnsi="宋体" w:cs="宋体" w:eastAsia="宋体" w:hint="default"/>
                <w:sz w:val="18"/>
                <w:szCs w:val="18"/>
              </w:rPr>
              <w:t>，主要系本期采用延续分期收款的应收款项</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报告期末较期初下降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49.83%</w:t>
            </w:r>
            <w:r>
              <w:rPr>
                <w:rFonts w:ascii="宋体" w:hAnsi="宋体" w:cs="宋体" w:eastAsia="宋体" w:hint="default"/>
                <w:sz w:val="18"/>
                <w:szCs w:val="18"/>
              </w:rPr>
              <w:t>，主要系项目建设投入成本增加所致</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2"/>
        <w:rPr>
          <w:rFonts w:ascii="宋体" w:hAnsi="宋体" w:cs="宋体" w:eastAsia="宋体" w:hint="default"/>
          <w:b/>
          <w:bCs/>
          <w:sz w:val="25"/>
          <w:szCs w:val="25"/>
        </w:rPr>
      </w:pPr>
    </w:p>
    <w:p>
      <w:pPr>
        <w:pStyle w:val="Heading5"/>
        <w:spacing w:line="312" w:lineRule="exact"/>
        <w:ind w:left="593" w:right="1153" w:firstLine="2"/>
        <w:jc w:val="left"/>
      </w:pPr>
      <w:r>
        <w:rPr>
          <w:rFonts w:ascii="宋体" w:hAnsi="宋体" w:cs="宋体" w:eastAsia="宋体" w:hint="default"/>
          <w:b/>
          <w:bCs/>
        </w:rPr>
        <w:t>（一）技术优势</w:t>
      </w:r>
      <w:r>
        <w:rPr>
          <w:rFonts w:ascii="宋体" w:hAnsi="宋体" w:cs="宋体" w:eastAsia="宋体" w:hint="default"/>
          <w:b/>
          <w:bCs/>
          <w:w w:val="99"/>
        </w:rPr>
        <w:t> </w:t>
      </w:r>
      <w:r>
        <w:rPr/>
        <w:t>公司逐年加大科研经费的投入，致力于在科技创新的前沿领域寻求突破，取得了丰硕的</w:t>
      </w:r>
    </w:p>
    <w:p>
      <w:pPr>
        <w:pStyle w:val="Heading5"/>
        <w:spacing w:line="312" w:lineRule="exact"/>
        <w:ind w:left="593" w:right="1129" w:hanging="481"/>
        <w:jc w:val="left"/>
      </w:pPr>
      <w:r>
        <w:rPr/>
        <w:t>成果。公司具有如下技术优势： </w:t>
      </w:r>
      <w:r>
        <w:rPr>
          <w:rFonts w:ascii="宋体" w:hAnsi="宋体" w:cs="宋体" w:eastAsia="宋体" w:hint="default"/>
          <w:spacing w:val="-3"/>
        </w:rPr>
        <w:t>1</w:t>
      </w:r>
      <w:r>
        <w:rPr>
          <w:spacing w:val="-3"/>
        </w:rPr>
        <w:t>、公司设立了专职从事科技创新研发的机构——信息发展研究院。研究院负责设计与开</w:t>
      </w:r>
    </w:p>
    <w:p>
      <w:pPr>
        <w:pStyle w:val="Heading5"/>
        <w:spacing w:line="283" w:lineRule="exact"/>
        <w:ind w:right="1133"/>
        <w:jc w:val="left"/>
      </w:pPr>
      <w:r>
        <w:rPr/>
        <w:t>发公司有关的新理念、新技术、新产品，以市场为导向，以技术进步为手段，以人才培养为</w:t>
      </w:r>
    </w:p>
    <w:p>
      <w:pPr>
        <w:pStyle w:val="Heading5"/>
        <w:spacing w:line="312" w:lineRule="exact" w:before="30"/>
        <w:ind w:right="1154"/>
        <w:jc w:val="left"/>
      </w:pPr>
      <w:r>
        <w:rPr/>
        <w:t>根本，加快技术创新体系建设，大力实施高新技术产业化，努力提升企业核心竞争力。研究 院下设基础研究分院和行业研究分院，并在多地设有研发分中心。</w:t>
      </w:r>
    </w:p>
    <w:p>
      <w:pPr>
        <w:pStyle w:val="Heading5"/>
        <w:spacing w:line="312" w:lineRule="exact"/>
        <w:ind w:right="996" w:firstLine="480"/>
        <w:jc w:val="left"/>
      </w:pPr>
      <w:r>
        <w:rPr>
          <w:rFonts w:ascii="宋体" w:hAnsi="宋体" w:cs="宋体" w:eastAsia="宋体" w:hint="default"/>
        </w:rPr>
        <w:t>2</w:t>
      </w:r>
      <w:r>
        <w:rPr/>
        <w:t>、报告期内，公司成功获批国家发展改革委</w:t>
      </w:r>
      <w:r>
        <w:rPr>
          <w:rFonts w:ascii="宋体" w:hAnsi="宋体" w:cs="宋体" w:eastAsia="宋体" w:hint="default"/>
        </w:rPr>
        <w:t>2019</w:t>
      </w:r>
      <w:r>
        <w:rPr/>
        <w:t>年（第</w:t>
      </w:r>
      <w:r>
        <w:rPr>
          <w:rFonts w:ascii="宋体" w:hAnsi="宋体" w:cs="宋体" w:eastAsia="宋体" w:hint="default"/>
        </w:rPr>
        <w:t>26</w:t>
      </w:r>
      <w:r>
        <w:rPr/>
        <w:t>批）国家企业技术中心认定。 国家鼓励和支持企业建立技术中心，发挥企业在技术创新中的主体作用，建立健全企业主导 产业技术研发创新的体制机制。国家根据创新驱动发展要求和经济结构调整需要，对创新能 </w:t>
      </w:r>
      <w:r>
        <w:rPr>
          <w:spacing w:val="-2"/>
        </w:rPr>
        <w:t>力强、创新机制好、引领示范作用大、符合条件的企业技术中心予以认定，并给予政策支持，</w:t>
      </w:r>
      <w:r>
        <w:rPr/>
        <w:t> 鼓励引导行业骨干企业带动产业技术进步和创新能力提高。公司成功获批国家企业技术中心 是政府管理部门对公司科技创新实力的最好肯定。</w:t>
      </w:r>
    </w:p>
    <w:p>
      <w:pPr>
        <w:pStyle w:val="Heading5"/>
        <w:spacing w:line="283" w:lineRule="exact"/>
        <w:ind w:left="593" w:right="986"/>
        <w:jc w:val="left"/>
      </w:pPr>
      <w:r>
        <w:rPr>
          <w:rFonts w:ascii="宋体" w:hAnsi="宋体" w:cs="宋体" w:eastAsia="宋体" w:hint="default"/>
        </w:rPr>
        <w:t>3</w:t>
      </w:r>
      <w:r>
        <w:rPr/>
        <w:t>、报告期内，公司继</w:t>
      </w:r>
      <w:r>
        <w:rPr>
          <w:rFonts w:ascii="宋体" w:hAnsi="宋体" w:cs="宋体" w:eastAsia="宋体" w:hint="default"/>
        </w:rPr>
        <w:t>2016</w:t>
      </w:r>
      <w:r>
        <w:rPr/>
        <w:t>年首次获得工信部国家技术创新示范企业认定之后再次成功通</w:t>
      </w:r>
    </w:p>
    <w:p>
      <w:pPr>
        <w:spacing w:after="0" w:line="283"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1171"/>
        <w:jc w:val="both"/>
      </w:pPr>
      <w:r>
        <w:rPr/>
        <w:t>过国家技术创新示范企业复审。国家技术创新示范企业考核从创新投入、人才激励、创新合 作、创新队伍建设、创新条件建设、技术积累储备、技术创新产出、技术创新效益等方面对 企业进行全面系统的评价。通过国家技术创新示范企业复审再一次体现了公司在科技创新各 个方面的综合实力。</w:t>
      </w:r>
    </w:p>
    <w:p>
      <w:pPr>
        <w:pStyle w:val="Heading5"/>
        <w:spacing w:line="312" w:lineRule="exact" w:before="29"/>
        <w:ind w:right="996" w:firstLine="480"/>
        <w:jc w:val="left"/>
      </w:pPr>
      <w:r>
        <w:rPr>
          <w:rFonts w:ascii="宋体" w:hAnsi="宋体" w:cs="宋体" w:eastAsia="宋体" w:hint="default"/>
          <w:spacing w:val="-3"/>
        </w:rPr>
        <w:t>4</w:t>
      </w:r>
      <w:r>
        <w:rPr>
          <w:spacing w:val="-3"/>
        </w:rPr>
        <w:t>、报告期内，公司申报的“上海市食品供应链区块链工程技术研究中心”获得上海市科</w:t>
      </w:r>
      <w:r>
        <w:rPr/>
        <w:t> 委工程技术研究中心管理部门正式立项。该中心针对食品供应链大数据应用、区块链技术应 用发展需求，围绕大数据及区块链共性关键技术问题，开展工程化研究与开发。通过实施食 </w:t>
      </w:r>
      <w:r>
        <w:rPr>
          <w:spacing w:val="-2"/>
        </w:rPr>
        <w:t>品供应链领域大数据技术及区块链技术创新成果转化及应用示范、实行对外开放服务与协作、</w:t>
      </w:r>
      <w:r>
        <w:rPr/>
        <w:t> 培养聚集高层次食品供应链、大数据及区块链工程技术人才，打造大数据及区块链技术的供 给源头、成果转化与转移的创新基地，推动企业科技进步，引领食品供应链区块链体系创新 驱动发展。</w:t>
      </w:r>
    </w:p>
    <w:p>
      <w:pPr>
        <w:pStyle w:val="Heading5"/>
        <w:spacing w:line="283" w:lineRule="exact"/>
        <w:ind w:left="593" w:right="1129"/>
        <w:jc w:val="left"/>
      </w:pPr>
      <w:r>
        <w:rPr>
          <w:rFonts w:ascii="宋体" w:hAnsi="宋体" w:cs="宋体" w:eastAsia="宋体" w:hint="default"/>
          <w:spacing w:val="-3"/>
        </w:rPr>
        <w:t>5</w:t>
      </w:r>
      <w:r>
        <w:rPr>
          <w:spacing w:val="-3"/>
        </w:rPr>
        <w:t>、报告期内，公司参与国家标准、行业标准和地方标准制定工作取得丰硕成果，共有公</w:t>
      </w:r>
    </w:p>
    <w:p>
      <w:pPr>
        <w:pStyle w:val="Heading5"/>
        <w:spacing w:line="312" w:lineRule="exact" w:before="30"/>
        <w:ind w:right="1170"/>
        <w:jc w:val="both"/>
      </w:pPr>
      <w:r>
        <w:rPr/>
        <w:t>司参与制定的</w:t>
      </w:r>
      <w:r>
        <w:rPr>
          <w:rFonts w:ascii="宋体" w:hAnsi="宋体" w:cs="宋体" w:eastAsia="宋体" w:hint="default"/>
        </w:rPr>
        <w:t>6</w:t>
      </w:r>
      <w:r>
        <w:rPr/>
        <w:t>项国家标准、</w:t>
      </w:r>
      <w:r>
        <w:rPr>
          <w:rFonts w:ascii="宋体" w:hAnsi="宋体" w:cs="宋体" w:eastAsia="宋体" w:hint="default"/>
        </w:rPr>
        <w:t>1</w:t>
      </w:r>
      <w:r>
        <w:rPr/>
        <w:t>项行业标准和</w:t>
      </w:r>
      <w:r>
        <w:rPr>
          <w:rFonts w:ascii="宋体" w:hAnsi="宋体" w:cs="宋体" w:eastAsia="宋体" w:hint="default"/>
        </w:rPr>
        <w:t>2</w:t>
      </w:r>
      <w:r>
        <w:rPr/>
        <w:t>项地方标准正式发布。其中《重要产品追溯</w:t>
      </w:r>
      <w:r>
        <w:rPr>
          <w:spacing w:val="-59"/>
        </w:rPr>
        <w:t> </w:t>
      </w:r>
      <w:r>
        <w:rPr/>
        <w:t>产</w:t>
      </w:r>
      <w:r>
        <w:rPr/>
        <w:t> </w:t>
      </w:r>
      <w:r>
        <w:rPr>
          <w:spacing w:val="-8"/>
        </w:rPr>
        <w:t>品追溯系统基本要求》（</w:t>
      </w:r>
      <w:r>
        <w:rPr>
          <w:rFonts w:ascii="宋体" w:hAnsi="宋体" w:cs="宋体" w:eastAsia="宋体" w:hint="default"/>
          <w:spacing w:val="-8"/>
        </w:rPr>
        <w:t>GB/T</w:t>
      </w:r>
      <w:r>
        <w:rPr>
          <w:rFonts w:ascii="宋体" w:hAnsi="宋体" w:cs="宋体" w:eastAsia="宋体" w:hint="default"/>
        </w:rPr>
        <w:t> 38158-2019</w:t>
      </w:r>
      <w:r>
        <w:rPr/>
        <w:t>）公司为第一署名单位。截止报告期末，公司共参 与制定正式发布的国家标准</w:t>
      </w:r>
      <w:r>
        <w:rPr>
          <w:rFonts w:ascii="宋体" w:hAnsi="宋体" w:cs="宋体" w:eastAsia="宋体" w:hint="default"/>
        </w:rPr>
        <w:t>7</w:t>
      </w:r>
      <w:r>
        <w:rPr/>
        <w:t>项，行业标准</w:t>
      </w:r>
      <w:r>
        <w:rPr>
          <w:rFonts w:ascii="宋体" w:hAnsi="宋体" w:cs="宋体" w:eastAsia="宋体" w:hint="default"/>
        </w:rPr>
        <w:t>4</w:t>
      </w:r>
      <w:r>
        <w:rPr/>
        <w:t>项，地方标准</w:t>
      </w:r>
      <w:r>
        <w:rPr>
          <w:rFonts w:ascii="宋体" w:hAnsi="宋体" w:cs="宋体" w:eastAsia="宋体" w:hint="default"/>
        </w:rPr>
        <w:t>10</w:t>
      </w:r>
      <w:r>
        <w:rPr/>
        <w:t>项。</w:t>
      </w:r>
    </w:p>
    <w:p>
      <w:pPr>
        <w:pStyle w:val="Heading5"/>
        <w:spacing w:line="312" w:lineRule="exact"/>
        <w:ind w:right="1037" w:firstLine="480"/>
        <w:jc w:val="left"/>
      </w:pPr>
      <w:r>
        <w:rPr>
          <w:rFonts w:ascii="宋体" w:hAnsi="宋体" w:cs="宋体" w:eastAsia="宋体" w:hint="default"/>
          <w:spacing w:val="-3"/>
        </w:rPr>
        <w:t>6</w:t>
      </w:r>
      <w:r>
        <w:rPr>
          <w:spacing w:val="-3"/>
        </w:rPr>
        <w:t>、报告期内，公司共申请并获得受理发明专利</w:t>
      </w:r>
      <w:r>
        <w:rPr>
          <w:rFonts w:ascii="宋体" w:hAnsi="宋体" w:cs="宋体" w:eastAsia="宋体" w:hint="default"/>
          <w:spacing w:val="-3"/>
        </w:rPr>
        <w:t>20</w:t>
      </w:r>
      <w:r>
        <w:rPr>
          <w:spacing w:val="-3"/>
        </w:rPr>
        <w:t>项目（其中区块链相关发明专利</w:t>
      </w:r>
      <w:r>
        <w:rPr>
          <w:rFonts w:ascii="宋体" w:hAnsi="宋体" w:cs="宋体" w:eastAsia="宋体" w:hint="default"/>
          <w:spacing w:val="-3"/>
        </w:rPr>
        <w:t>7</w:t>
      </w:r>
      <w:r>
        <w:rPr>
          <w:spacing w:val="-3"/>
        </w:rPr>
        <w:t>项），</w:t>
      </w:r>
      <w:r>
        <w:rPr/>
        <w:t> </w:t>
      </w:r>
      <w:r>
        <w:rPr>
          <w:spacing w:val="-2"/>
        </w:rPr>
        <w:t>另有一项实用新型专利和两项外观设计专利；共申请计算机软件著作权</w:t>
      </w:r>
      <w:r>
        <w:rPr>
          <w:rFonts w:ascii="宋体" w:hAnsi="宋体" w:cs="宋体" w:eastAsia="宋体" w:hint="default"/>
          <w:spacing w:val="-2"/>
        </w:rPr>
        <w:t>104</w:t>
      </w:r>
      <w:r>
        <w:rPr>
          <w:spacing w:val="-2"/>
        </w:rPr>
        <w:t>项，申报软件产品</w:t>
      </w:r>
      <w:r>
        <w:rPr>
          <w:spacing w:val="-117"/>
        </w:rPr>
        <w:t> </w:t>
      </w:r>
      <w:r>
        <w:rPr>
          <w:spacing w:val="-117"/>
        </w:rPr>
      </w:r>
      <w:r>
        <w:rPr/>
        <w:t>登记证书</w:t>
      </w:r>
      <w:r>
        <w:rPr>
          <w:rFonts w:ascii="宋体" w:hAnsi="宋体" w:cs="宋体" w:eastAsia="宋体" w:hint="default"/>
        </w:rPr>
        <w:t>52</w:t>
      </w:r>
      <w:r>
        <w:rPr/>
        <w:t>项。</w:t>
      </w:r>
    </w:p>
    <w:p>
      <w:pPr>
        <w:spacing w:line="240" w:lineRule="auto" w:before="6"/>
        <w:rPr>
          <w:rFonts w:ascii="宋体" w:hAnsi="宋体" w:cs="宋体" w:eastAsia="宋体" w:hint="default"/>
          <w:sz w:val="21"/>
          <w:szCs w:val="21"/>
        </w:rPr>
      </w:pPr>
    </w:p>
    <w:p>
      <w:pPr>
        <w:pStyle w:val="Heading4"/>
        <w:spacing w:line="313" w:lineRule="exact"/>
        <w:ind w:left="595" w:right="1133"/>
        <w:jc w:val="left"/>
        <w:rPr>
          <w:b w:val="0"/>
          <w:bCs w:val="0"/>
        </w:rPr>
      </w:pPr>
      <w:r>
        <w:rPr/>
        <w:t>（二）品牌优势</w:t>
      </w:r>
      <w:r>
        <w:rPr>
          <w:b w:val="0"/>
          <w:bCs w:val="0"/>
        </w:rPr>
      </w:r>
    </w:p>
    <w:p>
      <w:pPr>
        <w:pStyle w:val="Heading5"/>
        <w:spacing w:line="312" w:lineRule="exact" w:before="29"/>
        <w:ind w:right="1118" w:firstLine="480"/>
        <w:jc w:val="left"/>
      </w:pPr>
      <w:r>
        <w:rPr>
          <w:spacing w:val="-5"/>
        </w:rPr>
        <w:t>报告期内，以我司为第一署名人的国家产品追溯行业标准</w:t>
      </w:r>
      <w:r>
        <w:rPr>
          <w:rFonts w:ascii="宋体" w:hAnsi="宋体" w:cs="宋体" w:eastAsia="宋体" w:hint="default"/>
          <w:spacing w:val="-5"/>
        </w:rPr>
        <w:t>GB/T58-2019</w:t>
      </w:r>
      <w:r>
        <w:rPr>
          <w:spacing w:val="-5"/>
        </w:rPr>
        <w:t>《重要产品追溯</w:t>
      </w:r>
      <w:r>
        <w:rPr>
          <w:spacing w:val="11"/>
        </w:rPr>
        <w:t> </w:t>
      </w:r>
      <w:r>
        <w:rPr/>
        <w:t>产 </w:t>
      </w:r>
      <w:r>
        <w:rPr>
          <w:spacing w:val="-2"/>
        </w:rPr>
        <w:t>品追溯系统基本要求》正式发布，并于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月正式实施。另参与起草了</w:t>
      </w:r>
      <w:r>
        <w:rPr>
          <w:rFonts w:ascii="宋体" w:hAnsi="宋体" w:cs="宋体" w:eastAsia="宋体" w:hint="default"/>
          <w:spacing w:val="-2"/>
        </w:rPr>
        <w:t>5</w:t>
      </w:r>
      <w:r>
        <w:rPr>
          <w:spacing w:val="-2"/>
        </w:rPr>
        <w:t>项追溯行业标准</w:t>
      </w:r>
    </w:p>
    <w:p>
      <w:pPr>
        <w:pStyle w:val="Heading5"/>
        <w:spacing w:line="312" w:lineRule="exact"/>
        <w:ind w:right="1128"/>
        <w:jc w:val="both"/>
      </w:pPr>
      <w:r>
        <w:rPr/>
        <w:t>《重要产品追溯 </w:t>
      </w:r>
      <w:r>
        <w:rPr>
          <w:spacing w:val="-22"/>
        </w:rPr>
        <w:t>追溯术语》、《重要产品追溯</w:t>
      </w:r>
      <w:r>
        <w:rPr/>
        <w:t> </w:t>
      </w:r>
      <w:r>
        <w:rPr>
          <w:spacing w:val="-17"/>
        </w:rPr>
        <w:t>交易记录总体要求》、《重要产品追溯</w:t>
      </w:r>
      <w:r>
        <w:rPr>
          <w:spacing w:val="13"/>
        </w:rPr>
        <w:t> </w:t>
      </w:r>
      <w:r>
        <w:rPr/>
        <w:t>核心元数</w:t>
      </w:r>
      <w:r>
        <w:rPr/>
        <w:t> </w:t>
      </w:r>
      <w:r>
        <w:rPr>
          <w:spacing w:val="-27"/>
        </w:rPr>
        <w:t>据》、《重要产品追溯</w:t>
      </w:r>
      <w:r>
        <w:rPr/>
        <w:t> </w:t>
      </w:r>
      <w:r>
        <w:rPr>
          <w:spacing w:val="-16"/>
        </w:rPr>
        <w:t>追溯体系通用要求》、《重要产品追溯</w:t>
      </w:r>
      <w:r>
        <w:rPr/>
        <w:t> 追溯管理平台建设规范》</w:t>
      </w:r>
      <w:r>
        <w:rPr>
          <w:spacing w:val="2"/>
        </w:rPr>
        <w:t> </w:t>
      </w:r>
      <w:r>
        <w:rPr>
          <w:spacing w:val="-7"/>
        </w:rPr>
        <w:t>。截止</w:t>
      </w:r>
      <w:r>
        <w:rPr/>
        <w:t> 报告期末，公司共参与制定正式发布的国家标准</w:t>
      </w:r>
      <w:r>
        <w:rPr>
          <w:rFonts w:ascii="宋体" w:hAnsi="宋体" w:cs="宋体" w:eastAsia="宋体" w:hint="default"/>
        </w:rPr>
        <w:t>1</w:t>
      </w:r>
      <w:r>
        <w:rPr/>
        <w:t>项，行业标准</w:t>
      </w:r>
      <w:r>
        <w:rPr>
          <w:rFonts w:ascii="宋体" w:hAnsi="宋体" w:cs="宋体" w:eastAsia="宋体" w:hint="default"/>
        </w:rPr>
        <w:t>9</w:t>
      </w:r>
      <w:r>
        <w:rPr/>
        <w:t>项，地方标准</w:t>
      </w:r>
      <w:r>
        <w:rPr>
          <w:rFonts w:ascii="宋体" w:hAnsi="宋体" w:cs="宋体" w:eastAsia="宋体" w:hint="default"/>
        </w:rPr>
        <w:t>9</w:t>
      </w:r>
      <w:r>
        <w:rPr/>
        <w:t>项。</w:t>
      </w:r>
    </w:p>
    <w:p>
      <w:pPr>
        <w:spacing w:line="240" w:lineRule="auto" w:before="11"/>
        <w:rPr>
          <w:rFonts w:ascii="宋体" w:hAnsi="宋体" w:cs="宋体" w:eastAsia="宋体" w:hint="default"/>
          <w:sz w:val="23"/>
          <w:szCs w:val="23"/>
        </w:rPr>
      </w:pPr>
    </w:p>
    <w:p>
      <w:pPr>
        <w:pStyle w:val="Heading5"/>
        <w:spacing w:line="312" w:lineRule="exact"/>
        <w:ind w:left="593" w:right="1153" w:firstLine="2"/>
        <w:jc w:val="left"/>
      </w:pPr>
      <w:r>
        <w:rPr>
          <w:rFonts w:ascii="宋体" w:hAnsi="宋体" w:cs="宋体" w:eastAsia="宋体" w:hint="default"/>
          <w:b/>
          <w:bCs/>
        </w:rPr>
        <w:t>（三）人才优势</w:t>
      </w:r>
      <w:r>
        <w:rPr>
          <w:rFonts w:ascii="宋体" w:hAnsi="宋体" w:cs="宋体" w:eastAsia="宋体" w:hint="default"/>
          <w:b/>
          <w:bCs/>
          <w:w w:val="99"/>
        </w:rPr>
        <w:t> </w:t>
      </w:r>
      <w:r>
        <w:rPr/>
        <w:t>在多年的经营中，公司拥有一支既有丰富现代管理水平、又精通行业业务知识和经验，</w:t>
      </w:r>
    </w:p>
    <w:p>
      <w:pPr>
        <w:pStyle w:val="Heading5"/>
        <w:spacing w:line="312" w:lineRule="exact"/>
        <w:ind w:right="1170"/>
        <w:jc w:val="both"/>
      </w:pPr>
      <w:r>
        <w:rPr/>
        <w:t>并且结构合理的高素质人才队伍。公司深知人才是公司核心竞争力之一。公司不但积极引入 复核企业战略发展的相关人才，还设有专门的企业内部培训机构——信息发展鹰学院。信息 发展鹰学院不定期聘请外部资深行业专家和信息化专家等担任讲师授课，并且实施系统性的 人才培养体系，制定了人才考核制度，因材施教，建立系统性的企业人才培育策略和计划， 为公司长期稳定的发展与积极创新的活力提供了人才资源的保障。</w:t>
      </w:r>
    </w:p>
    <w:p>
      <w:pPr>
        <w:spacing w:line="240" w:lineRule="auto" w:before="6"/>
        <w:rPr>
          <w:rFonts w:ascii="宋体" w:hAnsi="宋体" w:cs="宋体" w:eastAsia="宋体" w:hint="default"/>
          <w:sz w:val="21"/>
          <w:szCs w:val="21"/>
        </w:rPr>
      </w:pPr>
    </w:p>
    <w:p>
      <w:pPr>
        <w:pStyle w:val="Heading5"/>
        <w:spacing w:line="240" w:lineRule="auto"/>
        <w:ind w:left="593" w:right="986"/>
        <w:jc w:val="left"/>
      </w:pPr>
      <w:r>
        <w:rPr>
          <w:rFonts w:ascii="宋体" w:hAnsi="宋体" w:cs="宋体" w:eastAsia="宋体" w:hint="default"/>
          <w:b/>
          <w:bCs/>
        </w:rPr>
        <w:t>（四）营销优势</w:t>
      </w:r>
      <w:r>
        <w:rPr>
          <w:rFonts w:ascii="宋体" w:hAnsi="宋体" w:cs="宋体" w:eastAsia="宋体" w:hint="default"/>
          <w:b/>
          <w:bCs/>
          <w:w w:val="99"/>
        </w:rPr>
        <w:t> </w:t>
      </w:r>
      <w:r>
        <w:rPr>
          <w:spacing w:val="-3"/>
        </w:rPr>
        <w:t>信息发展在核心技术基础上将技术优势转化为行业市场优势和用户优势，已在智慧食安、</w:t>
      </w:r>
    </w:p>
    <w:p>
      <w:pPr>
        <w:pStyle w:val="Heading5"/>
        <w:spacing w:line="312" w:lineRule="exact" w:before="28"/>
        <w:ind w:right="996"/>
        <w:jc w:val="left"/>
      </w:pPr>
      <w:r>
        <w:rPr/>
        <w:t>智慧档案、智慧司法领域及大数据、区块链创新中心的全面布局，公司建立了覆盖全国的营 销渠道和服务网络，设有多个营销大区、</w:t>
      </w:r>
      <w:r>
        <w:rPr>
          <w:rFonts w:ascii="宋体" w:hAnsi="宋体" w:cs="宋体" w:eastAsia="宋体" w:hint="default"/>
        </w:rPr>
        <w:t>2</w:t>
      </w:r>
      <w:r>
        <w:rPr/>
        <w:t>个全资子公司、</w:t>
      </w:r>
      <w:r>
        <w:rPr>
          <w:rFonts w:ascii="宋体" w:hAnsi="宋体" w:cs="宋体" w:eastAsia="宋体" w:hint="default"/>
        </w:rPr>
        <w:t>3</w:t>
      </w:r>
      <w:r>
        <w:rPr/>
        <w:t>个控股子公司以及多个参股子公 </w:t>
      </w:r>
      <w:r>
        <w:rPr>
          <w:spacing w:val="-2"/>
        </w:rPr>
        <w:t>司。公司组建了成熟稳定的营销团队，积极完善激励和培训机制，建成了可以适应区域文化、</w:t>
      </w:r>
      <w:r>
        <w:rPr>
          <w:spacing w:val="-118"/>
        </w:rPr>
        <w:t> </w:t>
      </w:r>
      <w:r>
        <w:rPr>
          <w:spacing w:val="-118"/>
        </w:rPr>
      </w:r>
      <w:r>
        <w:rPr>
          <w:spacing w:val="-2"/>
        </w:rPr>
        <w:t>熟悉行业特点、具备较强战斗力的营销队伍，从而推动</w:t>
      </w:r>
      <w:r>
        <w:rPr>
          <w:rFonts w:ascii="宋体" w:hAnsi="宋体" w:cs="宋体" w:eastAsia="宋体" w:hint="default"/>
          <w:spacing w:val="-2"/>
        </w:rPr>
        <w:t>SaaS</w:t>
      </w:r>
      <w:r>
        <w:rPr>
          <w:spacing w:val="-2"/>
        </w:rPr>
        <w:t>服务与产品销售的市场开拓力度。</w:t>
      </w:r>
      <w:r>
        <w:rPr>
          <w:spacing w:val="-115"/>
        </w:rPr>
        <w:t> </w:t>
      </w:r>
      <w:r>
        <w:rPr/>
        <w:t>通过在产业互联网新生态下的不断创新，实现信息发展</w:t>
      </w:r>
      <w:r>
        <w:rPr>
          <w:rFonts w:ascii="宋体" w:hAnsi="宋体" w:cs="宋体" w:eastAsia="宋体" w:hint="default"/>
        </w:rPr>
        <w:t>2.0</w:t>
      </w:r>
      <w:r>
        <w:rPr/>
        <w:t>新飞跃。</w:t>
      </w:r>
    </w:p>
    <w:p>
      <w:pPr>
        <w:spacing w:line="240" w:lineRule="auto" w:before="11"/>
        <w:rPr>
          <w:rFonts w:ascii="宋体" w:hAnsi="宋体" w:cs="宋体" w:eastAsia="宋体" w:hint="default"/>
          <w:sz w:val="23"/>
          <w:szCs w:val="23"/>
        </w:rPr>
      </w:pPr>
    </w:p>
    <w:p>
      <w:pPr>
        <w:pStyle w:val="Heading5"/>
        <w:spacing w:line="312" w:lineRule="exact"/>
        <w:ind w:left="593" w:right="1153"/>
        <w:jc w:val="left"/>
      </w:pPr>
      <w:r>
        <w:rPr>
          <w:rFonts w:ascii="宋体" w:hAnsi="宋体" w:cs="宋体" w:eastAsia="宋体" w:hint="default"/>
          <w:b/>
          <w:bCs/>
        </w:rPr>
        <w:t>（五）服务优势</w:t>
      </w:r>
      <w:r>
        <w:rPr>
          <w:rFonts w:ascii="宋体" w:hAnsi="宋体" w:cs="宋体" w:eastAsia="宋体" w:hint="default"/>
          <w:b/>
          <w:bCs/>
          <w:w w:val="99"/>
        </w:rPr>
        <w:t> </w:t>
      </w:r>
      <w:r>
        <w:rPr/>
        <w:t>“</w:t>
      </w:r>
      <w:r>
        <w:rPr>
          <w:rFonts w:ascii="宋体" w:hAnsi="宋体" w:cs="宋体" w:eastAsia="宋体" w:hint="default"/>
        </w:rPr>
        <w:t>S1</w:t>
      </w:r>
      <w:r>
        <w:rPr/>
        <w:t>服务”是公司于</w:t>
      </w:r>
      <w:r>
        <w:rPr>
          <w:rFonts w:ascii="宋体" w:hAnsi="宋体" w:cs="宋体" w:eastAsia="宋体" w:hint="default"/>
        </w:rPr>
        <w:t>2004</w:t>
      </w:r>
      <w:r>
        <w:rPr/>
        <w:t>年创立的服务品牌（即服务</w:t>
      </w:r>
      <w:r>
        <w:rPr>
          <w:rFonts w:ascii="宋体" w:hAnsi="宋体" w:cs="宋体" w:eastAsia="宋体" w:hint="default"/>
        </w:rPr>
        <w:t>Service</w:t>
      </w:r>
      <w:r>
        <w:rPr/>
        <w:t>第一、速度</w:t>
      </w:r>
      <w:r>
        <w:rPr>
          <w:rFonts w:ascii="宋体" w:hAnsi="宋体" w:cs="宋体" w:eastAsia="宋体" w:hint="default"/>
        </w:rPr>
        <w:t>Speed</w:t>
      </w:r>
      <w:r>
        <w:rPr/>
        <w:t>第一、安</w:t>
      </w:r>
    </w:p>
    <w:p>
      <w:pPr>
        <w:spacing w:after="0" w:line="312"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986"/>
        <w:jc w:val="left"/>
      </w:pPr>
      <w:r>
        <w:rPr>
          <w:spacing w:val="-3"/>
        </w:rPr>
        <w:t>全</w:t>
      </w:r>
      <w:r>
        <w:rPr>
          <w:rFonts w:ascii="宋体" w:hAnsi="宋体" w:cs="宋体" w:eastAsia="宋体" w:hint="default"/>
          <w:spacing w:val="-3"/>
        </w:rPr>
        <w:t>Security</w:t>
      </w:r>
      <w:r>
        <w:rPr>
          <w:spacing w:val="-3"/>
        </w:rPr>
        <w:t>第一、态度</w:t>
      </w:r>
      <w:r>
        <w:rPr>
          <w:rFonts w:ascii="宋体" w:hAnsi="宋体" w:cs="宋体" w:eastAsia="宋体" w:hint="default"/>
          <w:spacing w:val="-3"/>
        </w:rPr>
        <w:t>Smile</w:t>
      </w:r>
      <w:r>
        <w:rPr>
          <w:spacing w:val="-3"/>
        </w:rPr>
        <w:t>第一、规范</w:t>
      </w:r>
      <w:r>
        <w:rPr>
          <w:rFonts w:ascii="宋体" w:hAnsi="宋体" w:cs="宋体" w:eastAsia="宋体" w:hint="default"/>
          <w:spacing w:val="-3"/>
        </w:rPr>
        <w:t>Standard</w:t>
      </w:r>
      <w:r>
        <w:rPr>
          <w:spacing w:val="-3"/>
        </w:rPr>
        <w:t>第一、保障</w:t>
      </w:r>
      <w:r>
        <w:rPr>
          <w:rFonts w:ascii="宋体" w:hAnsi="宋体" w:cs="宋体" w:eastAsia="宋体" w:hint="default"/>
          <w:spacing w:val="-3"/>
        </w:rPr>
        <w:t>System</w:t>
      </w:r>
      <w:r>
        <w:rPr>
          <w:spacing w:val="-3"/>
        </w:rPr>
        <w:t>第一），致力于为客户提</w:t>
      </w:r>
      <w:r>
        <w:rPr>
          <w:spacing w:val="-79"/>
        </w:rPr>
        <w:t> </w:t>
      </w:r>
      <w:r>
        <w:rPr>
          <w:spacing w:val="-79"/>
        </w:rPr>
      </w:r>
      <w:r>
        <w:rPr>
          <w:spacing w:val="-2"/>
        </w:rPr>
        <w:t>供持续、高品质的信息服务。十余年来，公司基于</w:t>
      </w:r>
      <w:r>
        <w:rPr>
          <w:rFonts w:ascii="宋体" w:hAnsi="宋体" w:cs="宋体" w:eastAsia="宋体" w:hint="default"/>
          <w:spacing w:val="-2"/>
        </w:rPr>
        <w:t>ITIL</w:t>
      </w:r>
      <w:r>
        <w:rPr>
          <w:spacing w:val="-2"/>
        </w:rPr>
        <w:t>最佳实践及</w:t>
      </w:r>
      <w:r>
        <w:rPr>
          <w:rFonts w:ascii="宋体" w:hAnsi="宋体" w:cs="宋体" w:eastAsia="宋体" w:hint="default"/>
          <w:spacing w:val="-2"/>
        </w:rPr>
        <w:t>ITSS</w:t>
      </w:r>
      <w:r>
        <w:rPr>
          <w:spacing w:val="-2"/>
        </w:rPr>
        <w:t>、</w:t>
      </w:r>
      <w:r>
        <w:rPr>
          <w:rFonts w:ascii="宋体" w:hAnsi="宋体" w:cs="宋体" w:eastAsia="宋体" w:hint="default"/>
          <w:spacing w:val="-2"/>
        </w:rPr>
        <w:t>ISO20000</w:t>
      </w:r>
      <w:r>
        <w:rPr>
          <w:spacing w:val="-2"/>
        </w:rPr>
        <w:t>体系标准，</w:t>
      </w:r>
      <w:r>
        <w:rPr>
          <w:spacing w:val="-103"/>
        </w:rPr>
        <w:t> </w:t>
      </w:r>
      <w:r>
        <w:rPr>
          <w:spacing w:val="-103"/>
        </w:rPr>
      </w:r>
      <w:r>
        <w:rPr/>
        <w:t>建设并持续改进服务体系，努力提升服务能力水平及客户体验，逐步建立了以各地分公司为 依托、覆盖全国的营销服务网络。报告期内，公司逐步设立华东区、华南区、华北区、西北 </w:t>
      </w:r>
      <w:r>
        <w:rPr>
          <w:spacing w:val="-2"/>
        </w:rPr>
        <w:t>区、西南区</w:t>
      </w:r>
      <w:r>
        <w:rPr>
          <w:rFonts w:ascii="宋体" w:hAnsi="宋体" w:cs="宋体" w:eastAsia="宋体" w:hint="default"/>
          <w:spacing w:val="-2"/>
        </w:rPr>
        <w:t>5</w:t>
      </w:r>
      <w:r>
        <w:rPr>
          <w:spacing w:val="-2"/>
        </w:rPr>
        <w:t>大区域，在全国设有数十家分公司，能够及时响应客户需求，提供灵活便捷的本</w:t>
      </w:r>
      <w:r>
        <w:rPr/>
        <w:t> 土化服务。</w:t>
      </w:r>
    </w:p>
    <w:p>
      <w:pPr>
        <w:spacing w:after="0" w:line="23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5" w:right="1133"/>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133"/>
        <w:jc w:val="left"/>
        <w:rPr>
          <w:b w:val="0"/>
          <w:bCs w:val="0"/>
        </w:rPr>
      </w:pPr>
      <w:bookmarkStart w:name="一、概述" w:id="23"/>
      <w:bookmarkEnd w:id="23"/>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Heading5"/>
        <w:spacing w:line="312" w:lineRule="exact"/>
        <w:ind w:right="1170" w:firstLine="480"/>
        <w:jc w:val="both"/>
      </w:pPr>
      <w:r>
        <w:rPr/>
        <w:t>报告期内，受经济整体环境影响致使项目招标延期，项目需求变更使得项目建设周期延 长，项目成本同时有所增加，致使营业收入及净利润有所下降。报告期内，公司实现营业总 收入</w:t>
      </w:r>
      <w:r>
        <w:rPr>
          <w:rFonts w:ascii="宋体" w:hAnsi="宋体" w:cs="宋体" w:eastAsia="宋体" w:hint="default"/>
        </w:rPr>
        <w:t>64019.83</w:t>
      </w:r>
      <w:r>
        <w:rPr/>
        <w:t>万元，归属于上市公司股东的净利润</w:t>
      </w:r>
      <w:r>
        <w:rPr>
          <w:rFonts w:ascii="宋体" w:hAnsi="宋体" w:cs="宋体" w:eastAsia="宋体" w:hint="default"/>
        </w:rPr>
        <w:t>-15058</w:t>
      </w:r>
      <w:r>
        <w:rPr/>
        <w:t>万元。</w:t>
      </w:r>
    </w:p>
    <w:p>
      <w:pPr>
        <w:pStyle w:val="Heading5"/>
        <w:spacing w:line="312" w:lineRule="exact"/>
        <w:ind w:right="1169" w:firstLine="480"/>
        <w:jc w:val="both"/>
      </w:pPr>
      <w:r>
        <w:rPr/>
        <w:t>在宏观经济环境复杂多变，市场竞争激烈的情况下，公司仍然坚持在区块链技术、大数 据分析技术、</w:t>
      </w:r>
      <w:r>
        <w:rPr>
          <w:rFonts w:ascii="宋体" w:hAnsi="宋体" w:cs="宋体" w:eastAsia="宋体" w:hint="default"/>
        </w:rPr>
        <w:t>AI</w:t>
      </w:r>
      <w:r>
        <w:rPr/>
        <w:t>识别技术等前沿技术领域的投入，并积极参与国家科技重大专项课题任务—</w:t>
      </w:r>
    </w:p>
    <w:p>
      <w:pPr>
        <w:pStyle w:val="Heading5"/>
        <w:spacing w:line="283" w:lineRule="exact"/>
        <w:ind w:right="1133"/>
        <w:jc w:val="left"/>
      </w:pPr>
      <w:r>
        <w:rPr/>
        <w:t>—“安全可控桌面计算机规模化推广的应用系统迁移技术研究”的建设，同时加大了市场开</w:t>
      </w:r>
    </w:p>
    <w:p>
      <w:pPr>
        <w:pStyle w:val="Heading5"/>
        <w:spacing w:line="312" w:lineRule="exact"/>
        <w:ind w:right="1133"/>
        <w:jc w:val="left"/>
      </w:pPr>
      <w:r>
        <w:rPr/>
        <w:t>拓的力度。</w:t>
      </w:r>
    </w:p>
    <w:p>
      <w:pPr>
        <w:pStyle w:val="Heading5"/>
        <w:spacing w:line="312" w:lineRule="exact" w:before="29"/>
        <w:ind w:right="1171" w:firstLine="480"/>
        <w:jc w:val="both"/>
      </w:pPr>
      <w:r>
        <w:rPr/>
        <w:t>报告期内公司经营业绩虽出现亏损，但为未来发展进行了一定的技术及资源储备，主要 体现在：</w:t>
      </w:r>
    </w:p>
    <w:p>
      <w:pPr>
        <w:pStyle w:val="Heading5"/>
        <w:spacing w:line="312" w:lineRule="exact"/>
        <w:ind w:right="1128" w:firstLine="480"/>
        <w:jc w:val="both"/>
      </w:pPr>
      <w:r>
        <w:rPr>
          <w:rFonts w:ascii="宋体" w:hAnsi="宋体" w:cs="宋体" w:eastAsia="宋体" w:hint="default"/>
          <w:spacing w:val="-3"/>
        </w:rPr>
        <w:t>1</w:t>
      </w:r>
      <w:r>
        <w:rPr>
          <w:spacing w:val="-3"/>
        </w:rPr>
        <w:t>、区块链创新中心依托信息发展强大的技术研发实力，集中优秀技术创新人才，着力研</w:t>
      </w:r>
      <w:r>
        <w:rPr/>
        <w:t> </w:t>
      </w:r>
      <w:r>
        <w:rPr>
          <w:spacing w:val="-2"/>
        </w:rPr>
        <w:t>发区块链基础平台以及“区块链网关”等配套工具，已成功申请区块链发明专利</w:t>
      </w:r>
      <w:r>
        <w:rPr>
          <w:rFonts w:ascii="宋体" w:hAnsi="宋体" w:cs="宋体" w:eastAsia="宋体" w:hint="default"/>
          <w:spacing w:val="-2"/>
        </w:rPr>
        <w:t>5</w:t>
      </w:r>
      <w:r>
        <w:rPr>
          <w:spacing w:val="-2"/>
        </w:rPr>
        <w:t>项，全力打</w:t>
      </w:r>
      <w:r>
        <w:rPr/>
        <w:t> 造上海乃至国内领先的“信发链”品牌。对内以智慧食安供应链生态圈区块链应用为重点， 兼顾对智慧档案、智慧司法业务的赋能；对外拓展电子存证、药品溯源、供应链管理等业务 领域，实现“信发链”在各行各业的应用落地。</w:t>
      </w:r>
    </w:p>
    <w:p>
      <w:pPr>
        <w:pStyle w:val="Heading5"/>
        <w:spacing w:line="312" w:lineRule="exact"/>
        <w:ind w:right="1132" w:firstLine="480"/>
        <w:jc w:val="both"/>
      </w:pPr>
      <w:r>
        <w:rPr>
          <w:rFonts w:ascii="宋体" w:hAnsi="宋体" w:cs="宋体" w:eastAsia="宋体" w:hint="default"/>
          <w:spacing w:val="-3"/>
        </w:rPr>
        <w:t>2</w:t>
      </w:r>
      <w:r>
        <w:rPr>
          <w:spacing w:val="-3"/>
        </w:rPr>
        <w:t>、大数据智能创新中心基于公司在主营三大业务领域多年行业经验和技术积累，加强大</w:t>
      </w:r>
      <w:r>
        <w:rPr/>
        <w:t> 数据人才队伍建设和研发投入，全力赋能公司核心业务和开拓新业务。用数据作为重要生产 要素带动业务提速，为业务增能提供全程保障，为政府及企业决策提供科学依据。为数据管</w:t>
      </w:r>
    </w:p>
    <w:p>
      <w:pPr>
        <w:pStyle w:val="Heading5"/>
        <w:spacing w:line="312" w:lineRule="exact"/>
        <w:ind w:left="593" w:right="986" w:hanging="481"/>
        <w:jc w:val="left"/>
      </w:pPr>
      <w:r>
        <w:rPr/>
        <w:t>理和运营服务提供基础性工具。 </w:t>
      </w:r>
      <w:r>
        <w:rPr>
          <w:rFonts w:ascii="宋体" w:hAnsi="宋体" w:cs="宋体" w:eastAsia="宋体" w:hint="default"/>
          <w:spacing w:val="-6"/>
        </w:rPr>
        <w:t>3</w:t>
      </w:r>
      <w:r>
        <w:rPr>
          <w:spacing w:val="-6"/>
        </w:rPr>
        <w:t>、报告期内，公司加大营销网络和队伍的建设，建设了“五大营销区域“（华东、华北、</w:t>
      </w:r>
    </w:p>
    <w:p>
      <w:pPr>
        <w:pStyle w:val="Heading5"/>
        <w:spacing w:line="312" w:lineRule="exact"/>
        <w:ind w:right="1154"/>
        <w:jc w:val="left"/>
      </w:pPr>
      <w:r>
        <w:rPr/>
        <w:t>华南、西北、西南）平台，为三大主营业务的产品向全国推广，以及大数据及区块链的相关 应用在全国有效推广奠定了良好的基础。</w:t>
      </w:r>
    </w:p>
    <w:p>
      <w:pPr>
        <w:pStyle w:val="Heading5"/>
        <w:spacing w:line="312" w:lineRule="exact"/>
        <w:ind w:right="1050" w:firstLine="480"/>
        <w:jc w:val="both"/>
      </w:pPr>
      <w:r>
        <w:rPr>
          <w:rFonts w:ascii="宋体" w:hAnsi="宋体" w:cs="宋体" w:eastAsia="宋体" w:hint="default"/>
          <w:spacing w:val="-3"/>
        </w:rPr>
        <w:t>4</w:t>
      </w:r>
      <w:r>
        <w:rPr>
          <w:spacing w:val="-3"/>
        </w:rPr>
        <w:t>、国家科技重大专项课题任务—“安全可控桌面计算机规模化推广的应用系统迁移技术</w:t>
      </w:r>
      <w:r>
        <w:rPr/>
        <w:t> 研究”是面向党政办公，电子政务和关键行业信息化的安全可控要求，采用核高基专项安全 </w:t>
      </w:r>
      <w:r>
        <w:rPr>
          <w:spacing w:val="-2"/>
        </w:rPr>
        <w:t>可控桌面计算机软硬件成果，结合行业</w:t>
      </w:r>
      <w:r>
        <w:rPr>
          <w:rFonts w:ascii="宋体" w:hAnsi="宋体" w:cs="宋体" w:eastAsia="宋体" w:hint="default"/>
          <w:spacing w:val="-2"/>
        </w:rPr>
        <w:t>/</w:t>
      </w:r>
      <w:r>
        <w:rPr>
          <w:spacing w:val="-2"/>
        </w:rPr>
        <w:t>区域性应用系统特色和安全可控应用系统建设或升级</w:t>
      </w:r>
      <w:r>
        <w:rPr/>
        <w:t> 改造需求，研究解决普适性应用软件系统迁移的关键技术、方法和工程化方案，支撑推动专</w:t>
      </w:r>
      <w:r>
        <w:rPr/>
        <w:t> 项前期相关课题加快实施，带动安全可靠桌面计算机基础软件和应用软件产品成熟度明显提 升，为安全可控桌面计算机</w:t>
      </w:r>
      <w:r>
        <w:rPr>
          <w:rFonts w:ascii="宋体" w:hAnsi="宋体" w:cs="宋体" w:eastAsia="宋体" w:hint="default"/>
        </w:rPr>
        <w:t>CPU</w:t>
      </w:r>
      <w:r>
        <w:rPr/>
        <w:t>进行大规模应用提供软件和应用系统的技术和工程实施保障。</w:t>
      </w:r>
    </w:p>
    <w:p>
      <w:pPr>
        <w:spacing w:line="240" w:lineRule="auto" w:before="6"/>
        <w:rPr>
          <w:rFonts w:ascii="宋体" w:hAnsi="宋体" w:cs="宋体" w:eastAsia="宋体" w:hint="default"/>
          <w:sz w:val="21"/>
          <w:szCs w:val="21"/>
        </w:rPr>
      </w:pPr>
    </w:p>
    <w:p>
      <w:pPr>
        <w:pStyle w:val="Heading4"/>
        <w:spacing w:line="313" w:lineRule="exact"/>
        <w:ind w:left="593" w:right="1133"/>
        <w:jc w:val="left"/>
        <w:rPr>
          <w:b w:val="0"/>
          <w:bCs w:val="0"/>
        </w:rPr>
      </w:pPr>
      <w:r>
        <w:rPr/>
        <w:t>一、业务发展情况</w:t>
      </w:r>
      <w:r>
        <w:rPr>
          <w:b w:val="0"/>
          <w:bCs w:val="0"/>
        </w:rPr>
      </w:r>
    </w:p>
    <w:p>
      <w:pPr>
        <w:pStyle w:val="Heading5"/>
        <w:spacing w:line="268" w:lineRule="auto"/>
        <w:ind w:left="595" w:right="1133" w:hanging="3"/>
        <w:jc w:val="left"/>
      </w:pPr>
      <w:r>
        <w:rPr>
          <w:rFonts w:ascii="宋体" w:hAnsi="宋体" w:cs="宋体" w:eastAsia="宋体" w:hint="default"/>
          <w:b/>
          <w:bCs/>
        </w:rPr>
        <w:t>（一）智慧食安领域</w:t>
      </w:r>
      <w:r>
        <w:rPr>
          <w:rFonts w:ascii="宋体" w:hAnsi="宋体" w:cs="宋体" w:eastAsia="宋体" w:hint="default"/>
          <w:b/>
          <w:bCs/>
          <w:w w:val="99"/>
        </w:rPr>
        <w:t> </w:t>
      </w:r>
      <w:r>
        <w:rPr/>
        <w:t>自</w:t>
      </w:r>
      <w:r>
        <w:rPr>
          <w:rFonts w:ascii="宋体" w:hAnsi="宋体" w:cs="宋体" w:eastAsia="宋体" w:hint="default"/>
        </w:rPr>
        <w:t>2008</w:t>
      </w:r>
      <w:r>
        <w:rPr/>
        <w:t>年来，我司在食品安全行业砥砺前行，凭借完整的解决方案、过硬的产品和优质</w:t>
      </w:r>
    </w:p>
    <w:p>
      <w:pPr>
        <w:pStyle w:val="Heading5"/>
        <w:spacing w:line="280" w:lineRule="exact"/>
        <w:ind w:right="1133"/>
        <w:jc w:val="left"/>
      </w:pPr>
      <w:r>
        <w:rPr/>
        <w:t>的服务，在全国市场积极布局，形成了良好的行业口碑和强劲的市场竞争力。近三年以来，</w:t>
      </w:r>
    </w:p>
    <w:p>
      <w:pPr>
        <w:pStyle w:val="Heading5"/>
        <w:spacing w:line="312" w:lineRule="exact" w:before="29"/>
        <w:ind w:right="1133"/>
        <w:jc w:val="left"/>
      </w:pPr>
      <w:r>
        <w:rPr/>
        <w:t>公司投入大量资源研究物联网、</w:t>
      </w:r>
      <w:r>
        <w:rPr>
          <w:rFonts w:ascii="宋体" w:hAnsi="宋体" w:cs="宋体" w:eastAsia="宋体" w:hint="default"/>
        </w:rPr>
        <w:t>SaaS</w:t>
      </w:r>
      <w:r>
        <w:rPr/>
        <w:t>服务、区块链、大数据等技术在食安领域的应用，目前</w:t>
      </w:r>
      <w:r>
        <w:rPr>
          <w:spacing w:val="-89"/>
        </w:rPr>
        <w:t> </w:t>
      </w:r>
      <w:r>
        <w:rPr>
          <w:spacing w:val="-89"/>
        </w:rPr>
      </w:r>
      <w:r>
        <w:rPr/>
        <w:t>已取得较好的成绩。</w:t>
      </w:r>
    </w:p>
    <w:p>
      <w:pPr>
        <w:pStyle w:val="Heading4"/>
        <w:spacing w:line="240" w:lineRule="auto" w:before="10"/>
        <w:ind w:left="595" w:right="1133"/>
        <w:jc w:val="left"/>
        <w:rPr>
          <w:b w:val="0"/>
          <w:bCs w:val="0"/>
        </w:rPr>
      </w:pPr>
      <w:r>
        <w:rPr>
          <w:rFonts w:ascii="宋体" w:hAnsi="宋体" w:cs="宋体" w:eastAsia="宋体" w:hint="default"/>
        </w:rPr>
        <w:t>1</w:t>
      </w:r>
      <w:r>
        <w:rPr/>
        <w:t>、智慧食安农业方面</w:t>
      </w:r>
      <w:r>
        <w:rPr>
          <w:b w:val="0"/>
          <w:bCs w:val="0"/>
        </w:rPr>
      </w:r>
    </w:p>
    <w:p>
      <w:pPr>
        <w:pStyle w:val="Heading5"/>
        <w:spacing w:line="312" w:lineRule="exact" w:before="69"/>
        <w:ind w:right="1168" w:firstLine="482"/>
        <w:jc w:val="both"/>
        <w:rPr>
          <w:rFonts w:ascii="宋体" w:hAnsi="宋体" w:cs="宋体" w:eastAsia="宋体" w:hint="default"/>
        </w:rPr>
      </w:pPr>
      <w:r>
        <w:rPr>
          <w:rFonts w:ascii="宋体" w:hAnsi="宋体" w:cs="宋体" w:eastAsia="宋体" w:hint="default"/>
        </w:rPr>
        <w:t>2019</w:t>
      </w:r>
      <w:r>
        <w:rPr/>
        <w:t>年一方面积极开拓重大农业项目占领制高点，另一方面加快研发新产品，拓展产品 营销渠道，加快跑马圈地。在重大农业项目方面，先后中标新疆维吾尔自治区农业农村厅</w:t>
      </w:r>
      <w:r>
        <w:rPr>
          <w:rFonts w:ascii="宋体" w:hAnsi="宋体" w:cs="宋体" w:eastAsia="宋体" w:hint="default"/>
        </w:rPr>
        <w:t>-</w:t>
      </w:r>
    </w:p>
    <w:p>
      <w:pPr>
        <w:spacing w:after="0" w:line="312" w:lineRule="exact"/>
        <w:jc w:val="both"/>
        <w:rPr>
          <w:rFonts w:ascii="宋体" w:hAnsi="宋体" w:cs="宋体" w:eastAsia="宋体" w:hint="default"/>
        </w:rPr>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1011"/>
        <w:jc w:val="left"/>
      </w:pPr>
      <w:r>
        <w:rPr/>
        <w:t>新疆农产品质量安全追溯管理平台项目、广州市农业农村局</w:t>
      </w:r>
      <w:r>
        <w:rPr>
          <w:rFonts w:ascii="宋体" w:hAnsi="宋体" w:cs="宋体" w:eastAsia="宋体" w:hint="default"/>
        </w:rPr>
        <w:t>-</w:t>
      </w:r>
      <w:r>
        <w:rPr/>
        <w:t>广州市农产品质量安全溯源管理 平台与生产管理系统升级改造建设（粤港澳大湾区菜篮子平台建设）项目、山东省畜牧兽医 信息中心</w:t>
      </w:r>
      <w:r>
        <w:rPr>
          <w:rFonts w:ascii="宋体" w:hAnsi="宋体" w:cs="宋体" w:eastAsia="宋体" w:hint="default"/>
        </w:rPr>
        <w:t>-</w:t>
      </w:r>
      <w:r>
        <w:rPr/>
        <w:t>山东省畜牧产品安全综合监管追溯系统，湖南省农业农村厅</w:t>
      </w:r>
      <w:r>
        <w:rPr>
          <w:rFonts w:ascii="宋体" w:hAnsi="宋体" w:cs="宋体" w:eastAsia="宋体" w:hint="default"/>
        </w:rPr>
        <w:t>-</w:t>
      </w:r>
      <w:r>
        <w:rPr/>
        <w:t>国家农产品质量安全 追溯平台省级应用模块建设，省级平台市场覆盖率不断取得突破。在产品研发与营销方面， 重点打造农资大掌柜、食用农产品合格证系统和农资执法系统三款主力产品，渠道网络已实 现全国化布局。</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18</w:t>
      </w:r>
      <w:r>
        <w:rPr/>
        <w:t>日，国家农业农村部印发关于《全国试行食用农产品合格证制 </w:t>
      </w:r>
      <w:r>
        <w:rPr>
          <w:spacing w:val="-5"/>
        </w:rPr>
        <w:t>度实施方案》的通知，智秾食用农产品合格证系统同月上线，当月签约</w:t>
      </w:r>
      <w:r>
        <w:rPr>
          <w:rFonts w:ascii="宋体" w:hAnsi="宋体" w:cs="宋体" w:eastAsia="宋体" w:hint="default"/>
          <w:spacing w:val="-5"/>
        </w:rPr>
        <w:t>340</w:t>
      </w:r>
      <w:r>
        <w:rPr>
          <w:spacing w:val="-5"/>
        </w:rPr>
        <w:t>套，市场前景广阔，</w:t>
      </w:r>
      <w:r>
        <w:rPr>
          <w:spacing w:val="-108"/>
        </w:rPr>
        <w:t> </w:t>
      </w:r>
      <w:r>
        <w:rPr>
          <w:spacing w:val="-108"/>
        </w:rPr>
      </w:r>
      <w:r>
        <w:rPr/>
        <w:t>未来业务发展潜力巨大。</w:t>
      </w:r>
    </w:p>
    <w:p>
      <w:pPr>
        <w:spacing w:line="268" w:lineRule="auto" w:before="39"/>
        <w:ind w:left="595" w:right="1151" w:firstLine="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、智慧食安流通方面</w:t>
      </w:r>
      <w:r>
        <w:rPr>
          <w:rFonts w:ascii="宋体" w:hAnsi="宋体" w:cs="宋体" w:eastAsia="宋体" w:hint="default"/>
          <w:b/>
          <w:bCs/>
          <w:w w:val="99"/>
          <w:sz w:val="24"/>
          <w:szCs w:val="24"/>
        </w:rPr>
        <w:t> </w:t>
      </w:r>
      <w:r>
        <w:rPr>
          <w:rFonts w:ascii="宋体" w:hAnsi="宋体" w:cs="宋体" w:eastAsia="宋体" w:hint="default"/>
          <w:sz w:val="24"/>
          <w:szCs w:val="24"/>
        </w:rPr>
        <w:t>全年新中标重庆市重要产品追溯公共服务平台、湖南省重要产品追溯管理平台建设二期</w:t>
      </w:r>
    </w:p>
    <w:p>
      <w:pPr>
        <w:pStyle w:val="Heading5"/>
        <w:spacing w:line="312" w:lineRule="exact"/>
        <w:ind w:right="996"/>
        <w:jc w:val="left"/>
      </w:pPr>
      <w:r>
        <w:rPr/>
        <w:t>项目、辽宁省重要产品追溯管理平台、湖北省重要产品追溯管理平台完善“荆楚优品”企业 </w:t>
      </w:r>
      <w:r>
        <w:rPr>
          <w:spacing w:val="-2"/>
        </w:rPr>
        <w:t>追溯体系、海东市重要产品流通追溯体系管理平台、青海省重要产品追溯管理平台等多个省、</w:t>
      </w:r>
    </w:p>
    <w:p>
      <w:pPr>
        <w:pStyle w:val="Heading5"/>
        <w:spacing w:line="312" w:lineRule="exact"/>
        <w:ind w:right="996"/>
        <w:jc w:val="left"/>
      </w:pPr>
      <w:r>
        <w:rPr/>
        <w:t>市级重要产品追溯管理平台建设项目，截至</w:t>
      </w:r>
      <w:r>
        <w:rPr>
          <w:rFonts w:ascii="宋体" w:hAnsi="宋体" w:cs="宋体" w:eastAsia="宋体" w:hint="default"/>
        </w:rPr>
        <w:t>2019</w:t>
      </w:r>
      <w:r>
        <w:rPr/>
        <w:t>年底，公司已承建</w:t>
      </w:r>
      <w:r>
        <w:rPr>
          <w:rFonts w:ascii="宋体" w:hAnsi="宋体" w:cs="宋体" w:eastAsia="宋体" w:hint="default"/>
        </w:rPr>
        <w:t>19</w:t>
      </w:r>
      <w:r>
        <w:rPr/>
        <w:t>个重要产品追溯省、市 级管理平台建设项目，是国内机关案例最多的软件开发供应商，优于其它竞争对手。此外， </w:t>
      </w:r>
      <w:r>
        <w:rPr>
          <w:spacing w:val="-2"/>
        </w:rPr>
        <w:t>新增上海江扬水产品批发市场、上海市江桥批发市场、青岛西海岸大哨头农副产品批发市场、</w:t>
      </w:r>
      <w:r>
        <w:rPr/>
        <w:t> 邓州农商智慧城等多个批发市场信息化建设案例，在批发市场这一重点流通环节信息化建设 经验上继续保持领先。</w:t>
      </w:r>
      <w:r>
        <w:rPr>
          <w:rFonts w:ascii="宋体" w:hAnsi="宋体" w:cs="宋体" w:eastAsia="宋体" w:hint="default"/>
        </w:rPr>
        <w:t>2019</w:t>
      </w:r>
      <w:r>
        <w:rPr/>
        <w:t>年</w:t>
      </w:r>
      <w:r>
        <w:rPr>
          <w:rFonts w:ascii="宋体" w:hAnsi="宋体" w:cs="宋体" w:eastAsia="宋体" w:hint="default"/>
        </w:rPr>
        <w:t>10</w:t>
      </w:r>
      <w:r>
        <w:rPr/>
        <w:t>月，公司中标深圳市肉菜流通追溯体系建设项目，实现一线 城市追溯业务全覆盖：深圳项目是继公司中标北京、上海、广州追溯项目后的又一佳绩，至 此实现了追溯业务“北上广深”一线城市</w:t>
      </w:r>
      <w:r>
        <w:rPr>
          <w:rFonts w:ascii="宋体" w:hAnsi="宋体" w:cs="宋体" w:eastAsia="宋体" w:hint="default"/>
        </w:rPr>
        <w:t>100%</w:t>
      </w:r>
      <w:r>
        <w:rPr/>
        <w:t>全覆盖。公司从追溯技术、建设模式、监管模 式等方面创新升级，力争为消费者“舌尖上的安全”保驾护航。</w:t>
      </w:r>
    </w:p>
    <w:p>
      <w:pPr>
        <w:pStyle w:val="Heading4"/>
        <w:spacing w:line="240" w:lineRule="auto" w:before="10"/>
        <w:ind w:left="595" w:right="1133"/>
        <w:jc w:val="left"/>
        <w:rPr>
          <w:b w:val="0"/>
          <w:bCs w:val="0"/>
        </w:rPr>
      </w:pPr>
      <w:r>
        <w:rPr>
          <w:rFonts w:ascii="宋体" w:hAnsi="宋体" w:cs="宋体" w:eastAsia="宋体" w:hint="default"/>
        </w:rPr>
        <w:t>3</w:t>
      </w:r>
      <w:r>
        <w:rPr/>
        <w:t>、智慧食安消费方面</w:t>
      </w:r>
      <w:r>
        <w:rPr>
          <w:b w:val="0"/>
          <w:bCs w:val="0"/>
        </w:rPr>
      </w:r>
    </w:p>
    <w:p>
      <w:pPr>
        <w:pStyle w:val="Heading5"/>
        <w:spacing w:line="237" w:lineRule="auto" w:before="41"/>
        <w:ind w:right="986" w:firstLine="482"/>
        <w:jc w:val="left"/>
      </w:pPr>
      <w:r>
        <w:rPr>
          <w:rFonts w:ascii="宋体" w:hAnsi="宋体" w:cs="宋体" w:eastAsia="宋体" w:hint="default"/>
          <w:spacing w:val="-3"/>
        </w:rPr>
        <w:t>2019</w:t>
      </w:r>
      <w:r>
        <w:rPr>
          <w:spacing w:val="-3"/>
        </w:rPr>
        <w:t>年，追溯云坚持以“产品化、服务化”为工作开展思路，产品</w:t>
      </w:r>
      <w:r>
        <w:rPr>
          <w:rFonts w:ascii="宋体" w:hAnsi="宋体" w:cs="宋体" w:eastAsia="宋体" w:hint="default"/>
          <w:spacing w:val="-3"/>
        </w:rPr>
        <w:t>+</w:t>
      </w:r>
      <w:r>
        <w:rPr>
          <w:spacing w:val="-3"/>
        </w:rPr>
        <w:t>服务的签约额占总签</w:t>
      </w:r>
      <w:r>
        <w:rPr/>
        <w:t> 约额的</w:t>
      </w:r>
      <w:r>
        <w:rPr>
          <w:rFonts w:ascii="宋体" w:hAnsi="宋体" w:cs="宋体" w:eastAsia="宋体" w:hint="default"/>
        </w:rPr>
        <w:t>56%</w:t>
      </w:r>
      <w:r>
        <w:rPr/>
        <w:t>，两者收款占总收款额的</w:t>
      </w:r>
      <w:r>
        <w:rPr>
          <w:rFonts w:ascii="宋体" w:hAnsi="宋体" w:cs="宋体" w:eastAsia="宋体" w:hint="default"/>
        </w:rPr>
        <w:t>71%</w:t>
      </w:r>
      <w:r>
        <w:rPr/>
        <w:t>，实现了由传统项目化向信息发展</w:t>
      </w:r>
      <w:r>
        <w:rPr>
          <w:rFonts w:ascii="宋体" w:hAnsi="宋体" w:cs="宋体" w:eastAsia="宋体" w:hint="default"/>
        </w:rPr>
        <w:t>2.0</w:t>
      </w:r>
      <w:r>
        <w:rPr/>
        <w:t>战略的大跨步转 型。食安追溯信息化、食安检测服务、食安评估认证咨询和食安大数据四项业务内容并驾齐 驱，多点开花，丰富了公司智慧食安业务的整体框架。在食安追溯信息化方面，追溯云新签 约奥乐齐食品安全追溯项目、上海新丽莲超市追溯项目、农工商超市（集团）食品安全追溯 项目、华润万家南区广深珠三地肉菜追溯项目、</w:t>
      </w:r>
      <w:r>
        <w:rPr>
          <w:rFonts w:ascii="宋体" w:hAnsi="宋体" w:cs="宋体" w:eastAsia="宋体" w:hint="default"/>
        </w:rPr>
        <w:t>Costco</w:t>
      </w:r>
      <w:r>
        <w:rPr/>
        <w:t>食品安全质量追溯项目等多个大型商 超食安追溯项目，充分利用“追溯云”商超追溯管理系统软件产品的优势，追溯云已成为承 建国内大型商超食安追溯领域主要服务商之一。在食安检测服务方面，追溯云“安心检”中 心实验室，围绕群众最关心的肉、蔬菜、水果、食用油等重点食品，突出农兽药、添加剂、 掺假等重点问题，提供食品安全快速检测服务。目前，追溯云受政府委托已在上海市静安区 与杨浦区分别建设了</w:t>
      </w:r>
      <w:r>
        <w:rPr>
          <w:rFonts w:ascii="宋体" w:hAnsi="宋体" w:cs="宋体" w:eastAsia="宋体" w:hint="default"/>
        </w:rPr>
        <w:t>5</w:t>
      </w:r>
      <w:r>
        <w:rPr/>
        <w:t>个“安心检”检测中心实验室，每个检测中心平均覆盖周边</w:t>
      </w:r>
      <w:r>
        <w:rPr>
          <w:rFonts w:ascii="宋体" w:hAnsi="宋体" w:cs="宋体" w:eastAsia="宋体" w:hint="default"/>
        </w:rPr>
        <w:t>10</w:t>
      </w:r>
      <w:r>
        <w:rPr/>
        <w:t>家农贸市 场的检测，惠及上百万常住人口的食品安全。同时，该模式也得到集团企业认可，农工商超 </w:t>
      </w:r>
      <w:r>
        <w:rPr>
          <w:spacing w:val="-8"/>
        </w:rPr>
        <w:t>市已与追溯云展开合作，已建成</w:t>
      </w:r>
      <w:r>
        <w:rPr>
          <w:rFonts w:ascii="宋体" w:hAnsi="宋体" w:cs="宋体" w:eastAsia="宋体" w:hint="default"/>
          <w:spacing w:val="-8"/>
        </w:rPr>
        <w:t>4</w:t>
      </w:r>
      <w:r>
        <w:rPr>
          <w:spacing w:val="-8"/>
        </w:rPr>
        <w:t>家“安心检”实验室，并辐射周边好德、可的便利，提供“共</w:t>
      </w:r>
      <w:r>
        <w:rPr>
          <w:spacing w:val="-104"/>
        </w:rPr>
        <w:t> </w:t>
      </w:r>
      <w:r>
        <w:rPr>
          <w:spacing w:val="-104"/>
        </w:rPr>
      </w:r>
      <w:r>
        <w:rPr/>
        <w:t>享式”快速检测服务，为新零售食品安全赋能。</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16</w:t>
      </w:r>
      <w:r>
        <w:rPr/>
        <w:t>日追溯云（上海）信用科技有限 </w:t>
      </w:r>
      <w:r>
        <w:rPr>
          <w:spacing w:val="-5"/>
        </w:rPr>
        <w:t>公司正式成立并于</w:t>
      </w:r>
      <w:r>
        <w:rPr>
          <w:rFonts w:ascii="宋体" w:hAnsi="宋体" w:cs="宋体" w:eastAsia="宋体" w:hint="default"/>
          <w:spacing w:val="-5"/>
        </w:rPr>
        <w:t>2019</w:t>
      </w:r>
      <w:r>
        <w:rPr>
          <w:spacing w:val="-5"/>
        </w:rPr>
        <w:t>年</w:t>
      </w:r>
      <w:r>
        <w:rPr>
          <w:rFonts w:ascii="宋体" w:hAnsi="宋体" w:cs="宋体" w:eastAsia="宋体" w:hint="default"/>
          <w:spacing w:val="-5"/>
        </w:rPr>
        <w:t>6</w:t>
      </w:r>
      <w:r>
        <w:rPr>
          <w:spacing w:val="-5"/>
        </w:rPr>
        <w:t>月与上海市社会信用促进中心达成全面合作，信用顾问、数据平台、</w:t>
      </w:r>
      <w:r>
        <w:rPr>
          <w:spacing w:val="-102"/>
        </w:rPr>
        <w:t> </w:t>
      </w:r>
      <w:r>
        <w:rPr>
          <w:spacing w:val="-102"/>
        </w:rPr>
      </w:r>
      <w:r>
        <w:rPr/>
        <w:t>大数据联合实验室正式启动，标志着追溯云正式进军食品安全信用评级领域。追溯云以云计 算为应用平台端口，二维码为追溯信息载体，大数据分析为决策依据，将追溯颗粒度做到每</w:t>
      </w:r>
      <w:r>
        <w:rPr/>
        <w:t> 个商品的每个批次、将追溯深度贯穿原产地到消费者手中的全链路，不断推动产品质量追溯 系统智能化、信息化、协同化。我们坚持以信息化手段提升监管效能，提高消费者查询追溯 信息的便捷性，为食品安全提供保障。</w:t>
      </w:r>
    </w:p>
    <w:p>
      <w:pPr>
        <w:pStyle w:val="Heading5"/>
        <w:spacing w:line="312" w:lineRule="exact" w:before="29"/>
        <w:ind w:right="1168" w:firstLine="482"/>
        <w:jc w:val="both"/>
      </w:pPr>
      <w:r>
        <w:rPr/>
        <w:t>公司将更聚焦智慧食安领域，覆盖生产加工、流通和消费全业务流程，提供更新、更先 进的信息化解决方案。以政府客户为中心、以食安整体解决方案为核心，加快向产品型、服 务型公司迈进，大力开拓食品安全多业务领域客户，实现公司各项经济指标的不断提升。</w:t>
      </w:r>
    </w:p>
    <w:p>
      <w:pPr>
        <w:spacing w:after="0" w:line="312" w:lineRule="exact"/>
        <w:jc w:val="both"/>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312" w:lineRule="exact" w:before="56"/>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（二）智慧档案领域</w:t>
      </w:r>
      <w:r>
        <w:rPr>
          <w:rFonts w:ascii="宋体" w:hAnsi="宋体" w:cs="宋体" w:eastAsia="宋体" w:hint="default"/>
          <w:b/>
          <w:bCs/>
          <w:w w:val="99"/>
          <w:sz w:val="24"/>
          <w:szCs w:val="24"/>
        </w:rPr>
        <w:t> </w:t>
      </w:r>
      <w:r>
        <w:rPr>
          <w:rFonts w:ascii="宋体" w:hAnsi="宋体" w:cs="宋体" w:eastAsia="宋体" w:hint="default"/>
          <w:sz w:val="24"/>
          <w:szCs w:val="24"/>
        </w:rPr>
        <w:t>在智慧档案领域，我司基于原有传统优势业务和客户积累，结合新技术新思路升级基础</w:t>
      </w:r>
    </w:p>
    <w:p>
      <w:pPr>
        <w:pStyle w:val="Heading5"/>
        <w:spacing w:line="312" w:lineRule="exact"/>
        <w:ind w:right="1129"/>
        <w:jc w:val="both"/>
      </w:pPr>
      <w:r>
        <w:rPr/>
        <w:t>档案领域的信息化服务，面向各级、各类档案部门提供档案咨询规划服务、软件技术开发服 务、数字档案馆室建设、智慧档案馆建设、数据分析检测与分析、档案托管等在内的全生命 </w:t>
      </w:r>
      <w:r>
        <w:rPr>
          <w:spacing w:val="-2"/>
        </w:rPr>
        <w:t>周期档案信息化服务。响应政策要求，紧跟公司</w:t>
      </w:r>
      <w:r>
        <w:rPr>
          <w:rFonts w:ascii="宋体" w:hAnsi="宋体" w:cs="宋体" w:eastAsia="宋体" w:hint="default"/>
          <w:spacing w:val="-2"/>
        </w:rPr>
        <w:t>2.0</w:t>
      </w:r>
      <w:r>
        <w:rPr>
          <w:spacing w:val="-2"/>
        </w:rPr>
        <w:t>战略发展规划，智慧档案事业群不断推陈</w:t>
      </w:r>
      <w:r>
        <w:rPr>
          <w:spacing w:val="-116"/>
        </w:rPr>
        <w:t> </w:t>
      </w:r>
      <w:r>
        <w:rPr>
          <w:spacing w:val="-116"/>
        </w:rPr>
      </w:r>
      <w:r>
        <w:rPr/>
        <w:t>出新，积极利用大数据、云计算、人工智能、区块链等新技术，打造档案行业专有云和档案 大数据综合解决方案，构建互联网</w:t>
      </w:r>
      <w:r>
        <w:rPr>
          <w:rFonts w:ascii="宋体" w:hAnsi="宋体" w:cs="宋体" w:eastAsia="宋体" w:hint="default"/>
        </w:rPr>
        <w:t>+</w:t>
      </w:r>
      <w:r>
        <w:rPr/>
        <w:t>时代的智慧档案产业生态圈。</w:t>
      </w:r>
    </w:p>
    <w:p>
      <w:pPr>
        <w:pStyle w:val="Heading5"/>
        <w:spacing w:line="312" w:lineRule="exact"/>
        <w:ind w:right="1131" w:firstLine="480"/>
        <w:jc w:val="both"/>
      </w:pPr>
      <w:r>
        <w:rPr>
          <w:spacing w:val="-3"/>
        </w:rPr>
        <w:t>报告期内，公司共计承接了</w:t>
      </w:r>
      <w:r>
        <w:rPr>
          <w:rFonts w:ascii="宋体" w:hAnsi="宋体" w:cs="宋体" w:eastAsia="宋体" w:hint="default"/>
          <w:spacing w:val="-3"/>
        </w:rPr>
        <w:t>40</w:t>
      </w:r>
      <w:r>
        <w:rPr>
          <w:spacing w:val="-3"/>
        </w:rPr>
        <w:t>家副省级以上档案局（馆）客户，市场覆盖率为</w:t>
      </w:r>
      <w:r>
        <w:rPr>
          <w:rFonts w:ascii="宋体" w:hAnsi="宋体" w:cs="宋体" w:eastAsia="宋体" w:hint="default"/>
          <w:spacing w:val="-3"/>
        </w:rPr>
        <w:t>80%</w:t>
      </w:r>
      <w:r>
        <w:rPr>
          <w:spacing w:val="-3"/>
        </w:rPr>
        <w:t>。在上</w:t>
      </w:r>
      <w:r>
        <w:rPr/>
        <w:t> 海市的档案局（馆）客户覆盖率为</w:t>
      </w:r>
      <w:r>
        <w:rPr>
          <w:rFonts w:ascii="宋体" w:hAnsi="宋体" w:cs="宋体" w:eastAsia="宋体" w:hint="default"/>
        </w:rPr>
        <w:t>100%</w:t>
      </w:r>
      <w:r>
        <w:rPr/>
        <w:t>，市场优势明显。在浙江省、江苏省的档案局（馆） 客户覆盖率也分别达到</w:t>
      </w:r>
      <w:r>
        <w:rPr>
          <w:rFonts w:ascii="宋体" w:hAnsi="宋体" w:cs="宋体" w:eastAsia="宋体" w:hint="default"/>
        </w:rPr>
        <w:t>54%</w:t>
      </w:r>
      <w:r>
        <w:rPr/>
        <w:t>和</w:t>
      </w:r>
      <w:r>
        <w:rPr>
          <w:rFonts w:ascii="宋体" w:hAnsi="宋体" w:cs="宋体" w:eastAsia="宋体" w:hint="default"/>
        </w:rPr>
        <w:t>36%</w:t>
      </w:r>
      <w:r>
        <w:rPr/>
        <w:t>。截至报告期末，信息发展档案客户已覆盖全国</w:t>
      </w:r>
      <w:r>
        <w:rPr>
          <w:rFonts w:ascii="宋体" w:hAnsi="宋体" w:cs="宋体" w:eastAsia="宋体" w:hint="default"/>
        </w:rPr>
        <w:t>30</w:t>
      </w:r>
      <w:r>
        <w:rPr/>
        <w:t>个省、直</w:t>
      </w:r>
    </w:p>
    <w:p>
      <w:pPr>
        <w:pStyle w:val="Heading5"/>
        <w:spacing w:line="312" w:lineRule="exact"/>
        <w:ind w:right="996"/>
        <w:jc w:val="left"/>
      </w:pPr>
      <w:r>
        <w:rPr/>
        <w:t>辖市、自治区。</w:t>
      </w:r>
      <w:r>
        <w:rPr>
          <w:rFonts w:ascii="宋体" w:hAnsi="宋体" w:cs="宋体" w:eastAsia="宋体" w:hint="default"/>
        </w:rPr>
        <w:t>2019</w:t>
      </w:r>
      <w:r>
        <w:rPr/>
        <w:t>年主要客户有重庆市档案馆、内蒙古自治区档案馆、越秀集团、中国银 河证券、泰隆银行、海通证券、兴业证券、厦门国际银行、海康威视、天津滨港房地产、北 </w:t>
      </w:r>
      <w:r>
        <w:rPr>
          <w:spacing w:val="-2"/>
        </w:rPr>
        <w:t>京市建设工程发包承包交易中心、康达尔集团、格力集团、中国民航、南京空港枢纽经济区、</w:t>
      </w:r>
      <w:r>
        <w:rPr/>
        <w:t> 上海建科集团、申江万国数据信息、上海市阳光康复中心、大地财产保险、上海环境集团、 西安科技大学、河南建筑职业技术学院、陕西省最高人民检察院、中原银行、四川路桥桥梁 工程、江西煌上煌集团、湖南理工学院、上海市阳光康复中心、大地财产保险、上海环境集 团、兰州第二人民医院等，其中，重庆市档案馆近</w:t>
      </w:r>
      <w:r>
        <w:rPr>
          <w:rFonts w:ascii="宋体" w:hAnsi="宋体" w:cs="宋体" w:eastAsia="宋体" w:hint="default"/>
        </w:rPr>
        <w:t>2600</w:t>
      </w:r>
      <w:r>
        <w:rPr/>
        <w:t>万的合同金额，不仅刷新了公司成立 </w:t>
      </w:r>
      <w:r>
        <w:rPr>
          <w:spacing w:val="-4"/>
        </w:rPr>
        <w:t>以来的档案业务签约额之最，同时实现了区块链技术在机关档案业务中的应用。。</w:t>
      </w:r>
    </w:p>
    <w:p>
      <w:pPr>
        <w:pStyle w:val="Heading5"/>
        <w:spacing w:line="312" w:lineRule="exact"/>
        <w:ind w:right="986" w:firstLine="480"/>
        <w:jc w:val="left"/>
      </w:pPr>
      <w:r>
        <w:rPr>
          <w:rFonts w:ascii="宋体" w:hAnsi="宋体" w:cs="宋体" w:eastAsia="宋体" w:hint="default"/>
          <w:spacing w:val="-3"/>
        </w:rPr>
        <w:t>2019</w:t>
      </w:r>
      <w:r>
        <w:rPr>
          <w:spacing w:val="-3"/>
        </w:rPr>
        <w:t>年在保持政府客户稳定发展的基础上，积极开拓企业客户，重点聚焦的行业有保险、</w:t>
      </w:r>
      <w:r>
        <w:rPr/>
        <w:t> 证券、银行、房地产、交通、高校等。</w:t>
      </w:r>
    </w:p>
    <w:p>
      <w:pPr>
        <w:pStyle w:val="Heading5"/>
        <w:spacing w:line="312" w:lineRule="exact"/>
        <w:ind w:right="1131" w:firstLine="480"/>
        <w:jc w:val="both"/>
      </w:pPr>
      <w:r>
        <w:rPr>
          <w:rFonts w:ascii="宋体" w:hAnsi="宋体" w:cs="宋体" w:eastAsia="宋体" w:hint="default"/>
          <w:spacing w:val="-2"/>
        </w:rPr>
        <w:t>2019</w:t>
      </w:r>
      <w:r>
        <w:rPr>
          <w:spacing w:val="-2"/>
        </w:rPr>
        <w:t>年助力</w:t>
      </w:r>
      <w:r>
        <w:rPr>
          <w:rFonts w:ascii="宋体" w:hAnsi="宋体" w:cs="宋体" w:eastAsia="宋体" w:hint="default"/>
          <w:spacing w:val="-2"/>
        </w:rPr>
        <w:t>4</w:t>
      </w:r>
      <w:r>
        <w:rPr>
          <w:spacing w:val="-2"/>
        </w:rPr>
        <w:t>家档案馆通过全国示范数字档案馆测评，</w:t>
      </w:r>
      <w:r>
        <w:rPr>
          <w:rFonts w:ascii="宋体" w:hAnsi="宋体" w:cs="宋体" w:eastAsia="宋体" w:hint="default"/>
          <w:spacing w:val="-2"/>
        </w:rPr>
        <w:t>12</w:t>
      </w:r>
      <w:r>
        <w:rPr>
          <w:spacing w:val="-2"/>
        </w:rPr>
        <w:t>家档案馆通过国家级数字档案馆</w:t>
      </w:r>
      <w:r>
        <w:rPr/>
        <w:t> </w:t>
      </w:r>
      <w:r>
        <w:rPr>
          <w:spacing w:val="-8"/>
        </w:rPr>
        <w:t>测评。截至报告期内，共计帮助</w:t>
      </w:r>
      <w:r>
        <w:rPr>
          <w:rFonts w:ascii="宋体" w:hAnsi="宋体" w:cs="宋体" w:eastAsia="宋体" w:hint="default"/>
          <w:spacing w:val="-8"/>
        </w:rPr>
        <w:t>9</w:t>
      </w:r>
      <w:r>
        <w:rPr>
          <w:spacing w:val="-8"/>
        </w:rPr>
        <w:t>家客户通过“全国示范数字档案馆”测评，</w:t>
      </w:r>
      <w:r>
        <w:rPr>
          <w:rFonts w:ascii="宋体" w:hAnsi="宋体" w:cs="宋体" w:eastAsia="宋体" w:hint="default"/>
          <w:spacing w:val="-8"/>
        </w:rPr>
        <w:t>28</w:t>
      </w:r>
      <w:r>
        <w:rPr>
          <w:spacing w:val="-8"/>
        </w:rPr>
        <w:t>家客户通过“国</w:t>
      </w:r>
      <w:r>
        <w:rPr>
          <w:spacing w:val="-99"/>
        </w:rPr>
        <w:t> </w:t>
      </w:r>
      <w:r>
        <w:rPr>
          <w:spacing w:val="-99"/>
        </w:rPr>
      </w:r>
      <w:r>
        <w:rPr/>
        <w:t>家级数字档案馆”测评。其中，浙江省档案馆成为首家省级全国示范数字档案馆。</w:t>
      </w:r>
    </w:p>
    <w:p>
      <w:pPr>
        <w:spacing w:line="240" w:lineRule="auto" w:before="11"/>
        <w:rPr>
          <w:rFonts w:ascii="宋体" w:hAnsi="宋体" w:cs="宋体" w:eastAsia="宋体" w:hint="default"/>
          <w:sz w:val="23"/>
          <w:szCs w:val="23"/>
        </w:rPr>
      </w:pPr>
    </w:p>
    <w:p>
      <w:pPr>
        <w:spacing w:line="312" w:lineRule="exact" w:before="0"/>
        <w:ind w:left="593" w:right="1153" w:firstLine="0"/>
        <w:jc w:val="left"/>
        <w:rPr>
          <w:rFonts w:ascii="宋体" w:hAnsi="宋体" w:cs="宋体" w:eastAsia="宋体" w:hint="default"/>
          <w:sz w:val="24"/>
          <w:szCs w:val="24"/>
        </w:rPr>
      </w:pPr>
      <w:r>
        <w:rPr>
          <w:rFonts w:ascii="宋体" w:hAnsi="宋体" w:cs="宋体" w:eastAsia="宋体" w:hint="default"/>
          <w:b/>
          <w:bCs/>
          <w:sz w:val="24"/>
          <w:szCs w:val="24"/>
        </w:rPr>
        <w:t>（三）智慧司法领域</w:t>
      </w:r>
      <w:r>
        <w:rPr>
          <w:rFonts w:ascii="宋体" w:hAnsi="宋体" w:cs="宋体" w:eastAsia="宋体" w:hint="default"/>
          <w:b/>
          <w:bCs/>
          <w:w w:val="99"/>
          <w:sz w:val="24"/>
          <w:szCs w:val="24"/>
        </w:rPr>
        <w:t> </w:t>
      </w:r>
      <w:r>
        <w:rPr>
          <w:rFonts w:ascii="宋体" w:hAnsi="宋体" w:cs="宋体" w:eastAsia="宋体" w:hint="default"/>
          <w:sz w:val="24"/>
          <w:szCs w:val="24"/>
        </w:rPr>
        <w:t>公司以优秀的智慧监所解决方案及省级智慧监所统一管理平台为主打产品，借助全国智</w:t>
      </w:r>
    </w:p>
    <w:p>
      <w:pPr>
        <w:pStyle w:val="Heading5"/>
        <w:spacing w:line="312" w:lineRule="exact"/>
        <w:ind w:right="1171"/>
        <w:jc w:val="both"/>
      </w:pPr>
      <w:r>
        <w:rPr/>
        <w:t>慧监所示范单位创建命名契机，聚力监所业务市场，跑马圈地，抢占市场制高点，并以监所 智能化产品终端为辅助，精耕细作监所市场，提高市场占有率。凭借优势产品，公司积极拓 展智慧戒毒、社区矫正及公安智慧警务室、智慧看守所建设等领域，致力于利用信息化建设 推动社会发展与进步，为国家治理体系和治理能力现代化提供技术支撑。</w:t>
      </w:r>
    </w:p>
    <w:p>
      <w:pPr>
        <w:pStyle w:val="Heading5"/>
        <w:spacing w:line="312" w:lineRule="exact"/>
        <w:ind w:right="1171" w:firstLine="480"/>
        <w:jc w:val="both"/>
      </w:pPr>
      <w:r>
        <w:rPr/>
        <w:t>公司助力北京监狱智脑应用系统、江苏监狱智能管理大平台荣获司法部信息化大比武一 等奖。截止报告期末，公司目前已经承接江苏、安徽、北京、上海、新疆自治区、湖南、贵 州、江西等省级智慧监所平台建设，除上述省份外，公司还参与了上海市、青海省、陕西省</w:t>
      </w:r>
    </w:p>
    <w:p>
      <w:pPr>
        <w:pStyle w:val="Heading5"/>
        <w:spacing w:line="312" w:lineRule="exact"/>
        <w:ind w:left="593" w:right="1290" w:hanging="481"/>
        <w:jc w:val="left"/>
      </w:pPr>
      <w:r>
        <w:rPr/>
        <w:t>智慧警务室和智慧看守所建设。广东省英德监狱</w:t>
      </w:r>
      <w:r>
        <w:rPr>
          <w:rFonts w:ascii="宋体" w:hAnsi="宋体" w:cs="宋体" w:eastAsia="宋体" w:hint="default"/>
        </w:rPr>
        <w:t>-</w:t>
      </w:r>
      <w:r>
        <w:rPr/>
        <w:t>广东省英德监狱信息安全等级保护项目 报告期内公司还承建了贵州省监狱管理局</w:t>
      </w:r>
      <w:r>
        <w:rPr>
          <w:rFonts w:ascii="宋体" w:hAnsi="宋体" w:cs="宋体" w:eastAsia="宋体" w:hint="default"/>
        </w:rPr>
        <w:t>-</w:t>
      </w:r>
      <w:r>
        <w:rPr/>
        <w:t>贵州省监狱数据采集汇聚及交换共享平台建</w:t>
      </w:r>
    </w:p>
    <w:p>
      <w:pPr>
        <w:pStyle w:val="Heading5"/>
        <w:spacing w:line="312" w:lineRule="exact"/>
        <w:ind w:right="1131"/>
        <w:jc w:val="both"/>
      </w:pPr>
      <w:r>
        <w:rPr/>
        <w:t>设、辽宁省辽宁新康监狱</w:t>
      </w:r>
      <w:r>
        <w:rPr>
          <w:rFonts w:ascii="宋体" w:hAnsi="宋体" w:cs="宋体" w:eastAsia="宋体" w:hint="default"/>
        </w:rPr>
        <w:t>-</w:t>
      </w:r>
      <w:r>
        <w:rPr/>
        <w:t>辽宁省辽南新康监狱会见室等候区设备采购项目、青海省司法厅</w:t>
      </w:r>
      <w:r>
        <w:rPr>
          <w:rFonts w:ascii="宋体" w:hAnsi="宋体" w:cs="宋体" w:eastAsia="宋体" w:hint="default"/>
        </w:rPr>
        <w:t>- </w:t>
      </w:r>
      <w:r>
        <w:rPr>
          <w:spacing w:val="-2"/>
        </w:rPr>
        <w:t>青海省司法厅社区矫正人员定位腕表采购项目、青海省西川监狱</w:t>
      </w:r>
      <w:r>
        <w:rPr>
          <w:rFonts w:ascii="宋体" w:hAnsi="宋体" w:cs="宋体" w:eastAsia="宋体" w:hint="default"/>
          <w:spacing w:val="-2"/>
        </w:rPr>
        <w:t>-</w:t>
      </w:r>
      <w:r>
        <w:rPr>
          <w:spacing w:val="-2"/>
        </w:rPr>
        <w:t>青海省西川监狱会见系统改</w:t>
      </w:r>
      <w:r>
        <w:rPr/>
        <w:t> </w:t>
      </w:r>
      <w:r>
        <w:rPr>
          <w:spacing w:val="-2"/>
        </w:rPr>
        <w:t>造采购项目、青海省大通监狱智慧监狱综合管理项目一期工程、山东省任城监狱</w:t>
      </w:r>
      <w:r>
        <w:rPr>
          <w:rFonts w:ascii="宋体" w:hAnsi="宋体" w:cs="宋体" w:eastAsia="宋体" w:hint="default"/>
          <w:spacing w:val="-2"/>
        </w:rPr>
        <w:t>-</w:t>
      </w:r>
      <w:r>
        <w:rPr>
          <w:spacing w:val="-2"/>
        </w:rPr>
        <w:t>山东省任城</w:t>
      </w:r>
      <w:r>
        <w:rPr>
          <w:spacing w:val="-118"/>
        </w:rPr>
        <w:t> </w:t>
      </w:r>
      <w:r>
        <w:rPr>
          <w:spacing w:val="-3"/>
        </w:rPr>
        <w:t>监狱扩建项目智能化系统工程（八标段）、山东省任城监狱</w:t>
      </w:r>
      <w:r>
        <w:rPr>
          <w:rFonts w:ascii="宋体" w:hAnsi="宋体" w:cs="宋体" w:eastAsia="宋体" w:hint="default"/>
          <w:spacing w:val="-3"/>
        </w:rPr>
        <w:t>-</w:t>
      </w:r>
      <w:r>
        <w:rPr>
          <w:spacing w:val="-3"/>
        </w:rPr>
        <w:t>山东省任城监狱扩建项目智能化</w:t>
      </w:r>
      <w:r>
        <w:rPr>
          <w:spacing w:val="-116"/>
        </w:rPr>
        <w:t> </w:t>
      </w:r>
      <w:r>
        <w:rPr>
          <w:spacing w:val="-8"/>
        </w:rPr>
        <w:t>系统工程（八标段）、四川省内江市司法局</w:t>
      </w:r>
      <w:r>
        <w:rPr>
          <w:rFonts w:ascii="宋体" w:hAnsi="宋体" w:cs="宋体" w:eastAsia="宋体" w:hint="default"/>
          <w:spacing w:val="-8"/>
        </w:rPr>
        <w:t>-</w:t>
      </w:r>
      <w:r>
        <w:rPr>
          <w:spacing w:val="-8"/>
        </w:rPr>
        <w:t>司法行政指挥中心平台建设（一期）、云南省第一</w:t>
      </w:r>
      <w:r>
        <w:rPr>
          <w:spacing w:val="-107"/>
        </w:rPr>
        <w:t> </w:t>
      </w:r>
      <w:r>
        <w:rPr>
          <w:spacing w:val="-107"/>
        </w:rPr>
      </w:r>
      <w:r>
        <w:rPr/>
        <w:t>女子监狱</w:t>
      </w:r>
      <w:r>
        <w:rPr>
          <w:rFonts w:ascii="宋体" w:hAnsi="宋体" w:cs="宋体" w:eastAsia="宋体" w:hint="default"/>
        </w:rPr>
        <w:t>-</w:t>
      </w:r>
      <w:r>
        <w:rPr/>
        <w:t>云南省第一女子监狱信息化系统维护项目、云南省第一女子监狱</w:t>
      </w:r>
      <w:r>
        <w:rPr>
          <w:rFonts w:ascii="宋体" w:hAnsi="宋体" w:cs="宋体" w:eastAsia="宋体" w:hint="default"/>
        </w:rPr>
        <w:t>-</w:t>
      </w:r>
      <w:r>
        <w:rPr/>
        <w:t>云南省第一女子 </w:t>
      </w:r>
      <w:r>
        <w:rPr>
          <w:spacing w:val="-2"/>
        </w:rPr>
        <w:t>监狱信息化技防系统设备采购、云南省第一女子监狱</w:t>
      </w:r>
      <w:r>
        <w:rPr>
          <w:rFonts w:ascii="宋体" w:hAnsi="宋体" w:cs="宋体" w:eastAsia="宋体" w:hint="default"/>
          <w:spacing w:val="-2"/>
        </w:rPr>
        <w:t>-</w:t>
      </w:r>
      <w:r>
        <w:rPr>
          <w:spacing w:val="-2"/>
        </w:rPr>
        <w:t>云南省第一女子监狱信息化系统集成服</w:t>
      </w:r>
    </w:p>
    <w:p>
      <w:pPr>
        <w:spacing w:after="0" w:line="312"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40" w:lineRule="auto" w:before="26"/>
        <w:ind w:right="1169"/>
        <w:jc w:val="left"/>
      </w:pPr>
      <w:r>
        <w:rPr/>
        <w:t>务采购项目、宁海县司法局</w:t>
      </w:r>
      <w:r>
        <w:rPr>
          <w:rFonts w:ascii="宋体" w:hAnsi="宋体" w:cs="宋体" w:eastAsia="宋体" w:hint="default"/>
        </w:rPr>
        <w:t>-</w:t>
      </w:r>
      <w:r>
        <w:rPr/>
        <w:t>社区矫正定位服务、广州杰赛科技股份有限公司</w:t>
      </w:r>
      <w:r>
        <w:rPr>
          <w:rFonts w:ascii="宋体" w:hAnsi="宋体" w:cs="宋体" w:eastAsia="宋体" w:hint="default"/>
        </w:rPr>
        <w:t>-</w:t>
      </w:r>
      <w:r>
        <w:rPr/>
        <w:t>浙江省之江监 狱信息化工程及监理项目、慈溪市司法局</w:t>
      </w:r>
      <w:r>
        <w:rPr>
          <w:rFonts w:ascii="宋体" w:hAnsi="宋体" w:cs="宋体" w:eastAsia="宋体" w:hint="default"/>
        </w:rPr>
        <w:t>-</w:t>
      </w:r>
      <w:r>
        <w:rPr/>
        <w:t>社区矫正定位服务。</w:t>
      </w:r>
    </w:p>
    <w:p>
      <w:pPr>
        <w:pStyle w:val="Heading5"/>
        <w:spacing w:line="312" w:lineRule="exact" w:before="28"/>
        <w:ind w:right="1154" w:firstLine="480"/>
        <w:jc w:val="left"/>
      </w:pPr>
      <w:r>
        <w:rPr>
          <w:rFonts w:ascii="宋体" w:hAnsi="宋体" w:cs="宋体" w:eastAsia="宋体" w:hint="default"/>
        </w:rPr>
        <w:t>2019</w:t>
      </w:r>
      <w:r>
        <w:rPr/>
        <w:t>年我司与阿里在安徽省监狱管理局执法执勤大平台项目中进行相关大数据技术合 作。在项目中采用阿里的大数据平台，围绕监管安全、五大改造、公正执法、警务管理、后 勤保障等核心主题，实时融合监狱在犯情、警情、狱情和物防信息资源，利用大数据的预见 性，通过对静态、动态和预警三类数据的收集，挖掘、连接、分析和运用，从人、物、状态 三个维度，监测省局、监狱、监区三级管理运行情况，对监狱的监管安全趋势进行科学化监 测，提供多方位、全层次的安全指数评估。对监狱安全、执法、改造、生卫等方面，进行态 势研判和监测测报，并针对性提供研判和预警服务。在监狱区域管控数据标准化、自动化采 集的基础上，快速启动数据分析，挖掘数据价值，为监狱人工智能架设神经层，并为省监狱 管理局大数据平台的数据挖掘和数据可视化实现服务奠定基础。</w:t>
      </w:r>
    </w:p>
    <w:p>
      <w:pPr>
        <w:spacing w:line="240" w:lineRule="auto" w:before="12"/>
        <w:rPr>
          <w:rFonts w:ascii="宋体" w:hAnsi="宋体" w:cs="宋体" w:eastAsia="宋体" w:hint="default"/>
          <w:sz w:val="23"/>
          <w:szCs w:val="23"/>
        </w:rPr>
      </w:pPr>
    </w:p>
    <w:p>
      <w:pPr>
        <w:pStyle w:val="Heading4"/>
        <w:spacing w:line="312" w:lineRule="exact"/>
        <w:ind w:left="533" w:right="8284" w:firstLine="60"/>
        <w:jc w:val="left"/>
        <w:rPr>
          <w:b w:val="0"/>
          <w:bCs w:val="0"/>
        </w:rPr>
      </w:pPr>
      <w:r>
        <w:rPr/>
        <w:t>（四）创新中心</w:t>
      </w:r>
      <w:r>
        <w:rPr>
          <w:w w:val="99"/>
        </w:rPr>
        <w:t> </w:t>
      </w:r>
      <w:r>
        <w:rPr>
          <w:rFonts w:ascii="宋体" w:hAnsi="宋体" w:cs="宋体" w:eastAsia="宋体" w:hint="default"/>
        </w:rPr>
        <w:t>1</w:t>
      </w:r>
      <w:r>
        <w:rPr/>
        <w:t>、区块链创新中心</w:t>
      </w:r>
      <w:r>
        <w:rPr>
          <w:b w:val="0"/>
          <w:bCs w:val="0"/>
        </w:rPr>
      </w:r>
    </w:p>
    <w:p>
      <w:pPr>
        <w:pStyle w:val="Heading5"/>
        <w:spacing w:line="312" w:lineRule="exact" w:before="101"/>
        <w:ind w:right="1009"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日《区块链信息服务管理规定》正式实施以来，国家互联网信息办公室于今 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日发布第一批共</w:t>
      </w:r>
      <w:r>
        <w:rPr>
          <w:rFonts w:ascii="Times New Roman" w:hAnsi="Times New Roman" w:cs="Times New Roman" w:eastAsia="Times New Roman" w:hint="default"/>
        </w:rPr>
        <w:t>197</w:t>
      </w:r>
      <w:r>
        <w:rPr/>
        <w:t>个境内区块链信息服务名称及备案编号。并于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日发</w:t>
      </w:r>
      <w:r>
        <w:rPr>
          <w:spacing w:val="-85"/>
        </w:rPr>
        <w:t> </w:t>
      </w:r>
      <w:r>
        <w:rPr>
          <w:spacing w:val="-5"/>
        </w:rPr>
        <w:t>布了第二批共</w:t>
      </w:r>
      <w:r>
        <w:rPr>
          <w:rFonts w:ascii="Times New Roman" w:hAnsi="Times New Roman" w:cs="Times New Roman" w:eastAsia="Times New Roman" w:hint="default"/>
          <w:spacing w:val="-5"/>
        </w:rPr>
        <w:t>309</w:t>
      </w:r>
      <w:r>
        <w:rPr>
          <w:spacing w:val="-5"/>
        </w:rPr>
        <w:t>个境内区块链信息服务名称及备案编号，其应用方向涵盖文旅、教育、电商、</w:t>
      </w:r>
      <w:r>
        <w:rPr>
          <w:spacing w:val="-109"/>
        </w:rPr>
        <w:t> </w:t>
      </w:r>
      <w:r>
        <w:rPr>
          <w:spacing w:val="-109"/>
        </w:rPr>
      </w:r>
      <w:r>
        <w:rPr/>
        <w:t>司法、医疗、供应链金融等多个领域。</w:t>
      </w:r>
    </w:p>
    <w:p>
      <w:pPr>
        <w:pStyle w:val="Heading5"/>
        <w:spacing w:line="312" w:lineRule="exact" w:before="98"/>
        <w:ind w:right="986"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月，中共中央、国务院发布关于深化改革加强食品安全工作的意见。意见提到， </w:t>
      </w:r>
      <w:r>
        <w:rPr>
          <w:spacing w:val="-6"/>
        </w:rPr>
        <w:t>推进“互联网</w:t>
      </w:r>
      <w:r>
        <w:rPr>
          <w:rFonts w:ascii="Times New Roman" w:hAnsi="Times New Roman" w:cs="Times New Roman" w:eastAsia="Times New Roman" w:hint="default"/>
          <w:spacing w:val="-6"/>
        </w:rPr>
        <w:t>+</w:t>
      </w:r>
      <w:r>
        <w:rPr>
          <w:spacing w:val="-6"/>
        </w:rPr>
        <w:t>食品”监管。建立基于大数据分析的食品安全信息平台，推进大数据、云计算、</w:t>
      </w:r>
      <w:r>
        <w:rPr>
          <w:spacing w:val="-89"/>
        </w:rPr>
        <w:t> </w:t>
      </w:r>
      <w:r>
        <w:rPr>
          <w:spacing w:val="-89"/>
        </w:rPr>
      </w:r>
      <w:r>
        <w:rPr/>
        <w:t>物联网、人工智能、区块链等技术在食品安全监管领域的应用，实施智慧监管，逐步实现食</w:t>
      </w:r>
      <w:r>
        <w:rPr>
          <w:spacing w:val="-91"/>
        </w:rPr>
        <w:t> </w:t>
      </w:r>
      <w:r>
        <w:rPr>
          <w:spacing w:val="-91"/>
        </w:rPr>
      </w:r>
      <w:r>
        <w:rPr/>
        <w:t>品安全违法犯罪线索网上排查汇聚和案件网上移送、网上受理、网上监督，提升监管工作信</w:t>
      </w:r>
      <w:r>
        <w:rPr>
          <w:spacing w:val="-91"/>
        </w:rPr>
        <w:t> </w:t>
      </w:r>
      <w:r>
        <w:rPr>
          <w:spacing w:val="-91"/>
        </w:rPr>
      </w:r>
      <w:r>
        <w:rPr/>
        <w:t>息化水平。</w:t>
      </w:r>
    </w:p>
    <w:p>
      <w:pPr>
        <w:pStyle w:val="Heading5"/>
        <w:spacing w:line="312" w:lineRule="exact" w:before="101"/>
        <w:ind w:right="1132" w:firstLine="480"/>
        <w:jc w:val="both"/>
      </w:pPr>
      <w:r>
        <w:rPr>
          <w:spacing w:val="-3"/>
        </w:rPr>
        <w:t>国务院食品安全委员会也于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月发布《</w:t>
      </w:r>
      <w:r>
        <w:rPr>
          <w:rFonts w:ascii="Times New Roman" w:hAnsi="Times New Roman" w:cs="Times New Roman" w:eastAsia="Times New Roman" w:hint="default"/>
          <w:spacing w:val="-3"/>
        </w:rPr>
        <w:t>2019</w:t>
      </w:r>
      <w:r>
        <w:rPr>
          <w:spacing w:val="-3"/>
        </w:rPr>
        <w:t>年食品安全重点工作安排》，提出“推</w:t>
      </w:r>
      <w:r>
        <w:rPr/>
        <w:t> </w:t>
      </w:r>
      <w:r>
        <w:rPr>
          <w:spacing w:val="-3"/>
        </w:rPr>
        <w:t>进‘互联网</w:t>
      </w:r>
      <w:r>
        <w:rPr>
          <w:rFonts w:ascii="Times New Roman" w:hAnsi="Times New Roman" w:cs="Times New Roman" w:eastAsia="Times New Roman" w:hint="default"/>
          <w:spacing w:val="-3"/>
        </w:rPr>
        <w:t>+</w:t>
      </w:r>
      <w:r>
        <w:rPr>
          <w:spacing w:val="-3"/>
        </w:rPr>
        <w:t>食品’监管，重点运用大数据、云计算、物联网、人工智能、区块链技术，建立</w:t>
      </w:r>
      <w:r>
        <w:rPr>
          <w:spacing w:val="-95"/>
        </w:rPr>
        <w:t> </w:t>
      </w:r>
      <w:r>
        <w:rPr>
          <w:spacing w:val="-95"/>
        </w:rPr>
      </w:r>
      <w:r>
        <w:rPr>
          <w:spacing w:val="-4"/>
        </w:rPr>
        <w:t>重点食品追溯协作平台，发挥‘智慧监管’作用，提高食品安全风险管理能力。”</w:t>
      </w:r>
    </w:p>
    <w:p>
      <w:pPr>
        <w:pStyle w:val="Heading5"/>
        <w:spacing w:line="312" w:lineRule="exact" w:before="101"/>
        <w:ind w:right="1130"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月，上海市副市长吴清表示，上海将不断地深化金融与科技的联动，落实国际金</w:t>
      </w:r>
      <w:r>
        <w:rPr/>
        <w:t> 融中心建设的三年行动计划，加快建设金融科技中心，推动金融机构在上海发展金融科技，</w:t>
      </w:r>
      <w:r>
        <w:rPr>
          <w:spacing w:val="-91"/>
        </w:rPr>
        <w:t> </w:t>
      </w:r>
      <w:r>
        <w:rPr>
          <w:spacing w:val="-91"/>
        </w:rPr>
      </w:r>
      <w:r>
        <w:rPr/>
        <w:t>构建金融科技产业链，鼓励金融服务于人工智能、区块链、云计算等科技手段，为新金融人</w:t>
      </w:r>
      <w:r>
        <w:rPr>
          <w:spacing w:val="-91"/>
        </w:rPr>
        <w:t> </w:t>
      </w:r>
      <w:r>
        <w:rPr>
          <w:spacing w:val="-91"/>
        </w:rPr>
      </w:r>
      <w:r>
        <w:rPr/>
        <w:t>才培养、产教融合纵深发展提供土壤。同时上海市科委、上海市经信委、上海市商委等委办</w:t>
      </w:r>
      <w:r>
        <w:rPr>
          <w:spacing w:val="-89"/>
        </w:rPr>
        <w:t> </w:t>
      </w:r>
      <w:r>
        <w:rPr>
          <w:spacing w:val="-89"/>
        </w:rPr>
      </w:r>
      <w:r>
        <w:rPr/>
        <w:t>局以及各区县纷纷出台了区块链专项支持、发展政策引导以及优化产业发展环境，大力推动</w:t>
      </w:r>
      <w:r>
        <w:rPr>
          <w:spacing w:val="-91"/>
        </w:rPr>
        <w:t> </w:t>
      </w:r>
      <w:r>
        <w:rPr>
          <w:spacing w:val="-91"/>
        </w:rPr>
      </w:r>
      <w:r>
        <w:rPr/>
        <w:t>区块链技术研究与应用创新。</w:t>
      </w:r>
    </w:p>
    <w:p>
      <w:pPr>
        <w:pStyle w:val="Heading5"/>
        <w:spacing w:line="235" w:lineRule="auto" w:before="73"/>
        <w:ind w:right="1132" w:firstLine="48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月，中国银保监会发布了推动供应链金融服务实体经济的指导意见，指出鼓励银</w:t>
      </w:r>
      <w:r>
        <w:rPr/>
        <w:t> 行业金融机构在依法合规、信息交互充分、风险管控有效的基础上，运用互联网、物联网、</w:t>
      </w:r>
      <w:r>
        <w:rPr>
          <w:spacing w:val="-91"/>
        </w:rPr>
        <w:t> </w:t>
      </w:r>
      <w:r>
        <w:rPr>
          <w:spacing w:val="-91"/>
        </w:rPr>
      </w:r>
      <w:r>
        <w:rPr/>
        <w:t>区块链、生物识别、人工智能等技术，与核心企业等合作搭建服务上下游链条企业的供应链</w:t>
      </w:r>
      <w:r>
        <w:rPr>
          <w:spacing w:val="-91"/>
        </w:rPr>
        <w:t> </w:t>
      </w:r>
      <w:r>
        <w:rPr>
          <w:spacing w:val="-91"/>
        </w:rPr>
      </w:r>
      <w:r>
        <w:rPr/>
        <w:t>金融服务平台。</w:t>
      </w:r>
    </w:p>
    <w:p>
      <w:pPr>
        <w:pStyle w:val="Heading5"/>
        <w:spacing w:line="312" w:lineRule="exact" w:before="130"/>
        <w:ind w:right="996" w:firstLine="48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日，中共中央政治局就区块链技术发展现状和趋势进行第十八次集体学习，</w:t>
      </w:r>
      <w:r>
        <w:rPr/>
        <w:t> 会议上习近平总书记指出：区块链技术应用已延伸到数字金融、物联网、智能制造、供应链</w:t>
      </w:r>
      <w:r>
        <w:rPr>
          <w:spacing w:val="-90"/>
        </w:rPr>
        <w:t> </w:t>
      </w:r>
      <w:r>
        <w:rPr>
          <w:spacing w:val="-90"/>
        </w:rPr>
      </w:r>
      <w:r>
        <w:rPr/>
        <w:t>管理、数字资产交易等多个领域。目前，全球主要国家都在加快布局区块链技术发展。我国</w:t>
      </w:r>
      <w:r>
        <w:rPr>
          <w:spacing w:val="-91"/>
        </w:rPr>
        <w:t> </w:t>
      </w:r>
      <w:r>
        <w:rPr>
          <w:spacing w:val="-91"/>
        </w:rPr>
      </w:r>
      <w:r>
        <w:rPr/>
        <w:t>在区块链领域拥有良好基础，要加快推动区块链技术和产业创新发展，积极推进区块链和经</w:t>
      </w:r>
      <w:r>
        <w:rPr>
          <w:spacing w:val="-91"/>
        </w:rPr>
        <w:t> </w:t>
      </w:r>
      <w:r>
        <w:rPr>
          <w:spacing w:val="-91"/>
        </w:rPr>
      </w:r>
      <w:r>
        <w:rPr>
          <w:spacing w:val="-2"/>
        </w:rPr>
        <w:t>济社会融合发展。并强调：要把区块链作为核心技术自主创新的重要突破口，明确主攻方向，</w:t>
      </w:r>
      <w:r>
        <w:rPr/>
        <w:t> 加大投入力度，着力攻克一批关键核心技术，加快推动区块链技术和产业创新发展。</w:t>
      </w:r>
    </w:p>
    <w:p>
      <w:pPr>
        <w:spacing w:after="0" w:line="312"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1131" w:firstLine="480"/>
        <w:jc w:val="both"/>
      </w:pPr>
      <w:r>
        <w:rPr/>
        <w:t>区块链创新中心依托信息发展强大的技术研发实力，集中优秀技术创新人才，着力研发 区块链基础平台以及“区块链网关”等配套工具，已成功申请区块链发明专利</w:t>
      </w:r>
      <w:r>
        <w:rPr>
          <w:rFonts w:ascii="宋体" w:hAnsi="宋体" w:cs="宋体" w:eastAsia="宋体" w:hint="default"/>
        </w:rPr>
        <w:t>12</w:t>
      </w:r>
      <w:r>
        <w:rPr/>
        <w:t>项，全力打</w:t>
      </w:r>
      <w:r>
        <w:rPr>
          <w:spacing w:val="-88"/>
        </w:rPr>
        <w:t> </w:t>
      </w:r>
      <w:r>
        <w:rPr>
          <w:spacing w:val="-88"/>
        </w:rPr>
      </w:r>
      <w:r>
        <w:rPr>
          <w:spacing w:val="-5"/>
        </w:rPr>
        <w:t>造上海乃至国内领先的“信发链”品牌，如“信发链”区块链管理平台、“信发通”通证服务</w:t>
      </w:r>
      <w:r>
        <w:rPr>
          <w:spacing w:val="-117"/>
        </w:rPr>
        <w:t> </w:t>
      </w:r>
      <w:r>
        <w:rPr>
          <w:spacing w:val="-117"/>
        </w:rPr>
      </w:r>
      <w:r>
        <w:rPr/>
        <w:t>平台、</w:t>
      </w:r>
      <w:r>
        <w:rPr>
          <w:spacing w:val="-79"/>
        </w:rPr>
        <w:t> </w:t>
      </w:r>
      <w:r>
        <w:rPr/>
        <w:t>“灵光云”云管平台系列工具等创新产品。对内以智慧食安供应链生态圈区块链应用</w:t>
      </w:r>
      <w:r>
        <w:rPr/>
        <w:t> 为重点，兼顾对智慧档案、智慧司法业务的赋能；对外拓展电子存证、药品溯源、供应链管</w:t>
      </w:r>
      <w:r>
        <w:rPr>
          <w:spacing w:val="-91"/>
        </w:rPr>
        <w:t> </w:t>
      </w:r>
      <w:r>
        <w:rPr>
          <w:spacing w:val="-91"/>
        </w:rPr>
      </w:r>
      <w:r>
        <w:rPr/>
        <w:t>理等业务领域，实现“信发链”在各行各业的应用落地</w:t>
      </w:r>
    </w:p>
    <w:p>
      <w:pPr>
        <w:spacing w:line="314" w:lineRule="auto" w:before="99"/>
        <w:ind w:left="593" w:right="1133" w:hanging="6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、大数据创新中心</w:t>
      </w:r>
      <w:r>
        <w:rPr>
          <w:rFonts w:ascii="宋体" w:hAnsi="宋体" w:cs="宋体" w:eastAsia="宋体" w:hint="default"/>
          <w:b/>
          <w:bCs/>
          <w:w w:val="99"/>
          <w:sz w:val="24"/>
          <w:szCs w:val="24"/>
        </w:rPr>
        <w:t> </w:t>
      </w:r>
      <w:r>
        <w:rPr>
          <w:rFonts w:ascii="宋体" w:hAnsi="宋体" w:cs="宋体" w:eastAsia="宋体" w:hint="default"/>
          <w:sz w:val="24"/>
          <w:szCs w:val="24"/>
        </w:rPr>
        <w:t>随着信息经济发展，以大数据为代表的信息资源向生产要素的形态演进，数据已和其他</w:t>
      </w:r>
    </w:p>
    <w:p>
      <w:pPr>
        <w:pStyle w:val="Heading5"/>
        <w:spacing w:line="234" w:lineRule="exact"/>
        <w:ind w:right="1133"/>
        <w:jc w:val="left"/>
      </w:pPr>
      <w:r>
        <w:rPr/>
        <w:t>要素一起融入经济价值创造过程，对生产力发展有广泛影响。数据生产要素属性的提升，关</w:t>
      </w:r>
    </w:p>
    <w:p>
      <w:pPr>
        <w:pStyle w:val="Heading5"/>
        <w:spacing w:line="312" w:lineRule="exact" w:before="29"/>
        <w:ind w:right="1119"/>
        <w:jc w:val="left"/>
      </w:pPr>
      <w:r>
        <w:rPr>
          <w:spacing w:val="-5"/>
        </w:rPr>
        <w:t>系经济增长长期动力，关系国家发展未来。数据作为数字经济时代的“石油”，具备国家战略</w:t>
      </w:r>
      <w:r>
        <w:rPr>
          <w:spacing w:val="-115"/>
        </w:rPr>
        <w:t> </w:t>
      </w:r>
      <w:r>
        <w:rPr>
          <w:spacing w:val="-115"/>
        </w:rPr>
      </w:r>
      <w:r>
        <w:rPr/>
        <w:t>价值。</w:t>
      </w:r>
    </w:p>
    <w:p>
      <w:pPr>
        <w:pStyle w:val="Heading5"/>
        <w:spacing w:line="312" w:lineRule="exact" w:before="101"/>
        <w:ind w:right="1137" w:firstLine="480"/>
        <w:jc w:val="both"/>
      </w:pPr>
      <w:r>
        <w:rPr/>
        <w:t>我司积极提前布局，建立大数据智能创新中心作为公司创新引擎之一，通过加强人才队 伍建设和产品研发投入，立足专业积极探索大数据赋能业务的信息化整体解决方案，用数据</w:t>
      </w:r>
      <w:r>
        <w:rPr>
          <w:spacing w:val="-91"/>
        </w:rPr>
        <w:t> </w:t>
      </w:r>
      <w:r>
        <w:rPr>
          <w:spacing w:val="-91"/>
        </w:rPr>
      </w:r>
      <w:r>
        <w:rPr/>
        <w:t>作为重要生产要素带动业务提速，为业务增能提供全程保障，为政府及企业决策提供科学依</w:t>
      </w:r>
      <w:r>
        <w:rPr>
          <w:spacing w:val="-91"/>
        </w:rPr>
        <w:t> </w:t>
      </w:r>
      <w:r>
        <w:rPr>
          <w:spacing w:val="-91"/>
        </w:rPr>
      </w:r>
      <w:r>
        <w:rPr/>
        <w:t>据。加快研发“信发数”数据赋能平台，涵盖数据共享交换子系统、数据质量管理、数据治</w:t>
      </w:r>
      <w:r>
        <w:rPr>
          <w:spacing w:val="-90"/>
        </w:rPr>
        <w:t> </w:t>
      </w:r>
      <w:r>
        <w:rPr>
          <w:spacing w:val="-90"/>
        </w:rPr>
      </w:r>
      <w:r>
        <w:rPr/>
        <w:t>理、数据分析等子系统，为数据管理和运营服务提供基础性工具。大数据智能创新中心明确</w:t>
      </w:r>
      <w:r>
        <w:rPr>
          <w:spacing w:val="-91"/>
        </w:rPr>
        <w:t> </w:t>
      </w:r>
      <w:r>
        <w:rPr>
          <w:spacing w:val="-91"/>
        </w:rPr>
      </w:r>
      <w:r>
        <w:rPr/>
        <w:t>方向：</w:t>
      </w:r>
    </w:p>
    <w:p>
      <w:pPr>
        <w:pStyle w:val="Heading5"/>
        <w:spacing w:line="237" w:lineRule="auto" w:before="73"/>
        <w:ind w:right="1015" w:firstLine="480"/>
        <w:jc w:val="left"/>
      </w:pPr>
      <w:r>
        <w:rPr/>
        <w:t>建立数据分析和算法能力，面向政府和企业用户，开拓数据运营服务：报告期内，公司 承建的上海市数据共享交换平台数据质量监管及支撑子系统顺利通过验收，建成包括大数据</w:t>
      </w:r>
      <w:r>
        <w:rPr>
          <w:spacing w:val="-91"/>
        </w:rPr>
        <w:t> </w:t>
      </w:r>
      <w:r>
        <w:rPr>
          <w:spacing w:val="-91"/>
        </w:rPr>
      </w:r>
      <w:r>
        <w:rPr>
          <w:spacing w:val="-3"/>
        </w:rPr>
        <w:t>支撑、数据共享交换、数据治理、数据质量管理四大子系统，提供数据承载、共享交换管理、</w:t>
      </w:r>
      <w:r>
        <w:rPr>
          <w:spacing w:val="-82"/>
        </w:rPr>
        <w:t> </w:t>
      </w:r>
      <w:r>
        <w:rPr>
          <w:spacing w:val="-82"/>
        </w:rPr>
      </w:r>
      <w:r>
        <w:rPr/>
        <w:t>三清单和目录管理、数据质量管控、数据安全保障、数据服务等六大能力；成功中标上海科</w:t>
      </w:r>
      <w:r>
        <w:rPr>
          <w:spacing w:val="-91"/>
        </w:rPr>
        <w:t> </w:t>
      </w:r>
      <w:r>
        <w:rPr>
          <w:spacing w:val="-91"/>
        </w:rPr>
      </w:r>
      <w:r>
        <w:rPr/>
        <w:t>技创新资源数据中心基础云平台建设，并顺利完成项目验收；承建上海农业数据资源库数据</w:t>
      </w:r>
      <w:r>
        <w:rPr>
          <w:spacing w:val="-91"/>
        </w:rPr>
        <w:t> </w:t>
      </w:r>
      <w:r>
        <w:rPr>
          <w:spacing w:val="-91"/>
        </w:rPr>
      </w:r>
      <w:r>
        <w:rPr/>
        <w:t>治理及应用系统建设，承建上港集团下属上海海勃物流软件有限公司</w:t>
      </w:r>
      <w:r>
        <w:rPr>
          <w:rFonts w:ascii="宋体" w:hAnsi="宋体" w:cs="宋体" w:eastAsia="宋体" w:hint="default"/>
        </w:rPr>
        <w:t>-</w:t>
      </w:r>
      <w:r>
        <w:rPr/>
        <w:t>数据分析技术平台系统 项目。</w:t>
      </w:r>
    </w:p>
    <w:p>
      <w:pPr>
        <w:pStyle w:val="Heading5"/>
        <w:spacing w:line="312" w:lineRule="exact" w:before="127"/>
        <w:ind w:right="1130" w:firstLine="480"/>
        <w:jc w:val="both"/>
      </w:pPr>
      <w:r>
        <w:rPr/>
        <w:t>赋能公司事业群开展大数据业务：大数据智能创新中心全力赋能公司三大事业群，形成 </w:t>
      </w:r>
      <w:r>
        <w:rPr>
          <w:spacing w:val="-3"/>
        </w:rPr>
        <w:t>“大数据</w:t>
      </w:r>
      <w:r>
        <w:rPr>
          <w:rFonts w:ascii="宋体" w:hAnsi="宋体" w:cs="宋体" w:eastAsia="宋体" w:hint="default"/>
          <w:spacing w:val="-3"/>
        </w:rPr>
        <w:t>+</w:t>
      </w:r>
      <w:r>
        <w:rPr>
          <w:spacing w:val="-3"/>
        </w:rPr>
        <w:t>三大行业”联合解决方案，积极打造标杆案例，积极赋能上海市浦东档案局、高淳</w:t>
      </w:r>
      <w:r>
        <w:rPr>
          <w:spacing w:val="-80"/>
        </w:rPr>
        <w:t> </w:t>
      </w:r>
      <w:r>
        <w:rPr>
          <w:spacing w:val="-80"/>
        </w:rPr>
      </w:r>
      <w:r>
        <w:rPr/>
        <w:t>市监狱管理局、广州市商务委、上海市妇女联合会、上海市机关事务管理局等客户的大数据</w:t>
      </w:r>
      <w:r>
        <w:rPr>
          <w:spacing w:val="-91"/>
        </w:rPr>
        <w:t> </w:t>
      </w:r>
      <w:r>
        <w:rPr>
          <w:spacing w:val="-91"/>
        </w:rPr>
      </w:r>
      <w:r>
        <w:rPr/>
        <w:t>应用项目。</w:t>
      </w:r>
    </w:p>
    <w:p>
      <w:pPr>
        <w:pStyle w:val="Heading5"/>
        <w:spacing w:line="312" w:lineRule="exact" w:before="101"/>
        <w:ind w:right="1139" w:firstLine="480"/>
        <w:jc w:val="both"/>
      </w:pPr>
      <w:r>
        <w:rPr/>
        <w:t>研发和推广大数据领域应用和工具：通过各大标杆项目逐步形成标准化的解决方案，包 括大数据治理服务综合解决方案、主体特征挖掘研判分析解决方案、智慧党建云平台解决方</w:t>
      </w:r>
      <w:r>
        <w:rPr>
          <w:spacing w:val="-91"/>
        </w:rPr>
        <w:t> </w:t>
      </w:r>
      <w:r>
        <w:rPr>
          <w:spacing w:val="-91"/>
        </w:rPr>
      </w:r>
      <w:r>
        <w:rPr/>
        <w:t>案、监控大数据综合解决方案、国产化协同办公安全集成解决方案等一系列聚焦行业的创新</w:t>
      </w:r>
      <w:r>
        <w:rPr>
          <w:spacing w:val="-91"/>
        </w:rPr>
        <w:t> </w:t>
      </w:r>
      <w:r>
        <w:rPr>
          <w:spacing w:val="-91"/>
        </w:rPr>
      </w:r>
      <w:r>
        <w:rPr/>
        <w:t>应用。构建大数据</w:t>
      </w:r>
      <w:r>
        <w:rPr>
          <w:rFonts w:ascii="宋体" w:hAnsi="宋体" w:cs="宋体" w:eastAsia="宋体" w:hint="default"/>
        </w:rPr>
        <w:t>+</w:t>
      </w:r>
      <w:r>
        <w:rPr/>
        <w:t>智慧服务</w:t>
      </w:r>
      <w:r>
        <w:rPr>
          <w:rFonts w:ascii="宋体" w:hAnsi="宋体" w:cs="宋体" w:eastAsia="宋体" w:hint="default"/>
        </w:rPr>
        <w:t>+</w:t>
      </w:r>
      <w:r>
        <w:rPr/>
        <w:t>创新监管的全新模式。</w:t>
      </w:r>
    </w:p>
    <w:p>
      <w:pPr>
        <w:spacing w:line="240" w:lineRule="auto" w:before="0"/>
        <w:rPr>
          <w:rFonts w:ascii="宋体" w:hAnsi="宋体" w:cs="宋体" w:eastAsia="宋体" w:hint="default"/>
          <w:sz w:val="24"/>
          <w:szCs w:val="24"/>
        </w:rPr>
      </w:pPr>
    </w:p>
    <w:p>
      <w:pPr>
        <w:spacing w:line="314" w:lineRule="auto" w:before="167"/>
        <w:ind w:left="593" w:right="1033" w:firstLine="0"/>
        <w:jc w:val="left"/>
        <w:rPr>
          <w:rFonts w:ascii="宋体" w:hAnsi="宋体" w:cs="宋体" w:eastAsia="宋体" w:hint="default"/>
          <w:sz w:val="24"/>
          <w:szCs w:val="24"/>
        </w:rPr>
      </w:pPr>
      <w:r>
        <w:rPr>
          <w:rFonts w:ascii="宋体" w:hAnsi="宋体" w:cs="宋体" w:eastAsia="宋体" w:hint="default"/>
          <w:b/>
          <w:bCs/>
          <w:sz w:val="24"/>
          <w:szCs w:val="24"/>
        </w:rPr>
        <w:t>二、公司关于未来发展的展望</w:t>
      </w:r>
      <w:r>
        <w:rPr>
          <w:rFonts w:ascii="宋体" w:hAnsi="宋体" w:cs="宋体" w:eastAsia="宋体" w:hint="default"/>
          <w:b/>
          <w:bCs/>
          <w:w w:val="99"/>
          <w:sz w:val="24"/>
          <w:szCs w:val="24"/>
        </w:rPr>
        <w:t> </w:t>
      </w:r>
      <w:r>
        <w:rPr>
          <w:rFonts w:ascii="宋体" w:hAnsi="宋体" w:cs="宋体" w:eastAsia="宋体" w:hint="default"/>
          <w:sz w:val="24"/>
          <w:szCs w:val="24"/>
        </w:rPr>
        <w:t>在信息发展</w:t>
      </w:r>
      <w:r>
        <w:rPr>
          <w:rFonts w:ascii="宋体" w:hAnsi="宋体" w:cs="宋体" w:eastAsia="宋体" w:hint="default"/>
          <w:sz w:val="24"/>
          <w:szCs w:val="24"/>
        </w:rPr>
        <w:t>2.0</w:t>
      </w:r>
      <w:r>
        <w:rPr>
          <w:rFonts w:ascii="宋体" w:hAnsi="宋体" w:cs="宋体" w:eastAsia="宋体" w:hint="default"/>
          <w:sz w:val="24"/>
          <w:szCs w:val="24"/>
        </w:rPr>
        <w:t>的战略指引下，打造“团结、紧张、规范、协作、开放、创新、有活力、</w:t>
      </w:r>
    </w:p>
    <w:p>
      <w:pPr>
        <w:pStyle w:val="Heading5"/>
        <w:spacing w:line="237" w:lineRule="exact"/>
        <w:ind w:right="1133"/>
        <w:jc w:val="left"/>
      </w:pPr>
      <w:r>
        <w:rPr/>
        <w:t>有韧性”的企业环境，向管理要效益，开源节流，降本增效；向产品要效益，加快产品化转</w:t>
      </w:r>
    </w:p>
    <w:p>
      <w:pPr>
        <w:pStyle w:val="Heading5"/>
        <w:spacing w:line="314" w:lineRule="auto"/>
        <w:ind w:left="593" w:right="1133" w:hanging="481"/>
        <w:jc w:val="left"/>
      </w:pPr>
      <w:r>
        <w:rPr/>
        <w:t>型；提高服务质量，提升服务营收占比。 随着国家“新基建”布局的提速，公司在食安、档案、司法等领域已迎来新一轮重要战</w:t>
      </w:r>
    </w:p>
    <w:p>
      <w:pPr>
        <w:pStyle w:val="Heading5"/>
        <w:spacing w:line="237" w:lineRule="exact"/>
        <w:ind w:right="0"/>
        <w:jc w:val="left"/>
      </w:pPr>
      <w:r>
        <w:rPr/>
        <w:t>略机遇期。应用公司在区块链、大数据等领域的技术储备，叠加行业数字化转型、增值服务、</w:t>
      </w:r>
    </w:p>
    <w:p>
      <w:pPr>
        <w:pStyle w:val="Heading5"/>
        <w:spacing w:line="321" w:lineRule="exact"/>
        <w:ind w:right="986"/>
        <w:jc w:val="left"/>
      </w:pPr>
      <w:r>
        <w:rPr/>
        <w:t>国产化等需求，公司将迎来万亿市场机会。在此关键历史时点，信息发展确立</w:t>
      </w:r>
      <w:r>
        <w:rPr>
          <w:rFonts w:ascii="Times New Roman" w:hAnsi="Times New Roman" w:cs="Times New Roman" w:eastAsia="Times New Roman" w:hint="default"/>
        </w:rPr>
        <w:t>2.0</w:t>
      </w:r>
      <w:r>
        <w:rPr/>
        <w:t>战略，打造</w:t>
      </w:r>
    </w:p>
    <w:p>
      <w:pPr>
        <w:pStyle w:val="Heading5"/>
        <w:spacing w:line="322" w:lineRule="exact"/>
        <w:ind w:right="1129"/>
        <w:jc w:val="left"/>
      </w:pPr>
      <w:r>
        <w:rPr>
          <w:rFonts w:ascii="Times New Roman" w:hAnsi="Times New Roman" w:cs="Times New Roman" w:eastAsia="Times New Roman" w:hint="default"/>
          <w:spacing w:val="2"/>
        </w:rPr>
        <w:t>“</w:t>
      </w:r>
      <w:r>
        <w:rPr>
          <w:spacing w:val="2"/>
        </w:rPr>
        <w:t>一体两翼、数链驱动</w:t>
      </w:r>
      <w:r>
        <w:rPr>
          <w:rFonts w:ascii="Times New Roman" w:hAnsi="Times New Roman" w:cs="Times New Roman" w:eastAsia="Times New Roman" w:hint="default"/>
          <w:spacing w:val="2"/>
        </w:rPr>
        <w:t>”</w:t>
      </w:r>
      <w:r>
        <w:rPr>
          <w:spacing w:val="2"/>
        </w:rPr>
        <w:t>：即以智慧食安为</w:t>
      </w:r>
      <w:r>
        <w:rPr>
          <w:rFonts w:ascii="Times New Roman" w:hAnsi="Times New Roman" w:cs="Times New Roman" w:eastAsia="Times New Roman" w:hint="default"/>
          <w:spacing w:val="2"/>
        </w:rPr>
        <w:t>“</w:t>
      </w:r>
      <w:r>
        <w:rPr>
          <w:spacing w:val="2"/>
        </w:rPr>
        <w:t>一体</w:t>
      </w:r>
      <w:r>
        <w:rPr>
          <w:rFonts w:ascii="Times New Roman" w:hAnsi="Times New Roman" w:cs="Times New Roman" w:eastAsia="Times New Roman" w:hint="default"/>
          <w:spacing w:val="2"/>
        </w:rPr>
        <w:t>”</w:t>
      </w:r>
      <w:r>
        <w:rPr>
          <w:spacing w:val="2"/>
        </w:rPr>
        <w:t>，以智慧档案、智慧司法为</w:t>
      </w:r>
      <w:r>
        <w:rPr>
          <w:rFonts w:ascii="Times New Roman" w:hAnsi="Times New Roman" w:cs="Times New Roman" w:eastAsia="Times New Roman" w:hint="default"/>
          <w:spacing w:val="2"/>
        </w:rPr>
        <w:t>“</w:t>
      </w:r>
      <w:r>
        <w:rPr>
          <w:spacing w:val="2"/>
        </w:rPr>
        <w:t>两翼</w:t>
      </w:r>
      <w:r>
        <w:rPr>
          <w:rFonts w:ascii="Times New Roman" w:hAnsi="Times New Roman" w:cs="Times New Roman" w:eastAsia="Times New Roman" w:hint="default"/>
          <w:spacing w:val="2"/>
        </w:rPr>
        <w:t>”</w:t>
      </w:r>
      <w:r>
        <w:rPr>
          <w:spacing w:val="2"/>
        </w:rPr>
        <w:t>，以区块</w:t>
      </w:r>
    </w:p>
    <w:p>
      <w:pPr>
        <w:spacing w:after="0" w:line="322"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97" w:lineRule="auto" w:before="26"/>
        <w:ind w:left="593" w:right="3341" w:hanging="481"/>
        <w:jc w:val="left"/>
      </w:pPr>
      <w:r>
        <w:rPr/>
        <w:t>链创新中心和大数据智能创新中心为</w:t>
      </w:r>
      <w:r>
        <w:rPr>
          <w:rFonts w:ascii="Times New Roman" w:hAnsi="Times New Roman" w:cs="Times New Roman" w:eastAsia="Times New Roman" w:hint="default"/>
        </w:rPr>
        <w:t>“</w:t>
      </w:r>
      <w:r>
        <w:rPr/>
        <w:t>技术引擎</w:t>
      </w:r>
      <w:r>
        <w:rPr>
          <w:rFonts w:ascii="Times New Roman" w:hAnsi="Times New Roman" w:cs="Times New Roman" w:eastAsia="Times New Roman" w:hint="default"/>
        </w:rPr>
        <w:t>”</w:t>
      </w:r>
      <w:r>
        <w:rPr/>
        <w:t>，赋能公司三大行业。 主要围绕三个方面：</w:t>
      </w:r>
    </w:p>
    <w:p>
      <w:pPr>
        <w:pStyle w:val="Heading5"/>
        <w:spacing w:line="253" w:lineRule="exact"/>
        <w:ind w:right="0" w:firstLine="480"/>
        <w:jc w:val="both"/>
      </w:pPr>
      <w:r>
        <w:rPr>
          <w:spacing w:val="-3"/>
        </w:rPr>
        <w:t>（</w:t>
      </w:r>
      <w:r>
        <w:rPr>
          <w:rFonts w:ascii="宋体" w:hAnsi="宋体" w:cs="宋体" w:eastAsia="宋体" w:hint="default"/>
          <w:spacing w:val="-3"/>
        </w:rPr>
        <w:t>1</w:t>
      </w:r>
      <w:r>
        <w:rPr>
          <w:spacing w:val="-3"/>
        </w:rPr>
        <w:t>）聚焦智慧食安，打造产业互联网：食品及食用农产品产业供应链错综复杂，信息化</w:t>
      </w:r>
    </w:p>
    <w:p>
      <w:pPr>
        <w:pStyle w:val="Heading5"/>
        <w:spacing w:line="312" w:lineRule="exact" w:before="29"/>
        <w:ind w:right="1131"/>
        <w:jc w:val="both"/>
      </w:pPr>
      <w:r>
        <w:rPr/>
        <w:t>程度低、食品安全质量与产业链效率都有极大提升空间。此次“新冠”疫情更是凸显我国在 食品安全与食品保供等方面加强建设的重要性和紧迫性。公司将实行战略聚焦，以</w:t>
      </w:r>
      <w:r>
        <w:rPr>
          <w:spacing w:val="-78"/>
        </w:rPr>
        <w:t> </w:t>
      </w:r>
      <w:r>
        <w:rPr/>
        <w:t>“让人人</w:t>
      </w:r>
      <w:r>
        <w:rPr/>
        <w:t> 都能吃上安全、放心的食品”为使命，集中优势资源，着重推进食安产业互联网的建设。</w:t>
      </w:r>
    </w:p>
    <w:p>
      <w:pPr>
        <w:pStyle w:val="Heading5"/>
        <w:spacing w:line="312" w:lineRule="exact"/>
        <w:ind w:right="1132" w:firstLine="480"/>
        <w:jc w:val="both"/>
      </w:pPr>
      <w:r>
        <w:rPr>
          <w:spacing w:val="-3"/>
        </w:rPr>
        <w:t>（</w:t>
      </w:r>
      <w:r>
        <w:rPr>
          <w:rFonts w:ascii="宋体" w:hAnsi="宋体" w:cs="宋体" w:eastAsia="宋体" w:hint="default"/>
          <w:spacing w:val="-3"/>
        </w:rPr>
        <w:t>2</w:t>
      </w:r>
      <w:r>
        <w:rPr>
          <w:spacing w:val="-3"/>
        </w:rPr>
        <w:t>）加快向产品型、服务运营型迈进：在保持政府客户和签约额基数提升的前提下大力</w:t>
      </w:r>
      <w:r>
        <w:rPr/>
        <w:t> 开拓企业客户，全力加速推进</w:t>
      </w:r>
      <w:r>
        <w:rPr>
          <w:rFonts w:ascii="Times New Roman" w:hAnsi="Times New Roman" w:cs="Times New Roman" w:eastAsia="Times New Roman" w:hint="default"/>
        </w:rPr>
        <w:t>SaaS</w:t>
      </w:r>
      <w:r>
        <w:rPr/>
        <w:t>产品研发、销售和服务，实现公司各项经济指标的不断提 升。</w:t>
      </w:r>
    </w:p>
    <w:p>
      <w:pPr>
        <w:pStyle w:val="Heading5"/>
        <w:spacing w:line="312" w:lineRule="exact"/>
        <w:ind w:right="1129" w:firstLine="480"/>
        <w:jc w:val="left"/>
      </w:pPr>
      <w:r>
        <w:rPr>
          <w:spacing w:val="-3"/>
        </w:rPr>
        <w:t>（</w:t>
      </w:r>
      <w:r>
        <w:rPr>
          <w:rFonts w:ascii="宋体" w:hAnsi="宋体" w:cs="宋体" w:eastAsia="宋体" w:hint="default"/>
          <w:spacing w:val="-3"/>
        </w:rPr>
        <w:t>3</w:t>
      </w:r>
      <w:r>
        <w:rPr>
          <w:spacing w:val="-3"/>
        </w:rPr>
        <w:t>）以区块链、大数据等核心技术为抓手，发挥新一代信息技术优势，助力传统运行机</w:t>
      </w:r>
      <w:r>
        <w:rPr/>
        <w:t> 制向智慧化转型升级。</w:t>
      </w:r>
    </w:p>
    <w:p>
      <w:pPr>
        <w:spacing w:line="240" w:lineRule="auto" w:before="3"/>
        <w:rPr>
          <w:rFonts w:ascii="宋体" w:hAnsi="宋体" w:cs="宋体" w:eastAsia="宋体" w:hint="default"/>
          <w:sz w:val="29"/>
          <w:szCs w:val="29"/>
        </w:rPr>
      </w:pPr>
    </w:p>
    <w:p>
      <w:pPr>
        <w:pStyle w:val="Heading4"/>
        <w:spacing w:line="240" w:lineRule="auto"/>
        <w:ind w:left="593" w:right="1133"/>
        <w:jc w:val="left"/>
        <w:rPr>
          <w:b w:val="0"/>
          <w:bCs w:val="0"/>
        </w:rPr>
      </w:pPr>
      <w:r>
        <w:rPr/>
        <w:t>（一）智慧食安领域</w:t>
      </w:r>
      <w:r>
        <w:rPr>
          <w:b w:val="0"/>
          <w:bCs w:val="0"/>
        </w:rPr>
      </w:r>
    </w:p>
    <w:p>
      <w:pPr>
        <w:pStyle w:val="Heading5"/>
        <w:spacing w:line="297" w:lineRule="auto" w:before="96"/>
        <w:ind w:left="593" w:right="1133"/>
        <w:jc w:val="left"/>
      </w:pPr>
      <w:r>
        <w:rPr>
          <w:rFonts w:ascii="Times New Roman" w:hAnsi="Times New Roman" w:cs="Times New Roman" w:eastAsia="Times New Roman" w:hint="default"/>
        </w:rPr>
        <w:t>1</w:t>
      </w:r>
      <w:r>
        <w:rPr/>
        <w:t>、食安供应链大数据平台 大数据已经渗透到每一个行业和业务职能领域，逐渐成为重要的生产因素。我司经过十</w:t>
      </w:r>
    </w:p>
    <w:p>
      <w:pPr>
        <w:pStyle w:val="Heading5"/>
        <w:spacing w:line="262" w:lineRule="exact"/>
        <w:ind w:right="1133"/>
        <w:jc w:val="left"/>
      </w:pPr>
      <w:r>
        <w:rPr/>
        <w:t>余年的食品安全追溯项目建设历程，建立起了</w:t>
      </w:r>
      <w:r>
        <w:rPr>
          <w:rFonts w:ascii="Times New Roman" w:hAnsi="Times New Roman" w:cs="Times New Roman" w:eastAsia="Times New Roman" w:hint="default"/>
        </w:rPr>
        <w:t>“</w:t>
      </w:r>
      <w:r>
        <w:rPr/>
        <w:t>从田间到餐桌</w:t>
      </w:r>
      <w:r>
        <w:rPr>
          <w:rFonts w:ascii="Times New Roman" w:hAnsi="Times New Roman" w:cs="Times New Roman" w:eastAsia="Times New Roman" w:hint="default"/>
        </w:rPr>
        <w:t>”</w:t>
      </w:r>
      <w:r>
        <w:rPr/>
        <w:t>的全产业链食品安全信息追溯</w:t>
      </w:r>
    </w:p>
    <w:p>
      <w:pPr>
        <w:pStyle w:val="Heading5"/>
        <w:spacing w:line="312" w:lineRule="exact" w:before="20"/>
        <w:ind w:right="986"/>
        <w:jc w:val="left"/>
      </w:pPr>
      <w:r>
        <w:rPr/>
        <w:t>业务模型，已承建的</w:t>
      </w:r>
      <w:r>
        <w:rPr>
          <w:rFonts w:ascii="Times New Roman" w:hAnsi="Times New Roman" w:cs="Times New Roman" w:eastAsia="Times New Roman" w:hint="default"/>
        </w:rPr>
        <w:t>19</w:t>
      </w:r>
      <w:r>
        <w:rPr/>
        <w:t>个重要产品追溯省、市级管理平台建设项目以及</w:t>
      </w:r>
      <w:r>
        <w:rPr>
          <w:rFonts w:ascii="Times New Roman" w:hAnsi="Times New Roman" w:cs="Times New Roman" w:eastAsia="Times New Roman" w:hint="default"/>
        </w:rPr>
        <w:t>40</w:t>
      </w:r>
      <w:r>
        <w:rPr/>
        <w:t>个大中城市肉类蔬</w:t>
      </w:r>
      <w:r>
        <w:rPr>
          <w:spacing w:val="-88"/>
        </w:rPr>
        <w:t> </w:t>
      </w:r>
      <w:r>
        <w:rPr>
          <w:spacing w:val="-88"/>
        </w:rPr>
      </w:r>
      <w:r>
        <w:rPr/>
        <w:t>菜流通追溯体系项目，为食品安全大数据分析奠定了数据层面的基础需求。基于此基础来构</w:t>
      </w:r>
      <w:r>
        <w:rPr>
          <w:spacing w:val="-88"/>
        </w:rPr>
        <w:t> </w:t>
      </w:r>
      <w:r>
        <w:rPr>
          <w:spacing w:val="-88"/>
        </w:rPr>
      </w:r>
      <w:r>
        <w:rPr>
          <w:spacing w:val="-3"/>
        </w:rPr>
        <w:t>建的食安供应链大数据平台可提供两大服务：食品安全监管和重要生活物资（如大米、面粉、</w:t>
      </w:r>
      <w:r>
        <w:rPr>
          <w:spacing w:val="-81"/>
        </w:rPr>
        <w:t> </w:t>
      </w:r>
      <w:r>
        <w:rPr>
          <w:spacing w:val="-81"/>
        </w:rPr>
      </w:r>
      <w:r>
        <w:rPr/>
        <w:t>食用油、肉类、鸡蛋、奶类、蔬菜等）保供稳价综合监测。</w:t>
      </w:r>
    </w:p>
    <w:p>
      <w:pPr>
        <w:pStyle w:val="Heading5"/>
        <w:spacing w:line="237" w:lineRule="auto" w:before="70"/>
        <w:ind w:right="996" w:firstLine="480"/>
        <w:jc w:val="left"/>
      </w:pPr>
      <w:r>
        <w:rPr/>
        <w:t>在食品安全监管上，我司综合应用云计算、大数据、物联网、移动互联、区块链等先进 技术在全国率先启动第三方食品安全追溯云平台应用中心建设，基于生产、流通、消费等环</w:t>
      </w:r>
      <w:r>
        <w:rPr>
          <w:spacing w:val="-91"/>
        </w:rPr>
        <w:t> </w:t>
      </w:r>
      <w:r>
        <w:rPr>
          <w:spacing w:val="-91"/>
        </w:rPr>
      </w:r>
      <w:r>
        <w:rPr>
          <w:spacing w:val="-2"/>
        </w:rPr>
        <w:t>节，融合企业基础业务、供应链体系、质量标准体系、检验检测等体系内容构建集监督检查、</w:t>
      </w:r>
      <w:r>
        <w:rPr/>
        <w:t> 全程追溯、信息发布于一体的食品安全监管信息平台。在技术层面重点关注大数据的分析和</w:t>
      </w:r>
      <w:r>
        <w:rPr>
          <w:spacing w:val="-91"/>
        </w:rPr>
        <w:t> </w:t>
      </w:r>
      <w:r>
        <w:rPr>
          <w:spacing w:val="-91"/>
        </w:rPr>
      </w:r>
      <w:r>
        <w:rPr/>
        <w:t>利用，对食品全程追溯过程中形成的海量结构化和非结构化数据进行分析统计，形成食品行</w:t>
      </w:r>
      <w:r>
        <w:rPr>
          <w:spacing w:val="-89"/>
        </w:rPr>
        <w:t> </w:t>
      </w:r>
      <w:r>
        <w:rPr>
          <w:spacing w:val="-89"/>
        </w:rPr>
      </w:r>
      <w:r>
        <w:rPr/>
        <w:t>业领域的知识体系，为食品安全管理提供了多种辅助决策模型。</w:t>
      </w:r>
    </w:p>
    <w:p>
      <w:pPr>
        <w:pStyle w:val="Heading5"/>
        <w:spacing w:line="312" w:lineRule="exact" w:before="129"/>
        <w:ind w:right="1135" w:firstLine="480"/>
        <w:jc w:val="both"/>
      </w:pPr>
      <w:r>
        <w:rPr/>
        <w:t>在重要生活物资保供稳价综合监测方面，我司充分利用大数据分析挖掘技术，从农产品 产供销多环节流通态势、价格走势、供应链分析、居民消费习惯等维度，提高对农产品多维</w:t>
      </w:r>
      <w:r>
        <w:rPr>
          <w:spacing w:val="-91"/>
        </w:rPr>
        <w:t> </w:t>
      </w:r>
      <w:r>
        <w:rPr>
          <w:spacing w:val="-91"/>
        </w:rPr>
      </w:r>
      <w:r>
        <w:rPr>
          <w:spacing w:val="2"/>
        </w:rPr>
        <w:t>度数据的</w:t>
      </w:r>
      <w:r>
        <w:rPr>
          <w:rFonts w:ascii="Times New Roman" w:hAnsi="Times New Roman" w:cs="Times New Roman" w:eastAsia="Times New Roman" w:hint="default"/>
          <w:spacing w:val="2"/>
        </w:rPr>
        <w:t>“</w:t>
      </w:r>
      <w:r>
        <w:rPr>
          <w:spacing w:val="2"/>
        </w:rPr>
        <w:t>加工能力</w:t>
      </w:r>
      <w:r>
        <w:rPr>
          <w:rFonts w:ascii="Times New Roman" w:hAnsi="Times New Roman" w:cs="Times New Roman" w:eastAsia="Times New Roman" w:hint="default"/>
          <w:spacing w:val="2"/>
        </w:rPr>
        <w:t>”</w:t>
      </w:r>
      <w:r>
        <w:rPr>
          <w:spacing w:val="2"/>
        </w:rPr>
        <w:t>，通过</w:t>
      </w:r>
      <w:r>
        <w:rPr>
          <w:rFonts w:ascii="Times New Roman" w:hAnsi="Times New Roman" w:cs="Times New Roman" w:eastAsia="Times New Roman" w:hint="default"/>
          <w:spacing w:val="2"/>
        </w:rPr>
        <w:t>“</w:t>
      </w:r>
      <w:r>
        <w:rPr>
          <w:spacing w:val="2"/>
        </w:rPr>
        <w:t>加工</w:t>
      </w:r>
      <w:r>
        <w:rPr>
          <w:rFonts w:ascii="Times New Roman" w:hAnsi="Times New Roman" w:cs="Times New Roman" w:eastAsia="Times New Roman" w:hint="default"/>
          <w:spacing w:val="2"/>
        </w:rPr>
        <w:t>”</w:t>
      </w:r>
      <w:r>
        <w:rPr>
          <w:spacing w:val="2"/>
        </w:rPr>
        <w:t>实现数据的</w:t>
      </w:r>
      <w:r>
        <w:rPr>
          <w:rFonts w:ascii="Times New Roman" w:hAnsi="Times New Roman" w:cs="Times New Roman" w:eastAsia="Times New Roman" w:hint="default"/>
          <w:spacing w:val="2"/>
        </w:rPr>
        <w:t>“</w:t>
      </w:r>
      <w:r>
        <w:rPr>
          <w:spacing w:val="2"/>
        </w:rPr>
        <w:t>增值</w:t>
      </w:r>
      <w:r>
        <w:rPr>
          <w:rFonts w:ascii="Times New Roman" w:hAnsi="Times New Roman" w:cs="Times New Roman" w:eastAsia="Times New Roman" w:hint="default"/>
          <w:spacing w:val="2"/>
        </w:rPr>
        <w:t>”</w:t>
      </w:r>
      <w:r>
        <w:rPr>
          <w:spacing w:val="2"/>
        </w:rPr>
        <w:t>服务，极好地为政府保供稳价监测服务</w:t>
      </w:r>
      <w:r>
        <w:rPr>
          <w:spacing w:val="-106"/>
        </w:rPr>
        <w:t> </w:t>
      </w:r>
      <w:r>
        <w:rPr>
          <w:spacing w:val="-106"/>
        </w:rPr>
      </w:r>
      <w:r>
        <w:rPr/>
        <w:t>及决策提供数据依据，这与我司大数据的战略定位相契合。该服务特别适合在传染性疾病爆</w:t>
      </w:r>
      <w:r>
        <w:rPr>
          <w:spacing w:val="-91"/>
        </w:rPr>
        <w:t> </w:t>
      </w:r>
      <w:r>
        <w:rPr>
          <w:spacing w:val="-91"/>
        </w:rPr>
      </w:r>
      <w:r>
        <w:rPr/>
        <w:t>发、自然灾害、极端天气等不可预判的情况下，为政府监管部门提供直观的物资供应监测信</w:t>
      </w:r>
      <w:r>
        <w:rPr>
          <w:spacing w:val="-91"/>
        </w:rPr>
        <w:t> </w:t>
      </w:r>
      <w:r>
        <w:rPr>
          <w:spacing w:val="-91"/>
        </w:rPr>
      </w:r>
      <w:r>
        <w:rPr/>
        <w:t>息，为政府协调物资供应提供决策支持，对市场行情进行分析和智能化判断，指导企业适当</w:t>
      </w:r>
      <w:r>
        <w:rPr>
          <w:spacing w:val="-91"/>
        </w:rPr>
        <w:t> </w:t>
      </w:r>
      <w:r>
        <w:rPr>
          <w:spacing w:val="-91"/>
        </w:rPr>
      </w:r>
      <w:r>
        <w:rPr/>
        <w:t>增加商业库存，确保紧急情况下调得出、运得到、用得上。</w:t>
      </w:r>
    </w:p>
    <w:p>
      <w:pPr>
        <w:pStyle w:val="Heading5"/>
        <w:spacing w:line="297" w:lineRule="auto" w:before="70"/>
        <w:ind w:left="593" w:right="1133"/>
        <w:jc w:val="left"/>
      </w:pPr>
      <w:r>
        <w:rPr>
          <w:rFonts w:ascii="Times New Roman" w:hAnsi="Times New Roman" w:cs="Times New Roman" w:eastAsia="Times New Roman" w:hint="default"/>
        </w:rPr>
        <w:t>2</w:t>
      </w:r>
      <w:r>
        <w:rPr/>
        <w:t>、智慧数字农业 智秾子公司</w:t>
      </w:r>
      <w:r>
        <w:rPr>
          <w:rFonts w:ascii="Times New Roman" w:hAnsi="Times New Roman" w:cs="Times New Roman" w:eastAsia="Times New Roman" w:hint="default"/>
        </w:rPr>
        <w:t>2020</w:t>
      </w:r>
      <w:r>
        <w:rPr/>
        <w:t>年将主打</w:t>
      </w:r>
      <w:r>
        <w:rPr>
          <w:rFonts w:ascii="Times New Roman" w:hAnsi="Times New Roman" w:cs="Times New Roman" w:eastAsia="Times New Roman" w:hint="default"/>
        </w:rPr>
        <w:t>“</w:t>
      </w:r>
      <w:r>
        <w:rPr/>
        <w:t>农事、农技、农服</w:t>
      </w:r>
      <w:r>
        <w:rPr>
          <w:rFonts w:ascii="Times New Roman" w:hAnsi="Times New Roman" w:cs="Times New Roman" w:eastAsia="Times New Roman" w:hint="default"/>
        </w:rPr>
        <w:t>”</w:t>
      </w:r>
      <w:r>
        <w:rPr/>
        <w:t>三大业务服务，以产业数字化、数字产业</w:t>
      </w:r>
    </w:p>
    <w:p>
      <w:pPr>
        <w:pStyle w:val="Heading5"/>
        <w:spacing w:line="229" w:lineRule="exact"/>
        <w:ind w:right="1133"/>
        <w:jc w:val="left"/>
      </w:pPr>
      <w:r>
        <w:rPr/>
        <w:t>化为发展主线，以数字技术与农业农村经济深度融合为主攻方向，建立健全农业农村数据采</w:t>
      </w:r>
    </w:p>
    <w:p>
      <w:pPr>
        <w:pStyle w:val="Heading5"/>
        <w:spacing w:line="312" w:lineRule="exact" w:before="29"/>
        <w:ind w:right="1134"/>
        <w:jc w:val="both"/>
      </w:pPr>
      <w:r>
        <w:rPr/>
        <w:t>集体系和农业农村基础数据资源体系，借助物联网、大数据、区块链、人工智能、第五代移</w:t>
      </w:r>
      <w:r>
        <w:rPr>
          <w:spacing w:val="-91"/>
        </w:rPr>
        <w:t> </w:t>
      </w:r>
      <w:r>
        <w:rPr>
          <w:spacing w:val="-91"/>
        </w:rPr>
      </w:r>
      <w:r>
        <w:rPr/>
        <w:t>动通信网络、智慧气象等现代信息技术，建设农业农村大数据</w:t>
      </w:r>
      <w:r>
        <w:rPr>
          <w:rFonts w:ascii="Times New Roman" w:hAnsi="Times New Roman" w:cs="Times New Roman" w:eastAsia="Times New Roman" w:hint="default"/>
        </w:rPr>
        <w:t>AI</w:t>
      </w:r>
      <w:r>
        <w:rPr/>
        <w:t>应用，推进数字技术与农业</w:t>
      </w:r>
      <w:r>
        <w:rPr>
          <w:spacing w:val="-100"/>
        </w:rPr>
        <w:t> </w:t>
      </w:r>
      <w:r>
        <w:rPr>
          <w:spacing w:val="-100"/>
        </w:rPr>
      </w:r>
      <w:r>
        <w:rPr/>
        <w:t>产业体系、生产体系、经营体系融合，帮助农业生产经营实现数字化转型，管理服务数字化</w:t>
      </w:r>
      <w:r>
        <w:rPr>
          <w:spacing w:val="-88"/>
        </w:rPr>
        <w:t> </w:t>
      </w:r>
      <w:r>
        <w:rPr>
          <w:spacing w:val="-88"/>
        </w:rPr>
      </w:r>
      <w:r>
        <w:rPr/>
        <w:t>水平得到明显提升，提升农业数字经济比重，完善乡村数字治理体系。</w:t>
      </w:r>
    </w:p>
    <w:p>
      <w:pPr>
        <w:pStyle w:val="Heading5"/>
        <w:spacing w:line="240" w:lineRule="auto" w:before="70"/>
        <w:ind w:left="593" w:right="1133"/>
        <w:jc w:val="left"/>
      </w:pPr>
      <w:r>
        <w:rPr/>
        <w:t>智秾子公司应用三产融合、绿色发展等理念，以用户需求为向导，面向农业全产业链，</w:t>
      </w:r>
    </w:p>
    <w:p>
      <w:pPr>
        <w:spacing w:after="0" w:line="240" w:lineRule="auto"/>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2" w:lineRule="auto" w:before="34"/>
        <w:ind w:right="986"/>
        <w:jc w:val="left"/>
      </w:pPr>
      <w:r>
        <w:rPr>
          <w:spacing w:val="-3"/>
        </w:rPr>
        <w:t>提供覆盖生产、经营、管理和服务全环节的综合性解决方案和软硬件产品，保障农产品安全，</w:t>
      </w:r>
      <w:r>
        <w:rPr>
          <w:spacing w:val="-80"/>
        </w:rPr>
        <w:t> </w:t>
      </w:r>
      <w:r>
        <w:rPr>
          <w:spacing w:val="-80"/>
        </w:rPr>
      </w:r>
      <w:r>
        <w:rPr/>
        <w:t>为传统农业赋能，助力传统农业向现代农业转型升级。</w:t>
      </w:r>
      <w:r>
        <w:rPr>
          <w:rFonts w:ascii="Times New Roman" w:hAnsi="Times New Roman" w:cs="Times New Roman" w:eastAsia="Times New Roman" w:hint="default"/>
        </w:rPr>
        <w:t>“</w:t>
      </w:r>
      <w:r>
        <w:rPr/>
        <w:t>农事、农技、农服</w:t>
      </w:r>
      <w:r>
        <w:rPr>
          <w:rFonts w:ascii="Times New Roman" w:hAnsi="Times New Roman" w:cs="Times New Roman" w:eastAsia="Times New Roman" w:hint="default"/>
        </w:rPr>
        <w:t>”</w:t>
      </w:r>
      <w:r>
        <w:rPr/>
        <w:t>三大业务将面向</w:t>
      </w:r>
      <w:r>
        <w:rPr>
          <w:spacing w:val="-60"/>
        </w:rPr>
        <w:t> </w:t>
      </w:r>
      <w:r>
        <w:rPr>
          <w:spacing w:val="-60"/>
        </w:rPr>
      </w:r>
      <w:r>
        <w:rPr/>
        <w:t>政府农业监管部门、农业产业示范区、品牌企业、农业产业化联合体和农业合作社提供公共</w:t>
      </w:r>
      <w:r>
        <w:rPr>
          <w:spacing w:val="-91"/>
        </w:rPr>
        <w:t> </w:t>
      </w:r>
      <w:r>
        <w:rPr>
          <w:spacing w:val="-91"/>
        </w:rPr>
      </w:r>
      <w:r>
        <w:rPr/>
        <w:t>服务，积极推广智秾系列</w:t>
      </w:r>
      <w:r>
        <w:rPr>
          <w:rFonts w:ascii="Times New Roman" w:hAnsi="Times New Roman" w:cs="Times New Roman" w:eastAsia="Times New Roman" w:hint="default"/>
        </w:rPr>
        <w:t>SaaS</w:t>
      </w:r>
      <w:r>
        <w:rPr/>
        <w:t>农产品监管云平台，以及、农资大掌柜、食用农产品合格证系</w:t>
      </w:r>
      <w:r>
        <w:rPr>
          <w:spacing w:val="-91"/>
        </w:rPr>
        <w:t> </w:t>
      </w:r>
      <w:r>
        <w:rPr>
          <w:spacing w:val="-91"/>
        </w:rPr>
      </w:r>
      <w:r>
        <w:rPr>
          <w:spacing w:val="-3"/>
        </w:rPr>
        <w:t>统、肉品品质合格证、农事大管家、综合执法通、微植保、畜牧综合监管等成熟的软件产品，</w:t>
      </w:r>
      <w:r>
        <w:rPr>
          <w:spacing w:val="-82"/>
        </w:rPr>
        <w:t> </w:t>
      </w:r>
      <w:r>
        <w:rPr>
          <w:spacing w:val="-82"/>
        </w:rPr>
      </w:r>
      <w:r>
        <w:rPr>
          <w:spacing w:val="-3"/>
        </w:rPr>
        <w:t>通过自上而下的系统部署和自下而上的数据上报方式，实现农产品生产、加工、流通、销售、</w:t>
      </w:r>
      <w:r>
        <w:rPr>
          <w:spacing w:val="-81"/>
        </w:rPr>
        <w:t> </w:t>
      </w:r>
      <w:r>
        <w:rPr>
          <w:spacing w:val="-81"/>
        </w:rPr>
      </w:r>
      <w:r>
        <w:rPr/>
        <w:t>消费全过程的实时在线监测；通过企业备案、种植</w:t>
      </w:r>
      <w:r>
        <w:rPr>
          <w:rFonts w:ascii="Times New Roman" w:hAnsi="Times New Roman" w:cs="Times New Roman" w:eastAsia="Times New Roman" w:hint="default"/>
        </w:rPr>
        <w:t>/</w:t>
      </w:r>
      <w:r>
        <w:rPr/>
        <w:t>养殖品种、生产规模、生产数据等多纬度 </w:t>
      </w:r>
      <w:r>
        <w:rPr>
          <w:spacing w:val="-5"/>
        </w:rPr>
        <w:t>的数据统计，全面掌握辖区内农业生产经营情况，；借助大数据分析技术，实现风险预警，保</w:t>
      </w:r>
      <w:r>
        <w:rPr>
          <w:spacing w:val="-117"/>
        </w:rPr>
        <w:t> </w:t>
      </w:r>
      <w:r>
        <w:rPr>
          <w:spacing w:val="-117"/>
        </w:rPr>
      </w:r>
      <w:r>
        <w:rPr/>
        <w:t>障农产品质量农业产业安全，并提供相应的决策支持。</w:t>
      </w:r>
    </w:p>
    <w:p>
      <w:pPr>
        <w:pStyle w:val="Heading5"/>
        <w:spacing w:line="312" w:lineRule="exact" w:before="130"/>
        <w:ind w:right="1140" w:firstLine="480"/>
        <w:jc w:val="both"/>
      </w:pPr>
      <w:r>
        <w:rPr/>
        <w:t>以各项农业数据为关键生产要素，强化市场信息对接服务能力，助力价值客户实现传统 农业产业升级，用数字化引领驱动农业农村现代化，为实现乡村全面振兴提供有力支撑。</w:t>
      </w:r>
    </w:p>
    <w:p>
      <w:pPr>
        <w:pStyle w:val="Heading5"/>
        <w:spacing w:line="297" w:lineRule="auto" w:before="67"/>
        <w:ind w:left="593" w:right="1133"/>
        <w:jc w:val="left"/>
      </w:pPr>
      <w:r>
        <w:rPr>
          <w:rFonts w:ascii="Times New Roman" w:hAnsi="Times New Roman" w:cs="Times New Roman" w:eastAsia="Times New Roman" w:hint="default"/>
        </w:rPr>
        <w:t>3</w:t>
      </w:r>
      <w:r>
        <w:rPr/>
        <w:t>、智慧流通 追索子公司后续发展目标定位于保障前期实施追溯试点地市的追溯体系迭代升级，长效</w:t>
      </w:r>
    </w:p>
    <w:p>
      <w:pPr>
        <w:pStyle w:val="Heading5"/>
        <w:spacing w:line="253" w:lineRule="exact"/>
        <w:ind w:right="1133"/>
        <w:jc w:val="left"/>
      </w:pPr>
      <w:r>
        <w:rPr/>
        <w:t>运行的同时，还需满足政府监管要求，配合各级政府实施重要产品追溯体系建设，不断拓展</w:t>
      </w:r>
    </w:p>
    <w:p>
      <w:pPr>
        <w:pStyle w:val="Heading5"/>
        <w:spacing w:line="312" w:lineRule="exact" w:before="29"/>
        <w:ind w:right="996"/>
        <w:jc w:val="left"/>
      </w:pPr>
      <w:r>
        <w:rPr/>
        <w:t>覆盖区域，覆盖业态环节、覆盖品类；在承担政府层面食安流通体系建设的同时，还可从企</w:t>
      </w:r>
      <w:r>
        <w:rPr>
          <w:spacing w:val="-91"/>
        </w:rPr>
        <w:t> </w:t>
      </w:r>
      <w:r>
        <w:rPr>
          <w:spacing w:val="-91"/>
        </w:rPr>
      </w:r>
      <w:r>
        <w:rPr/>
        <w:t>业自身和供应链质量安全管理需求出发，将关键质量安全数据进行汇集、串接前端农业，后</w:t>
      </w:r>
      <w:r>
        <w:rPr>
          <w:spacing w:val="-91"/>
        </w:rPr>
        <w:t> </w:t>
      </w:r>
      <w:r>
        <w:rPr>
          <w:spacing w:val="-91"/>
        </w:rPr>
      </w:r>
      <w:r>
        <w:rPr/>
        <w:t>端市场监管业务。可为生产加工、配送企业、超市、农贸市场、餐饮零售等大中型供应链商</w:t>
      </w:r>
      <w:r>
        <w:rPr>
          <w:spacing w:val="-91"/>
        </w:rPr>
        <w:t> </w:t>
      </w:r>
      <w:r>
        <w:rPr>
          <w:spacing w:val="-91"/>
        </w:rPr>
      </w:r>
      <w:r>
        <w:rPr/>
        <w:t>企公司开展企业安全生产管理系统及防伪，营销等信息化业务服务。不断结合国家政策变化</w:t>
      </w:r>
      <w:r>
        <w:rPr>
          <w:spacing w:val="-91"/>
        </w:rPr>
        <w:t> </w:t>
      </w:r>
      <w:r>
        <w:rPr>
          <w:spacing w:val="-91"/>
        </w:rPr>
      </w:r>
      <w:r>
        <w:rPr>
          <w:spacing w:val="-2"/>
        </w:rPr>
        <w:t>及企业经营需要，在食安行业流通领域树立技术标杆，推广建设新模式，持续全国领先优势，</w:t>
      </w:r>
      <w:r>
        <w:rPr/>
        <w:t> 继续描绘壮大信息发展食安蓝图。</w:t>
      </w:r>
    </w:p>
    <w:p>
      <w:pPr>
        <w:pStyle w:val="Heading5"/>
        <w:spacing w:line="235" w:lineRule="auto" w:before="75"/>
        <w:ind w:right="1133" w:firstLine="480"/>
        <w:jc w:val="both"/>
      </w:pPr>
      <w:r>
        <w:rPr/>
        <w:t>在非洲猪瘟与</w:t>
      </w:r>
      <w:r>
        <w:rPr>
          <w:rFonts w:ascii="Times New Roman" w:hAnsi="Times New Roman" w:cs="Times New Roman" w:eastAsia="Times New Roman" w:hint="default"/>
        </w:rPr>
        <w:t>2020</w:t>
      </w:r>
      <w:r>
        <w:rPr/>
        <w:t>年初的武汉新型冠状病毒事件爆发后，追索子公司积极调整业务战略 布局，助力政企在安全生产及供应流通，应急智慧调度等业务智能化系统应用。在农产品产</w:t>
      </w:r>
      <w:r>
        <w:rPr>
          <w:spacing w:val="-91"/>
        </w:rPr>
        <w:t> </w:t>
      </w:r>
      <w:r>
        <w:rPr>
          <w:spacing w:val="-91"/>
        </w:rPr>
      </w:r>
      <w:r>
        <w:rPr/>
        <w:t>供销环节部署便捷数据采集子系统，强化生产安全，供应链条数据上线上链，并可基于本地</w:t>
      </w:r>
      <w:r>
        <w:rPr>
          <w:spacing w:val="-91"/>
        </w:rPr>
        <w:t> </w:t>
      </w:r>
      <w:r>
        <w:rPr>
          <w:spacing w:val="-91"/>
        </w:rPr>
      </w:r>
      <w:r>
        <w:rPr/>
        <w:t>重点生产企业、批发冷链物流企业搭建应急智慧调度中心，支持地域内和跨地域的集采、共</w:t>
      </w:r>
      <w:r>
        <w:rPr>
          <w:spacing w:val="-91"/>
        </w:rPr>
        <w:t> </w:t>
      </w:r>
      <w:r>
        <w:rPr>
          <w:spacing w:val="-91"/>
        </w:rPr>
      </w:r>
      <w:r>
        <w:rPr/>
        <w:t>配等应急调度服务，延伸</w:t>
      </w:r>
      <w:r>
        <w:rPr>
          <w:rFonts w:ascii="Times New Roman" w:hAnsi="Times New Roman" w:cs="Times New Roman" w:eastAsia="Times New Roman" w:hint="default"/>
        </w:rPr>
        <w:t>“</w:t>
      </w:r>
      <w:r>
        <w:rPr/>
        <w:t>菜篮子</w:t>
      </w:r>
      <w:r>
        <w:rPr>
          <w:rFonts w:ascii="Times New Roman" w:hAnsi="Times New Roman" w:cs="Times New Roman" w:eastAsia="Times New Roman" w:hint="default"/>
        </w:rPr>
        <w:t>”</w:t>
      </w:r>
      <w:r>
        <w:rPr/>
        <w:t>保供渠道，提升政府储备效能。为政府提供集监测、信息</w:t>
      </w:r>
      <w:r>
        <w:rPr>
          <w:spacing w:val="-62"/>
        </w:rPr>
        <w:t> </w:t>
      </w:r>
      <w:r>
        <w:rPr>
          <w:spacing w:val="-62"/>
        </w:rPr>
      </w:r>
      <w:r>
        <w:rPr/>
        <w:t>发布、调度处理等综合应用移动化系统，在提高政府执行公务质效同时，营造放心消费，安</w:t>
      </w:r>
      <w:r>
        <w:rPr>
          <w:spacing w:val="-91"/>
        </w:rPr>
        <w:t> </w:t>
      </w:r>
      <w:r>
        <w:rPr>
          <w:spacing w:val="-91"/>
        </w:rPr>
      </w:r>
      <w:r>
        <w:rPr/>
        <w:t>全透明的营商环境。</w:t>
      </w:r>
    </w:p>
    <w:p>
      <w:pPr>
        <w:pStyle w:val="Heading5"/>
        <w:spacing w:line="312" w:lineRule="exact" w:before="127"/>
        <w:ind w:right="1130" w:firstLine="480"/>
        <w:jc w:val="both"/>
      </w:pPr>
      <w:r>
        <w:rPr/>
        <w:t>后续我们将依照</w:t>
      </w:r>
      <w:r>
        <w:rPr>
          <w:rFonts w:ascii="Times New Roman" w:hAnsi="Times New Roman" w:cs="Times New Roman" w:eastAsia="Times New Roman" w:hint="default"/>
        </w:rPr>
        <w:t>“</w:t>
      </w:r>
      <w:r>
        <w:rPr/>
        <w:t>粤港澳大湾区菜篮子平台</w:t>
      </w:r>
      <w:r>
        <w:rPr>
          <w:rFonts w:ascii="Times New Roman" w:hAnsi="Times New Roman" w:cs="Times New Roman" w:eastAsia="Times New Roman" w:hint="default"/>
        </w:rPr>
        <w:t>”</w:t>
      </w:r>
      <w:r>
        <w:rPr/>
        <w:t>建设运营经验，不断开拓运营与政府合作的 日用百货及生鲜的电商平台，采集辖区内的产、供、销等商企经营主体信息，商品信息，销</w:t>
      </w:r>
      <w:r>
        <w:rPr>
          <w:spacing w:val="-91"/>
        </w:rPr>
        <w:t> </w:t>
      </w:r>
      <w:r>
        <w:rPr>
          <w:spacing w:val="-91"/>
        </w:rPr>
      </w:r>
      <w:r>
        <w:rPr/>
        <w:t>售信息等；结合线下实体商企日常供应量价监测，最大程度抓好线上供应统计分析功能，提</w:t>
      </w:r>
      <w:r>
        <w:rPr>
          <w:spacing w:val="-91"/>
        </w:rPr>
        <w:t> </w:t>
      </w:r>
      <w:r>
        <w:rPr>
          <w:spacing w:val="-91"/>
        </w:rPr>
      </w:r>
      <w:r>
        <w:rPr/>
        <w:t>高公共安全事件情况下的政府供应调度能力。</w:t>
      </w:r>
    </w:p>
    <w:p>
      <w:pPr>
        <w:pStyle w:val="Heading5"/>
        <w:spacing w:line="297" w:lineRule="auto" w:before="70"/>
        <w:ind w:left="593" w:right="1133"/>
        <w:jc w:val="left"/>
      </w:pPr>
      <w:r>
        <w:rPr>
          <w:rFonts w:ascii="Times New Roman" w:hAnsi="Times New Roman" w:cs="Times New Roman" w:eastAsia="Times New Roman" w:hint="default"/>
        </w:rPr>
        <w:t>4</w:t>
      </w:r>
      <w:r>
        <w:rPr/>
        <w:t>、智慧追溯 追溯云子公司作为第三方食品安全服务提供商，是智慧食安业务中最关键一环，是公司</w:t>
      </w:r>
    </w:p>
    <w:p>
      <w:pPr>
        <w:pStyle w:val="Heading5"/>
        <w:spacing w:line="263" w:lineRule="exact"/>
        <w:ind w:right="986"/>
        <w:jc w:val="left"/>
      </w:pPr>
      <w:r>
        <w:rPr/>
        <w:t>实施</w:t>
      </w:r>
      <w:r>
        <w:rPr>
          <w:rFonts w:ascii="Times New Roman" w:hAnsi="Times New Roman" w:cs="Times New Roman" w:eastAsia="Times New Roman" w:hint="default"/>
        </w:rPr>
        <w:t>“</w:t>
      </w:r>
      <w:r>
        <w:rPr/>
        <w:t>战略升级</w:t>
      </w:r>
      <w:r>
        <w:rPr>
          <w:rFonts w:ascii="Times New Roman" w:hAnsi="Times New Roman" w:cs="Times New Roman" w:eastAsia="Times New Roman" w:hint="default"/>
        </w:rPr>
        <w:t>-</w:t>
      </w:r>
      <w:r>
        <w:rPr/>
        <w:t>聚焦食安</w:t>
      </w:r>
      <w:r>
        <w:rPr>
          <w:rFonts w:ascii="Times New Roman" w:hAnsi="Times New Roman" w:cs="Times New Roman" w:eastAsia="Times New Roman" w:hint="default"/>
        </w:rPr>
        <w:t>”</w:t>
      </w:r>
      <w:r>
        <w:rPr/>
        <w:t>的核心点。</w:t>
      </w:r>
      <w:r>
        <w:rPr>
          <w:rFonts w:ascii="Times New Roman" w:hAnsi="Times New Roman" w:cs="Times New Roman" w:eastAsia="Times New Roman" w:hint="default"/>
        </w:rPr>
        <w:t>2020</w:t>
      </w:r>
      <w:r>
        <w:rPr/>
        <w:t>年，追溯云将以打造“食品安全领域的米其林”为</w:t>
      </w:r>
    </w:p>
    <w:p>
      <w:pPr>
        <w:pStyle w:val="Heading5"/>
        <w:spacing w:line="312" w:lineRule="exact" w:before="20"/>
        <w:ind w:right="996"/>
        <w:jc w:val="left"/>
      </w:pPr>
      <w:r>
        <w:rPr/>
        <w:t>目标，继续通过</w:t>
      </w:r>
      <w:r>
        <w:rPr>
          <w:rFonts w:ascii="Times New Roman" w:hAnsi="Times New Roman" w:cs="Times New Roman" w:eastAsia="Times New Roman" w:hint="default"/>
        </w:rPr>
        <w:t>SaaS</w:t>
      </w:r>
      <w:r>
        <w:rPr/>
        <w:t>服务、食品安全评估、检验检测、信用认证等专业服务，为食品安全供</w:t>
      </w:r>
      <w:r>
        <w:rPr>
          <w:spacing w:val="-92"/>
        </w:rPr>
        <w:t> </w:t>
      </w:r>
      <w:r>
        <w:rPr>
          <w:spacing w:val="-92"/>
        </w:rPr>
      </w:r>
      <w:r>
        <w:rPr/>
        <w:t>应链生态圈提供第三方食品安全服务。除此之外，追溯云还将积极拓展市场监督管理局食安</w:t>
      </w:r>
      <w:r>
        <w:rPr>
          <w:spacing w:val="-91"/>
        </w:rPr>
        <w:t> </w:t>
      </w:r>
      <w:r>
        <w:rPr>
          <w:spacing w:val="-91"/>
        </w:rPr>
      </w:r>
      <w:r>
        <w:rPr/>
        <w:t>业务，结合政策变化，在市场监管领域树立标杆，发展食安监管新模式，依托企业</w:t>
      </w:r>
      <w:r>
        <w:rPr>
          <w:rFonts w:ascii="Times New Roman" w:hAnsi="Times New Roman" w:cs="Times New Roman" w:eastAsia="Times New Roman" w:hint="default"/>
        </w:rPr>
        <w:t>“</w:t>
      </w:r>
      <w:r>
        <w:rPr/>
        <w:t>合监管</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spacing w:val="-2"/>
        </w:rPr>
        <w:t>需求，为企业降本增效。追溯云在未来将重点聚焦食品生产加工、食品配送企业、大型商超、</w:t>
      </w:r>
      <w:r>
        <w:rPr/>
        <w:t> 标准化农贸市场、餐饮企业等客户对象，建立合市场监管、为企业服务的商业模式和权威品</w:t>
      </w:r>
      <w:r>
        <w:rPr>
          <w:spacing w:val="-91"/>
        </w:rPr>
        <w:t> </w:t>
      </w:r>
      <w:r>
        <w:rPr>
          <w:spacing w:val="-91"/>
        </w:rPr>
      </w:r>
      <w:r>
        <w:rPr/>
        <w:t>牌，为全社会链接信任，让人人都能吃上安全、放心的食品。</w:t>
      </w:r>
    </w:p>
    <w:p>
      <w:pPr>
        <w:spacing w:after="0" w:line="312"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4"/>
        <w:spacing w:line="240" w:lineRule="auto" w:before="26"/>
        <w:ind w:left="593" w:right="1133"/>
        <w:jc w:val="left"/>
        <w:rPr>
          <w:b w:val="0"/>
          <w:bCs w:val="0"/>
        </w:rPr>
      </w:pPr>
      <w:r>
        <w:rPr/>
        <w:t>（二）智慧档案领域</w:t>
      </w:r>
      <w:r>
        <w:rPr>
          <w:b w:val="0"/>
          <w:bCs w:val="0"/>
        </w:rPr>
      </w:r>
    </w:p>
    <w:p>
      <w:pPr>
        <w:pStyle w:val="Heading5"/>
        <w:spacing w:line="297" w:lineRule="auto" w:before="99"/>
        <w:ind w:left="593" w:right="986"/>
        <w:jc w:val="left"/>
      </w:pPr>
      <w:r>
        <w:rPr>
          <w:rFonts w:ascii="Times New Roman" w:hAnsi="Times New Roman" w:cs="Times New Roman" w:eastAsia="Times New Roman" w:hint="default"/>
        </w:rPr>
        <w:t>1</w:t>
      </w:r>
      <w:r>
        <w:rPr/>
        <w:t>、智慧档案全生命周期管理需求庞大 </w:t>
      </w:r>
      <w:r>
        <w:rPr>
          <w:spacing w:val="-9"/>
        </w:rPr>
        <w:t>档案局（馆）、政府机关、公检法司、企事业单位等客户对信息数据的管理需求不断升级，</w:t>
      </w:r>
    </w:p>
    <w:p>
      <w:pPr>
        <w:pStyle w:val="Heading5"/>
        <w:spacing w:line="253" w:lineRule="exact"/>
        <w:ind w:right="0"/>
        <w:jc w:val="both"/>
      </w:pPr>
      <w:r>
        <w:rPr/>
        <w:t>推动了新一轮的档案数据智慧化发展。受益于国家层面对各省级和地方档案馆的重点支持，</w:t>
      </w:r>
    </w:p>
    <w:p>
      <w:pPr>
        <w:pStyle w:val="Heading5"/>
        <w:spacing w:line="312" w:lineRule="exact" w:before="29"/>
        <w:ind w:right="1139"/>
        <w:jc w:val="both"/>
      </w:pPr>
      <w:r>
        <w:rPr/>
        <w:t>各地结合大数据、人工智能、区块链等技术加快实现智慧档案馆（室）的建设。对于企业级</w:t>
      </w:r>
      <w:r>
        <w:rPr>
          <w:spacing w:val="-91"/>
        </w:rPr>
        <w:t> </w:t>
      </w:r>
      <w:r>
        <w:rPr>
          <w:spacing w:val="-91"/>
        </w:rPr>
      </w:r>
      <w:r>
        <w:rPr/>
        <w:t>档案管理市场，各行业垂直领域的档案智慧化管理需求不断扩展。基于信息技术创新应用方</w:t>
      </w:r>
      <w:r>
        <w:rPr>
          <w:spacing w:val="-91"/>
        </w:rPr>
        <w:t> </w:t>
      </w:r>
      <w:r>
        <w:rPr>
          <w:spacing w:val="-91"/>
        </w:rPr>
      </w:r>
      <w:r>
        <w:rPr/>
        <w:t>面的档案产品及服务，需求进一步加大，未来前景可期。</w:t>
      </w:r>
    </w:p>
    <w:p>
      <w:pPr>
        <w:pStyle w:val="Heading5"/>
        <w:spacing w:line="297" w:lineRule="auto" w:before="70"/>
        <w:ind w:left="593" w:right="1133"/>
        <w:jc w:val="left"/>
      </w:pPr>
      <w:r>
        <w:rPr>
          <w:rFonts w:ascii="Times New Roman" w:hAnsi="Times New Roman" w:cs="Times New Roman" w:eastAsia="Times New Roman" w:hint="default"/>
        </w:rPr>
        <w:t>2</w:t>
      </w:r>
      <w:r>
        <w:rPr/>
        <w:t>、智慧档案应用前景广阔 近年来，党中央、国务院高度重视网络与信息安全，习近平总书记多次指出，要加快国</w:t>
      </w:r>
    </w:p>
    <w:p>
      <w:pPr>
        <w:pStyle w:val="Heading5"/>
        <w:spacing w:line="253" w:lineRule="exact"/>
        <w:ind w:right="0"/>
        <w:jc w:val="both"/>
      </w:pPr>
      <w:r>
        <w:rPr/>
        <w:t>产自主可控替代计划、构建安全可靠的信息技术体系。档案领域更是信息安全建设的重中之</w:t>
      </w:r>
    </w:p>
    <w:p>
      <w:pPr>
        <w:pStyle w:val="Heading5"/>
        <w:spacing w:line="240" w:lineRule="auto"/>
        <w:ind w:right="1139"/>
        <w:jc w:val="both"/>
      </w:pPr>
      <w:r>
        <w:rPr/>
        <w:t>重，公司将加大信息技术创新领域的产品研发与市场布局，依托公司在档案信息化领域的市</w:t>
      </w:r>
      <w:r>
        <w:rPr>
          <w:spacing w:val="-91"/>
        </w:rPr>
        <w:t> </w:t>
      </w:r>
      <w:r>
        <w:rPr>
          <w:spacing w:val="-91"/>
        </w:rPr>
      </w:r>
      <w:r>
        <w:rPr/>
        <w:t>场先发优势，积极投入档案领域的信息技术创新落地应用。</w:t>
      </w:r>
    </w:p>
    <w:p>
      <w:pPr>
        <w:pStyle w:val="Heading5"/>
        <w:spacing w:line="312" w:lineRule="exact" w:before="127"/>
        <w:ind w:right="1136" w:firstLine="480"/>
        <w:jc w:val="both"/>
      </w:pPr>
      <w:r>
        <w:rPr/>
        <w:t>为贯彻落实国家创新驱动发展战略，推动产业技术体系创新，创造发展新优势。中共中 央</w:t>
      </w:r>
      <w:r>
        <w:rPr>
          <w:spacing w:val="-12"/>
        </w:rPr>
        <w:t> </w:t>
      </w:r>
      <w:r>
        <w:rPr>
          <w:spacing w:val="-2"/>
        </w:rPr>
        <w:t>国务院印发《国家创新驱动发展战略纲要》，强调发展新一代信息网络技术，增强经济社</w:t>
      </w:r>
      <w:r>
        <w:rPr/>
        <w:t> 会发展的信息化基础。公司加大在云计算、物联网、大数据、移动智能终端等技术研发和综</w:t>
      </w:r>
      <w:r>
        <w:rPr>
          <w:spacing w:val="-91"/>
        </w:rPr>
        <w:t> </w:t>
      </w:r>
      <w:r>
        <w:rPr>
          <w:spacing w:val="-91"/>
        </w:rPr>
      </w:r>
      <w:r>
        <w:rPr/>
        <w:t>合应用，以档案领域信息技术创新为我国经济转型升级和维护国家信息安全提供保障。</w:t>
      </w:r>
    </w:p>
    <w:p>
      <w:pPr>
        <w:pStyle w:val="Heading5"/>
        <w:spacing w:line="312" w:lineRule="exact" w:before="101"/>
        <w:ind w:right="1011" w:firstLine="480"/>
        <w:jc w:val="both"/>
      </w:pPr>
      <w:r>
        <w:rPr/>
        <w:t>同时，网络和信息技术快速发展，电子政务、电子商务越来越成熟，无纸化办公、无纸 化交易越来越普遍，大数据、云计算、人工智能的研究应用越来越深入。档案工作正在经历</w:t>
      </w:r>
      <w:r>
        <w:rPr>
          <w:spacing w:val="-91"/>
        </w:rPr>
        <w:t> </w:t>
      </w:r>
      <w:r>
        <w:rPr>
          <w:spacing w:val="-91"/>
        </w:rPr>
      </w:r>
      <w:r>
        <w:rPr/>
        <w:t>一个从接收保管纸质档案到接收保管电子档案，从管档案实体到管档案数据，从手工操作到</w:t>
      </w:r>
      <w:r>
        <w:rPr>
          <w:spacing w:val="-91"/>
        </w:rPr>
        <w:t> </w:t>
      </w:r>
      <w:r>
        <w:rPr>
          <w:spacing w:val="-91"/>
        </w:rPr>
      </w:r>
      <w:r>
        <w:rPr/>
        <w:t>信息化智能化操作，从档案资源分散利用到联网共享的变革过程。我司紧抓档案工作转型升</w:t>
      </w:r>
      <w:r>
        <w:rPr>
          <w:spacing w:val="-91"/>
        </w:rPr>
        <w:t> </w:t>
      </w:r>
      <w:r>
        <w:rPr>
          <w:spacing w:val="-91"/>
        </w:rPr>
      </w:r>
      <w:r>
        <w:rPr/>
        <w:t>级的契机，积极参与浙江省内推进</w:t>
      </w:r>
      <w:r>
        <w:rPr>
          <w:rFonts w:ascii="Times New Roman" w:hAnsi="Times New Roman" w:cs="Times New Roman" w:eastAsia="Times New Roman" w:hint="default"/>
        </w:rPr>
        <w:t>“</w:t>
      </w:r>
      <w:r>
        <w:rPr/>
        <w:t>最多跑一次</w:t>
      </w:r>
      <w:r>
        <w:rPr>
          <w:rFonts w:ascii="Times New Roman" w:hAnsi="Times New Roman" w:cs="Times New Roman" w:eastAsia="Times New Roman" w:hint="default"/>
        </w:rPr>
        <w:t>”</w:t>
      </w:r>
      <w:r>
        <w:rPr/>
        <w:t>改革、上海市</w:t>
      </w:r>
      <w:r>
        <w:rPr>
          <w:rFonts w:ascii="Times New Roman" w:hAnsi="Times New Roman" w:cs="Times New Roman" w:eastAsia="Times New Roman" w:hint="default"/>
        </w:rPr>
        <w:t>“</w:t>
      </w:r>
      <w:r>
        <w:rPr/>
        <w:t>一网通办</w:t>
      </w:r>
      <w:r>
        <w:rPr>
          <w:rFonts w:ascii="Times New Roman" w:hAnsi="Times New Roman" w:cs="Times New Roman" w:eastAsia="Times New Roman" w:hint="default"/>
        </w:rPr>
        <w:t>”</w:t>
      </w:r>
      <w:r>
        <w:rPr/>
        <w:t>的政务服务、电子</w:t>
      </w:r>
      <w:r>
        <w:rPr>
          <w:spacing w:val="-41"/>
        </w:rPr>
        <w:t> </w:t>
      </w:r>
      <w:r>
        <w:rPr>
          <w:spacing w:val="-2"/>
        </w:rPr>
        <w:t>档案</w:t>
      </w:r>
      <w:r>
        <w:rPr>
          <w:rFonts w:ascii="Times New Roman" w:hAnsi="Times New Roman" w:cs="Times New Roman" w:eastAsia="Times New Roman" w:hint="default"/>
          <w:spacing w:val="-2"/>
        </w:rPr>
        <w:t>“</w:t>
      </w:r>
      <w:r>
        <w:rPr>
          <w:spacing w:val="-2"/>
        </w:rPr>
        <w:t>单套制</w:t>
      </w:r>
      <w:r>
        <w:rPr>
          <w:rFonts w:ascii="Times New Roman" w:hAnsi="Times New Roman" w:cs="Times New Roman" w:eastAsia="Times New Roman" w:hint="default"/>
          <w:spacing w:val="-2"/>
        </w:rPr>
        <w:t>”</w:t>
      </w:r>
      <w:r>
        <w:rPr>
          <w:spacing w:val="-2"/>
        </w:rPr>
        <w:t>试点工作等多项创新型项目，逐步扩大以信息化为核心的档案管理现代化市场。</w:t>
      </w:r>
    </w:p>
    <w:p>
      <w:pPr>
        <w:pStyle w:val="Heading5"/>
        <w:spacing w:line="312" w:lineRule="exact" w:before="101"/>
        <w:ind w:right="1124" w:firstLine="480"/>
        <w:jc w:val="both"/>
      </w:pPr>
      <w:r>
        <w:rPr/>
        <w:t>随着各地区各部门认真贯彻中共中央办公厅、国务院办公厅《关于加强和改进新形势下 </w:t>
      </w:r>
      <w:r>
        <w:rPr>
          <w:spacing w:val="-5"/>
          <w:w w:val="100"/>
        </w:rPr>
        <w:t>档案工作的意见》和《全国档案事业发展</w:t>
      </w:r>
      <w:r>
        <w:rPr>
          <w:rFonts w:ascii="Times New Roman" w:hAnsi="Times New Roman" w:cs="Times New Roman" w:eastAsia="Times New Roman" w:hint="default"/>
          <w:spacing w:val="-5"/>
          <w:w w:val="100"/>
        </w:rPr>
        <w:t>“</w:t>
      </w:r>
      <w:r>
        <w:rPr>
          <w:spacing w:val="-5"/>
          <w:w w:val="100"/>
        </w:rPr>
        <w:t>十三五</w:t>
      </w:r>
      <w:r>
        <w:rPr>
          <w:rFonts w:ascii="Times New Roman" w:hAnsi="Times New Roman" w:cs="Times New Roman" w:eastAsia="Times New Roman" w:hint="default"/>
          <w:spacing w:val="-5"/>
          <w:w w:val="100"/>
        </w:rPr>
        <w:t>”</w:t>
      </w:r>
      <w:r>
        <w:rPr>
          <w:spacing w:val="-5"/>
          <w:w w:val="100"/>
        </w:rPr>
        <w:t>规划纲要》，持续推进档案资源体系、档案</w:t>
      </w:r>
      <w:r>
        <w:rPr>
          <w:spacing w:val="-88"/>
          <w:w w:val="100"/>
        </w:rPr>
        <w:t> </w:t>
      </w:r>
      <w:r>
        <w:rPr>
          <w:spacing w:val="-88"/>
          <w:w w:val="100"/>
        </w:rPr>
      </w:r>
      <w:r>
        <w:rPr/>
        <w:t>利用体系、档案安全体系建设，夯实了档案事业的基础，但发展不平衡的问题仍比较突出。</w:t>
      </w:r>
      <w:r>
        <w:rPr>
          <w:spacing w:val="-91"/>
        </w:rPr>
        <w:t> </w:t>
      </w:r>
      <w:r>
        <w:rPr>
          <w:spacing w:val="-91"/>
        </w:rPr>
      </w:r>
      <w:r>
        <w:rPr/>
        <w:t>档案工作越往基层越薄弱，尤其是乡镇和农村缺少技术支持；中西部地区与东部发达地区之</w:t>
      </w:r>
      <w:r>
        <w:rPr>
          <w:spacing w:val="-91"/>
        </w:rPr>
        <w:t> </w:t>
      </w:r>
      <w:r>
        <w:rPr>
          <w:spacing w:val="-91"/>
        </w:rPr>
      </w:r>
      <w:r>
        <w:rPr>
          <w:spacing w:val="-4"/>
        </w:rPr>
        <w:t>间，同一个省份的不同地市、不同区县之间，都存在不同程度的差距。</w:t>
      </w:r>
      <w:r>
        <w:rPr>
          <w:rFonts w:ascii="Times New Roman" w:hAnsi="Times New Roman" w:cs="Times New Roman" w:eastAsia="Times New Roman" w:hint="default"/>
          <w:spacing w:val="-4"/>
        </w:rPr>
        <w:t>2020</w:t>
      </w:r>
      <w:r>
        <w:rPr>
          <w:spacing w:val="-4"/>
        </w:rPr>
        <w:t>年是档案</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rFonts w:ascii="Times New Roman" w:hAnsi="Times New Roman" w:cs="Times New Roman" w:eastAsia="Times New Roman" w:hint="default"/>
          <w:w w:val="100"/>
        </w:rPr>
        <w:t> </w:t>
      </w:r>
      <w:r>
        <w:rPr/>
        <w:t>规划的最后一年，各级档案馆（室）客户将加快推进档案信息化建设，省级带动地市级、区</w:t>
      </w:r>
      <w:r>
        <w:rPr>
          <w:spacing w:val="-91"/>
        </w:rPr>
        <w:t> </w:t>
      </w:r>
      <w:r>
        <w:rPr>
          <w:spacing w:val="-91"/>
        </w:rPr>
      </w:r>
      <w:r>
        <w:rPr/>
        <w:t>县级，全面开展档案信息化建设，缩小差距，完成指标。公司将围绕</w:t>
      </w:r>
      <w:r>
        <w:rPr>
          <w:rFonts w:ascii="Times New Roman" w:hAnsi="Times New Roman" w:cs="Times New Roman" w:eastAsia="Times New Roman" w:hint="default"/>
        </w:rPr>
        <w:t>“</w:t>
      </w:r>
      <w:r>
        <w:rPr/>
        <w:t>十三五规划</w:t>
      </w:r>
      <w:r>
        <w:rPr>
          <w:rFonts w:ascii="Times New Roman" w:hAnsi="Times New Roman" w:cs="Times New Roman" w:eastAsia="Times New Roman" w:hint="default"/>
        </w:rPr>
        <w:t>”</w:t>
      </w:r>
      <w:r>
        <w:rPr/>
        <w:t>指标，加</w:t>
      </w:r>
      <w:r>
        <w:rPr>
          <w:spacing w:val="-55"/>
        </w:rPr>
        <w:t> </w:t>
      </w:r>
      <w:r>
        <w:rPr/>
        <w:t>快产品标准化建设，对工作基础比较薄弱的地区和单位要给予更多关注和帮助，推动档案市</w:t>
      </w:r>
      <w:r>
        <w:rPr>
          <w:spacing w:val="-91"/>
        </w:rPr>
        <w:t> </w:t>
      </w:r>
      <w:r>
        <w:rPr>
          <w:spacing w:val="-91"/>
        </w:rPr>
      </w:r>
      <w:r>
        <w:rPr/>
        <w:t>场进一步向区县级市场下沉，推进实施中西部地区县级综合档案馆建设、国家重点档案保护</w:t>
      </w:r>
      <w:r>
        <w:rPr>
          <w:spacing w:val="-91"/>
        </w:rPr>
        <w:t> </w:t>
      </w:r>
      <w:r>
        <w:rPr>
          <w:spacing w:val="-91"/>
        </w:rPr>
      </w:r>
      <w:r>
        <w:rPr/>
        <w:t>与开发等项目，促进档案事业均衡发展，加快档案信息化在金融、交通、城建等行业复制扩</w:t>
      </w:r>
      <w:r>
        <w:rPr>
          <w:spacing w:val="-91"/>
        </w:rPr>
        <w:t> </w:t>
      </w:r>
      <w:r>
        <w:rPr>
          <w:spacing w:val="-91"/>
        </w:rPr>
      </w:r>
      <w:r>
        <w:rPr/>
        <w:t>张。</w:t>
      </w:r>
    </w:p>
    <w:p>
      <w:pPr>
        <w:spacing w:line="240" w:lineRule="auto" w:before="0"/>
        <w:rPr>
          <w:rFonts w:ascii="宋体" w:hAnsi="宋体" w:cs="宋体" w:eastAsia="宋体" w:hint="default"/>
          <w:sz w:val="24"/>
          <w:szCs w:val="24"/>
        </w:rPr>
      </w:pPr>
    </w:p>
    <w:p>
      <w:pPr>
        <w:pStyle w:val="Heading4"/>
        <w:spacing w:line="240" w:lineRule="auto" w:before="167"/>
        <w:ind w:left="593" w:right="1133"/>
        <w:jc w:val="left"/>
        <w:rPr>
          <w:b w:val="0"/>
          <w:bCs w:val="0"/>
        </w:rPr>
      </w:pPr>
      <w:r>
        <w:rPr/>
        <w:t>（三）智慧司法领域</w:t>
      </w:r>
      <w:r>
        <w:rPr>
          <w:b w:val="0"/>
          <w:bCs w:val="0"/>
        </w:rPr>
      </w:r>
    </w:p>
    <w:p>
      <w:pPr>
        <w:pStyle w:val="Heading5"/>
        <w:spacing w:line="297" w:lineRule="auto" w:before="98"/>
        <w:ind w:left="593" w:right="986"/>
        <w:jc w:val="left"/>
      </w:pPr>
      <w:r>
        <w:rPr>
          <w:rFonts w:ascii="Times New Roman" w:hAnsi="Times New Roman" w:cs="Times New Roman" w:eastAsia="Times New Roman" w:hint="default"/>
        </w:rPr>
        <w:t>1</w:t>
      </w:r>
      <w:r>
        <w:rPr/>
        <w:t>、行业现状及发展趋势展望 </w:t>
      </w:r>
      <w:r>
        <w:rPr>
          <w:spacing w:val="-3"/>
        </w:rPr>
        <w:t>中共中央十九届四中全会审议通过了《中共中央关于坚持和完善中国特色社会主义制度、</w:t>
      </w:r>
    </w:p>
    <w:p>
      <w:pPr>
        <w:pStyle w:val="Heading5"/>
        <w:spacing w:line="253" w:lineRule="exact"/>
        <w:ind w:right="0"/>
        <w:jc w:val="both"/>
      </w:pPr>
      <w:r>
        <w:rPr/>
        <w:t>推进国家治理体系和治理能力现代化若干重大问题的决定</w:t>
      </w:r>
      <w:r>
        <w:rPr>
          <w:spacing w:val="-120"/>
        </w:rPr>
        <w:t>》</w:t>
      </w:r>
      <w:r>
        <w:rPr>
          <w:spacing w:val="-101"/>
        </w:rPr>
        <w:t>，</w:t>
      </w:r>
      <w:r>
        <w:rPr/>
        <w:t>要提高社会治安</w:t>
      </w:r>
      <w:r>
        <w:rPr>
          <w:spacing w:val="2"/>
        </w:rPr>
        <w:t>立</w:t>
      </w:r>
      <w:r>
        <w:rPr/>
        <w:t>体化</w:t>
      </w:r>
      <w:r>
        <w:rPr>
          <w:spacing w:val="-101"/>
        </w:rPr>
        <w:t>、</w:t>
      </w:r>
      <w:r>
        <w:rPr/>
        <w:t>法治化、</w:t>
      </w:r>
    </w:p>
    <w:p>
      <w:pPr>
        <w:pStyle w:val="Heading5"/>
        <w:spacing w:line="312" w:lineRule="exact" w:before="29"/>
        <w:ind w:right="1139"/>
        <w:jc w:val="both"/>
      </w:pPr>
      <w:r>
        <w:rPr/>
        <w:t>专业化、智能化水平，形成问题联治、工作联动、平安联创的工作机制，提高预测预警预防</w:t>
      </w:r>
      <w:r>
        <w:rPr>
          <w:spacing w:val="-91"/>
        </w:rPr>
        <w:t> </w:t>
      </w:r>
      <w:r>
        <w:rPr>
          <w:spacing w:val="-91"/>
        </w:rPr>
      </w:r>
      <w:r>
        <w:rPr/>
        <w:t>各类风险能力，增强社会治安防控的整体性、协同性、精准性。</w:t>
      </w:r>
    </w:p>
    <w:p>
      <w:pPr>
        <w:spacing w:after="0" w:line="312"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2" w:lineRule="auto" w:before="34"/>
        <w:ind w:right="1134" w:firstLine="480"/>
        <w:jc w:val="both"/>
      </w:pPr>
      <w:r>
        <w:rPr/>
        <w:t>习近平在中央政治局第十八次集体学习时强调要把区块链作为核心技术自主创新重要突 </w:t>
      </w:r>
      <w:r>
        <w:rPr>
          <w:spacing w:val="-1"/>
        </w:rPr>
        <w:t>破口，加快推动区块链技术和产业创新发展。中办发文要求在</w:t>
      </w:r>
      <w:r>
        <w:rPr>
          <w:rFonts w:ascii="Times New Roman" w:hAnsi="Times New Roman" w:cs="Times New Roman" w:eastAsia="Times New Roman" w:hint="default"/>
          <w:spacing w:val="-1"/>
        </w:rPr>
        <w:t>2020-2022</w:t>
      </w:r>
      <w:r>
        <w:rPr>
          <w:spacing w:val="-1"/>
        </w:rPr>
        <w:t>年全面实现信息系统</w:t>
      </w:r>
      <w:r>
        <w:rPr/>
        <w:t> 的国产产品安全可靠替代。</w:t>
      </w:r>
    </w:p>
    <w:p>
      <w:pPr>
        <w:pStyle w:val="Heading5"/>
        <w:spacing w:line="312" w:lineRule="exact" w:before="130"/>
        <w:ind w:right="996"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月司法部在江苏南京召开</w:t>
      </w:r>
      <w:r>
        <w:rPr>
          <w:rFonts w:ascii="Times New Roman" w:hAnsi="Times New Roman" w:cs="Times New Roman" w:eastAsia="Times New Roman" w:hint="default"/>
        </w:rPr>
        <w:t>“</w:t>
      </w:r>
      <w:r>
        <w:rPr/>
        <w:t>数字法治、智慧司法</w:t>
      </w:r>
      <w:r>
        <w:rPr>
          <w:rFonts w:ascii="Times New Roman" w:hAnsi="Times New Roman" w:cs="Times New Roman" w:eastAsia="Times New Roman" w:hint="default"/>
        </w:rPr>
        <w:t>”</w:t>
      </w:r>
      <w:r>
        <w:rPr/>
        <w:t>信息化建设应用推进会。要充 </w:t>
      </w:r>
      <w:r>
        <w:rPr>
          <w:spacing w:val="-2"/>
        </w:rPr>
        <w:t>分发挥科技信息化对法治中国建设的支撑和驱动作用，助推国家治理体系和治理能力现代化。</w:t>
      </w:r>
      <w:r>
        <w:rPr/>
        <w:t> </w:t>
      </w:r>
      <w:r>
        <w:rPr>
          <w:spacing w:val="-2"/>
        </w:rPr>
        <w:t>要全面聚焦启动依法治国信息化工作、全面发挥信息化引擎作用、全面提升大数据慧治能力、</w:t>
      </w:r>
      <w:r>
        <w:rPr/>
        <w:t> 全面打造智慧大脑、全面深化司法行政科技创新、全面加强网络安全建设。</w:t>
      </w:r>
    </w:p>
    <w:p>
      <w:pPr>
        <w:pStyle w:val="Heading5"/>
        <w:spacing w:line="312" w:lineRule="exact" w:before="98"/>
        <w:ind w:right="1139" w:firstLine="480"/>
        <w:jc w:val="both"/>
      </w:pPr>
      <w:r>
        <w:rPr/>
        <w:t>司法部出台《智慧监狱技术规范》等一系列行业标准，司法部监狱局、戒毒局先后召开 全国智慧监狱、智慧戒毒建设推进会，并进行示范单位创建和命名，智慧监所建设在全国范</w:t>
      </w:r>
      <w:r>
        <w:rPr>
          <w:spacing w:val="-91"/>
        </w:rPr>
        <w:t> </w:t>
      </w:r>
      <w:r>
        <w:rPr>
          <w:spacing w:val="-91"/>
        </w:rPr>
      </w:r>
      <w:r>
        <w:rPr/>
        <w:t>围推开。</w:t>
      </w:r>
    </w:p>
    <w:p>
      <w:pPr>
        <w:pStyle w:val="Heading5"/>
        <w:spacing w:line="232" w:lineRule="auto" w:before="78"/>
        <w:ind w:right="986" w:firstLine="480"/>
        <w:jc w:val="left"/>
      </w:pPr>
      <w:r>
        <w:rPr/>
        <w:t>随着刑罚执行制度改革的深化，为满足监所分类建设、分类关押的需要，为五大改造提 </w:t>
      </w:r>
      <w:r>
        <w:rPr>
          <w:spacing w:val="-5"/>
        </w:rPr>
        <w:t>供教育载体，为公正文明执法提供平台，为民警执法执勤减负增效，为适应</w:t>
      </w:r>
      <w:r>
        <w:rPr>
          <w:rFonts w:ascii="Times New Roman" w:hAnsi="Times New Roman" w:cs="Times New Roman" w:eastAsia="Times New Roman" w:hint="default"/>
          <w:spacing w:val="-5"/>
        </w:rPr>
        <w:t>“</w:t>
      </w:r>
      <w:r>
        <w:rPr>
          <w:spacing w:val="-5"/>
        </w:rPr>
        <w:t>轻应用、微服务、</w:t>
      </w:r>
      <w:r>
        <w:rPr>
          <w:spacing w:val="-99"/>
        </w:rPr>
        <w:t> </w:t>
      </w:r>
      <w:r>
        <w:rPr>
          <w:spacing w:val="-99"/>
        </w:rPr>
      </w:r>
      <w:r>
        <w:rPr/>
        <w:t>移动化</w:t>
      </w:r>
      <w:r>
        <w:rPr>
          <w:rFonts w:ascii="Times New Roman" w:hAnsi="Times New Roman" w:cs="Times New Roman" w:eastAsia="Times New Roman" w:hint="default"/>
        </w:rPr>
        <w:t>”</w:t>
      </w:r>
      <w:r>
        <w:rPr/>
        <w:t>趋势，智慧监所信息化建设任重道远，市场前景广阔。</w:t>
      </w:r>
    </w:p>
    <w:p>
      <w:pPr>
        <w:pStyle w:val="Heading5"/>
        <w:spacing w:line="297" w:lineRule="auto" w:before="82"/>
        <w:ind w:left="593" w:right="1133"/>
        <w:jc w:val="left"/>
      </w:pPr>
      <w:r>
        <w:rPr>
          <w:rFonts w:ascii="Times New Roman" w:hAnsi="Times New Roman" w:cs="Times New Roman" w:eastAsia="Times New Roman" w:hint="default"/>
        </w:rPr>
        <w:t>2</w:t>
      </w:r>
      <w:r>
        <w:rPr/>
        <w:t>、智慧司法</w:t>
      </w:r>
      <w:r>
        <w:rPr>
          <w:rFonts w:ascii="Times New Roman" w:hAnsi="Times New Roman" w:cs="Times New Roman" w:eastAsia="Times New Roman" w:hint="default"/>
        </w:rPr>
        <w:t>—</w:t>
      </w:r>
      <w:r>
        <w:rPr/>
        <w:t>让天下监所更加智慧。 凭接在智慧司法领域的多年耕耘，我司将依托市场先发优势，加快物联网、大数据、人</w:t>
      </w:r>
    </w:p>
    <w:p>
      <w:pPr>
        <w:pStyle w:val="Heading5"/>
        <w:spacing w:line="262" w:lineRule="exact"/>
        <w:ind w:right="0"/>
        <w:jc w:val="both"/>
        <w:rPr>
          <w:rFonts w:ascii="Times New Roman" w:hAnsi="Times New Roman" w:cs="Times New Roman" w:eastAsia="Times New Roman" w:hint="default"/>
        </w:rPr>
      </w:pPr>
      <w:r>
        <w:rPr>
          <w:spacing w:val="-4"/>
        </w:rPr>
        <w:t>工智能、区块链在司法领域的深度应用，遵循</w:t>
      </w:r>
      <w:r>
        <w:rPr>
          <w:rFonts w:ascii="Times New Roman" w:hAnsi="Times New Roman" w:cs="Times New Roman" w:eastAsia="Times New Roman" w:hint="default"/>
          <w:spacing w:val="-4"/>
        </w:rPr>
        <w:t>“</w:t>
      </w:r>
      <w:r>
        <w:rPr>
          <w:spacing w:val="-4"/>
        </w:rPr>
        <w:t>数字中国、智慧社会</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数字法治、智慧司法</w:t>
      </w:r>
      <w:r>
        <w:rPr>
          <w:rFonts w:ascii="Times New Roman" w:hAnsi="Times New Roman" w:cs="Times New Roman" w:eastAsia="Times New Roman" w:hint="default"/>
          <w:spacing w:val="-4"/>
        </w:rPr>
        <w:t>”</w:t>
      </w:r>
    </w:p>
    <w:p>
      <w:pPr>
        <w:pStyle w:val="Heading5"/>
        <w:spacing w:line="312" w:lineRule="exact" w:before="20"/>
        <w:ind w:right="1133"/>
        <w:jc w:val="both"/>
      </w:pPr>
      <w:r>
        <w:rPr/>
        <w:t>的总体部署，按照公司</w:t>
      </w:r>
      <w:r>
        <w:rPr>
          <w:rFonts w:ascii="Times New Roman" w:hAnsi="Times New Roman" w:cs="Times New Roman" w:eastAsia="Times New Roman" w:hint="default"/>
        </w:rPr>
        <w:t>“</w:t>
      </w:r>
      <w:r>
        <w:rPr/>
        <w:t>一体两翼，数链驱动</w:t>
      </w:r>
      <w:r>
        <w:rPr>
          <w:rFonts w:ascii="Times New Roman" w:hAnsi="Times New Roman" w:cs="Times New Roman" w:eastAsia="Times New Roman" w:hint="default"/>
        </w:rPr>
        <w:t>”</w:t>
      </w:r>
      <w:r>
        <w:rPr/>
        <w:t>的战略，聚焦智慧监所建设主市场，力求让天</w:t>
      </w:r>
      <w:r>
        <w:rPr>
          <w:spacing w:val="-61"/>
        </w:rPr>
        <w:t> </w:t>
      </w:r>
      <w:r>
        <w:rPr>
          <w:spacing w:val="-61"/>
        </w:rPr>
      </w:r>
      <w:r>
        <w:rPr/>
        <w:t>下监所更加智慧。积极拓展公安等政法领域市场，为国家治理体系和治理能力现代化贡献力</w:t>
      </w:r>
      <w:r>
        <w:rPr>
          <w:spacing w:val="-91"/>
        </w:rPr>
        <w:t> </w:t>
      </w:r>
      <w:r>
        <w:rPr>
          <w:spacing w:val="-91"/>
        </w:rPr>
      </w:r>
      <w:r>
        <w:rPr/>
        <w:t>量。</w:t>
      </w:r>
    </w:p>
    <w:p>
      <w:pPr>
        <w:pStyle w:val="Heading5"/>
        <w:spacing w:line="237" w:lineRule="auto" w:before="73"/>
        <w:ind w:right="996" w:firstLine="480"/>
        <w:jc w:val="left"/>
      </w:pPr>
      <w:r>
        <w:rPr/>
        <w:t>勇当智慧监所建设的领军者。以省级智慧监所统一管理平台模块化开发、产品化封装为 </w:t>
      </w:r>
      <w:r>
        <w:rPr>
          <w:spacing w:val="-2"/>
        </w:rPr>
        <w:t>重点，提高平台软件复用率，放大司法部信息化大比武一等奖的品牌效应，抢占市场制高点。</w:t>
      </w:r>
      <w:r>
        <w:rPr>
          <w:spacing w:val="-118"/>
        </w:rPr>
        <w:t> </w:t>
      </w:r>
      <w:r>
        <w:rPr>
          <w:spacing w:val="-118"/>
        </w:rPr>
      </w:r>
      <w:r>
        <w:rPr/>
        <w:t>大力开发配合平台应用的、集软硬件为一体的前端智能装备产品，打造业务应用软件平台与</w:t>
      </w:r>
      <w:r>
        <w:rPr>
          <w:spacing w:val="-91"/>
        </w:rPr>
        <w:t> </w:t>
      </w:r>
      <w:r>
        <w:rPr>
          <w:spacing w:val="-91"/>
        </w:rPr>
      </w:r>
      <w:r>
        <w:rPr/>
        <w:t>软硬件一体化产品无缝对接的产品链，为深耕智慧监所建设，提供前端智能装备。</w:t>
      </w:r>
    </w:p>
    <w:p>
      <w:pPr>
        <w:pStyle w:val="Heading5"/>
        <w:spacing w:line="312" w:lineRule="exact" w:before="129"/>
        <w:ind w:right="986" w:firstLine="480"/>
        <w:jc w:val="left"/>
      </w:pPr>
      <w:r>
        <w:rPr>
          <w:spacing w:val="-2"/>
        </w:rPr>
        <w:t>勇当区块链</w:t>
      </w:r>
      <w:r>
        <w:rPr>
          <w:rFonts w:ascii="Times New Roman" w:hAnsi="Times New Roman" w:cs="Times New Roman" w:eastAsia="Times New Roman" w:hint="default"/>
          <w:spacing w:val="-2"/>
        </w:rPr>
        <w:t>+</w:t>
      </w:r>
      <w:r>
        <w:rPr>
          <w:spacing w:val="-2"/>
        </w:rPr>
        <w:t>司法的先行者。基于信发链（</w:t>
      </w:r>
      <w:r>
        <w:rPr>
          <w:rFonts w:ascii="Times New Roman" w:hAnsi="Times New Roman" w:cs="Times New Roman" w:eastAsia="Times New Roman" w:hint="default"/>
          <w:spacing w:val="-2"/>
        </w:rPr>
        <w:t>CBaaS</w:t>
      </w:r>
      <w:r>
        <w:rPr>
          <w:spacing w:val="-2"/>
        </w:rPr>
        <w:t>，</w:t>
      </w:r>
      <w:r>
        <w:rPr>
          <w:rFonts w:ascii="Times New Roman" w:hAnsi="Times New Roman" w:cs="Times New Roman" w:eastAsia="Times New Roman" w:hint="default"/>
          <w:spacing w:val="-2"/>
        </w:rPr>
        <w:t>CESBlockchainasaService</w:t>
      </w:r>
      <w:r>
        <w:rPr>
          <w:spacing w:val="-2"/>
        </w:rPr>
        <w:t>）基础平台，</w:t>
      </w:r>
      <w:r>
        <w:rPr/>
        <w:t> 建立司法信任体系，打造司法存证链、罪犯信息链、省内监狱联盟链、全国监狱联盟链、协</w:t>
      </w:r>
      <w:r>
        <w:rPr>
          <w:spacing w:val="-91"/>
        </w:rPr>
        <w:t> </w:t>
      </w:r>
      <w:r>
        <w:rPr>
          <w:spacing w:val="-91"/>
        </w:rPr>
      </w:r>
      <w:r>
        <w:rPr/>
        <w:t>同矫正链，并利用信发链激励机制，构建司法通证激励体系，形成基于区块链技术的司法行</w:t>
      </w:r>
      <w:r>
        <w:rPr>
          <w:spacing w:val="-91"/>
        </w:rPr>
        <w:t> </w:t>
      </w:r>
      <w:r>
        <w:rPr>
          <w:spacing w:val="-91"/>
        </w:rPr>
      </w:r>
      <w:r>
        <w:rPr/>
        <w:t>业</w:t>
      </w:r>
      <w:r>
        <w:rPr>
          <w:rFonts w:ascii="Times New Roman" w:hAnsi="Times New Roman" w:cs="Times New Roman" w:eastAsia="Times New Roman" w:hint="default"/>
        </w:rPr>
        <w:t>SaaS</w:t>
      </w:r>
      <w:r>
        <w:rPr/>
        <w:t>应用体系，实现数据资源互联、互通、互证，构建公开、公平、正义的司法生态</w:t>
      </w:r>
    </w:p>
    <w:p>
      <w:pPr>
        <w:pStyle w:val="Heading5"/>
        <w:spacing w:line="312" w:lineRule="exact" w:before="98"/>
        <w:ind w:right="996" w:firstLine="480"/>
        <w:jc w:val="left"/>
      </w:pPr>
      <w:r>
        <w:rPr>
          <w:spacing w:val="-3"/>
        </w:rPr>
        <w:t>勇当公安智慧警务的实践者。以互联网</w:t>
      </w:r>
      <w:r>
        <w:rPr>
          <w:rFonts w:ascii="Times New Roman" w:hAnsi="Times New Roman" w:cs="Times New Roman" w:eastAsia="Times New Roman" w:hint="default"/>
          <w:spacing w:val="-3"/>
        </w:rPr>
        <w:t>+</w:t>
      </w:r>
      <w:r>
        <w:rPr>
          <w:spacing w:val="-3"/>
        </w:rPr>
        <w:t>阳光警务为基础，以派出所、社区警务室、治安</w:t>
      </w:r>
      <w:r>
        <w:rPr/>
        <w:t> </w:t>
      </w:r>
      <w:r>
        <w:rPr>
          <w:spacing w:val="-2"/>
        </w:rPr>
        <w:t>亭、社区服务中心、行政服务大厅、重要交通枢纽等一站式服务区域、人员密集场所为阵地，</w:t>
      </w:r>
      <w:r>
        <w:rPr/>
        <w:t> 积极参与智慧警务室建设，广泛部署应用集警务领域信息查询、业务办理、现场制证的综合</w:t>
      </w:r>
      <w:r>
        <w:rPr>
          <w:spacing w:val="-91"/>
        </w:rPr>
        <w:t> </w:t>
      </w:r>
      <w:r>
        <w:rPr>
          <w:spacing w:val="-91"/>
        </w:rPr>
      </w:r>
      <w:r>
        <w:rPr/>
        <w:t>警务自助终端，为广大人民群众提供优质、便捷、高效的服务。</w:t>
      </w:r>
    </w:p>
    <w:p>
      <w:pPr>
        <w:spacing w:line="240" w:lineRule="auto" w:before="0"/>
        <w:rPr>
          <w:rFonts w:ascii="宋体" w:hAnsi="宋体" w:cs="宋体" w:eastAsia="宋体" w:hint="default"/>
          <w:sz w:val="24"/>
          <w:szCs w:val="24"/>
        </w:rPr>
      </w:pPr>
    </w:p>
    <w:p>
      <w:pPr>
        <w:pStyle w:val="Heading5"/>
        <w:spacing w:line="314" w:lineRule="auto" w:before="169"/>
        <w:ind w:left="593" w:right="1129"/>
        <w:jc w:val="left"/>
      </w:pPr>
      <w:r>
        <w:rPr>
          <w:rFonts w:ascii="宋体" w:hAnsi="宋体" w:cs="宋体" w:eastAsia="宋体" w:hint="default"/>
          <w:b/>
          <w:bCs/>
        </w:rPr>
        <w:t>（三）创新中心</w:t>
      </w:r>
      <w:r>
        <w:rPr>
          <w:rFonts w:ascii="宋体" w:hAnsi="宋体" w:cs="宋体" w:eastAsia="宋体" w:hint="default"/>
          <w:b/>
          <w:bCs/>
          <w:w w:val="99"/>
        </w:rPr>
        <w:t> </w:t>
      </w:r>
      <w:r>
        <w:rPr>
          <w:spacing w:val="-3"/>
        </w:rPr>
        <w:t>区块链</w:t>
      </w:r>
      <w:r>
        <w:rPr>
          <w:rFonts w:ascii="宋体" w:hAnsi="宋体" w:cs="宋体" w:eastAsia="宋体" w:hint="default"/>
          <w:spacing w:val="-3"/>
        </w:rPr>
        <w:t>+</w:t>
      </w:r>
      <w:r>
        <w:rPr>
          <w:spacing w:val="-3"/>
        </w:rPr>
        <w:t>大数据是数字经济时代的重要基石，两者相辅相成将共同促进三大基础行业的二</w:t>
      </w:r>
    </w:p>
    <w:p>
      <w:pPr>
        <w:pStyle w:val="Heading5"/>
        <w:spacing w:line="237" w:lineRule="exact"/>
        <w:ind w:right="0"/>
        <w:jc w:val="both"/>
      </w:pPr>
      <w:r>
        <w:rPr/>
        <w:t>次发展</w:t>
      </w:r>
      <w:r>
        <w:rPr>
          <w:spacing w:val="-120"/>
        </w:rPr>
        <w:t>。</w:t>
      </w:r>
      <w:r>
        <w:rPr/>
        <w:t>《中共中央国务院关于构建更加完善的要素市场化配置体制机制的意见》公开发布，</w:t>
      </w:r>
    </w:p>
    <w:p>
      <w:pPr>
        <w:pStyle w:val="Heading5"/>
        <w:spacing w:line="312" w:lineRule="exact" w:before="29"/>
        <w:ind w:right="1010"/>
        <w:jc w:val="both"/>
      </w:pPr>
      <w:r>
        <w:rPr/>
        <w:t>数据作为一种新的生产要素类型，被首次写入正式中央文件，与土地、劳动力、资本、技术</w:t>
      </w:r>
      <w:r>
        <w:rPr>
          <w:spacing w:val="-90"/>
        </w:rPr>
        <w:t> </w:t>
      </w:r>
      <w:r>
        <w:rPr>
          <w:spacing w:val="-90"/>
        </w:rPr>
      </w:r>
      <w:r>
        <w:rPr/>
        <w:t>等其他生产要素并驾齐驱。数据的重要性再一次被定调，这对于数字经济的发展和数字社会</w:t>
      </w:r>
      <w:r>
        <w:rPr>
          <w:spacing w:val="-91"/>
        </w:rPr>
        <w:t> </w:t>
      </w:r>
      <w:r>
        <w:rPr>
          <w:spacing w:val="-91"/>
        </w:rPr>
      </w:r>
      <w:r>
        <w:rPr/>
        <w:t>的成形来说，是一个重要的节点。结合区块链的可信任性、安全性和不可篡改性特点</w:t>
      </w:r>
      <w:r>
        <w:rPr>
          <w:rFonts w:ascii="宋体" w:hAnsi="宋体" w:cs="宋体" w:eastAsia="宋体" w:hint="default"/>
        </w:rPr>
        <w:t>,</w:t>
      </w:r>
      <w:r>
        <w:rPr/>
        <w:t>让更多 数据被解放出来</w:t>
      </w:r>
      <w:r>
        <w:rPr>
          <w:rFonts w:ascii="宋体" w:hAnsi="宋体" w:cs="宋体" w:eastAsia="宋体" w:hint="default"/>
        </w:rPr>
        <w:t>,</w:t>
      </w:r>
      <w:r>
        <w:rPr/>
        <w:t>推进数据的海量沉淀。脱敏后的数据交易流通</w:t>
      </w:r>
      <w:r>
        <w:rPr>
          <w:rFonts w:ascii="宋体" w:hAnsi="宋体" w:cs="宋体" w:eastAsia="宋体" w:hint="default"/>
        </w:rPr>
        <w:t>,</w:t>
      </w:r>
      <w:r>
        <w:rPr/>
        <w:t>有利于突破信息孤岛</w:t>
      </w:r>
      <w:r>
        <w:rPr>
          <w:rFonts w:ascii="宋体" w:hAnsi="宋体" w:cs="宋体" w:eastAsia="宋体" w:hint="default"/>
        </w:rPr>
        <w:t>,</w:t>
      </w:r>
      <w:r>
        <w:rPr/>
        <w:t>建立数 </w:t>
      </w:r>
      <w:r>
        <w:rPr>
          <w:spacing w:val="-5"/>
        </w:rPr>
        <w:t>据横向流通机制。“新基建”的提档加速将助推传统行业的数字化、网络化、智能化，为经济</w:t>
      </w:r>
      <w:r>
        <w:rPr/>
        <w:t> </w:t>
      </w:r>
      <w:r>
        <w:rPr>
          <w:spacing w:val="-2"/>
        </w:rPr>
        <w:t>社会的转型升级注入新动能。以技术创新为驱动，以信息网络为基础，面向高质量发展需要，</w:t>
      </w:r>
    </w:p>
    <w:p>
      <w:pPr>
        <w:spacing w:after="0" w:line="312"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37" w:lineRule="auto" w:before="28"/>
        <w:ind w:right="1136"/>
        <w:jc w:val="both"/>
      </w:pPr>
      <w:r>
        <w:rPr/>
        <w:t>提供数字转型、智能升级、融合创新等服务的基础设施体系。另外面对内外部复杂环境形势</w:t>
      </w:r>
      <w:r>
        <w:rPr>
          <w:spacing w:val="-89"/>
        </w:rPr>
        <w:t> </w:t>
      </w:r>
      <w:r>
        <w:rPr>
          <w:spacing w:val="-89"/>
        </w:rPr>
      </w:r>
      <w:r>
        <w:rPr/>
        <w:t>下，国产安全可控相关政策不断深化，国产化的广阔空间有望迎来产业的加速发展，将从党</w:t>
      </w:r>
      <w:r>
        <w:rPr>
          <w:spacing w:val="-91"/>
        </w:rPr>
        <w:t> </w:t>
      </w:r>
      <w:r>
        <w:rPr>
          <w:spacing w:val="-91"/>
        </w:rPr>
      </w:r>
      <w:r>
        <w:rPr/>
        <w:t>政机会开始向重要行业陆续拓展。</w:t>
      </w:r>
    </w:p>
    <w:p>
      <w:pPr>
        <w:pStyle w:val="Heading5"/>
        <w:spacing w:line="312" w:lineRule="exact" w:before="129"/>
        <w:ind w:right="1129" w:firstLine="480"/>
        <w:jc w:val="both"/>
      </w:pPr>
      <w:r>
        <w:rPr>
          <w:spacing w:val="-3"/>
        </w:rPr>
        <w:t>创新中心积极拥抱政策和市场双红利共振，响应公司</w:t>
      </w:r>
      <w:r>
        <w:rPr>
          <w:rFonts w:ascii="宋体" w:hAnsi="宋体" w:cs="宋体" w:eastAsia="宋体" w:hint="default"/>
          <w:spacing w:val="-3"/>
        </w:rPr>
        <w:t>2.0</w:t>
      </w:r>
      <w:r>
        <w:rPr>
          <w:spacing w:val="-3"/>
        </w:rPr>
        <w:t>战略，集结技术积累，加强上市</w:t>
      </w:r>
      <w:r>
        <w:rPr/>
        <w:t> 公司核心竞争力，释放三大行业盈利潜能。以产品和工具进行赋能；高度融入公司各业务板</w:t>
      </w:r>
      <w:r>
        <w:rPr>
          <w:spacing w:val="-91"/>
        </w:rPr>
        <w:t> </w:t>
      </w:r>
      <w:r>
        <w:rPr>
          <w:spacing w:val="-91"/>
        </w:rPr>
      </w:r>
      <w:r>
        <w:rPr/>
        <w:t>块；打造数据为核心的标杆性案例为路径。以成为优秀的数据运营和服务提供商为愿景，赋</w:t>
      </w:r>
      <w:r>
        <w:rPr>
          <w:spacing w:val="-91"/>
        </w:rPr>
        <w:t> </w:t>
      </w:r>
      <w:r>
        <w:rPr>
          <w:spacing w:val="-91"/>
        </w:rPr>
      </w:r>
      <w:r>
        <w:rPr/>
        <w:t>能客户发现数据的价值。</w:t>
      </w:r>
    </w:p>
    <w:p>
      <w:pPr>
        <w:spacing w:line="240" w:lineRule="auto" w:before="0"/>
        <w:rPr>
          <w:rFonts w:ascii="宋体" w:hAnsi="宋体" w:cs="宋体" w:eastAsia="宋体" w:hint="default"/>
          <w:sz w:val="24"/>
          <w:szCs w:val="24"/>
        </w:rPr>
      </w:pPr>
    </w:p>
    <w:p>
      <w:pPr>
        <w:spacing w:line="314" w:lineRule="auto" w:before="166"/>
        <w:ind w:left="593" w:right="7681" w:hanging="58"/>
        <w:jc w:val="left"/>
        <w:rPr>
          <w:rFonts w:ascii="宋体" w:hAnsi="宋体" w:cs="宋体" w:eastAsia="宋体" w:hint="default"/>
          <w:sz w:val="24"/>
          <w:szCs w:val="24"/>
        </w:rPr>
      </w:pPr>
      <w:r>
        <w:rPr>
          <w:rFonts w:ascii="宋体" w:hAnsi="宋体" w:cs="宋体" w:eastAsia="宋体" w:hint="default"/>
          <w:b/>
          <w:bCs/>
          <w:sz w:val="24"/>
          <w:szCs w:val="24"/>
        </w:rPr>
        <w:t>三、公司可能面临的风险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、软件与信息技术服务</w:t>
      </w:r>
    </w:p>
    <w:p>
      <w:pPr>
        <w:pStyle w:val="Heading5"/>
        <w:spacing w:line="237" w:lineRule="auto" w:before="24"/>
        <w:ind w:right="986" w:firstLine="480"/>
        <w:jc w:val="left"/>
      </w:pPr>
      <w:r>
        <w:rPr>
          <w:spacing w:val="-6"/>
        </w:rPr>
        <w:t>根据《国民经济行业分类》，公司属于软件和信息技术服务业。工信部发布的《</w:t>
      </w:r>
      <w:r>
        <w:rPr>
          <w:rFonts w:ascii="宋体" w:hAnsi="宋体" w:cs="宋体" w:eastAsia="宋体" w:hint="default"/>
          <w:spacing w:val="-6"/>
        </w:rPr>
        <w:t>2019</w:t>
      </w:r>
      <w:r>
        <w:rPr>
          <w:spacing w:val="-6"/>
        </w:rPr>
        <w:t>年中</w:t>
      </w:r>
      <w:r>
        <w:rPr>
          <w:spacing w:val="-3"/>
        </w:rPr>
        <w:t> </w:t>
      </w:r>
      <w:r>
        <w:rPr/>
        <w:t>国软件和信息技术服务业综合发展指数报告》指出，我国软件和信息技术服务业（以下简称</w:t>
      </w:r>
      <w:r>
        <w:rPr>
          <w:spacing w:val="-91"/>
        </w:rPr>
        <w:t> </w:t>
      </w:r>
      <w:r>
        <w:rPr>
          <w:spacing w:val="-91"/>
        </w:rPr>
      </w:r>
      <w:r>
        <w:rPr>
          <w:spacing w:val="-5"/>
        </w:rPr>
        <w:t>软件业）总体保持良好发展态势，高质量发展成效初显，</w:t>
      </w:r>
      <w:r>
        <w:rPr>
          <w:rFonts w:ascii="宋体" w:hAnsi="宋体" w:cs="宋体" w:eastAsia="宋体" w:hint="default"/>
          <w:spacing w:val="-5"/>
        </w:rPr>
        <w:t>2019</w:t>
      </w:r>
      <w:r>
        <w:rPr>
          <w:spacing w:val="-5"/>
        </w:rPr>
        <w:t>年全国软件业综合发展指数（以</w:t>
      </w:r>
      <w:r>
        <w:rPr>
          <w:spacing w:val="-107"/>
        </w:rPr>
        <w:t> </w:t>
      </w:r>
      <w:r>
        <w:rPr>
          <w:spacing w:val="-107"/>
        </w:rPr>
      </w:r>
      <w:r>
        <w:rPr>
          <w:spacing w:val="-5"/>
        </w:rPr>
        <w:t>下简称综合发展指数）为</w:t>
      </w:r>
      <w:r>
        <w:rPr>
          <w:rFonts w:ascii="宋体" w:hAnsi="宋体" w:cs="宋体" w:eastAsia="宋体" w:hint="default"/>
          <w:spacing w:val="-5"/>
        </w:rPr>
        <w:t>128.9</w:t>
      </w:r>
      <w:r>
        <w:rPr>
          <w:spacing w:val="-5"/>
        </w:rPr>
        <w:t>，比上年上升</w:t>
      </w:r>
      <w:r>
        <w:rPr>
          <w:rFonts w:ascii="宋体" w:hAnsi="宋体" w:cs="宋体" w:eastAsia="宋体" w:hint="default"/>
          <w:spacing w:val="-5"/>
        </w:rPr>
        <w:t>8.6</w:t>
      </w:r>
      <w:r>
        <w:rPr>
          <w:spacing w:val="-5"/>
        </w:rPr>
        <w:t>个分值，高出近四年平均上升幅度</w:t>
      </w:r>
      <w:r>
        <w:rPr>
          <w:rFonts w:ascii="宋体" w:hAnsi="宋体" w:cs="宋体" w:eastAsia="宋体" w:hint="default"/>
          <w:spacing w:val="-5"/>
        </w:rPr>
        <w:t>1.4</w:t>
      </w:r>
      <w:r>
        <w:rPr>
          <w:spacing w:val="-5"/>
        </w:rPr>
        <w:t>个分值。</w:t>
      </w:r>
      <w:r>
        <w:rPr>
          <w:spacing w:val="-88"/>
        </w:rPr>
        <w:t> </w:t>
      </w:r>
      <w:r>
        <w:rPr/>
        <w:t>其中，技术创新指数与发展环境指数提升显著，对指数拉动作用突出，显示软件业正在转向</w:t>
      </w:r>
      <w:r>
        <w:rPr>
          <w:spacing w:val="-91"/>
        </w:rPr>
        <w:t> </w:t>
      </w:r>
      <w:r>
        <w:rPr>
          <w:spacing w:val="-91"/>
        </w:rPr>
      </w:r>
      <w:r>
        <w:rPr/>
        <w:t>依靠技术创新驱动的新阶段，关键软件供给不断实现新突破；人才吸引力不断增强，产业发</w:t>
      </w:r>
      <w:r>
        <w:rPr>
          <w:spacing w:val="-91"/>
        </w:rPr>
        <w:t> </w:t>
      </w:r>
      <w:r>
        <w:rPr>
          <w:spacing w:val="-91"/>
        </w:rPr>
      </w:r>
      <w:r>
        <w:rPr/>
        <w:t>展环境优化；软件融合应用持续深化，服务化、平台化趋势明显，是引领和推动经济社会高</w:t>
      </w:r>
      <w:r>
        <w:rPr>
          <w:spacing w:val="-88"/>
        </w:rPr>
        <w:t> </w:t>
      </w:r>
      <w:r>
        <w:rPr>
          <w:spacing w:val="-88"/>
        </w:rPr>
      </w:r>
      <w:r>
        <w:rPr/>
        <w:t>质量发展的重要力量。</w:t>
      </w:r>
    </w:p>
    <w:p>
      <w:pPr>
        <w:pStyle w:val="Heading5"/>
        <w:spacing w:line="237" w:lineRule="auto" w:before="102"/>
        <w:ind w:right="996" w:firstLine="480"/>
        <w:jc w:val="left"/>
      </w:pPr>
      <w:r>
        <w:rPr/>
        <w:t>经济高质量发展以及新技术的突破给软件业发展带来重要机遇。我国经济当前正处在转 变发展方式、优化经济结构、转换增长动力的攻关期，用更高效率提供更具高附加值的生产</w:t>
      </w:r>
      <w:r>
        <w:rPr>
          <w:spacing w:val="-91"/>
        </w:rPr>
        <w:t> </w:t>
      </w:r>
      <w:r>
        <w:rPr>
          <w:spacing w:val="-91"/>
        </w:rPr>
      </w:r>
      <w:r>
        <w:rPr>
          <w:spacing w:val="-2"/>
        </w:rPr>
        <w:t>和服务是各行业努力的方向，信息技术是经济转型和产业升级中不可或缺的支柱和先导力量。</w:t>
      </w:r>
      <w:r>
        <w:rPr/>
        <w:t> 随着</w:t>
      </w:r>
      <w:r>
        <w:rPr>
          <w:rFonts w:ascii="宋体" w:hAnsi="宋体" w:cs="宋体" w:eastAsia="宋体" w:hint="default"/>
        </w:rPr>
        <w:t>5G</w:t>
      </w:r>
      <w:r>
        <w:rPr/>
        <w:t>商用落地，区块链、人工智能等前沿技术与传统产业融合加速，以及政策支持力度加</w:t>
      </w:r>
      <w:r>
        <w:rPr>
          <w:spacing w:val="-91"/>
        </w:rPr>
        <w:t> </w:t>
      </w:r>
      <w:r>
        <w:rPr>
          <w:spacing w:val="-91"/>
        </w:rPr>
      </w:r>
      <w:r>
        <w:rPr/>
        <w:t>大，将促进更多综合性新应用的演变，赋予软件业发展更多动能，也为软件业带来更广阔的</w:t>
      </w:r>
      <w:r>
        <w:rPr>
          <w:spacing w:val="-91"/>
        </w:rPr>
        <w:t> </w:t>
      </w:r>
      <w:r>
        <w:rPr>
          <w:spacing w:val="-91"/>
        </w:rPr>
      </w:r>
      <w:r>
        <w:rPr/>
        <w:t>市场空间。</w:t>
      </w:r>
    </w:p>
    <w:p>
      <w:pPr>
        <w:pStyle w:val="Heading5"/>
        <w:spacing w:line="312" w:lineRule="exact" w:before="129"/>
        <w:ind w:right="996" w:firstLine="480"/>
        <w:jc w:val="left"/>
      </w:pPr>
      <w:r>
        <w:rPr/>
        <w:t>同时，世界经济发展的不确定性增加，国内经济下行压力仍然存在，软件业自身发展面 临一些迫切需要解决的突出问题：一是核心关键技术缺乏，操作系统等技术长期受制于人，</w:t>
      </w:r>
      <w:r>
        <w:rPr>
          <w:spacing w:val="-91"/>
        </w:rPr>
        <w:t> </w:t>
      </w:r>
      <w:r>
        <w:rPr>
          <w:spacing w:val="-91"/>
        </w:rPr>
      </w:r>
      <w:r>
        <w:rPr/>
        <w:t>工业基础软件和工业设计软件几乎被国外产品垄断，基础创新提升指数近年来有所下滑；二</w:t>
      </w:r>
      <w:r>
        <w:rPr>
          <w:spacing w:val="-91"/>
        </w:rPr>
        <w:t> </w:t>
      </w:r>
      <w:r>
        <w:rPr>
          <w:spacing w:val="-91"/>
        </w:rPr>
      </w:r>
      <w:r>
        <w:rPr/>
        <w:t>是缺乏有国际竞争力的龙头企业，国际市场占有率较低，随着中美贸易摩擦持续，进一步阻</w:t>
      </w:r>
      <w:r>
        <w:rPr>
          <w:spacing w:val="-91"/>
        </w:rPr>
        <w:t> </w:t>
      </w:r>
      <w:r>
        <w:rPr>
          <w:spacing w:val="-91"/>
        </w:rPr>
      </w:r>
      <w:r>
        <w:rPr>
          <w:spacing w:val="-2"/>
        </w:rPr>
        <w:t>碍了我国软件企业的国际化发展步伐，国际化指数降幅扩大；三是人才结构性短缺问题突出，</w:t>
      </w:r>
      <w:r>
        <w:rPr/>
        <w:t> 高端型人才、专业复合型人才紧缺。</w:t>
      </w:r>
    </w:p>
    <w:p>
      <w:pPr>
        <w:pStyle w:val="Heading5"/>
        <w:spacing w:line="237" w:lineRule="auto" w:before="70"/>
        <w:ind w:right="996" w:firstLine="480"/>
        <w:jc w:val="left"/>
      </w:pPr>
      <w:r>
        <w:rPr/>
        <w:t>公司有着有</w:t>
      </w:r>
      <w:r>
        <w:rPr>
          <w:rFonts w:ascii="宋体" w:hAnsi="宋体" w:cs="宋体" w:eastAsia="宋体" w:hint="default"/>
        </w:rPr>
        <w:t>20</w:t>
      </w:r>
      <w:r>
        <w:rPr/>
        <w:t>年为客户提供应用和服务的经验能力，在相关行业积累了充分的行业经验 及众多的标杆案例，公司将采取积极措施，充分发挥公司已有的竞争优势，公司将全面推动</w:t>
      </w:r>
      <w:r>
        <w:rPr>
          <w:spacing w:val="-88"/>
        </w:rPr>
        <w:t> </w:t>
      </w:r>
      <w:r>
        <w:rPr>
          <w:spacing w:val="-88"/>
        </w:rPr>
      </w:r>
      <w:r>
        <w:rPr/>
        <w:t>产品化发展策略，从客户角度出发，提供高客户价值、高用户体验产品，加强生态融合，实</w:t>
      </w:r>
      <w:r>
        <w:rPr>
          <w:spacing w:val="-91"/>
        </w:rPr>
        <w:t> </w:t>
      </w:r>
      <w:r>
        <w:rPr>
          <w:spacing w:val="-91"/>
        </w:rPr>
      </w:r>
      <w:r>
        <w:rPr>
          <w:spacing w:val="-2"/>
        </w:rPr>
        <w:t>现产品的易交付化，提高财务收益，公司将积极引进符合公司发展战略要求的行业领军人才，</w:t>
      </w:r>
      <w:r>
        <w:rPr/>
        <w:t> 通过科学的、人性化的管理机制，加速推进干部队伍和基层人才年轻化发展，激发已有人才</w:t>
      </w:r>
      <w:r>
        <w:rPr>
          <w:spacing w:val="-91"/>
        </w:rPr>
        <w:t> </w:t>
      </w:r>
      <w:r>
        <w:rPr>
          <w:spacing w:val="-91"/>
        </w:rPr>
      </w:r>
      <w:r>
        <w:rPr/>
        <w:t>的潜力、创造力，公司将结合资本市场、投资等金融力量，加强战略并购与投资，快速抢占</w:t>
      </w:r>
      <w:r>
        <w:rPr>
          <w:spacing w:val="-91"/>
        </w:rPr>
        <w:t> </w:t>
      </w:r>
      <w:r>
        <w:rPr>
          <w:spacing w:val="-91"/>
        </w:rPr>
      </w:r>
      <w:r>
        <w:rPr/>
        <w:t>企业服务产业版图，促进公司战略产业发展。</w:t>
      </w:r>
    </w:p>
    <w:p>
      <w:pPr>
        <w:pStyle w:val="Heading5"/>
        <w:spacing w:line="314" w:lineRule="auto" w:before="99"/>
        <w:ind w:left="593" w:right="1133"/>
        <w:jc w:val="left"/>
      </w:pPr>
      <w:r>
        <w:rPr>
          <w:rFonts w:ascii="宋体" w:hAnsi="宋体" w:cs="宋体" w:eastAsia="宋体" w:hint="default"/>
        </w:rPr>
        <w:t>2</w:t>
      </w:r>
      <w:r>
        <w:rPr/>
        <w:t>、公司战略发展的风险 信息发展是一家运用大数据和区块链等技术，面向智慧食安、智慧档案、智慧司法等政</w:t>
      </w:r>
    </w:p>
    <w:p>
      <w:pPr>
        <w:pStyle w:val="Heading5"/>
        <w:spacing w:line="236" w:lineRule="exact"/>
        <w:ind w:right="0"/>
        <w:jc w:val="both"/>
      </w:pPr>
      <w:r>
        <w:rPr/>
        <w:t>府和企业，为数字中国提供行业专有云综合解决方案的服务运营商。公司励志从项目型销售</w:t>
      </w:r>
    </w:p>
    <w:p>
      <w:pPr>
        <w:pStyle w:val="Heading5"/>
        <w:spacing w:line="313" w:lineRule="exact"/>
        <w:ind w:right="0"/>
        <w:jc w:val="both"/>
      </w:pPr>
      <w:r>
        <w:rPr/>
        <w:t>向</w:t>
      </w:r>
      <w:r>
        <w:rPr>
          <w:rFonts w:ascii="宋体" w:hAnsi="宋体" w:cs="宋体" w:eastAsia="宋体" w:hint="default"/>
        </w:rPr>
        <w:t>SaaS</w:t>
      </w:r>
      <w:r>
        <w:rPr/>
        <w:t>服务进行转型，积极拥抱“区块链</w:t>
      </w:r>
      <w:r>
        <w:rPr>
          <w:rFonts w:ascii="宋体" w:hAnsi="宋体" w:cs="宋体" w:eastAsia="宋体" w:hint="default"/>
        </w:rPr>
        <w:t>+</w:t>
      </w:r>
      <w:r>
        <w:rPr/>
        <w:t>大数据”的双引擎发展战略。</w:t>
      </w:r>
    </w:p>
    <w:p>
      <w:pPr>
        <w:spacing w:after="0" w:line="313" w:lineRule="exact"/>
        <w:jc w:val="both"/>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316" w:lineRule="auto" w:before="26"/>
        <w:ind w:left="593" w:right="1133"/>
        <w:jc w:val="left"/>
      </w:pPr>
      <w:r>
        <w:rPr>
          <w:rFonts w:ascii="宋体" w:hAnsi="宋体" w:cs="宋体" w:eastAsia="宋体" w:hint="default"/>
        </w:rPr>
        <w:t>3</w:t>
      </w:r>
      <w:r>
        <w:rPr/>
        <w:t>、人力成本的风险 人力成本是软件企业的重要经营成本。公司为了提高核心竞争力及提升自主创新能力，</w:t>
      </w:r>
    </w:p>
    <w:p>
      <w:pPr>
        <w:pStyle w:val="Heading5"/>
        <w:spacing w:line="234" w:lineRule="exact"/>
        <w:ind w:right="0"/>
        <w:jc w:val="left"/>
      </w:pPr>
      <w:r>
        <w:rPr/>
        <w:t>持续加大新技术、新产品的研发投入，加大高端复合性人才的引进，进而导致人力成本增加。</w:t>
      </w:r>
    </w:p>
    <w:p>
      <w:pPr>
        <w:pStyle w:val="Heading5"/>
        <w:spacing w:line="312" w:lineRule="exact" w:before="29"/>
        <w:ind w:right="996"/>
        <w:jc w:val="left"/>
      </w:pPr>
      <w:r>
        <w:rPr/>
        <w:t>另一方面，虽然公司一直致力于不断提高产品复用率、改进软件开发项目的管理流程，提高</w:t>
      </w:r>
      <w:r>
        <w:rPr>
          <w:spacing w:val="-91"/>
        </w:rPr>
        <w:t> </w:t>
      </w:r>
      <w:r>
        <w:rPr>
          <w:spacing w:val="-91"/>
        </w:rPr>
      </w:r>
      <w:r>
        <w:rPr>
          <w:spacing w:val="-2"/>
        </w:rPr>
        <w:t>开发效率，降低开发成本，并通过技术升级提升产品和服务的附加值，但是随着经济的发展、</w:t>
      </w:r>
      <w:r>
        <w:rPr/>
        <w:t> 城市生活成本的上升、互联网新兴行业对专业人才的争夺日趋激烈，又直接导致企业的人力</w:t>
      </w:r>
      <w:r>
        <w:rPr>
          <w:spacing w:val="-89"/>
        </w:rPr>
        <w:t> </w:t>
      </w:r>
      <w:r>
        <w:rPr>
          <w:spacing w:val="-89"/>
        </w:rPr>
      </w:r>
      <w:r>
        <w:rPr/>
        <w:t>成本大幅提升，作为企业成本的重要组成部分，人力成本的高低直接关系到产品价格、企业</w:t>
      </w:r>
      <w:r>
        <w:rPr>
          <w:spacing w:val="-91"/>
        </w:rPr>
        <w:t> </w:t>
      </w:r>
      <w:r>
        <w:rPr>
          <w:spacing w:val="-91"/>
        </w:rPr>
      </w:r>
      <w:r>
        <w:rPr/>
        <w:t>效益、企业综合竞争能力等核心优势。因此，有效进行人力成本管理成为人力资源管理的重</w:t>
      </w:r>
      <w:r>
        <w:rPr>
          <w:spacing w:val="-91"/>
        </w:rPr>
        <w:t> </w:t>
      </w:r>
      <w:r>
        <w:rPr>
          <w:spacing w:val="-91"/>
        </w:rPr>
      </w:r>
      <w:r>
        <w:rPr/>
        <w:t>点。</w:t>
      </w:r>
    </w:p>
    <w:p>
      <w:pPr>
        <w:pStyle w:val="Heading5"/>
        <w:spacing w:line="237" w:lineRule="auto" w:before="70"/>
        <w:ind w:right="996" w:firstLine="480"/>
        <w:jc w:val="left"/>
      </w:pPr>
      <w:r>
        <w:rPr/>
        <w:t>人才是企业发展的重要战略，人才战略也是信息发展实现业绩增长的加速器，信息发展 在多年的经营发展中一直牢记并努力践行这一人才战略理念，在积累了稳定且结构合理的高</w:t>
      </w:r>
      <w:r>
        <w:rPr>
          <w:spacing w:val="-91"/>
        </w:rPr>
        <w:t> </w:t>
      </w:r>
      <w:r>
        <w:rPr>
          <w:spacing w:val="-91"/>
        </w:rPr>
      </w:r>
      <w:r>
        <w:rPr/>
        <w:t>素质人才队伍同时，信息发展更注重高标准人才的选用机制建设工作，并同步引进了许多高</w:t>
      </w:r>
      <w:r>
        <w:rPr>
          <w:spacing w:val="-91"/>
        </w:rPr>
        <w:t> </w:t>
      </w:r>
      <w:r>
        <w:rPr>
          <w:spacing w:val="-91"/>
        </w:rPr>
      </w:r>
      <w:r>
        <w:rPr>
          <w:spacing w:val="-2"/>
        </w:rPr>
        <w:t>端人才、领军人才来助力企业快速发展，各类人才在管理经营、新产品研发、重大项目建设、</w:t>
      </w:r>
      <w:r>
        <w:rPr>
          <w:spacing w:val="-117"/>
        </w:rPr>
        <w:t> </w:t>
      </w:r>
      <w:r>
        <w:rPr>
          <w:spacing w:val="-117"/>
        </w:rPr>
      </w:r>
      <w:r>
        <w:rPr/>
        <w:t>科技公关、前沿技术探索、云计算、人工智能、大数据研究等方面发挥了重要作用，形成了</w:t>
      </w:r>
      <w:r>
        <w:rPr>
          <w:spacing w:val="-91"/>
        </w:rPr>
        <w:t> </w:t>
      </w:r>
      <w:r>
        <w:rPr>
          <w:spacing w:val="-91"/>
        </w:rPr>
      </w:r>
      <w:r>
        <w:rPr/>
        <w:t>人尽其才，才尽其用的良好人才发展环境。未来，信息发展将在创新发展过程中，积极做好</w:t>
      </w:r>
      <w:r>
        <w:rPr>
          <w:spacing w:val="-91"/>
        </w:rPr>
        <w:t> </w:t>
      </w:r>
      <w:r>
        <w:rPr>
          <w:spacing w:val="-91"/>
        </w:rPr>
      </w:r>
      <w:r>
        <w:rPr/>
        <w:t>人力资源战略规划，构建人才战略版图，让人才成为企业未来发展聚力赋能的重要保障。</w:t>
      </w:r>
    </w:p>
    <w:p>
      <w:pPr>
        <w:pStyle w:val="Heading5"/>
        <w:spacing w:line="312" w:lineRule="exact" w:before="129"/>
        <w:ind w:right="1133" w:firstLine="480"/>
        <w:jc w:val="both"/>
      </w:pPr>
      <w:r>
        <w:rPr/>
        <w:t>在注重人才引进的同时，信息发展非常重视人才培训、培养机制建设工作，信息发展鹰 学院是承担这一重要任务的专业内部机构。学院自成立以来，每年都以企业的战略业务发展</w:t>
      </w:r>
      <w:r>
        <w:rPr>
          <w:spacing w:val="-91"/>
        </w:rPr>
        <w:t> </w:t>
      </w:r>
      <w:r>
        <w:rPr>
          <w:spacing w:val="-91"/>
        </w:rPr>
      </w:r>
      <w:r>
        <w:rPr/>
        <w:t>为导向，凭借行业资源知识的储备、严谨的管理制度、多元化的课程体系、专业的内外部精</w:t>
      </w:r>
      <w:r>
        <w:rPr>
          <w:spacing w:val="-91"/>
        </w:rPr>
        <w:t> </w:t>
      </w:r>
      <w:r>
        <w:rPr>
          <w:spacing w:val="-91"/>
        </w:rPr>
      </w:r>
      <w:r>
        <w:rPr/>
        <w:t>英讲师团队、注重成果导向的教学模式，为企业持续不断的培养符合企业核心价值观的复合</w:t>
      </w:r>
      <w:r>
        <w:rPr>
          <w:spacing w:val="-90"/>
        </w:rPr>
        <w:t> </w:t>
      </w:r>
      <w:r>
        <w:rPr>
          <w:spacing w:val="-90"/>
        </w:rPr>
      </w:r>
      <w:r>
        <w:rPr>
          <w:spacing w:val="-11"/>
        </w:rPr>
        <w:t>型优秀人才，并以“鹰”的成长为主线，将人才划分为“雄鹰、精鹰、飞鹰、雏鹰”，通过“历</w:t>
      </w:r>
      <w:r>
        <w:rPr>
          <w:spacing w:val="-110"/>
        </w:rPr>
        <w:t> </w:t>
      </w:r>
      <w:r>
        <w:rPr>
          <w:spacing w:val="-110"/>
        </w:rPr>
      </w:r>
      <w:r>
        <w:rPr>
          <w:spacing w:val="-4"/>
        </w:rPr>
        <w:t>练”成长，最终成为企业未来发展需要的“鹰人才”和“鹰团队”。</w:t>
      </w:r>
    </w:p>
    <w:p>
      <w:pPr>
        <w:pStyle w:val="Heading5"/>
        <w:spacing w:line="314" w:lineRule="auto" w:before="70"/>
        <w:ind w:left="593" w:right="1133"/>
        <w:jc w:val="left"/>
      </w:pPr>
      <w:r>
        <w:rPr>
          <w:rFonts w:ascii="宋体" w:hAnsi="宋体" w:cs="宋体" w:eastAsia="宋体" w:hint="default"/>
        </w:rPr>
        <w:t>4</w:t>
      </w:r>
      <w:r>
        <w:rPr/>
        <w:t>、公司营销模式转变的管理风险 随着公司进入快速成长期，伴随着自身业务的成长，公司的资产、业务、机构和人员规</w:t>
      </w:r>
    </w:p>
    <w:p>
      <w:pPr>
        <w:pStyle w:val="Heading5"/>
        <w:spacing w:line="237" w:lineRule="exact"/>
        <w:ind w:right="1133"/>
        <w:jc w:val="left"/>
      </w:pPr>
      <w:r>
        <w:rPr/>
        <w:t>模等将进一步扩张，公司的组织结构和管理体系日益复杂，公司将在制度建设、组织设置、</w:t>
      </w:r>
    </w:p>
    <w:p>
      <w:pPr>
        <w:pStyle w:val="Heading5"/>
        <w:spacing w:line="312" w:lineRule="exact" w:before="29"/>
        <w:ind w:right="1136"/>
        <w:jc w:val="both"/>
      </w:pPr>
      <w:r>
        <w:rPr/>
        <w:t>运营管理、资金管理和内部控制等方面面临更大的挑战，这些都对公司的管理层提出了更高</w:t>
      </w:r>
      <w:r>
        <w:rPr>
          <w:spacing w:val="-91"/>
        </w:rPr>
        <w:t> </w:t>
      </w:r>
      <w:r>
        <w:rPr>
          <w:spacing w:val="-91"/>
        </w:rPr>
      </w:r>
      <w:r>
        <w:rPr/>
        <w:t>的要求。实现“事先定规、事中服务、事后监督，为公司三大行业的主营业务向纵深发展创</w:t>
      </w:r>
      <w:r>
        <w:rPr>
          <w:spacing w:val="-88"/>
        </w:rPr>
        <w:t> </w:t>
      </w:r>
      <w:r>
        <w:rPr>
          <w:spacing w:val="-88"/>
        </w:rPr>
      </w:r>
      <w:r>
        <w:rPr/>
        <w:t>造了有利条件，也为公司的快速发展奠定了良好的基础。</w:t>
      </w:r>
    </w:p>
    <w:p>
      <w:pPr>
        <w:pStyle w:val="Heading5"/>
        <w:spacing w:line="312" w:lineRule="exact" w:before="101"/>
        <w:ind w:right="1139" w:firstLine="480"/>
        <w:jc w:val="both"/>
      </w:pPr>
      <w:r>
        <w:rPr/>
        <w:t>虽然公司已形成一支稳定、进取、涵盖多方面人才的核心管理团队，基本建立了完善的 法人治理结构，同时在过去的经营实践中公司的管理层在管理快速成长的企业方面已经积累</w:t>
      </w:r>
      <w:r>
        <w:rPr>
          <w:spacing w:val="-91"/>
        </w:rPr>
        <w:t> </w:t>
      </w:r>
      <w:r>
        <w:rPr>
          <w:spacing w:val="-91"/>
        </w:rPr>
      </w:r>
      <w:r>
        <w:rPr/>
        <w:t>了一定的经验，并根据实际经营需要不断优化组织架构以提高企业运营效率，但公司仍可能</w:t>
      </w:r>
      <w:r>
        <w:rPr>
          <w:spacing w:val="-91"/>
        </w:rPr>
        <w:t> </w:t>
      </w:r>
      <w:r>
        <w:rPr>
          <w:spacing w:val="-91"/>
        </w:rPr>
      </w:r>
      <w:r>
        <w:rPr/>
        <w:t>存在未能及时调整原有运营管理体系和模式，未能迅速建立起适应资本市场要求和公司业务</w:t>
      </w:r>
      <w:r>
        <w:rPr>
          <w:spacing w:val="-91"/>
        </w:rPr>
        <w:t> </w:t>
      </w:r>
      <w:r>
        <w:rPr>
          <w:spacing w:val="-91"/>
        </w:rPr>
      </w:r>
      <w:r>
        <w:rPr/>
        <w:t>发展需要的运作机制并有效运行，从而存在影响公司经营业绩的风险。</w:t>
      </w:r>
    </w:p>
    <w:p>
      <w:pPr>
        <w:pStyle w:val="Heading5"/>
        <w:spacing w:line="314" w:lineRule="auto" w:before="70"/>
        <w:ind w:left="593" w:right="1133"/>
        <w:jc w:val="left"/>
      </w:pPr>
      <w:r>
        <w:rPr>
          <w:rFonts w:ascii="宋体" w:hAnsi="宋体" w:cs="宋体" w:eastAsia="宋体" w:hint="default"/>
        </w:rPr>
        <w:t>5</w:t>
      </w:r>
      <w:r>
        <w:rPr/>
        <w:t>、技术创新的风险 伴随区块链、大数据、云计算、物联网、人工智能等创新技术的发展，公司所从事的智</w:t>
      </w:r>
    </w:p>
    <w:p>
      <w:pPr>
        <w:pStyle w:val="Heading5"/>
        <w:spacing w:line="237" w:lineRule="exact"/>
        <w:ind w:right="1133"/>
        <w:jc w:val="left"/>
      </w:pPr>
      <w:r>
        <w:rPr/>
        <w:t>慧食安、智慧档案、智慧司法等领域的信息化面临前所未有的发展机遇，如公司能够正确判</w:t>
      </w:r>
    </w:p>
    <w:p>
      <w:pPr>
        <w:pStyle w:val="Heading5"/>
        <w:spacing w:line="312" w:lineRule="exact" w:before="29"/>
        <w:ind w:right="996"/>
        <w:jc w:val="left"/>
      </w:pPr>
      <w:r>
        <w:rPr>
          <w:spacing w:val="-2"/>
        </w:rPr>
        <w:t>断并把握市场机会，全面了解业内技术发展的最新趋势，准确无误进行新产品和技术的创新，</w:t>
      </w:r>
      <w:r>
        <w:rPr/>
        <w:t> 则能更好地满足客户不断升级的需求，实现飞跃式发展。公司上市之后围绕行业发展趋势，</w:t>
      </w:r>
      <w:r>
        <w:rPr>
          <w:spacing w:val="-91"/>
        </w:rPr>
        <w:t> </w:t>
      </w:r>
      <w:r>
        <w:rPr>
          <w:spacing w:val="-91"/>
        </w:rPr>
      </w:r>
      <w:r>
        <w:rPr/>
        <w:t>投入大量人力、物力、财力用于新产品、新技术、新业务的研发与孵化。但是，由于信息化</w:t>
      </w:r>
      <w:r>
        <w:rPr>
          <w:spacing w:val="-91"/>
        </w:rPr>
        <w:t> </w:t>
      </w:r>
      <w:r>
        <w:rPr>
          <w:spacing w:val="-91"/>
        </w:rPr>
      </w:r>
      <w:r>
        <w:rPr/>
        <w:t>技术发展日新月异，产品迭代周期不断缩短，用户对产品的技术要求也不断提高。若公司对</w:t>
      </w:r>
      <w:r>
        <w:rPr>
          <w:spacing w:val="-91"/>
        </w:rPr>
        <w:t> </w:t>
      </w:r>
      <w:r>
        <w:rPr>
          <w:spacing w:val="-91"/>
        </w:rPr>
      </w:r>
      <w:r>
        <w:rPr/>
        <w:t>技术、产品和市场的发展趋势不能正确判断和预测，对行业关键技术发展方向的选择出现偏</w:t>
      </w:r>
      <w:r>
        <w:rPr>
          <w:spacing w:val="-88"/>
        </w:rPr>
        <w:t> </w:t>
      </w:r>
      <w:r>
        <w:rPr>
          <w:spacing w:val="-88"/>
        </w:rPr>
      </w:r>
      <w:r>
        <w:rPr/>
        <w:t>差，对客户的需求动态不能及时掌握，不能及时调整技术路线和产品定位，或是新技术、新</w:t>
      </w:r>
    </w:p>
    <w:p>
      <w:pPr>
        <w:spacing w:after="0" w:line="312" w:lineRule="exact"/>
        <w:jc w:val="left"/>
        <w:sectPr>
          <w:pgSz w:w="11910" w:h="16840"/>
          <w:pgMar w:header="906" w:footer="1021" w:top="1100" w:bottom="1220" w:left="1020" w:right="0"/>
        </w:sectPr>
      </w:pPr>
    </w:p>
    <w:p>
      <w:pPr>
        <w:spacing w:line="240" w:lineRule="auto" w:before="6"/>
        <w:rPr>
          <w:rFonts w:ascii="宋体" w:hAnsi="宋体" w:cs="宋体" w:eastAsia="宋体" w:hint="default"/>
          <w:sz w:val="20"/>
          <w:szCs w:val="20"/>
        </w:rPr>
      </w:pPr>
    </w:p>
    <w:p>
      <w:pPr>
        <w:pStyle w:val="Heading5"/>
        <w:spacing w:line="240" w:lineRule="auto" w:before="26"/>
        <w:ind w:right="1133"/>
        <w:jc w:val="left"/>
      </w:pPr>
      <w:r>
        <w:rPr/>
        <w:t>产品不能迅速推广应用，可能使公司丧失技术和市场的领先地位，从而对公司的经营业绩带</w:t>
      </w:r>
      <w:r>
        <w:rPr>
          <w:spacing w:val="-91"/>
        </w:rPr>
        <w:t> </w:t>
      </w:r>
      <w:r>
        <w:rPr>
          <w:spacing w:val="-91"/>
        </w:rPr>
      </w:r>
      <w:r>
        <w:rPr/>
        <w:t>来负面影响。</w:t>
      </w:r>
    </w:p>
    <w:p>
      <w:pPr>
        <w:pStyle w:val="Heading5"/>
        <w:spacing w:line="240" w:lineRule="auto" w:before="98"/>
        <w:ind w:left="593" w:right="1133"/>
        <w:jc w:val="left"/>
      </w:pPr>
      <w:r>
        <w:rPr>
          <w:rFonts w:ascii="宋体" w:hAnsi="宋体" w:cs="宋体" w:eastAsia="宋体" w:hint="default"/>
        </w:rPr>
        <w:t>6</w:t>
      </w:r>
      <w:r>
        <w:rPr/>
        <w:t>、应收账款无法收回的风险</w:t>
      </w:r>
    </w:p>
    <w:p>
      <w:pPr>
        <w:pStyle w:val="Heading5"/>
        <w:spacing w:line="312" w:lineRule="exact" w:before="127"/>
        <w:ind w:right="1034" w:firstLine="480"/>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日，公司应收账款净额为</w:t>
      </w:r>
      <w:r>
        <w:rPr>
          <w:rFonts w:ascii="宋体" w:hAnsi="宋体" w:cs="宋体" w:eastAsia="宋体" w:hint="default"/>
        </w:rPr>
        <w:t>3.4</w:t>
      </w:r>
      <w:r>
        <w:rPr/>
        <w:t>亿元。公司应收账款的主要客户为政府机关、 事业单位和规模较大的企业集团，一般情况下，政府机关及事业单位客户信誉度高，规模较</w:t>
      </w:r>
      <w:r>
        <w:rPr>
          <w:spacing w:val="-91"/>
        </w:rPr>
        <w:t> </w:t>
      </w:r>
      <w:r>
        <w:rPr>
          <w:spacing w:val="-91"/>
        </w:rPr>
      </w:r>
      <w:r>
        <w:rPr/>
        <w:t>大的企业集团客户资本实力较强，资金回收较为可靠，且公司历史上也没有发生过重大坏账</w:t>
      </w:r>
      <w:r>
        <w:rPr>
          <w:spacing w:val="-91"/>
        </w:rPr>
        <w:t> </w:t>
      </w:r>
      <w:r>
        <w:rPr>
          <w:spacing w:val="-91"/>
        </w:rPr>
      </w:r>
      <w:r>
        <w:rPr/>
        <w:t>损失，同时公司本着谨慎性原则对应收账款提取了坏账准备。但是，政府客户对规模和金额</w:t>
      </w:r>
      <w:r>
        <w:rPr>
          <w:spacing w:val="-89"/>
        </w:rPr>
        <w:t> </w:t>
      </w:r>
      <w:r>
        <w:rPr>
          <w:spacing w:val="-89"/>
        </w:rPr>
      </w:r>
      <w:r>
        <w:rPr/>
        <w:t>较大项目的结算，通常付款相对审慎，所涉及的审批部门较多，支付审核流程周期的耗时较</w:t>
      </w:r>
      <w:r>
        <w:rPr>
          <w:spacing w:val="-91"/>
        </w:rPr>
        <w:t> </w:t>
      </w:r>
      <w:r>
        <w:rPr>
          <w:spacing w:val="-91"/>
        </w:rPr>
      </w:r>
      <w:r>
        <w:rPr/>
        <w:t>长，若客户在政策环境等方面发生重大不利变化，公司应收账款仍存在发生坏账的风险，对</w:t>
      </w:r>
      <w:r>
        <w:rPr>
          <w:spacing w:val="-91"/>
        </w:rPr>
        <w:t> </w:t>
      </w:r>
      <w:r>
        <w:rPr>
          <w:spacing w:val="-91"/>
        </w:rPr>
      </w:r>
      <w:r>
        <w:rPr/>
        <w:t>公司资产质量以及财务状况将产生不利影响。</w:t>
      </w:r>
    </w:p>
    <w:p>
      <w:pPr>
        <w:spacing w:line="240" w:lineRule="auto" w:before="10"/>
        <w:rPr>
          <w:rFonts w:ascii="宋体" w:hAnsi="宋体" w:cs="宋体" w:eastAsia="宋体" w:hint="default"/>
          <w:sz w:val="20"/>
          <w:szCs w:val="20"/>
        </w:rPr>
      </w:pPr>
    </w:p>
    <w:p>
      <w:pPr>
        <w:pStyle w:val="Heading4"/>
        <w:spacing w:line="240" w:lineRule="auto"/>
        <w:ind w:right="1133"/>
        <w:jc w:val="left"/>
        <w:rPr>
          <w:b w:val="0"/>
          <w:bCs w:val="0"/>
        </w:rPr>
      </w:pPr>
      <w:bookmarkStart w:name="二、主营业务分析" w:id="24"/>
      <w:bookmarkEnd w:id="24"/>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概述" w:id="25"/>
      <w:bookmarkEnd w:id="25"/>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参见“经营情况讨论与分析”中的“一、概述”相关内容。</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收入与成本" w:id="26"/>
      <w:bookmarkEnd w:id="26"/>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640,198,270.89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706,940,063.53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-9.44%</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41"/>
              <w:jc w:val="left"/>
              <w:rPr>
                <w:rFonts w:ascii="宋体" w:hAnsi="宋体" w:cs="宋体" w:eastAsia="宋体" w:hint="default"/>
                <w:sz w:val="18"/>
                <w:szCs w:val="18"/>
              </w:rPr>
            </w:pPr>
            <w:r>
              <w:rPr>
                <w:rFonts w:ascii="宋体" w:hAnsi="宋体" w:cs="宋体" w:eastAsia="宋体" w:hint="default"/>
                <w:sz w:val="18"/>
                <w:szCs w:val="18"/>
              </w:rPr>
              <w:t>智慧食安（政府、 企事业单位）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164,843,964.30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25.75%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175,429,418.63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智慧档案（档案 局、馆）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269,059,191.65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287,022,363.88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智慧司法（政府）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148,133,714.14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134,768,905.98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9.92%</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3"/>
              <w:jc w:val="left"/>
              <w:rPr>
                <w:rFonts w:ascii="宋体" w:hAnsi="宋体" w:cs="宋体" w:eastAsia="宋体" w:hint="default"/>
                <w:sz w:val="18"/>
                <w:szCs w:val="18"/>
              </w:rPr>
            </w:pPr>
            <w:r>
              <w:rPr>
                <w:rFonts w:ascii="宋体" w:hAnsi="宋体" w:cs="宋体" w:eastAsia="宋体" w:hint="default"/>
                <w:spacing w:val="-8"/>
                <w:sz w:val="18"/>
                <w:szCs w:val="18"/>
              </w:rPr>
              <w:t>其他（政府、企事</w:t>
            </w:r>
            <w:r>
              <w:rPr>
                <w:rFonts w:ascii="宋体" w:hAnsi="宋体" w:cs="宋体" w:eastAsia="宋体" w:hint="default"/>
                <w:sz w:val="18"/>
                <w:szCs w:val="18"/>
              </w:rPr>
              <w:t> 业单位）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58,161,400.80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109,719,375.04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-46.99%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249,714,068.32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39.01%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171,166,081.04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45.89%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技术支持与服务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214,122,780.89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33.45%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296,570,181.93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-27.80%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应用软件开发与 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176,361,421.68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27.55%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239,203,800.56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-26.27%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389,067,899.33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408,659,777.41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95,133,558.66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128,640,238.20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-26.05%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118,520,139.35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18.51%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112,520,865.23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37,476,673.55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57,119,182.69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-34.39%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3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both"/>
              <w:rPr>
                <w:rFonts w:ascii="宋体" w:hAnsi="宋体" w:cs="宋体" w:eastAsia="宋体" w:hint="default"/>
                <w:sz w:val="18"/>
                <w:szCs w:val="18"/>
              </w:rPr>
            </w:pPr>
            <w:r>
              <w:rPr>
                <w:rFonts w:ascii="宋体" w:hAnsi="宋体" w:cs="宋体" w:eastAsia="宋体" w:hint="default"/>
                <w:sz w:val="18"/>
                <w:szCs w:val="18"/>
              </w:rPr>
              <w:t>智慧食安（政 府、企事业单 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164,843,964.30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122,254,985.39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12.89%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-12.43%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智慧档案（档 案局、馆）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269,059,191.65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185,799,494.83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-11.18%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智慧司法（政 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148,133,714.14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127,355,938.68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33.02%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-14.93%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其他（政府、 企事业单位）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58,161,400.80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45,336,269.96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-46.99%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-43.52%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249,714,068.32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223,817,143.96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45.89%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53.07%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技术支持与服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214,122,780.89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146,502,045.81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-27.80%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-13.48%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应用软件开发 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176,361,421.68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110,427,499.09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-26.27%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-21.83%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389,067,899.33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280,120,521.88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95,133,558.66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80,058,633.02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-26.05%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-19.35%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118,520,139.35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90,769,678.00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28.40%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37,476,673.55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29,797,855.96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-34.39%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-37.91%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4.51%</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833" w:space="8087"/>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135"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宋体" w:hAnsi="宋体" w:cs="宋体" w:eastAsia="宋体" w:hint="default"/>
                <w:sz w:val="18"/>
                <w:szCs w:val="18"/>
              </w:rPr>
              <w:t>材料采购成本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169,543,857.12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121,078,598.36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8.39%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人工成本及费 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54,273,286.84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25,140,620.30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技术支持与服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材料采购成本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82,404,680.98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48,270,274.75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技术支持与服 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人工成本及费 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64,097,364.83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114,675,794.47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25.46%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-12.13%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应用软件开发 与销售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材料采购成本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59,432,720.09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56,657,510.60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应用软件开发 与销售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人工成本及费 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50,994,779.00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84,607,016.10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-8.17%</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pStyle w:val="BodyText"/>
        <w:spacing w:line="256" w:lineRule="auto" w:before="96"/>
        <w:ind w:left="112" w:right="986"/>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日，公司第四届董事会第三十七次会议审议通过了《关于出售全资子公司上海金档信息技术</w:t>
      </w:r>
      <w:r>
        <w:rPr>
          <w:spacing w:val="-37"/>
        </w:rPr>
        <w:t> </w:t>
      </w:r>
      <w:r>
        <w:rPr>
          <w:spacing w:val="-37"/>
        </w:rPr>
      </w:r>
      <w:r>
        <w:rPr>
          <w:spacing w:val="-1"/>
          <w:w w:val="100"/>
        </w:rPr>
        <w:t>有限公司</w:t>
      </w:r>
      <w:r>
        <w:rPr>
          <w:w w:val="100"/>
        </w:rPr>
        <w:t> </w:t>
      </w:r>
      <w:r>
        <w:rPr>
          <w:rFonts w:ascii="Times New Roman" w:hAnsi="Times New Roman" w:cs="Times New Roman" w:eastAsia="Times New Roman" w:hint="default"/>
          <w:spacing w:val="-11"/>
          <w:w w:val="100"/>
        </w:rPr>
        <w:t>100%</w:t>
      </w:r>
      <w:r>
        <w:rPr>
          <w:spacing w:val="-11"/>
          <w:w w:val="100"/>
        </w:rPr>
        <w:t>股权的议案》。</w:t>
      </w:r>
      <w:r>
        <w:rPr>
          <w:spacing w:val="-104"/>
          <w:w w:val="100"/>
        </w:rPr>
        <w:t> </w:t>
      </w:r>
      <w:r>
        <w:rPr>
          <w:spacing w:val="-104"/>
          <w:w w:val="100"/>
        </w:rPr>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11</w:t>
      </w:r>
      <w:r>
        <w:rPr>
          <w:spacing w:val="-2"/>
          <w:w w:val="100"/>
        </w:rPr>
        <w:t>月</w:t>
      </w:r>
      <w:r>
        <w:rPr>
          <w:rFonts w:ascii="Times New Roman" w:hAnsi="Times New Roman" w:cs="Times New Roman" w:eastAsia="Times New Roman" w:hint="default"/>
          <w:spacing w:val="-2"/>
          <w:w w:val="100"/>
        </w:rPr>
        <w:t>20</w:t>
      </w:r>
      <w:r>
        <w:rPr>
          <w:spacing w:val="-2"/>
          <w:w w:val="100"/>
        </w:rPr>
        <w:t>日，上海中信信息发展股份有限公司与上海谷数信息技术有限公司签订《股权转让协议》，</w:t>
      </w:r>
      <w:r>
        <w:rPr>
          <w:spacing w:val="-89"/>
          <w:w w:val="100"/>
        </w:rPr>
        <w:t> </w:t>
      </w:r>
      <w:r>
        <w:rPr>
          <w:spacing w:val="-89"/>
          <w:w w:val="100"/>
        </w:rPr>
      </w:r>
      <w:r>
        <w:rPr>
          <w:spacing w:val="-4"/>
          <w:w w:val="100"/>
        </w:rPr>
        <w:t>协议约定：上海中信信息发展股份有限公司将其持有的上海金档信息技术有限公司共计</w:t>
      </w:r>
      <w:r>
        <w:rPr>
          <w:rFonts w:ascii="Times New Roman" w:hAnsi="Times New Roman" w:cs="Times New Roman" w:eastAsia="Times New Roman" w:hint="default"/>
          <w:spacing w:val="-4"/>
          <w:w w:val="100"/>
        </w:rPr>
        <w:t>100%</w:t>
      </w:r>
      <w:r>
        <w:rPr>
          <w:spacing w:val="-4"/>
          <w:w w:val="100"/>
        </w:rPr>
        <w:t>的股权转让给</w:t>
      </w:r>
      <w:r>
        <w:rPr>
          <w:spacing w:val="-73"/>
          <w:w w:val="100"/>
        </w:rPr>
        <w:t> </w:t>
      </w:r>
      <w:r>
        <w:rPr>
          <w:spacing w:val="-73"/>
          <w:w w:val="100"/>
        </w:rPr>
      </w:r>
      <w:r>
        <w:rPr/>
        <w:t>上海谷数信息技术有限公司，转让价格总计</w:t>
      </w:r>
      <w:r>
        <w:rPr>
          <w:rFonts w:ascii="Times New Roman" w:hAnsi="Times New Roman" w:cs="Times New Roman" w:eastAsia="Times New Roman" w:hint="default"/>
        </w:rPr>
        <w:t>2,650</w:t>
      </w:r>
      <w:r>
        <w:rPr/>
        <w:t>万元。</w:t>
      </w:r>
      <w:r>
        <w:rPr>
          <w:w w:val="10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日，公司收到上述股权转让款中的人民币</w:t>
      </w:r>
      <w:r>
        <w:rPr>
          <w:rFonts w:ascii="Times New Roman" w:hAnsi="Times New Roman" w:cs="Times New Roman" w:eastAsia="Times New Roman" w:hint="default"/>
        </w:rPr>
        <w:t>1,450</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月收到剩余的</w:t>
      </w:r>
      <w:r>
        <w:rPr>
          <w:rFonts w:ascii="Times New Roman" w:hAnsi="Times New Roman" w:cs="Times New Roman" w:eastAsia="Times New Roman" w:hint="default"/>
        </w:rPr>
        <w:t>1,200</w:t>
      </w:r>
      <w:r>
        <w:rPr/>
        <w:t>万元。</w:t>
      </w:r>
    </w:p>
    <w:p>
      <w:pPr>
        <w:pStyle w:val="BodyText"/>
        <w:spacing w:line="240" w:lineRule="auto" w:before="5"/>
        <w:ind w:left="112"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日，上海金档信息技术有限公司完成工商变更登记手续。</w:t>
      </w:r>
    </w:p>
    <w:p>
      <w:pPr>
        <w:pStyle w:val="BodyText"/>
        <w:spacing w:line="256" w:lineRule="auto" w:before="21"/>
        <w:ind w:left="112" w:right="1133"/>
        <w:jc w:val="left"/>
      </w:pP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3</w:t>
      </w:r>
      <w:r>
        <w:rPr>
          <w:rFonts w:ascii="Times New Roman" w:hAnsi="Times New Roman" w:cs="Times New Roman" w:eastAsia="Times New Roman" w:hint="default"/>
        </w:rPr>
        <w:t>0</w:t>
      </w:r>
      <w:r>
        <w:rPr/>
        <w:t>日，本公司与上海谷数信息技术有限公司完成资料移交手续。</w:t>
      </w:r>
      <w:r>
        <w:rPr>
          <w:w w:val="100"/>
        </w:rPr>
        <w:t> </w:t>
      </w:r>
      <w:r>
        <w:rPr/>
        <w:t>控股子公司追溯云信息发展股份有限公司于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日发起设立追溯云（上海）信用科技有限公司。</w:t>
      </w:r>
      <w:r>
        <w:rPr>
          <w:spacing w:val="-27"/>
        </w:rPr>
        <w:t> </w:t>
      </w:r>
      <w:r>
        <w:rPr>
          <w:spacing w:val="-27"/>
        </w:rPr>
      </w:r>
      <w:r>
        <w:rPr>
          <w:spacing w:val="-3"/>
        </w:rPr>
        <w:t>该公司注册资本为人民币</w:t>
      </w:r>
      <w:r>
        <w:rPr>
          <w:rFonts w:ascii="Times New Roman" w:hAnsi="Times New Roman" w:cs="Times New Roman" w:eastAsia="Times New Roman" w:hint="default"/>
          <w:spacing w:val="-3"/>
        </w:rPr>
        <w:t>500.00</w:t>
      </w:r>
      <w:r>
        <w:rPr>
          <w:spacing w:val="-3"/>
        </w:rPr>
        <w:t>万元，追溯云信息发展股份有限公司持有该公司</w:t>
      </w:r>
      <w:r>
        <w:rPr>
          <w:rFonts w:ascii="Times New Roman" w:hAnsi="Times New Roman" w:cs="Times New Roman" w:eastAsia="Times New Roman" w:hint="default"/>
          <w:spacing w:val="-3"/>
        </w:rPr>
        <w:t>100%</w:t>
      </w:r>
      <w:r>
        <w:rPr>
          <w:spacing w:val="-3"/>
        </w:rPr>
        <w:t>股权。经营范围：电</w:t>
      </w:r>
      <w:r>
        <w:rPr>
          <w:spacing w:val="-2"/>
        </w:rPr>
        <w:t> </w:t>
      </w:r>
      <w:r>
        <w:rPr>
          <w:spacing w:val="-2"/>
        </w:rPr>
        <w:t>子信息技术、软件技术及产品的开发、咨询、服务、转让</w:t>
      </w:r>
      <w:r>
        <w:rPr>
          <w:rFonts w:ascii="Times New Roman" w:hAnsi="Times New Roman" w:cs="Times New Roman" w:eastAsia="Times New Roman" w:hint="default"/>
          <w:spacing w:val="-2"/>
        </w:rPr>
        <w:t>,</w:t>
      </w:r>
      <w:r>
        <w:rPr>
          <w:spacing w:val="-2"/>
        </w:rPr>
        <w:t>大数据采集和应用</w:t>
      </w:r>
      <w:r>
        <w:rPr>
          <w:rFonts w:ascii="Times New Roman" w:hAnsi="Times New Roman" w:cs="Times New Roman" w:eastAsia="Times New Roman" w:hint="default"/>
          <w:spacing w:val="-2"/>
        </w:rPr>
        <w:t>,</w:t>
      </w:r>
      <w:r>
        <w:rPr>
          <w:spacing w:val="-2"/>
        </w:rPr>
        <w:t>信用服务</w:t>
      </w:r>
      <w:r>
        <w:rPr>
          <w:rFonts w:ascii="Times New Roman" w:hAnsi="Times New Roman" w:cs="Times New Roman" w:eastAsia="Times New Roman" w:hint="default"/>
          <w:spacing w:val="-2"/>
        </w:rPr>
        <w:t>,</w:t>
      </w:r>
      <w:r>
        <w:rPr>
          <w:spacing w:val="-2"/>
        </w:rPr>
        <w:t>信用管理</w:t>
      </w:r>
      <w:r>
        <w:rPr>
          <w:rFonts w:ascii="Times New Roman" w:hAnsi="Times New Roman" w:cs="Times New Roman" w:eastAsia="Times New Roman" w:hint="default"/>
          <w:spacing w:val="-2"/>
        </w:rPr>
        <w:t>,</w:t>
      </w:r>
      <w:r>
        <w:rPr>
          <w:spacing w:val="-2"/>
        </w:rPr>
        <w:t>企业征信</w:t>
      </w:r>
      <w:r>
        <w:rPr>
          <w:spacing w:val="-46"/>
        </w:rPr>
        <w:t> </w:t>
      </w:r>
      <w:r>
        <w:rPr>
          <w:spacing w:val="-46"/>
        </w:rPr>
      </w:r>
      <w:r>
        <w:rPr>
          <w:spacing w:val="-1"/>
        </w:rPr>
        <w:t>服务</w:t>
      </w:r>
      <w:r>
        <w:rPr>
          <w:rFonts w:ascii="Times New Roman" w:hAnsi="Times New Roman" w:cs="Times New Roman" w:eastAsia="Times New Roman" w:hint="default"/>
          <w:spacing w:val="-1"/>
        </w:rPr>
        <w:t>,</w:t>
      </w:r>
      <w:r>
        <w:rPr>
          <w:spacing w:val="-1"/>
        </w:rPr>
        <w:t>企业信誉评估服务</w:t>
      </w:r>
      <w:r>
        <w:rPr>
          <w:rFonts w:ascii="Times New Roman" w:hAnsi="Times New Roman" w:cs="Times New Roman" w:eastAsia="Times New Roman" w:hint="default"/>
          <w:spacing w:val="-1"/>
        </w:rPr>
        <w:t>,</w:t>
      </w:r>
      <w:r>
        <w:rPr>
          <w:spacing w:val="-1"/>
        </w:rPr>
        <w:t>信用风险咨询及交流</w:t>
      </w:r>
      <w:r>
        <w:rPr>
          <w:rFonts w:ascii="Times New Roman" w:hAnsi="Times New Roman" w:cs="Times New Roman" w:eastAsia="Times New Roman" w:hint="default"/>
          <w:spacing w:val="-1"/>
        </w:rPr>
        <w:t>,</w:t>
      </w:r>
      <w:r>
        <w:rPr>
          <w:spacing w:val="-1"/>
        </w:rPr>
        <w:t>从事信用征信专业技术领域内的技术开发、技术转让、技术</w:t>
      </w:r>
      <w:r>
        <w:rPr>
          <w:spacing w:val="-30"/>
        </w:rPr>
        <w:t> </w:t>
      </w:r>
      <w:r>
        <w:rPr>
          <w:spacing w:val="-30"/>
        </w:rPr>
      </w:r>
      <w:r>
        <w:rPr>
          <w:spacing w:val="-5"/>
          <w:w w:val="100"/>
        </w:rPr>
        <w:t>咨询、技术服务。【依法须经批准的项目</w:t>
      </w:r>
      <w:r>
        <w:rPr>
          <w:rFonts w:ascii="Times New Roman" w:hAnsi="Times New Roman" w:cs="Times New Roman" w:eastAsia="Times New Roman" w:hint="default"/>
          <w:spacing w:val="-5"/>
          <w:w w:val="100"/>
        </w:rPr>
        <w:t>,</w:t>
      </w:r>
      <w:r>
        <w:rPr>
          <w:spacing w:val="-5"/>
          <w:w w:val="100"/>
        </w:rPr>
        <w:t>经相关部门批准后方可开展经营活动。</w:t>
      </w:r>
      <w:r>
        <w:rPr>
          <w:spacing w:val="-83"/>
          <w:w w:val="100"/>
        </w:rPr>
        <w:t> </w:t>
      </w:r>
      <w:r>
        <w:rPr>
          <w:spacing w:val="-83"/>
          <w:w w:val="100"/>
        </w:rPr>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日，追溯云信息发展股份有限公司对追溯云（上海）信用科技有限公司实际缴纳出资人</w:t>
      </w:r>
    </w:p>
    <w:p>
      <w:pPr>
        <w:spacing w:after="0" w:line="256"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112" w:right="1133"/>
        <w:jc w:val="left"/>
      </w:pPr>
      <w:r>
        <w:rPr/>
        <w:t>民币</w:t>
      </w:r>
      <w:r>
        <w:rPr>
          <w:rFonts w:ascii="Times New Roman" w:hAnsi="Times New Roman" w:cs="Times New Roman" w:eastAsia="Times New Roman" w:hint="default"/>
        </w:rPr>
        <w:t>5</w:t>
      </w:r>
      <w:r>
        <w:rPr/>
        <w:t>万元。</w:t>
      </w:r>
    </w:p>
    <w:p>
      <w:pPr>
        <w:spacing w:line="240" w:lineRule="auto" w:before="8"/>
        <w:rPr>
          <w:rFonts w:ascii="宋体" w:hAnsi="宋体" w:cs="宋体" w:eastAsia="宋体" w:hint="default"/>
          <w:sz w:val="24"/>
          <w:szCs w:val="24"/>
        </w:rPr>
      </w:pPr>
    </w:p>
    <w:p>
      <w:pPr>
        <w:pStyle w:val="Heading6"/>
        <w:spacing w:line="240" w:lineRule="auto"/>
        <w:ind w:right="1133"/>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104,566,964.12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16.33%</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28,431,034.48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4.44%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22,300,469.00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19,050,362.39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18,223,188.83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16,561,909.42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104,566,964.12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16.33%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136,461,002.85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43.37%</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70"/>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69,696,791.91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22.15%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27,896,397.59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8.87%</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18,371,773.02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5.84%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11,987,172.40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8,508,867.93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136,461,002.85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43.37%</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71,399,333.07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55,571,530.43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28.48%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86,442,378.34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77,494,036.13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pacing w:val="-1"/>
                <w:sz w:val="18"/>
              </w:rPr>
              <w:t>11.55%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19,892,188.97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10,339,731.46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92.39%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宋体" w:hAnsi="宋体" w:cs="宋体" w:eastAsia="宋体" w:hint="default"/>
                <w:sz w:val="18"/>
                <w:szCs w:val="18"/>
              </w:rPr>
            </w:pPr>
            <w:r>
              <w:rPr>
                <w:rFonts w:ascii="宋体" w:hAnsi="宋体" w:cs="宋体" w:eastAsia="宋体" w:hint="default"/>
                <w:sz w:val="18"/>
                <w:szCs w:val="18"/>
              </w:rPr>
              <w:t>系在建工程主体竣工，长期借款利 息不再资本化</w:t>
            </w: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125,120,286.57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65,700,762.42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90.44%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系公司积极参与国家科技重大专项 课题任务—“安全可控桌面计算机 规模化推广的应用系统</w:t>
            </w:r>
            <w:r>
              <w:rPr>
                <w:rFonts w:ascii="宋体" w:hAnsi="宋体" w:cs="宋体" w:eastAsia="宋体" w:hint="default"/>
                <w:spacing w:val="1"/>
                <w:sz w:val="18"/>
                <w:szCs w:val="18"/>
              </w:rPr>
              <w:t> </w:t>
            </w:r>
            <w:r>
              <w:rPr>
                <w:rFonts w:ascii="宋体" w:hAnsi="宋体" w:cs="宋体" w:eastAsia="宋体" w:hint="default"/>
                <w:sz w:val="18"/>
                <w:szCs w:val="18"/>
              </w:rPr>
              <w:t>迁移技术</w:t>
            </w:r>
            <w:r>
              <w:rPr>
                <w:rFonts w:ascii="宋体" w:hAnsi="宋体" w:cs="宋体" w:eastAsia="宋体" w:hint="default"/>
                <w:sz w:val="18"/>
                <w:szCs w:val="18"/>
              </w:rPr>
              <w:t> 研究”的建设</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line="338" w:lineRule="auto" w:before="0"/>
        <w:ind w:left="112" w:right="11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在宏观经济环境复杂多变，市场竞争强烈的情况下，公司仍然坚持在区块链技术、大数据分析技术、</w:t>
      </w:r>
      <w:r>
        <w:rPr>
          <w:rFonts w:ascii="宋体" w:hAnsi="宋体" w:cs="宋体" w:eastAsia="宋体" w:hint="default"/>
          <w:spacing w:val="-2"/>
          <w:sz w:val="18"/>
          <w:szCs w:val="18"/>
        </w:rPr>
        <w:t>AI</w:t>
      </w:r>
      <w:r>
        <w:rPr>
          <w:rFonts w:ascii="宋体" w:hAnsi="宋体" w:cs="宋体" w:eastAsia="宋体" w:hint="default"/>
          <w:spacing w:val="-2"/>
          <w:sz w:val="18"/>
          <w:szCs w:val="18"/>
        </w:rPr>
        <w:t>识别技术、逐步推进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项目向产品化转型等领域的投入，并积极参与国家科技重大专项课题任务——“安全可控桌面计算机规模化推广的应用系统</w:t>
      </w:r>
    </w:p>
    <w:p>
      <w:pPr>
        <w:spacing w:line="316" w:lineRule="auto" w:before="2"/>
        <w:ind w:left="112" w:right="986" w:firstLine="0"/>
        <w:jc w:val="left"/>
        <w:rPr>
          <w:rFonts w:ascii="宋体" w:hAnsi="宋体" w:cs="宋体" w:eastAsia="宋体" w:hint="default"/>
          <w:sz w:val="18"/>
          <w:szCs w:val="18"/>
        </w:rPr>
      </w:pPr>
      <w:r>
        <w:rPr>
          <w:rFonts w:ascii="宋体" w:hAnsi="宋体" w:cs="宋体" w:eastAsia="宋体" w:hint="default"/>
          <w:sz w:val="18"/>
          <w:szCs w:val="18"/>
        </w:rPr>
        <w:t>迁移技术研究”的建设，同时加大了市场开拓的力度。报告期内，期间费用和研发费用较去年同期增长约</w:t>
      </w:r>
      <w:r>
        <w:rPr>
          <w:rFonts w:ascii="宋体" w:hAnsi="宋体" w:cs="宋体" w:eastAsia="宋体" w:hint="default"/>
          <w:sz w:val="18"/>
          <w:szCs w:val="18"/>
        </w:rPr>
        <w:t>7000</w:t>
      </w:r>
      <w:r>
        <w:rPr>
          <w:rFonts w:ascii="宋体" w:hAnsi="宋体" w:cs="宋体" w:eastAsia="宋体" w:hint="default"/>
          <w:sz w:val="18"/>
          <w:szCs w:val="18"/>
        </w:rPr>
        <w:t>万元。 </w:t>
      </w:r>
      <w:r>
        <w:rPr>
          <w:rFonts w:ascii="宋体" w:hAnsi="宋体" w:cs="宋体" w:eastAsia="宋体" w:hint="default"/>
          <w:spacing w:val="-2"/>
          <w:sz w:val="18"/>
          <w:szCs w:val="18"/>
        </w:rPr>
        <w:t>1</w:t>
      </w:r>
      <w:r>
        <w:rPr>
          <w:rFonts w:ascii="宋体" w:hAnsi="宋体" w:cs="宋体" w:eastAsia="宋体" w:hint="default"/>
          <w:spacing w:val="-2"/>
          <w:sz w:val="18"/>
          <w:szCs w:val="18"/>
        </w:rPr>
        <w:t>）大数据智能创新中心基于公司在主营三大业务领域多年行业经验和技术积累，加强大数据人才队伍建设和产品研发投入，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研发面向数据治理和数据应用的基础平台和基础工具产品，全力赋能公司核心业务和开拓新业务。 </w:t>
      </w:r>
      <w:r>
        <w:rPr>
          <w:rFonts w:ascii="宋体" w:hAnsi="宋体" w:cs="宋体" w:eastAsia="宋体" w:hint="default"/>
          <w:sz w:val="18"/>
          <w:szCs w:val="18"/>
        </w:rPr>
        <w:t>2</w:t>
      </w:r>
      <w:r>
        <w:rPr>
          <w:rFonts w:ascii="宋体" w:hAnsi="宋体" w:cs="宋体" w:eastAsia="宋体" w:hint="default"/>
          <w:sz w:val="18"/>
          <w:szCs w:val="18"/>
        </w:rPr>
        <w:t>）区块链创新中心依托信息发展强大的技术研发实力，集中优秀技术创新人才，着力研发区块链基础平台以及“区块链网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关”等配套工具，已成功申请区块链发明专利</w:t>
      </w:r>
      <w:r>
        <w:rPr>
          <w:rFonts w:ascii="宋体" w:hAnsi="宋体" w:cs="宋体" w:eastAsia="宋体" w:hint="default"/>
          <w:spacing w:val="-2"/>
          <w:sz w:val="18"/>
          <w:szCs w:val="18"/>
        </w:rPr>
        <w:t>12</w:t>
      </w:r>
      <w:r>
        <w:rPr>
          <w:rFonts w:ascii="宋体" w:hAnsi="宋体" w:cs="宋体" w:eastAsia="宋体" w:hint="default"/>
          <w:spacing w:val="-2"/>
          <w:sz w:val="18"/>
          <w:szCs w:val="18"/>
        </w:rPr>
        <w:t>项，全力打造上海乃至国内领先的“信发链”品牌。对内以智慧食安供应链</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4"/>
          <w:sz w:val="18"/>
          <w:szCs w:val="18"/>
        </w:rPr>
        <w:t>生态圈区块链应用为重点，兼顾对智慧档案、智慧司法业务的赋能；对外拓展电子存证、药品溯源、供应链管理等业务领域，</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实现“信发链”在各行各业的应用落地。</w:t>
      </w:r>
      <w:r>
        <w:rPr>
          <w:rFonts w:ascii="宋体" w:hAnsi="宋体" w:cs="宋体" w:eastAsia="宋体" w:hint="default"/>
          <w:sz w:val="18"/>
          <w:szCs w:val="18"/>
        </w:rPr>
        <w:t> </w:t>
      </w:r>
      <w:r>
        <w:rPr>
          <w:rFonts w:ascii="宋体" w:hAnsi="宋体" w:cs="宋体" w:eastAsia="宋体" w:hint="default"/>
          <w:sz w:val="18"/>
          <w:szCs w:val="18"/>
        </w:rPr>
        <w:t>3</w:t>
      </w:r>
      <w:r>
        <w:rPr>
          <w:rFonts w:ascii="宋体" w:hAnsi="宋体" w:cs="宋体" w:eastAsia="宋体" w:hint="default"/>
          <w:sz w:val="18"/>
          <w:szCs w:val="18"/>
        </w:rPr>
        <w:t>）国家科技重大专项课题任务—“安全可控桌面计算机规模化推广的应用系统迁移技术研究”是面向党政办公，电子政务 和关键行业信息化的安全可控要求，采用核高基专项安全可控桌面计算机软硬件成果，结合行业</w:t>
      </w:r>
      <w:r>
        <w:rPr>
          <w:rFonts w:ascii="宋体" w:hAnsi="宋体" w:cs="宋体" w:eastAsia="宋体" w:hint="default"/>
          <w:sz w:val="18"/>
          <w:szCs w:val="18"/>
        </w:rPr>
        <w:t>/</w:t>
      </w:r>
      <w:r>
        <w:rPr>
          <w:rFonts w:ascii="宋体" w:hAnsi="宋体" w:cs="宋体" w:eastAsia="宋体" w:hint="default"/>
          <w:sz w:val="18"/>
          <w:szCs w:val="18"/>
        </w:rPr>
        <w:t>区域性应用系统特色和安 </w:t>
      </w:r>
      <w:r>
        <w:rPr>
          <w:rFonts w:ascii="宋体" w:hAnsi="宋体" w:cs="宋体" w:eastAsia="宋体" w:hint="default"/>
          <w:spacing w:val="-2"/>
          <w:sz w:val="18"/>
          <w:szCs w:val="18"/>
        </w:rPr>
        <w:t>全可控应用系统建设或升级改造需求，研究解决普适性应用软件系统迁移的关键技术、方法和工程化方案，支撑推动专项前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期相关课题加快实施，带动安全可靠桌面计算机基础软件和应用软件产品成熟度明显提升，为安全可控桌面计算机</w:t>
      </w:r>
      <w:r>
        <w:rPr>
          <w:rFonts w:ascii="宋体" w:hAnsi="宋体" w:cs="宋体" w:eastAsia="宋体" w:hint="default"/>
          <w:sz w:val="18"/>
          <w:szCs w:val="18"/>
        </w:rPr>
        <w:t>CPU</w:t>
      </w:r>
      <w:r>
        <w:rPr>
          <w:rFonts w:ascii="宋体" w:hAnsi="宋体" w:cs="宋体" w:eastAsia="宋体" w:hint="default"/>
          <w:sz w:val="18"/>
          <w:szCs w:val="18"/>
        </w:rPr>
        <w:t>进行</w:t>
      </w:r>
      <w:r>
        <w:rPr>
          <w:rFonts w:ascii="宋体" w:hAnsi="宋体" w:cs="宋体" w:eastAsia="宋体" w:hint="default"/>
          <w:spacing w:val="-3"/>
          <w:sz w:val="18"/>
          <w:szCs w:val="18"/>
        </w:rPr>
        <w:t> </w:t>
      </w:r>
      <w:r>
        <w:rPr>
          <w:rFonts w:ascii="宋体" w:hAnsi="宋体" w:cs="宋体" w:eastAsia="宋体" w:hint="default"/>
          <w:sz w:val="18"/>
          <w:szCs w:val="18"/>
        </w:rPr>
        <w:t>大规模应用提供软件和应用系统的技术和工程实施保障。</w:t>
      </w:r>
    </w:p>
    <w:p>
      <w:pPr>
        <w:spacing w:before="59"/>
        <w:ind w:left="112" w:right="1133"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38.07%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27.40%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92,603,893.10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60,071,103.51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53,268,049.93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9.44%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研发投入资本化率大幅变动的原因及其合理性说明</w:t>
      </w:r>
    </w:p>
    <w:p>
      <w:pPr>
        <w:spacing w:before="29"/>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847,439,686.68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824,017,895.12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873,070,361.72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820,005,477.26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6.47%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-25,630,675.04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4,012,417.86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-738.78%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37,316,299.01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55,183.41%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31,803,993.62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64,297,378.86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-50.54%</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5,512,305.39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-64,229,878.86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108.58%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399,770,000.00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340,947,130.00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17.25%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381,753,498.89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295,658,999.42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29.12%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18,016,501.11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45,288,130.58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-60.22%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-2,101,868.54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-14,929,330.42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-85.92%</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38" w:lineRule="auto" w:before="115"/>
        <w:ind w:left="112" w:right="11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、经营活动产生的现金流量净额较上年同期下降</w:t>
      </w:r>
      <w:r>
        <w:rPr>
          <w:rFonts w:ascii="宋体" w:hAnsi="宋体" w:cs="宋体" w:eastAsia="宋体" w:hint="default"/>
          <w:spacing w:val="-2"/>
          <w:sz w:val="18"/>
          <w:szCs w:val="18"/>
        </w:rPr>
        <w:t>738.78%</w:t>
      </w:r>
      <w:r>
        <w:rPr>
          <w:rFonts w:ascii="宋体" w:hAnsi="宋体" w:cs="宋体" w:eastAsia="宋体" w:hint="default"/>
          <w:spacing w:val="-2"/>
          <w:sz w:val="18"/>
          <w:szCs w:val="18"/>
        </w:rPr>
        <w:t>，主要系购买商品、接受劳务支付的现金及应付给职工及为职工支</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付的现金增加；</w:t>
      </w:r>
    </w:p>
    <w:p>
      <w:pPr>
        <w:spacing w:before="2"/>
        <w:ind w:left="112" w:right="113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、投资活动产生的现金流量净额较上年同期增长</w:t>
      </w:r>
      <w:r>
        <w:rPr>
          <w:rFonts w:ascii="宋体" w:hAnsi="宋体" w:cs="宋体" w:eastAsia="宋体" w:hint="default"/>
          <w:sz w:val="18"/>
          <w:szCs w:val="18"/>
        </w:rPr>
        <w:t>108.58%</w:t>
      </w:r>
      <w:r>
        <w:rPr>
          <w:rFonts w:ascii="宋体" w:hAnsi="宋体" w:cs="宋体" w:eastAsia="宋体" w:hint="default"/>
          <w:sz w:val="18"/>
          <w:szCs w:val="18"/>
        </w:rPr>
        <w:t>，主要系在建厂房投入较去年同期减少；</w:t>
      </w:r>
    </w:p>
    <w:p>
      <w:pPr>
        <w:spacing w:line="360" w:lineRule="auto" w:before="76"/>
        <w:ind w:left="112" w:right="346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、筹资活动产生的现金流量净额较上年同期下降</w:t>
      </w:r>
      <w:r>
        <w:rPr>
          <w:rFonts w:ascii="宋体" w:hAnsi="宋体" w:cs="宋体" w:eastAsia="宋体" w:hint="default"/>
          <w:sz w:val="18"/>
          <w:szCs w:val="18"/>
        </w:rPr>
        <w:t>60.22%</w:t>
      </w:r>
      <w:r>
        <w:rPr>
          <w:rFonts w:ascii="宋体" w:hAnsi="宋体" w:cs="宋体" w:eastAsia="宋体" w:hint="default"/>
          <w:sz w:val="18"/>
          <w:szCs w:val="18"/>
        </w:rPr>
        <w:t>，主要系偿还债务支付的现金增加。 报告期内公司经营活动产生的现金净流量与本年度净利润存在重大差异的原因说明</w:t>
      </w:r>
    </w:p>
    <w:p>
      <w:pPr>
        <w:spacing w:line="338" w:lineRule="auto" w:before="25"/>
        <w:ind w:left="112" w:right="12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报告期内公司经营活动产生的现金净流量与本年度净利润存在差异主要是由于确认收入成本的时间节点和收付款的时间节 点不同。</w:t>
      </w:r>
    </w:p>
    <w:p>
      <w:pPr>
        <w:spacing w:line="240" w:lineRule="auto" w:before="8"/>
        <w:rPr>
          <w:rFonts w:ascii="宋体" w:hAnsi="宋体" w:cs="宋体" w:eastAsia="宋体" w:hint="default"/>
          <w:sz w:val="19"/>
          <w:szCs w:val="19"/>
        </w:rPr>
      </w:pPr>
    </w:p>
    <w:p>
      <w:pPr>
        <w:pStyle w:val="Heading4"/>
        <w:spacing w:line="240" w:lineRule="auto"/>
        <w:ind w:right="1133"/>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1133"/>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3"/>
        <w:ind w:left="112" w:right="-1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8485" w:space="435"/>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6" w:right="16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214,207,424.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213,633,815.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343,333,080.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354,806,506.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175,099,504.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348,998,005.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-12.03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11,550,824.0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16,417,086.3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289,907,584.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274,414,892.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244,351,205.</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222,500,000.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82"/>
        <w:gridCol w:w="1015"/>
        <w:gridCol w:w="1064"/>
        <w:gridCol w:w="1193"/>
        <w:gridCol w:w="932"/>
        <w:gridCol w:w="1195"/>
        <w:gridCol w:w="1063"/>
        <w:gridCol w:w="915"/>
        <w:gridCol w:w="1212"/>
      </w:tblGrid>
      <w:tr>
        <w:trPr>
          <w:trHeight w:val="102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6"/>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2" w:right="189"/>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1" w:right="143"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5" w:right="167"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63" w:right="182" w:hanging="181"/>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025"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7"/>
              <w:jc w:val="both"/>
              <w:rPr>
                <w:rFonts w:ascii="宋体" w:hAnsi="宋体" w:cs="宋体" w:eastAsia="宋体" w:hint="default"/>
                <w:sz w:val="18"/>
                <w:szCs w:val="18"/>
              </w:rPr>
            </w:pPr>
            <w:r>
              <w:rPr>
                <w:rFonts w:ascii="宋体" w:hAnsi="宋体" w:cs="宋体" w:eastAsia="宋体" w:hint="default"/>
                <w:sz w:val="18"/>
                <w:szCs w:val="18"/>
              </w:rPr>
              <w:t>其他非流 动金融资 产</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23,149,23</w:t>
            </w:r>
          </w:p>
          <w:p>
            <w:pPr>
              <w:pStyle w:val="TableParagraph"/>
              <w:spacing w:line="240" w:lineRule="auto" w:before="102"/>
              <w:ind w:left="587" w:right="0"/>
              <w:jc w:val="left"/>
              <w:rPr>
                <w:rFonts w:ascii="Times New Roman" w:hAnsi="Times New Roman" w:cs="Times New Roman" w:eastAsia="Times New Roman" w:hint="default"/>
                <w:sz w:val="18"/>
                <w:szCs w:val="18"/>
              </w:rPr>
            </w:pPr>
            <w:r>
              <w:rPr>
                <w:rFonts w:ascii="Times New Roman"/>
                <w:sz w:val="18"/>
              </w:rPr>
              <w:t>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226,405.13</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9,652,000.00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13,027,637.1</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82" w:right="0"/>
              <w:jc w:val="left"/>
              <w:rPr>
                <w:rFonts w:ascii="Times New Roman" w:hAnsi="Times New Roman" w:cs="Times New Roman" w:eastAsia="Times New Roman" w:hint="default"/>
                <w:sz w:val="18"/>
                <w:szCs w:val="18"/>
              </w:rPr>
            </w:pPr>
            <w:r>
              <w:rPr>
                <w:rFonts w:ascii="Times New Roman"/>
                <w:sz w:val="18"/>
              </w:rPr>
              <w:t>23,149,23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226,405.13</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39" w:right="0"/>
              <w:jc w:val="left"/>
              <w:rPr>
                <w:rFonts w:ascii="Times New Roman" w:hAnsi="Times New Roman" w:cs="Times New Roman" w:eastAsia="Times New Roman" w:hint="default"/>
                <w:sz w:val="18"/>
                <w:szCs w:val="18"/>
              </w:rPr>
            </w:pPr>
            <w:r>
              <w:rPr>
                <w:rFonts w:ascii="Times New Roman"/>
                <w:sz w:val="18"/>
              </w:rPr>
              <w:t>20,000,000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5" w:right="0"/>
              <w:jc w:val="center"/>
              <w:rPr>
                <w:rFonts w:ascii="Times New Roman" w:hAnsi="Times New Roman" w:cs="Times New Roman" w:eastAsia="Times New Roman" w:hint="default"/>
                <w:sz w:val="18"/>
                <w:szCs w:val="18"/>
              </w:rPr>
            </w:pPr>
            <w:r>
              <w:rPr>
                <w:rFonts w:ascii="Times New Roman"/>
                <w:sz w:val="18"/>
              </w:rPr>
              <w:t>13,027,637.1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81"/>
        <w:gridCol w:w="1015"/>
        <w:gridCol w:w="1064"/>
        <w:gridCol w:w="1193"/>
        <w:gridCol w:w="932"/>
        <w:gridCol w:w="1195"/>
        <w:gridCol w:w="1063"/>
        <w:gridCol w:w="915"/>
        <w:gridCol w:w="1212"/>
      </w:tblGrid>
      <w:tr>
        <w:trPr>
          <w:trHeight w:val="36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w:t>
            </w: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12" w:right="9494" w:firstLine="0"/>
        <w:jc w:val="left"/>
        <w:rPr>
          <w:rFonts w:ascii="宋体" w:hAnsi="宋体" w:cs="宋体" w:eastAsia="宋体" w:hint="default"/>
          <w:sz w:val="18"/>
          <w:szCs w:val="18"/>
        </w:rPr>
      </w:pPr>
      <w:r>
        <w:rPr>
          <w:rFonts w:ascii="宋体" w:hAnsi="宋体" w:cs="宋体" w:eastAsia="宋体" w:hint="default"/>
          <w:sz w:val="18"/>
          <w:szCs w:val="18"/>
        </w:rPr>
        <w:t>其他变动的内容 无</w:t>
      </w:r>
    </w:p>
    <w:p>
      <w:pPr>
        <w:spacing w:before="27"/>
        <w:ind w:left="112" w:right="1133"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821" w:type="dxa"/>
        <w:tblLayout w:type="fixed"/>
        <w:tblCellMar>
          <w:top w:w="0" w:type="dxa"/>
          <w:left w:w="0" w:type="dxa"/>
          <w:bottom w:w="0" w:type="dxa"/>
          <w:right w:w="0" w:type="dxa"/>
        </w:tblCellMar>
        <w:tblLook w:val="01E0"/>
      </w:tblPr>
      <w:tblGrid>
        <w:gridCol w:w="2163"/>
        <w:gridCol w:w="1822"/>
        <w:gridCol w:w="3630"/>
      </w:tblGrid>
      <w:tr>
        <w:trPr>
          <w:trHeight w:val="353" w:hRule="exact"/>
        </w:trPr>
        <w:tc>
          <w:tcPr>
            <w:tcW w:w="216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860"/>
              <w:jc w:val="right"/>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7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630"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665" w:hRule="exact"/>
        </w:trPr>
        <w:tc>
          <w:tcPr>
            <w:tcW w:w="216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7,394,236.70</w:t>
            </w:r>
          </w:p>
        </w:tc>
        <w:tc>
          <w:tcPr>
            <w:tcW w:w="3630"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41"/>
              <w:jc w:val="left"/>
              <w:rPr>
                <w:rFonts w:ascii="宋体" w:hAnsi="宋体" w:cs="宋体" w:eastAsia="宋体" w:hint="default"/>
                <w:sz w:val="21"/>
                <w:szCs w:val="21"/>
              </w:rPr>
            </w:pPr>
            <w:r>
              <w:rPr>
                <w:rFonts w:ascii="宋体" w:hAnsi="宋体" w:cs="宋体" w:eastAsia="宋体" w:hint="default"/>
                <w:spacing w:val="-2"/>
                <w:sz w:val="21"/>
                <w:szCs w:val="21"/>
              </w:rPr>
              <w:t>本公司向银行申请开具无条件、不可撤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销的担保函所存入的保证金</w:t>
            </w:r>
          </w:p>
        </w:tc>
      </w:tr>
      <w:tr>
        <w:trPr>
          <w:trHeight w:val="353" w:hRule="exact"/>
        </w:trPr>
        <w:tc>
          <w:tcPr>
            <w:tcW w:w="216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2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2,850,000.00</w:t>
            </w:r>
          </w:p>
        </w:tc>
        <w:tc>
          <w:tcPr>
            <w:tcW w:w="363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开具银行承兑汇票所存入的保证金</w:t>
            </w:r>
          </w:p>
        </w:tc>
      </w:tr>
      <w:tr>
        <w:trPr>
          <w:trHeight w:val="350" w:hRule="exact"/>
        </w:trPr>
        <w:tc>
          <w:tcPr>
            <w:tcW w:w="216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2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274,376,848.54</w:t>
            </w:r>
          </w:p>
        </w:tc>
        <w:tc>
          <w:tcPr>
            <w:tcW w:w="363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353" w:hRule="exact"/>
        </w:trPr>
        <w:tc>
          <w:tcPr>
            <w:tcW w:w="216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2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28,501,985.65</w:t>
            </w:r>
          </w:p>
        </w:tc>
        <w:tc>
          <w:tcPr>
            <w:tcW w:w="363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抵押借款</w:t>
            </w:r>
          </w:p>
        </w:tc>
      </w:tr>
      <w:tr>
        <w:trPr>
          <w:trHeight w:val="353" w:hRule="exact"/>
        </w:trPr>
        <w:tc>
          <w:tcPr>
            <w:tcW w:w="216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860"/>
              <w:jc w:val="right"/>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313,123,070.89</w:t>
            </w:r>
          </w:p>
        </w:tc>
        <w:tc>
          <w:tcPr>
            <w:tcW w:w="3630"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4"/>
        <w:spacing w:line="240" w:lineRule="auto" w:before="26"/>
        <w:ind w:right="1133"/>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64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36"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40"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58"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1"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9"/>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61"/>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9"/>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61"/>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215"/>
              <w:jc w:val="left"/>
              <w:rPr>
                <w:rFonts w:ascii="宋体" w:hAnsi="宋体" w:cs="宋体" w:eastAsia="宋体" w:hint="default"/>
                <w:sz w:val="18"/>
                <w:szCs w:val="18"/>
              </w:rPr>
            </w:pPr>
            <w:r>
              <w:rPr>
                <w:rFonts w:ascii="宋体" w:hAnsi="宋体" w:cs="宋体" w:eastAsia="宋体" w:hint="default"/>
                <w:sz w:val="18"/>
                <w:szCs w:val="18"/>
              </w:rPr>
              <w:t>首次公 开发行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14,370.5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12,031.3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2,339.19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6"/>
              <w:jc w:val="both"/>
              <w:rPr>
                <w:rFonts w:ascii="宋体" w:hAnsi="宋体" w:cs="宋体" w:eastAsia="宋体" w:hint="default"/>
                <w:sz w:val="18"/>
                <w:szCs w:val="18"/>
              </w:rPr>
            </w:pPr>
            <w:r>
              <w:rPr>
                <w:rFonts w:ascii="宋体" w:hAnsi="宋体" w:cs="宋体" w:eastAsia="宋体" w:hint="default"/>
                <w:sz w:val="18"/>
                <w:szCs w:val="18"/>
              </w:rPr>
              <w:t>存于募 集资金 账户监 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2,339.19</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14,370.5</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420.52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12,031.3</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2,339.19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2,339.19</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3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经中国证券监督管理委员会《关于核准上海中信信息发展股份有限公司首次公开发行股票的批复》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[2015]958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核准，由主承销商中山证券有限责任公司（以下简称“中山证券”）采用网下询价配售与网上资金申购定价发行相结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合的方式发行人民币普通股（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16,700,000 </w:t>
            </w:r>
            <w:r>
              <w:rPr>
                <w:rFonts w:ascii="宋体" w:hAnsi="宋体" w:cs="宋体" w:eastAsia="宋体" w:hint="default"/>
                <w:sz w:val="18"/>
                <w:szCs w:val="18"/>
              </w:rPr>
              <w:t>股，发行价格为每股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日，公司实际已向社 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16,700,000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169,338,000.00 </w:t>
            </w:r>
            <w:r>
              <w:rPr>
                <w:rFonts w:ascii="宋体" w:hAnsi="宋体" w:cs="宋体" w:eastAsia="宋体" w:hint="default"/>
                <w:sz w:val="18"/>
                <w:szCs w:val="18"/>
              </w:rPr>
              <w:t>元，扣除承销保荐费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 的募集资金为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152,138,000.00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元，已由中山证券于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日存入公司开立在南京银行股份有限公司上海分行（账 号</w:t>
            </w:r>
            <w:r>
              <w:rPr>
                <w:rFonts w:ascii="宋体" w:hAnsi="宋体" w:cs="宋体" w:eastAsia="宋体" w:hint="default"/>
                <w:spacing w:val="-23"/>
                <w:sz w:val="18"/>
                <w:szCs w:val="18"/>
              </w:rPr>
              <w:t> </w:t>
            </w:r>
            <w:r>
              <w:rPr>
                <w:rFonts w:ascii="Times New Roman" w:hAnsi="Times New Roman" w:cs="Times New Roman" w:eastAsia="Times New Roman" w:hint="default"/>
                <w:spacing w:val="-5"/>
                <w:sz w:val="18"/>
                <w:szCs w:val="18"/>
              </w:rPr>
              <w:t>03010120030011468</w:t>
            </w:r>
            <w:r>
              <w:rPr>
                <w:rFonts w:ascii="宋体" w:hAnsi="宋体" w:cs="宋体" w:eastAsia="宋体" w:hint="default"/>
                <w:spacing w:val="-5"/>
                <w:sz w:val="18"/>
                <w:szCs w:val="18"/>
              </w:rPr>
              <w:t>）、中国民生银行股份有限公司上海分行（账号</w:t>
            </w:r>
            <w:r>
              <w:rPr>
                <w:rFonts w:ascii="宋体" w:hAnsi="宋体" w:cs="宋体" w:eastAsia="宋体" w:hint="default"/>
                <w:spacing w:val="-23"/>
                <w:sz w:val="18"/>
                <w:szCs w:val="18"/>
              </w:rPr>
              <w:t> </w:t>
            </w:r>
            <w:r>
              <w:rPr>
                <w:rFonts w:ascii="Times New Roman" w:hAnsi="Times New Roman" w:cs="Times New Roman" w:eastAsia="Times New Roman" w:hint="default"/>
                <w:spacing w:val="-6"/>
                <w:sz w:val="18"/>
                <w:szCs w:val="18"/>
              </w:rPr>
              <w:t>694268602</w:t>
            </w:r>
            <w:r>
              <w:rPr>
                <w:rFonts w:ascii="宋体" w:hAnsi="宋体" w:cs="宋体" w:eastAsia="宋体" w:hint="default"/>
                <w:spacing w:val="-6"/>
                <w:sz w:val="18"/>
                <w:szCs w:val="18"/>
              </w:rPr>
              <w:t>）、上海银行股份有限公司静安支行（账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316188-03002604708</w:t>
            </w:r>
            <w:r>
              <w:rPr>
                <w:rFonts w:ascii="宋体" w:hAnsi="宋体" w:cs="宋体" w:eastAsia="宋体" w:hint="default"/>
                <w:sz w:val="18"/>
                <w:szCs w:val="18"/>
              </w:rPr>
              <w:t>）的人民币账户内，扣除已预付的保荐费用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元及其他发行费用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7,632,303.51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元后，本</w:t>
            </w:r>
          </w:p>
          <w:p>
            <w:pPr>
              <w:pStyle w:val="TableParagraph"/>
              <w:spacing w:line="240" w:lineRule="auto" w:before="13"/>
              <w:ind w:left="103" w:right="0"/>
              <w:jc w:val="both"/>
              <w:rPr>
                <w:rFonts w:ascii="宋体" w:hAnsi="宋体" w:cs="宋体" w:eastAsia="宋体" w:hint="default"/>
                <w:sz w:val="18"/>
                <w:szCs w:val="18"/>
              </w:rPr>
            </w:pPr>
            <w:r>
              <w:rPr>
                <w:rFonts w:ascii="宋体" w:hAnsi="宋体" w:cs="宋体" w:eastAsia="宋体" w:hint="default"/>
                <w:sz w:val="18"/>
                <w:szCs w:val="18"/>
              </w:rPr>
              <w:t>次募集资金净额为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143,705,696.49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元。上述资金到位情况业经立信会计师事务所（特殊普通合伙）验证，并由其出具“信</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114313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号”验资报告。公司对募集资金采取了专户存储管理制度。</w:t>
            </w:r>
          </w:p>
          <w:p>
            <w:pPr>
              <w:pStyle w:val="TableParagraph"/>
              <w:spacing w:line="240" w:lineRule="auto" w:before="104"/>
              <w:ind w:left="103"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日，公司已累计使用募集资金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120,313,835.16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元，其中：募集资金项目累计支出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55,313,835.16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归还银行贷款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65,000,000.00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103"/>
              <w:ind w:left="103" w:right="0"/>
              <w:jc w:val="both"/>
              <w:rPr>
                <w:rFonts w:ascii="宋体" w:hAnsi="宋体" w:cs="宋体" w:eastAsia="宋体" w:hint="default"/>
                <w:sz w:val="18"/>
                <w:szCs w:val="18"/>
              </w:rPr>
            </w:pPr>
            <w:r>
              <w:rPr>
                <w:rFonts w:ascii="宋体" w:hAnsi="宋体" w:cs="宋体" w:eastAsia="宋体" w:hint="default"/>
                <w:sz w:val="18"/>
                <w:szCs w:val="18"/>
              </w:rPr>
              <w:t>公司到位募集资金净额为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143,705,696.49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元，扣除已使用的募集资金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120,313,835.16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元，扣除手续费支出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6,235.34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加上收到的存款利息收入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634,007.42 </w:t>
            </w:r>
            <w:r>
              <w:rPr>
                <w:rFonts w:ascii="宋体" w:hAnsi="宋体" w:cs="宋体" w:eastAsia="宋体" w:hint="default"/>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日，公司募集资金余额应为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24,019,633.41 </w:t>
            </w:r>
            <w:r>
              <w:rPr>
                <w:rFonts w:ascii="宋体" w:hAnsi="宋体" w:cs="宋体" w:eastAsia="宋体" w:hint="default"/>
                <w:sz w:val="18"/>
                <w:szCs w:val="18"/>
              </w:rPr>
              <w:t>元。截止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日，公司募集资金专户实际余额为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24,019,633.41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22"/>
        <w:gridCol w:w="725"/>
        <w:gridCol w:w="898"/>
        <w:gridCol w:w="896"/>
        <w:gridCol w:w="727"/>
        <w:gridCol w:w="898"/>
        <w:gridCol w:w="898"/>
        <w:gridCol w:w="727"/>
        <w:gridCol w:w="727"/>
        <w:gridCol w:w="898"/>
        <w:gridCol w:w="727"/>
        <w:gridCol w:w="727"/>
      </w:tblGrid>
      <w:tr>
        <w:trPr>
          <w:trHeight w:val="227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4" w:right="175"/>
              <w:jc w:val="both"/>
              <w:rPr>
                <w:rFonts w:ascii="宋体" w:hAnsi="宋体" w:cs="宋体" w:eastAsia="宋体" w:hint="default"/>
                <w:sz w:val="18"/>
                <w:szCs w:val="18"/>
              </w:rPr>
            </w:pPr>
            <w:r>
              <w:rPr>
                <w:rFonts w:ascii="宋体" w:hAnsi="宋体" w:cs="宋体" w:eastAsia="宋体" w:hint="default"/>
                <w:sz w:val="18"/>
                <w:szCs w:val="18"/>
              </w:rPr>
              <w:t>承诺 投资 项目 和超 募资 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48" w:right="144"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5" w:right="17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72" w:right="171"/>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7" w:right="179"/>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2" w:right="17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0" w:right="154"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11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175"/>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79" w:right="175"/>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75" w:right="171"/>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9" w:right="17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0" w:right="175"/>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1" w:hRule="exact"/>
        </w:trPr>
        <w:tc>
          <w:tcPr>
            <w:tcW w:w="957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宋体" w:hAnsi="宋体" w:cs="宋体" w:eastAsia="宋体" w:hint="default"/>
                <w:sz w:val="18"/>
                <w:szCs w:val="18"/>
              </w:rPr>
              <w:t>数字</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9" w:right="0"/>
              <w:jc w:val="left"/>
              <w:rPr>
                <w:rFonts w:ascii="Times New Roman" w:hAnsi="Times New Roman" w:cs="Times New Roman" w:eastAsia="Times New Roman" w:hint="default"/>
                <w:sz w:val="18"/>
                <w:szCs w:val="18"/>
              </w:rPr>
            </w:pPr>
            <w:r>
              <w:rPr>
                <w:rFonts w:ascii="Times New Roman"/>
                <w:sz w:val="18"/>
              </w:rPr>
              <w:t>5,456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7" w:right="0"/>
              <w:jc w:val="left"/>
              <w:rPr>
                <w:rFonts w:ascii="Times New Roman" w:hAnsi="Times New Roman" w:cs="Times New Roman" w:eastAsia="Times New Roman" w:hint="default"/>
                <w:sz w:val="18"/>
                <w:szCs w:val="18"/>
              </w:rPr>
            </w:pPr>
            <w:r>
              <w:rPr>
                <w:rFonts w:ascii="Times New Roman"/>
                <w:sz w:val="18"/>
              </w:rPr>
              <w:t>2,669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Times New Roman" w:hAnsi="Times New Roman" w:cs="Times New Roman" w:eastAsia="Times New Roman" w:hint="default"/>
                <w:sz w:val="18"/>
                <w:szCs w:val="18"/>
              </w:rPr>
            </w:pPr>
            <w:r>
              <w:rPr>
                <w:rFonts w:ascii="Times New Roman"/>
                <w:sz w:val="18"/>
              </w:rPr>
              <w:t>126.84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3" w:right="0"/>
              <w:jc w:val="left"/>
              <w:rPr>
                <w:rFonts w:ascii="Times New Roman" w:hAnsi="Times New Roman" w:cs="Times New Roman" w:eastAsia="Times New Roman" w:hint="default"/>
                <w:sz w:val="18"/>
                <w:szCs w:val="18"/>
              </w:rPr>
            </w:pPr>
            <w:r>
              <w:rPr>
                <w:rFonts w:ascii="Times New Roman"/>
                <w:sz w:val="18"/>
              </w:rPr>
              <w:t>1,710.74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2" w:right="0"/>
              <w:jc w:val="left"/>
              <w:rPr>
                <w:rFonts w:ascii="Times New Roman" w:hAnsi="Times New Roman" w:cs="Times New Roman" w:eastAsia="Times New Roman" w:hint="default"/>
                <w:sz w:val="18"/>
                <w:szCs w:val="18"/>
              </w:rPr>
            </w:pPr>
            <w:r>
              <w:rPr>
                <w:rFonts w:ascii="Times New Roman"/>
                <w:sz w:val="18"/>
              </w:rPr>
              <w:t>64.10%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2020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23"/>
        <w:gridCol w:w="725"/>
        <w:gridCol w:w="898"/>
        <w:gridCol w:w="896"/>
        <w:gridCol w:w="727"/>
        <w:gridCol w:w="898"/>
        <w:gridCol w:w="897"/>
        <w:gridCol w:w="727"/>
        <w:gridCol w:w="727"/>
        <w:gridCol w:w="899"/>
        <w:gridCol w:w="727"/>
        <w:gridCol w:w="727"/>
      </w:tblGrid>
      <w:tr>
        <w:trPr>
          <w:trHeight w:val="223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8"/>
              <w:jc w:val="both"/>
              <w:rPr>
                <w:rFonts w:ascii="宋体" w:hAnsi="宋体" w:cs="宋体" w:eastAsia="宋体" w:hint="default"/>
                <w:sz w:val="18"/>
                <w:szCs w:val="18"/>
              </w:rPr>
            </w:pPr>
            <w:r>
              <w:rPr>
                <w:rFonts w:ascii="宋体" w:hAnsi="宋体" w:cs="宋体" w:eastAsia="宋体" w:hint="default"/>
                <w:sz w:val="18"/>
                <w:szCs w:val="18"/>
              </w:rPr>
              <w:t>档案 馆信 息资 源管 理系 统项 目</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48"/>
              <w:jc w:val="both"/>
              <w:rPr>
                <w:rFonts w:ascii="宋体" w:hAnsi="宋体" w:cs="宋体" w:eastAsia="宋体" w:hint="default"/>
                <w:sz w:val="18"/>
                <w:szCs w:val="18"/>
              </w:rPr>
            </w:pPr>
            <w:r>
              <w:rPr>
                <w:rFonts w:ascii="宋体" w:hAnsi="宋体" w:cs="宋体" w:eastAsia="宋体" w:hint="default"/>
                <w:sz w:val="18"/>
                <w:szCs w:val="18"/>
              </w:rPr>
              <w:t>数字 档案 室信 息资 源管 理系 统项 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4,899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2,469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9" w:right="0"/>
              <w:jc w:val="left"/>
              <w:rPr>
                <w:rFonts w:ascii="Times New Roman" w:hAnsi="Times New Roman" w:cs="Times New Roman" w:eastAsia="Times New Roman" w:hint="default"/>
                <w:sz w:val="18"/>
                <w:szCs w:val="18"/>
              </w:rPr>
            </w:pPr>
            <w:r>
              <w:rPr>
                <w:rFonts w:ascii="Times New Roman"/>
                <w:sz w:val="18"/>
              </w:rPr>
              <w:t>166.84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w w:val="95"/>
                <w:sz w:val="18"/>
              </w:rPr>
              <w:t>1,909.35</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77.33%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7"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48"/>
              <w:jc w:val="both"/>
              <w:rPr>
                <w:rFonts w:ascii="宋体" w:hAnsi="宋体" w:cs="宋体" w:eastAsia="宋体" w:hint="default"/>
                <w:sz w:val="18"/>
                <w:szCs w:val="18"/>
              </w:rPr>
            </w:pPr>
            <w:r>
              <w:rPr>
                <w:rFonts w:ascii="宋体" w:hAnsi="宋体" w:cs="宋体" w:eastAsia="宋体" w:hint="default"/>
                <w:sz w:val="18"/>
                <w:szCs w:val="18"/>
              </w:rPr>
              <w:t>食品 流通 安全 追溯 档案 管理 软件 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w w:val="95"/>
                <w:sz w:val="18"/>
              </w:rPr>
              <w:t>4,015.57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2,712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9" w:right="0"/>
              <w:jc w:val="left"/>
              <w:rPr>
                <w:rFonts w:ascii="Times New Roman" w:hAnsi="Times New Roman" w:cs="Times New Roman" w:eastAsia="Times New Roman" w:hint="default"/>
                <w:sz w:val="18"/>
                <w:szCs w:val="18"/>
              </w:rPr>
            </w:pPr>
            <w:r>
              <w:rPr>
                <w:rFonts w:ascii="Times New Roman"/>
                <w:sz w:val="18"/>
              </w:rPr>
              <w:t>126.84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1,911.29</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z w:val="18"/>
              </w:rPr>
              <w:t>70.48%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3" w:right="248"/>
              <w:jc w:val="both"/>
              <w:rPr>
                <w:rFonts w:ascii="宋体" w:hAnsi="宋体" w:cs="宋体" w:eastAsia="宋体" w:hint="default"/>
                <w:sz w:val="18"/>
                <w:szCs w:val="18"/>
              </w:rPr>
            </w:pPr>
            <w:r>
              <w:rPr>
                <w:rFonts w:ascii="宋体" w:hAnsi="宋体" w:cs="宋体" w:eastAsia="宋体" w:hint="default"/>
                <w:sz w:val="18"/>
                <w:szCs w:val="18"/>
              </w:rPr>
              <w:t>偿还 银行 贷款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6,500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6,500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4"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48"/>
              <w:jc w:val="both"/>
              <w:rPr>
                <w:rFonts w:ascii="宋体" w:hAnsi="宋体" w:cs="宋体" w:eastAsia="宋体" w:hint="default"/>
                <w:sz w:val="18"/>
                <w:szCs w:val="18"/>
              </w:rPr>
            </w:pPr>
            <w:r>
              <w:rPr>
                <w:rFonts w:ascii="宋体" w:hAnsi="宋体" w:cs="宋体" w:eastAsia="宋体" w:hint="default"/>
                <w:sz w:val="18"/>
                <w:szCs w:val="18"/>
              </w:rPr>
              <w:t>承诺 投资 项目 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14,370.5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pacing w:val="-1"/>
                <w:sz w:val="18"/>
              </w:rPr>
              <w:t>14,350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9" w:right="0"/>
              <w:jc w:val="left"/>
              <w:rPr>
                <w:rFonts w:ascii="Times New Roman" w:hAnsi="Times New Roman" w:cs="Times New Roman" w:eastAsia="Times New Roman" w:hint="default"/>
                <w:sz w:val="18"/>
                <w:szCs w:val="18"/>
              </w:rPr>
            </w:pPr>
            <w:r>
              <w:rPr>
                <w:rFonts w:ascii="Times New Roman"/>
                <w:sz w:val="18"/>
              </w:rPr>
              <w:t>420.52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12,031.3</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8</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95"/>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14,370.5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14,350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420.52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12,031.3</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8</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2234"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48"/>
              <w:jc w:val="both"/>
              <w:rPr>
                <w:rFonts w:ascii="宋体" w:hAnsi="宋体" w:cs="宋体" w:eastAsia="宋体" w:hint="default"/>
                <w:sz w:val="18"/>
                <w:szCs w:val="18"/>
              </w:rPr>
            </w:pPr>
            <w:r>
              <w:rPr>
                <w:rFonts w:ascii="宋体" w:hAnsi="宋体" w:cs="宋体" w:eastAsia="宋体" w:hint="default"/>
                <w:sz w:val="18"/>
                <w:szCs w:val="18"/>
              </w:rPr>
              <w:t>未达 到计 划进 度或 预计 收益 的情</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22"/>
        <w:gridCol w:w="8848"/>
      </w:tblGrid>
      <w:tr>
        <w:trPr>
          <w:trHeight w:val="1611"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248"/>
              <w:jc w:val="left"/>
              <w:rPr>
                <w:rFonts w:ascii="宋体" w:hAnsi="宋体" w:cs="宋体" w:eastAsia="宋体" w:hint="default"/>
                <w:sz w:val="18"/>
                <w:szCs w:val="18"/>
              </w:rPr>
            </w:pPr>
            <w:r>
              <w:rPr>
                <w:rFonts w:ascii="宋体" w:hAnsi="宋体" w:cs="宋体" w:eastAsia="宋体" w:hint="default"/>
                <w:sz w:val="18"/>
                <w:szCs w:val="18"/>
              </w:rPr>
              <w:t>况和 原因</w:t>
            </w:r>
          </w:p>
          <w:p>
            <w:pPr>
              <w:pStyle w:val="TableParagraph"/>
              <w:spacing w:line="316" w:lineRule="auto" w:before="17"/>
              <w:ind w:left="102" w:right="68"/>
              <w:jc w:val="left"/>
              <w:rPr>
                <w:rFonts w:ascii="宋体" w:hAnsi="宋体" w:cs="宋体" w:eastAsia="宋体" w:hint="default"/>
                <w:sz w:val="18"/>
                <w:szCs w:val="18"/>
              </w:rPr>
            </w:pPr>
            <w:r>
              <w:rPr>
                <w:rFonts w:ascii="宋体" w:hAnsi="宋体" w:cs="宋体" w:eastAsia="宋体" w:hint="default"/>
                <w:sz w:val="18"/>
                <w:szCs w:val="18"/>
              </w:rPr>
              <w:t>（分 具体 项目）</w:t>
            </w: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48"/>
              <w:jc w:val="both"/>
              <w:rPr>
                <w:rFonts w:ascii="宋体" w:hAnsi="宋体" w:cs="宋体" w:eastAsia="宋体" w:hint="default"/>
                <w:sz w:val="18"/>
                <w:szCs w:val="18"/>
              </w:rPr>
            </w:pPr>
            <w:r>
              <w:rPr>
                <w:rFonts w:ascii="宋体" w:hAnsi="宋体" w:cs="宋体" w:eastAsia="宋体" w:hint="default"/>
                <w:sz w:val="18"/>
                <w:szCs w:val="18"/>
              </w:rPr>
              <w:t>项目 可行 性发 生重 大变 化的 情况 说明</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z w:val="18"/>
                <w:szCs w:val="18"/>
              </w:rPr>
              <w:t>超募 资金 的金 </w:t>
            </w:r>
            <w:r>
              <w:rPr>
                <w:rFonts w:ascii="宋体" w:hAnsi="宋体" w:cs="宋体" w:eastAsia="宋体" w:hint="default"/>
                <w:spacing w:val="-12"/>
                <w:sz w:val="18"/>
                <w:szCs w:val="18"/>
              </w:rPr>
              <w:t>额、用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途及 使用 进展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184"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2" w:right="248"/>
              <w:jc w:val="both"/>
              <w:rPr>
                <w:rFonts w:ascii="宋体" w:hAnsi="宋体" w:cs="宋体" w:eastAsia="宋体" w:hint="default"/>
                <w:sz w:val="18"/>
                <w:szCs w:val="18"/>
              </w:rPr>
            </w:pPr>
            <w:r>
              <w:rPr>
                <w:rFonts w:ascii="宋体" w:hAnsi="宋体" w:cs="宋体" w:eastAsia="宋体" w:hint="default"/>
                <w:sz w:val="18"/>
                <w:szCs w:val="18"/>
              </w:rPr>
              <w:t>募集 资金 投资 项目 实施 地点 变更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4"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78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103" w:right="101"/>
              <w:jc w:val="left"/>
              <w:rPr>
                <w:rFonts w:ascii="宋体" w:hAnsi="宋体" w:cs="宋体" w:eastAsia="宋体" w:hint="default"/>
                <w:sz w:val="18"/>
                <w:szCs w:val="18"/>
              </w:rPr>
            </w:pPr>
            <w:r>
              <w:rPr>
                <w:rFonts w:ascii="宋体" w:hAnsi="宋体" w:cs="宋体" w:eastAsia="宋体" w:hint="default"/>
                <w:sz w:val="18"/>
                <w:szCs w:val="18"/>
              </w:rPr>
              <w:t>上述募投项目中的前三个项目的地址由上海市青浦区出口加工区功能区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C-3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栋调整为上海市青浦区重固镇郏一 村。</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2" w:right="248"/>
              <w:jc w:val="both"/>
              <w:rPr>
                <w:rFonts w:ascii="宋体" w:hAnsi="宋体" w:cs="宋体" w:eastAsia="宋体" w:hint="default"/>
                <w:sz w:val="18"/>
                <w:szCs w:val="18"/>
              </w:rPr>
            </w:pPr>
            <w:r>
              <w:rPr>
                <w:rFonts w:ascii="宋体" w:hAnsi="宋体" w:cs="宋体" w:eastAsia="宋体" w:hint="default"/>
                <w:sz w:val="18"/>
                <w:szCs w:val="18"/>
              </w:rPr>
              <w:t>募集 资金 投资 项目 实施 方式 调整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722" w:type="dxa"/>
            <w:vMerge/>
            <w:tcBorders>
              <w:left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784"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将数字档案馆信息资源管理系统项目投资总额从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5,456.00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万元调减至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2,669.00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万元；将数字档案室信息资源管</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理系统项目的投资总额从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4,899.00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万元调减至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2,469.00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万元；将食品流通安全追溯档案管理软件项目的投资总</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4,015.57 </w:t>
            </w:r>
            <w:r>
              <w:rPr>
                <w:rFonts w:ascii="宋体" w:hAnsi="宋体" w:cs="宋体" w:eastAsia="宋体" w:hint="default"/>
                <w:sz w:val="18"/>
                <w:szCs w:val="18"/>
              </w:rPr>
              <w:t>万元调减至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2,712.00 </w:t>
            </w:r>
            <w:r>
              <w:rPr>
                <w:rFonts w:ascii="宋体" w:hAnsi="宋体" w:cs="宋体" w:eastAsia="宋体" w:hint="default"/>
                <w:sz w:val="18"/>
                <w:szCs w:val="18"/>
              </w:rPr>
              <w:t>万元；另新增偿还银行贷款项目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6,500 </w:t>
            </w:r>
            <w:r>
              <w:rPr>
                <w:rFonts w:ascii="宋体" w:hAnsi="宋体" w:cs="宋体" w:eastAsia="宋体" w:hint="default"/>
                <w:sz w:val="18"/>
                <w:szCs w:val="18"/>
              </w:rPr>
              <w:t>万元。</w:t>
            </w: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2" w:right="248"/>
              <w:jc w:val="both"/>
              <w:rPr>
                <w:rFonts w:ascii="宋体" w:hAnsi="宋体" w:cs="宋体" w:eastAsia="宋体" w:hint="default"/>
                <w:sz w:val="18"/>
                <w:szCs w:val="18"/>
              </w:rPr>
            </w:pPr>
            <w:r>
              <w:rPr>
                <w:rFonts w:ascii="宋体" w:hAnsi="宋体" w:cs="宋体" w:eastAsia="宋体" w:hint="default"/>
                <w:sz w:val="18"/>
                <w:szCs w:val="18"/>
              </w:rPr>
              <w:t>募集 资金 投资 项目 先期 投入</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22"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22"/>
        <w:gridCol w:w="8848"/>
      </w:tblGrid>
      <w:tr>
        <w:trPr>
          <w:trHeight w:val="987"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2" w:right="248"/>
              <w:jc w:val="both"/>
              <w:rPr>
                <w:rFonts w:ascii="宋体" w:hAnsi="宋体" w:cs="宋体" w:eastAsia="宋体" w:hint="default"/>
                <w:sz w:val="18"/>
                <w:szCs w:val="18"/>
              </w:rPr>
            </w:pPr>
            <w:r>
              <w:rPr>
                <w:rFonts w:ascii="宋体" w:hAnsi="宋体" w:cs="宋体" w:eastAsia="宋体" w:hint="default"/>
                <w:sz w:val="18"/>
                <w:szCs w:val="18"/>
              </w:rPr>
              <w:t>及置 换情 况</w:t>
            </w: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2" w:right="248"/>
              <w:jc w:val="both"/>
              <w:rPr>
                <w:rFonts w:ascii="宋体" w:hAnsi="宋体" w:cs="宋体" w:eastAsia="宋体" w:hint="default"/>
                <w:sz w:val="18"/>
                <w:szCs w:val="18"/>
              </w:rPr>
            </w:pPr>
            <w:r>
              <w:rPr>
                <w:rFonts w:ascii="宋体" w:hAnsi="宋体" w:cs="宋体" w:eastAsia="宋体" w:hint="default"/>
                <w:sz w:val="18"/>
                <w:szCs w:val="18"/>
              </w:rPr>
              <w:t>用闲 置募 集资 金暂 时补 充流 动资 金情 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8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日，公司召开的第四届董事会第二十五次会议审议通过了《关于使用部分闲置募集资金暂时补 </w:t>
            </w:r>
            <w:r>
              <w:rPr>
                <w:rFonts w:ascii="宋体" w:hAnsi="宋体" w:cs="宋体" w:eastAsia="宋体" w:hint="default"/>
                <w:spacing w:val="-2"/>
                <w:sz w:val="18"/>
                <w:szCs w:val="18"/>
              </w:rPr>
              <w:t>充流动资金的议案》，公司本着股东利益最大化的原则，为提高募集资金使用效率，降低财务费用，缓解流动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资金的需求压力，在确保募投项目建设的资金需求以及募集资金使用计划正常进行的前提下，公司决定用部分</w:t>
            </w:r>
            <w:r>
              <w:rPr>
                <w:rFonts w:ascii="宋体" w:hAnsi="宋体" w:cs="宋体" w:eastAsia="宋体" w:hint="default"/>
                <w:sz w:val="18"/>
                <w:szCs w:val="18"/>
              </w:rPr>
              <w:t> 闲置募集资金暂时补充流动资金，该笔资金仅限于与公司主营业务相关的生产经营使用，总额不超过人民币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万元，使用期限自董事会审议通过之日起至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日止，到期将归还至募集资金专户。截至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日，公司已将用于补充流动资金的闲置募集资金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万元归还并存入募集资金专用账户。</w:t>
            </w:r>
          </w:p>
          <w:p>
            <w:pPr>
              <w:pStyle w:val="TableParagraph"/>
              <w:spacing w:line="314" w:lineRule="auto" w:before="103"/>
              <w:ind w:left="103" w:right="1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日，公司召开的第四届董事会第三十一次会议审议通过了《关于使用部分闲置募集资金暂时补 </w:t>
            </w:r>
            <w:r>
              <w:rPr>
                <w:rFonts w:ascii="宋体" w:hAnsi="宋体" w:cs="宋体" w:eastAsia="宋体" w:hint="default"/>
                <w:spacing w:val="-2"/>
                <w:sz w:val="18"/>
                <w:szCs w:val="18"/>
              </w:rPr>
              <w:t>充流动资金的议案》，公司本着股东利益最大化的原则，为提高募集资金使用效率，降低财务费用，缓解流动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资金的需求压力，在确保募投项目建设的资金需求以及募集资金使用计划正常进行的前提下，公司决定用部分</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闲置募集资金暂时补充流动资金，该笔资金仅限于与公司主营业务相关的生产经营使用，总额不超过人民币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万元，使用期限自董事会审议通过之日起至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日止，到期将归还至募集资金专户。截至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p>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日，公司已将用于补充流动资金的闲置募集资金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2,100 </w:t>
            </w:r>
            <w:r>
              <w:rPr>
                <w:rFonts w:ascii="宋体" w:hAnsi="宋体" w:cs="宋体" w:eastAsia="宋体" w:hint="default"/>
                <w:sz w:val="18"/>
                <w:szCs w:val="18"/>
              </w:rPr>
              <w:t>万元归还并存入募集资金专用账户。</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248"/>
              <w:jc w:val="both"/>
              <w:rPr>
                <w:rFonts w:ascii="宋体" w:hAnsi="宋体" w:cs="宋体" w:eastAsia="宋体" w:hint="default"/>
                <w:sz w:val="18"/>
                <w:szCs w:val="18"/>
              </w:rPr>
            </w:pPr>
            <w:r>
              <w:rPr>
                <w:rFonts w:ascii="宋体" w:hAnsi="宋体" w:cs="宋体" w:eastAsia="宋体" w:hint="default"/>
                <w:sz w:val="18"/>
                <w:szCs w:val="18"/>
              </w:rPr>
              <w:t>项目 实施 出现 募集 资金 结余 的金 额及 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9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48"/>
              <w:jc w:val="both"/>
              <w:rPr>
                <w:rFonts w:ascii="宋体" w:hAnsi="宋体" w:cs="宋体" w:eastAsia="宋体" w:hint="default"/>
                <w:sz w:val="18"/>
                <w:szCs w:val="18"/>
              </w:rPr>
            </w:pPr>
            <w:r>
              <w:rPr>
                <w:rFonts w:ascii="宋体" w:hAnsi="宋体" w:cs="宋体" w:eastAsia="宋体" w:hint="default"/>
                <w:sz w:val="18"/>
                <w:szCs w:val="18"/>
              </w:rPr>
              <w:t>尚未 使用 的募 集资 金用 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存于募集资金监管账户中。</w:t>
            </w:r>
          </w:p>
        </w:tc>
      </w:tr>
      <w:tr>
        <w:trPr>
          <w:trHeight w:val="2859"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248"/>
              <w:jc w:val="both"/>
              <w:rPr>
                <w:rFonts w:ascii="宋体" w:hAnsi="宋体" w:cs="宋体" w:eastAsia="宋体" w:hint="default"/>
                <w:sz w:val="18"/>
                <w:szCs w:val="18"/>
              </w:rPr>
            </w:pPr>
            <w:r>
              <w:rPr>
                <w:rFonts w:ascii="宋体" w:hAnsi="宋体" w:cs="宋体" w:eastAsia="宋体" w:hint="default"/>
                <w:sz w:val="18"/>
                <w:szCs w:val="18"/>
              </w:rPr>
              <w:t>募集 资金 使用 及披 露中 存在 的问 题或 其他</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00" w:lineRule="auto"/>
              <w:ind w:left="10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、公司已及时、真实、准确、完整地披露了募集资金使用情况相关信息。</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、公司募集资金存放、使用、管理 及披露不存在违规情形。</w:t>
            </w:r>
          </w:p>
        </w:tc>
      </w:tr>
    </w:tbl>
    <w:p>
      <w:pPr>
        <w:spacing w:after="0" w:line="30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8"/>
        <w:rPr>
          <w:rFonts w:ascii="Times New Roman" w:hAnsi="Times New Roman" w:cs="Times New Roman" w:eastAsia="Times New Roman" w:hint="default"/>
          <w:sz w:val="28"/>
          <w:szCs w:val="28"/>
        </w:rPr>
      </w:pPr>
    </w:p>
    <w:p>
      <w:pPr>
        <w:spacing w:line="382"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05pt;height:19.1pt;mso-position-horizontal-relative:char;mso-position-vertical-relative:line" coordorigin="0,0" coordsize="9581,382">
            <v:group style="position:absolute;left:12;top:14;width:101;height:354" coordorigin="12,14" coordsize="101,354">
              <v:shape style="position:absolute;left:12;top:14;width:101;height:354" coordorigin="12,14" coordsize="101,354" path="m12,368l113,368,113,14,12,14,12,368xe" filled="true" fillcolor="#d2d2d2" stroked="false">
                <v:path arrowok="t"/>
                <v:fill type="solid"/>
              </v:shape>
            </v:group>
            <v:group style="position:absolute;left:620;top:14;width:104;height:354" coordorigin="620,14" coordsize="104,354">
              <v:shape style="position:absolute;left:620;top:14;width:104;height:354" coordorigin="620,14" coordsize="104,354" path="m620,368l723,368,723,14,620,14,620,368xe" filled="true" fillcolor="#d2d2d2" stroked="false">
                <v:path arrowok="t"/>
                <v:fill type="solid"/>
              </v:shape>
            </v:group>
            <v:group style="position:absolute;left:113;top:14;width:507;height:354" coordorigin="113,14" coordsize="507,354">
              <v:shape style="position:absolute;left:113;top:14;width:507;height:354" coordorigin="113,14" coordsize="507,354" path="m113,368l620,368,620,14,113,14,113,368xe" filled="true" fillcolor="#d2d2d2" stroked="false">
                <v:path arrowok="t"/>
                <v:fill type="solid"/>
              </v:shape>
            </v:group>
            <v:group style="position:absolute;left:10;top:10;width:714;height:2" coordorigin="10,10" coordsize="714,2">
              <v:shape style="position:absolute;left:10;top:10;width:714;height:2" coordorigin="10,10" coordsize="714,0" path="m10,10l723,10e" filled="false" stroked="true" strokeweight=".48pt" strokecolor="#000000">
                <v:path arrowok="t"/>
              </v:shape>
            </v:group>
            <v:group style="position:absolute;left:732;top:10;width:8839;height:2" coordorigin="732,10" coordsize="8839,2">
              <v:shape style="position:absolute;left:732;top:10;width:8839;height:2" coordorigin="732,10" coordsize="8839,0" path="m732,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714;height:2" coordorigin="10,372" coordsize="714,2">
              <v:shape style="position:absolute;left:10;top:372;width:714;height:2" coordorigin="10,372" coordsize="714,0" path="m10,372l723,372e" filled="false" stroked="true" strokeweight=".48pt" strokecolor="#000000">
                <v:path arrowok="t"/>
              </v:shape>
            </v:group>
            <v:group style="position:absolute;left:728;top:5;width:2;height:373" coordorigin="728,5" coordsize="2,373">
              <v:shape style="position:absolute;left:728;top:5;width:2;height:373" coordorigin="728,5" coordsize="0,373" path="m728,5l728,377e" filled="false" stroked="true" strokeweight=".48pt" strokecolor="#000000">
                <v:path arrowok="t"/>
              </v:shape>
            </v:group>
            <v:group style="position:absolute;left:732;top:372;width:8839;height:2" coordorigin="732,372" coordsize="8839,2">
              <v:shape style="position:absolute;left:732;top:372;width:8839;height:2" coordorigin="732,372" coordsize="8839,0" path="m732,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6;top:10;width:722;height:363" type="#_x0000_t202" filled="false" stroked="false">
                <v:textbox inset="0,0,0,0">
                  <w:txbxContent>
                    <w:p>
                      <w:pPr>
                        <w:spacing w:before="13"/>
                        <w:ind w:left="106" w:right="0" w:firstLine="0"/>
                        <w:jc w:val="left"/>
                        <w:rPr>
                          <w:rFonts w:ascii="宋体" w:hAnsi="宋体" w:cs="宋体" w:eastAsia="宋体" w:hint="default"/>
                          <w:sz w:val="18"/>
                          <w:szCs w:val="18"/>
                        </w:rPr>
                      </w:pPr>
                      <w:r>
                        <w:rPr>
                          <w:rFonts w:ascii="宋体" w:hAnsi="宋体" w:cs="宋体" w:eastAsia="宋体" w:hint="default"/>
                          <w:sz w:val="18"/>
                          <w:szCs w:val="18"/>
                        </w:rPr>
                        <w:t>情况</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73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公司报告期不存在募集资金变更项目情况。</w:t>
      </w:r>
    </w:p>
    <w:p>
      <w:pPr>
        <w:spacing w:line="240" w:lineRule="auto" w:before="7"/>
        <w:rPr>
          <w:rFonts w:ascii="宋体" w:hAnsi="宋体" w:cs="宋体" w:eastAsia="宋体" w:hint="default"/>
          <w:sz w:val="18"/>
          <w:szCs w:val="18"/>
        </w:rPr>
      </w:pPr>
    </w:p>
    <w:p>
      <w:pPr>
        <w:pStyle w:val="Heading4"/>
        <w:spacing w:line="240" w:lineRule="auto"/>
        <w:ind w:right="1133"/>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公司报告期未出售重大资产。</w:t>
      </w:r>
    </w:p>
    <w:p>
      <w:pPr>
        <w:spacing w:line="240" w:lineRule="auto" w:before="4"/>
        <w:rPr>
          <w:rFonts w:ascii="宋体" w:hAnsi="宋体" w:cs="宋体" w:eastAsia="宋体" w:hint="default"/>
          <w:sz w:val="20"/>
          <w:szCs w:val="20"/>
        </w:rPr>
      </w:pPr>
    </w:p>
    <w:p>
      <w:pPr>
        <w:pStyle w:val="Heading6"/>
        <w:spacing w:line="240" w:lineRule="auto"/>
        <w:ind w:right="1133"/>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5084"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55" w:right="155"/>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58" w:right="151"/>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9" w:right="155" w:hanging="92"/>
              <w:jc w:val="left"/>
              <w:rPr>
                <w:rFonts w:ascii="宋体" w:hAnsi="宋体" w:cs="宋体" w:eastAsia="宋体" w:hint="default"/>
                <w:sz w:val="18"/>
                <w:szCs w:val="18"/>
              </w:rPr>
            </w:pPr>
            <w:r>
              <w:rPr>
                <w:rFonts w:ascii="宋体" w:hAnsi="宋体" w:cs="宋体" w:eastAsia="宋体" w:hint="default"/>
                <w:sz w:val="18"/>
                <w:szCs w:val="18"/>
              </w:rPr>
              <w:t>出售 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58" w:right="154"/>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58" w:right="154"/>
              <w:jc w:val="left"/>
              <w:rPr>
                <w:rFonts w:ascii="宋体" w:hAnsi="宋体" w:cs="宋体" w:eastAsia="宋体" w:hint="default"/>
                <w:sz w:val="18"/>
                <w:szCs w:val="18"/>
              </w:rPr>
            </w:pPr>
            <w:r>
              <w:rPr>
                <w:rFonts w:ascii="宋体" w:hAnsi="宋体" w:cs="宋体" w:eastAsia="宋体" w:hint="default"/>
                <w:sz w:val="18"/>
                <w:szCs w:val="18"/>
              </w:rPr>
              <w:t>（万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8" w:right="155"/>
              <w:jc w:val="both"/>
              <w:rPr>
                <w:rFonts w:ascii="宋体" w:hAnsi="宋体" w:cs="宋体" w:eastAsia="宋体" w:hint="default"/>
                <w:sz w:val="18"/>
                <w:szCs w:val="18"/>
              </w:rPr>
            </w:pPr>
            <w:r>
              <w:rPr>
                <w:rFonts w:ascii="宋体" w:hAnsi="宋体" w:cs="宋体" w:eastAsia="宋体" w:hint="default"/>
                <w:sz w:val="18"/>
                <w:szCs w:val="18"/>
              </w:rPr>
              <w:t>本期 初起 至出 售日 该股 权为 上市 公司 贡献 的净 利润</w:t>
            </w:r>
          </w:p>
          <w:p>
            <w:pPr>
              <w:pStyle w:val="TableParagraph"/>
              <w:spacing w:line="316" w:lineRule="auto" w:before="19"/>
              <w:ind w:left="158" w:right="155"/>
              <w:jc w:val="both"/>
              <w:rPr>
                <w:rFonts w:ascii="宋体" w:hAnsi="宋体" w:cs="宋体" w:eastAsia="宋体" w:hint="default"/>
                <w:sz w:val="18"/>
                <w:szCs w:val="18"/>
              </w:rPr>
            </w:pPr>
            <w:r>
              <w:rPr>
                <w:rFonts w:ascii="宋体" w:hAnsi="宋体" w:cs="宋体" w:eastAsia="宋体" w:hint="default"/>
                <w:sz w:val="18"/>
                <w:szCs w:val="18"/>
              </w:rPr>
              <w:t>（万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出售 对公 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5" w:right="155"/>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60" w:right="154"/>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55" w:right="15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56" w:right="15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55" w:right="156"/>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9" w:hanging="75"/>
              <w:jc w:val="center"/>
              <w:rPr>
                <w:rFonts w:ascii="宋体" w:hAnsi="宋体" w:cs="宋体" w:eastAsia="宋体" w:hint="default"/>
                <w:sz w:val="18"/>
                <w:szCs w:val="18"/>
              </w:rPr>
            </w:pPr>
            <w:r>
              <w:rPr>
                <w:rFonts w:ascii="宋体" w:hAnsi="宋体" w:cs="宋体" w:eastAsia="宋体" w:hint="default"/>
                <w:sz w:val="18"/>
                <w:szCs w:val="18"/>
              </w:rPr>
              <w:t>是否 按计 划如 期实 </w:t>
            </w:r>
            <w:r>
              <w:rPr>
                <w:rFonts w:ascii="宋体" w:hAnsi="宋体" w:cs="宋体" w:eastAsia="宋体" w:hint="default"/>
                <w:spacing w:val="-24"/>
                <w:sz w:val="18"/>
                <w:szCs w:val="18"/>
              </w:rPr>
              <w:t>施，如</w:t>
            </w:r>
            <w:r>
              <w:rPr>
                <w:rFonts w:ascii="宋体" w:hAnsi="宋体" w:cs="宋体" w:eastAsia="宋体" w:hint="default"/>
                <w:sz w:val="18"/>
                <w:szCs w:val="18"/>
              </w:rPr>
              <w:t> 未按 计划 实施， 应当 说明 原因 及公 司已 采取 的措</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55" w:right="15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1961"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07"/>
              <w:jc w:val="both"/>
              <w:rPr>
                <w:rFonts w:ascii="宋体" w:hAnsi="宋体" w:cs="宋体" w:eastAsia="宋体" w:hint="default"/>
                <w:sz w:val="18"/>
                <w:szCs w:val="18"/>
              </w:rPr>
            </w:pPr>
            <w:r>
              <w:rPr>
                <w:rFonts w:ascii="宋体" w:hAnsi="宋体" w:cs="宋体" w:eastAsia="宋体" w:hint="default"/>
                <w:sz w:val="18"/>
                <w:szCs w:val="18"/>
              </w:rPr>
              <w:t>上海 谷数 信息 技术 有限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04"/>
              <w:jc w:val="both"/>
              <w:rPr>
                <w:rFonts w:ascii="宋体" w:hAnsi="宋体" w:cs="宋体" w:eastAsia="宋体" w:hint="default"/>
                <w:sz w:val="18"/>
                <w:szCs w:val="18"/>
              </w:rPr>
            </w:pPr>
            <w:r>
              <w:rPr>
                <w:rFonts w:ascii="宋体" w:hAnsi="宋体" w:cs="宋体" w:eastAsia="宋体" w:hint="default"/>
                <w:sz w:val="18"/>
                <w:szCs w:val="18"/>
              </w:rPr>
              <w:t>上海 金档 信息 技术 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2,650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-834.2</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2"/>
              <w:jc w:val="both"/>
              <w:rPr>
                <w:rFonts w:ascii="宋体" w:hAnsi="宋体" w:cs="宋体" w:eastAsia="宋体" w:hint="default"/>
                <w:sz w:val="18"/>
                <w:szCs w:val="18"/>
              </w:rPr>
            </w:pPr>
            <w:r>
              <w:rPr>
                <w:rFonts w:ascii="宋体" w:hAnsi="宋体" w:cs="宋体" w:eastAsia="宋体" w:hint="default"/>
                <w:sz w:val="18"/>
                <w:szCs w:val="18"/>
              </w:rPr>
              <w:t>增加 公司 利</w:t>
            </w:r>
          </w:p>
          <w:p>
            <w:pPr>
              <w:pStyle w:val="TableParagraph"/>
              <w:spacing w:line="240" w:lineRule="auto" w:before="61"/>
              <w:ind w:left="103" w:right="0"/>
              <w:jc w:val="both"/>
              <w:rPr>
                <w:rFonts w:ascii="Times New Roman" w:hAnsi="Times New Roman" w:cs="Times New Roman" w:eastAsia="Times New Roman" w:hint="default"/>
                <w:sz w:val="18"/>
                <w:szCs w:val="18"/>
              </w:rPr>
            </w:pPr>
            <w:r>
              <w:rPr>
                <w:rFonts w:ascii="Times New Roman"/>
                <w:sz w:val="18"/>
              </w:rPr>
              <w:t>859.3</w:t>
            </w:r>
          </w:p>
          <w:p>
            <w:pPr>
              <w:pStyle w:val="TableParagraph"/>
              <w:spacing w:line="300" w:lineRule="auto" w:before="63"/>
              <w:ind w:left="103" w:right="25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5.59%</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05" w:right="209"/>
              <w:jc w:val="left"/>
              <w:rPr>
                <w:rFonts w:ascii="宋体" w:hAnsi="宋体" w:cs="宋体" w:eastAsia="宋体" w:hint="default"/>
                <w:sz w:val="18"/>
                <w:szCs w:val="18"/>
              </w:rPr>
            </w:pPr>
            <w:r>
              <w:rPr>
                <w:rFonts w:ascii="宋体" w:hAnsi="宋体" w:cs="宋体" w:eastAsia="宋体" w:hint="default"/>
                <w:sz w:val="18"/>
                <w:szCs w:val="18"/>
              </w:rPr>
              <w:t>评估 价格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03" w:right="209"/>
              <w:jc w:val="left"/>
              <w:rPr>
                <w:rFonts w:ascii="宋体" w:hAnsi="宋体" w:cs="宋体" w:eastAsia="宋体" w:hint="default"/>
                <w:sz w:val="18"/>
                <w:szCs w:val="18"/>
              </w:rPr>
            </w:pPr>
            <w:r>
              <w:rPr>
                <w:rFonts w:ascii="宋体" w:hAnsi="宋体" w:cs="宋体" w:eastAsia="宋体" w:hint="default"/>
                <w:sz w:val="18"/>
                <w:szCs w:val="18"/>
              </w:rPr>
              <w:t>不适 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240" w:lineRule="auto" w:before="26"/>
        <w:ind w:right="1133"/>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光典信息 发展有限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9"/>
              <w:jc w:val="left"/>
              <w:rPr>
                <w:rFonts w:ascii="宋体" w:hAnsi="宋体" w:cs="宋体" w:eastAsia="宋体" w:hint="default"/>
                <w:sz w:val="18"/>
                <w:szCs w:val="18"/>
              </w:rPr>
            </w:pPr>
            <w:r>
              <w:rPr>
                <w:rFonts w:ascii="宋体" w:hAnsi="宋体" w:cs="宋体" w:eastAsia="宋体" w:hint="default"/>
                <w:sz w:val="18"/>
                <w:szCs w:val="18"/>
              </w:rPr>
              <w:t>技术服务、 软硬件销 售及开发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90,000,000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460,656,01</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3.35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83,216,602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88,890,227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-27,298,67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6.63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-23,546,21</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2.04</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上海追索 信息科技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9"/>
              <w:jc w:val="left"/>
              <w:rPr>
                <w:rFonts w:ascii="宋体" w:hAnsi="宋体" w:cs="宋体" w:eastAsia="宋体" w:hint="default"/>
                <w:sz w:val="18"/>
                <w:szCs w:val="18"/>
              </w:rPr>
            </w:pPr>
            <w:r>
              <w:rPr>
                <w:rFonts w:ascii="宋体" w:hAnsi="宋体" w:cs="宋体" w:eastAsia="宋体" w:hint="default"/>
                <w:sz w:val="18"/>
                <w:szCs w:val="18"/>
              </w:rPr>
              <w:t>技术服务、 软硬件销 售及开发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30,254,000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27,780,707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8,616,146.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1,127,462.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1,286,688.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59</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9"/>
              <w:jc w:val="both"/>
              <w:rPr>
                <w:rFonts w:ascii="宋体" w:hAnsi="宋体" w:cs="宋体" w:eastAsia="宋体" w:hint="default"/>
                <w:sz w:val="18"/>
                <w:szCs w:val="18"/>
              </w:rPr>
            </w:pPr>
            <w:r>
              <w:rPr>
                <w:rFonts w:ascii="宋体" w:hAnsi="宋体" w:cs="宋体" w:eastAsia="宋体" w:hint="default"/>
                <w:sz w:val="18"/>
                <w:szCs w:val="18"/>
              </w:rPr>
              <w:t>追溯云信 息发展股 份有限公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3" w:right="29"/>
              <w:jc w:val="left"/>
              <w:rPr>
                <w:rFonts w:ascii="宋体" w:hAnsi="宋体" w:cs="宋体" w:eastAsia="宋体" w:hint="default"/>
                <w:sz w:val="18"/>
                <w:szCs w:val="18"/>
              </w:rPr>
            </w:pPr>
            <w:r>
              <w:rPr>
                <w:rFonts w:ascii="宋体" w:hAnsi="宋体" w:cs="宋体" w:eastAsia="宋体" w:hint="default"/>
                <w:sz w:val="18"/>
                <w:szCs w:val="18"/>
              </w:rPr>
              <w:t>技术服务、 软硬件销 售及开发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58,624,900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147,148,84</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2.18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131,713,62</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4.58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21,830,963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8,588,382.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8,588,382.</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日股权转让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38" w:lineRule="auto" w:before="49"/>
        <w:ind w:left="112" w:right="1129"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 </w:t>
      </w:r>
      <w:r>
        <w:rPr>
          <w:rFonts w:ascii="宋体" w:hAnsi="宋体" w:cs="宋体" w:eastAsia="宋体" w:hint="default"/>
          <w:spacing w:val="-2"/>
          <w:sz w:val="18"/>
          <w:szCs w:val="18"/>
        </w:rPr>
        <w:t>追溯云定位为成为最权威的食品安全第三方服务平台，也是国内首家通过第三方认证的重要产品追溯服务提供商。平台采用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SaaS</w:t>
      </w:r>
      <w:r>
        <w:rPr>
          <w:rFonts w:ascii="宋体" w:hAnsi="宋体" w:cs="宋体" w:eastAsia="宋体" w:hint="default"/>
          <w:spacing w:val="-2"/>
          <w:sz w:val="18"/>
          <w:szCs w:val="18"/>
        </w:rPr>
        <w:t>服务模式立足食品安全，围绕食品的生产流通销售过程，提供咨询、认证、检测和信息化服务。同时，结合公司线下优</w:t>
      </w:r>
    </w:p>
    <w:p>
      <w:pPr>
        <w:spacing w:line="319" w:lineRule="auto" w:before="2"/>
        <w:ind w:left="112" w:right="1133" w:firstLine="0"/>
        <w:jc w:val="left"/>
        <w:rPr>
          <w:rFonts w:ascii="宋体" w:hAnsi="宋体" w:cs="宋体" w:eastAsia="宋体" w:hint="default"/>
          <w:sz w:val="18"/>
          <w:szCs w:val="18"/>
        </w:rPr>
      </w:pPr>
      <w:r>
        <w:rPr>
          <w:rFonts w:ascii="宋体" w:hAnsi="宋体" w:cs="宋体" w:eastAsia="宋体" w:hint="default"/>
          <w:spacing w:val="-2"/>
          <w:sz w:val="18"/>
          <w:szCs w:val="18"/>
        </w:rPr>
        <w:t>势，满足客户一体化食品安全供应链管理需要，不断拓展食品安全服务版图，并取得业绩突破性增长。报告期内，营业收入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较上年同期增长</w:t>
      </w:r>
      <w:r>
        <w:rPr>
          <w:rFonts w:ascii="宋体" w:hAnsi="宋体" w:cs="宋体" w:eastAsia="宋体" w:hint="default"/>
          <w:sz w:val="18"/>
          <w:szCs w:val="18"/>
        </w:rPr>
        <w:t>9.95%</w:t>
      </w:r>
      <w:r>
        <w:rPr>
          <w:rFonts w:ascii="宋体" w:hAnsi="宋体" w:cs="宋体" w:eastAsia="宋体" w:hint="default"/>
          <w:sz w:val="18"/>
          <w:szCs w:val="18"/>
        </w:rPr>
        <w:t>。</w:t>
      </w:r>
    </w:p>
    <w:p>
      <w:pPr>
        <w:spacing w:line="240" w:lineRule="auto" w:before="9"/>
        <w:rPr>
          <w:rFonts w:ascii="宋体" w:hAnsi="宋体" w:cs="宋体" w:eastAsia="宋体" w:hint="default"/>
          <w:sz w:val="20"/>
          <w:szCs w:val="20"/>
        </w:rPr>
      </w:pPr>
    </w:p>
    <w:p>
      <w:pPr>
        <w:pStyle w:val="Heading4"/>
        <w:spacing w:line="240" w:lineRule="auto"/>
        <w:ind w:right="1133"/>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2"/>
        <w:rPr>
          <w:rFonts w:ascii="宋体" w:hAnsi="宋体" w:cs="宋体" w:eastAsia="宋体" w:hint="default"/>
          <w:b/>
          <w:bCs/>
          <w:sz w:val="25"/>
          <w:szCs w:val="25"/>
        </w:rPr>
      </w:pPr>
    </w:p>
    <w:p>
      <w:pPr>
        <w:pStyle w:val="Heading4"/>
        <w:spacing w:line="312" w:lineRule="exact"/>
        <w:ind w:right="1116"/>
        <w:jc w:val="left"/>
        <w:rPr>
          <w:b w:val="0"/>
          <w:bCs w:val="0"/>
        </w:rPr>
      </w:pPr>
      <w:r>
        <w:rPr/>
        <w:t>公司未来发展展望已在本报告中第四节“经营情况讨论与分析”之“一、概述”部分予以描</w:t>
      </w:r>
      <w:r>
        <w:rPr>
          <w:w w:val="99"/>
        </w:rPr>
        <w:t> </w:t>
      </w:r>
      <w:r>
        <w:rPr/>
        <w:t>述。</w:t>
      </w:r>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0"/>
          <w:szCs w:val="20"/>
        </w:rPr>
      </w:pPr>
    </w:p>
    <w:p>
      <w:pPr>
        <w:pStyle w:val="Heading4"/>
        <w:spacing w:line="240" w:lineRule="auto"/>
        <w:ind w:right="1133"/>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67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www.cninfo.com.cn)2019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180"/>
        <w:gridCol w:w="2177"/>
        <w:gridCol w:w="2177"/>
        <w:gridCol w:w="3037"/>
      </w:tblGrid>
      <w:tr>
        <w:trPr>
          <w:trHeight w:val="363"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right="3399"/>
        <w:jc w:val="center"/>
        <w:rPr>
          <w:b w:val="0"/>
          <w:bCs w:val="0"/>
        </w:rPr>
      </w:pPr>
      <w:bookmarkStart w:name="第五节重要事项" w:id="60"/>
      <w:bookmarkEnd w:id="60"/>
      <w:r>
        <w:rPr>
          <w:b w:val="0"/>
          <w:bCs w:val="0"/>
        </w:rPr>
      </w:r>
      <w:bookmarkStart w:name="_bookmark3" w:id="61"/>
      <w:bookmarkEnd w:id="61"/>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33"/>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57" w:lineRule="auto" w:before="117"/>
        <w:ind w:left="112" w:right="30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公司报告期利润分配预案及资本公积金转增股本预案与公司章程和分红管理办法等的相关规定一致</w:t>
      </w:r>
    </w:p>
    <w:p>
      <w:pPr>
        <w:spacing w:line="357" w:lineRule="auto" w:before="29"/>
        <w:ind w:left="112" w:right="4274" w:firstLine="0"/>
        <w:jc w:val="left"/>
        <w:rPr>
          <w:rFonts w:ascii="宋体" w:hAnsi="宋体" w:cs="宋体" w:eastAsia="宋体" w:hint="default"/>
          <w:sz w:val="18"/>
          <w:szCs w:val="18"/>
        </w:rPr>
      </w:pPr>
      <w:r>
        <w:rPr>
          <w:rFonts w:ascii="宋体" w:hAnsi="宋体" w:cs="宋体" w:eastAsia="宋体" w:hint="default"/>
          <w:sz w:val="18"/>
          <w:szCs w:val="18"/>
        </w:rPr>
        <w:t>√ 是 □ 否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公司报告期利润分配预案及资本公积金转增股本预案符合公司章程等的相关规定。 本年度利润分配及资本公积金转增股本情况</w:t>
      </w:r>
    </w:p>
    <w:tbl>
      <w:tblPr>
        <w:tblW w:w="0" w:type="auto"/>
        <w:jc w:val="left"/>
        <w:tblInd w:w="10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205,135,376</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1"/>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9"/>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13,538,693.02</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13,538,693.02</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年，公司通过集中竞价方式累计回购公司股份</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796,820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股，支付现金总额为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13,538,693.02</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元（不含交易费用）。根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据《深圳证券交易所上市公司回购股份实施细则》有关规定，公司当年已实施的股份回购金额视同现金分红，纳入该年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度现金分红的相关比例计算。基于上述规定，公司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年度不再进行现金利润分配及资本公积金转增股本。</w:t>
            </w:r>
          </w:p>
        </w:tc>
      </w:tr>
    </w:tbl>
    <w:p>
      <w:pPr>
        <w:spacing w:line="340" w:lineRule="auto" w:before="70"/>
        <w:ind w:left="744" w:right="1482" w:hanging="632"/>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2017</w:t>
      </w:r>
      <w:r>
        <w:rPr>
          <w:rFonts w:ascii="宋体" w:hAnsi="宋体" w:cs="宋体" w:eastAsia="宋体" w:hint="default"/>
          <w:sz w:val="18"/>
          <w:szCs w:val="18"/>
        </w:rPr>
        <w:t>年度公司的利润分配方案为：以截止至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日公司的总股本</w:t>
      </w:r>
      <w:r>
        <w:rPr>
          <w:rFonts w:ascii="宋体" w:hAnsi="宋体" w:cs="宋体" w:eastAsia="宋体" w:hint="default"/>
          <w:sz w:val="18"/>
          <w:szCs w:val="18"/>
        </w:rPr>
        <w:t>68,300,000</w:t>
      </w:r>
      <w:r>
        <w:rPr>
          <w:rFonts w:ascii="宋体" w:hAnsi="宋体" w:cs="宋体" w:eastAsia="宋体" w:hint="default"/>
          <w:sz w:val="18"/>
          <w:szCs w:val="18"/>
        </w:rPr>
        <w:t>股扣除将注销的回购股份</w:t>
      </w:r>
    </w:p>
    <w:p>
      <w:pPr>
        <w:spacing w:before="1"/>
        <w:ind w:left="112" w:right="0" w:firstLine="0"/>
        <w:jc w:val="both"/>
        <w:rPr>
          <w:rFonts w:ascii="宋体" w:hAnsi="宋体" w:cs="宋体" w:eastAsia="宋体" w:hint="default"/>
          <w:sz w:val="18"/>
          <w:szCs w:val="18"/>
        </w:rPr>
      </w:pPr>
      <w:r>
        <w:rPr>
          <w:rFonts w:ascii="宋体" w:hAnsi="宋体" w:cs="宋体" w:eastAsia="宋体" w:hint="default"/>
          <w:sz w:val="18"/>
          <w:szCs w:val="18"/>
        </w:rPr>
        <w:t>525,600</w:t>
      </w:r>
      <w:r>
        <w:rPr>
          <w:rFonts w:ascii="宋体" w:hAnsi="宋体" w:cs="宋体" w:eastAsia="宋体" w:hint="default"/>
          <w:sz w:val="18"/>
          <w:szCs w:val="18"/>
        </w:rPr>
        <w:t>股后的</w:t>
      </w:r>
      <w:r>
        <w:rPr>
          <w:rFonts w:ascii="宋体" w:hAnsi="宋体" w:cs="宋体" w:eastAsia="宋体" w:hint="default"/>
          <w:sz w:val="18"/>
          <w:szCs w:val="18"/>
        </w:rPr>
        <w:t>67,774,400</w:t>
      </w:r>
      <w:r>
        <w:rPr>
          <w:rFonts w:ascii="宋体" w:hAnsi="宋体" w:cs="宋体" w:eastAsia="宋体" w:hint="default"/>
          <w:sz w:val="18"/>
          <w:szCs w:val="18"/>
        </w:rPr>
        <w:t>股为基数，拟向全体股东每</w:t>
      </w:r>
      <w:r>
        <w:rPr>
          <w:rFonts w:ascii="宋体" w:hAnsi="宋体" w:cs="宋体" w:eastAsia="宋体" w:hint="default"/>
          <w:sz w:val="18"/>
          <w:szCs w:val="18"/>
        </w:rPr>
        <w:t>10</w:t>
      </w:r>
      <w:r>
        <w:rPr>
          <w:rFonts w:ascii="宋体" w:hAnsi="宋体" w:cs="宋体" w:eastAsia="宋体" w:hint="default"/>
          <w:sz w:val="18"/>
          <w:szCs w:val="18"/>
        </w:rPr>
        <w:t>股派发现金股利人民币</w:t>
      </w:r>
      <w:r>
        <w:rPr>
          <w:rFonts w:ascii="宋体" w:hAnsi="宋体" w:cs="宋体" w:eastAsia="宋体" w:hint="default"/>
          <w:sz w:val="18"/>
          <w:szCs w:val="18"/>
        </w:rPr>
        <w:t>1.00</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，合计派发现金股利人民</w:t>
      </w:r>
    </w:p>
    <w:p>
      <w:pPr>
        <w:spacing w:line="319" w:lineRule="auto" w:before="76"/>
        <w:ind w:left="112" w:right="1129" w:firstLine="0"/>
        <w:jc w:val="both"/>
        <w:rPr>
          <w:rFonts w:ascii="宋体" w:hAnsi="宋体" w:cs="宋体" w:eastAsia="宋体" w:hint="default"/>
          <w:sz w:val="18"/>
          <w:szCs w:val="18"/>
        </w:rPr>
      </w:pPr>
      <w:r>
        <w:rPr>
          <w:rFonts w:ascii="宋体" w:hAnsi="宋体" w:cs="宋体" w:eastAsia="宋体" w:hint="default"/>
          <w:sz w:val="18"/>
          <w:szCs w:val="18"/>
        </w:rPr>
        <w:t>6,777,440.00</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，同时向以</w:t>
      </w:r>
      <w:r>
        <w:rPr>
          <w:rFonts w:ascii="宋体" w:hAnsi="宋体" w:cs="宋体" w:eastAsia="宋体" w:hint="default"/>
          <w:sz w:val="18"/>
          <w:szCs w:val="18"/>
        </w:rPr>
        <w:t>68,300,000</w:t>
      </w:r>
      <w:r>
        <w:rPr>
          <w:rFonts w:ascii="宋体" w:hAnsi="宋体" w:cs="宋体" w:eastAsia="宋体" w:hint="default"/>
          <w:sz w:val="18"/>
          <w:szCs w:val="18"/>
        </w:rPr>
        <w:t>股扣除将注销的回购股份</w:t>
      </w:r>
      <w:r>
        <w:rPr>
          <w:rFonts w:ascii="宋体" w:hAnsi="宋体" w:cs="宋体" w:eastAsia="宋体" w:hint="default"/>
          <w:sz w:val="18"/>
          <w:szCs w:val="18"/>
        </w:rPr>
        <w:t>525,600</w:t>
      </w:r>
      <w:r>
        <w:rPr>
          <w:rFonts w:ascii="宋体" w:hAnsi="宋体" w:cs="宋体" w:eastAsia="宋体" w:hint="default"/>
          <w:sz w:val="18"/>
          <w:szCs w:val="18"/>
        </w:rPr>
        <w:t>股后的</w:t>
      </w:r>
      <w:r>
        <w:rPr>
          <w:rFonts w:ascii="宋体" w:hAnsi="宋体" w:cs="宋体" w:eastAsia="宋体" w:hint="default"/>
          <w:sz w:val="18"/>
          <w:szCs w:val="18"/>
        </w:rPr>
        <w:t>67,774,400</w:t>
      </w:r>
      <w:r>
        <w:rPr>
          <w:rFonts w:ascii="宋体" w:hAnsi="宋体" w:cs="宋体" w:eastAsia="宋体" w:hint="default"/>
          <w:sz w:val="18"/>
          <w:szCs w:val="18"/>
        </w:rPr>
        <w:t>股为基数，拟向全体股东 </w:t>
      </w:r>
      <w:r>
        <w:rPr>
          <w:rFonts w:ascii="宋体" w:hAnsi="宋体" w:cs="宋体" w:eastAsia="宋体" w:hint="default"/>
          <w:spacing w:val="-2"/>
          <w:sz w:val="18"/>
          <w:szCs w:val="18"/>
        </w:rPr>
        <w:t>以资本公积每</w:t>
      </w:r>
      <w:r>
        <w:rPr>
          <w:rFonts w:ascii="宋体" w:hAnsi="宋体" w:cs="宋体" w:eastAsia="宋体" w:hint="default"/>
          <w:spacing w:val="-2"/>
          <w:sz w:val="18"/>
          <w:szCs w:val="18"/>
        </w:rPr>
        <w:t>10</w:t>
      </w:r>
      <w:r>
        <w:rPr>
          <w:rFonts w:ascii="宋体" w:hAnsi="宋体" w:cs="宋体" w:eastAsia="宋体" w:hint="default"/>
          <w:spacing w:val="-2"/>
          <w:sz w:val="18"/>
          <w:szCs w:val="18"/>
        </w:rPr>
        <w:t>股转增</w:t>
      </w:r>
      <w:r>
        <w:rPr>
          <w:rFonts w:ascii="宋体" w:hAnsi="宋体" w:cs="宋体" w:eastAsia="宋体" w:hint="default"/>
          <w:spacing w:val="-2"/>
          <w:sz w:val="18"/>
          <w:szCs w:val="18"/>
        </w:rPr>
        <w:t>8</w:t>
      </w:r>
      <w:r>
        <w:rPr>
          <w:rFonts w:ascii="宋体" w:hAnsi="宋体" w:cs="宋体" w:eastAsia="宋体" w:hint="default"/>
          <w:spacing w:val="-2"/>
          <w:sz w:val="18"/>
          <w:szCs w:val="18"/>
        </w:rPr>
        <w:t>股，分配完成后公司股本总额增至</w:t>
      </w:r>
      <w:r>
        <w:rPr>
          <w:rFonts w:ascii="宋体" w:hAnsi="宋体" w:cs="宋体" w:eastAsia="宋体" w:hint="default"/>
          <w:spacing w:val="-2"/>
          <w:sz w:val="18"/>
          <w:szCs w:val="18"/>
        </w:rPr>
        <w:t>121,993,920</w:t>
      </w:r>
      <w:r>
        <w:rPr>
          <w:rFonts w:ascii="宋体" w:hAnsi="宋体" w:cs="宋体" w:eastAsia="宋体" w:hint="default"/>
          <w:spacing w:val="-2"/>
          <w:sz w:val="18"/>
          <w:szCs w:val="18"/>
        </w:rPr>
        <w:t>股。本次分配不送红股，剩余未分配利润结转以后年</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度分配。</w:t>
      </w:r>
    </w:p>
    <w:p>
      <w:pPr>
        <w:spacing w:line="316" w:lineRule="auto" w:before="17"/>
        <w:ind w:left="112" w:right="1131" w:firstLine="631"/>
        <w:jc w:val="both"/>
        <w:rPr>
          <w:rFonts w:ascii="宋体" w:hAnsi="宋体" w:cs="宋体" w:eastAsia="宋体" w:hint="default"/>
          <w:sz w:val="18"/>
          <w:szCs w:val="18"/>
        </w:rPr>
      </w:pPr>
      <w:r>
        <w:rPr>
          <w:rFonts w:ascii="宋体" w:hAnsi="宋体" w:cs="宋体" w:eastAsia="宋体" w:hint="default"/>
          <w:spacing w:val="-2"/>
          <w:sz w:val="18"/>
          <w:szCs w:val="18"/>
        </w:rPr>
        <w:t>2018</w:t>
      </w:r>
      <w:r>
        <w:rPr>
          <w:rFonts w:ascii="宋体" w:hAnsi="宋体" w:cs="宋体" w:eastAsia="宋体" w:hint="default"/>
          <w:spacing w:val="-2"/>
          <w:sz w:val="18"/>
          <w:szCs w:val="18"/>
        </w:rPr>
        <w:t>年，公司通过集中竞价方式累计回购公司股份</w:t>
      </w:r>
      <w:r>
        <w:rPr>
          <w:rFonts w:ascii="宋体" w:hAnsi="宋体" w:cs="宋体" w:eastAsia="宋体" w:hint="default"/>
          <w:spacing w:val="-2"/>
          <w:sz w:val="18"/>
          <w:szCs w:val="18"/>
        </w:rPr>
        <w:t>325,380</w:t>
      </w:r>
      <w:r>
        <w:rPr>
          <w:rFonts w:ascii="宋体" w:hAnsi="宋体" w:cs="宋体" w:eastAsia="宋体" w:hint="default"/>
          <w:spacing w:val="-2"/>
          <w:sz w:val="18"/>
          <w:szCs w:val="18"/>
        </w:rPr>
        <w:t>股，支付现金总额为</w:t>
      </w:r>
      <w:r>
        <w:rPr>
          <w:rFonts w:ascii="宋体" w:hAnsi="宋体" w:cs="宋体" w:eastAsia="宋体" w:hint="default"/>
          <w:spacing w:val="-2"/>
          <w:sz w:val="18"/>
          <w:szCs w:val="18"/>
        </w:rPr>
        <w:t>6,462,926.40</w:t>
      </w:r>
      <w:r>
        <w:rPr>
          <w:rFonts w:ascii="宋体" w:hAnsi="宋体" w:cs="宋体" w:eastAsia="宋体" w:hint="default"/>
          <w:spacing w:val="-2"/>
          <w:sz w:val="18"/>
          <w:szCs w:val="18"/>
        </w:rPr>
        <w:t>元（不含交易费用）。</w:t>
      </w:r>
      <w:r>
        <w:rPr>
          <w:rFonts w:ascii="宋体" w:hAnsi="宋体" w:cs="宋体" w:eastAsia="宋体" w:hint="default"/>
          <w:sz w:val="18"/>
          <w:szCs w:val="18"/>
        </w:rPr>
        <w:t> </w:t>
      </w:r>
      <w:r>
        <w:rPr>
          <w:rFonts w:ascii="宋体" w:hAnsi="宋体" w:cs="宋体" w:eastAsia="宋体" w:hint="default"/>
          <w:spacing w:val="-2"/>
          <w:sz w:val="18"/>
          <w:szCs w:val="18"/>
        </w:rPr>
        <w:t>根据《深圳证券交易所上市公司回购股份实施细则》有关规定，公司当年已实施的股份回购金额视同现金分红，纳入该年度</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现金分红的相关比例计算。基于上述规定。公司以截止至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日公司的总股本</w:t>
      </w:r>
      <w:r>
        <w:rPr>
          <w:rFonts w:ascii="宋体" w:hAnsi="宋体" w:cs="宋体" w:eastAsia="宋体" w:hint="default"/>
          <w:sz w:val="18"/>
          <w:szCs w:val="18"/>
        </w:rPr>
        <w:t>121,993,920</w:t>
      </w:r>
      <w:r>
        <w:rPr>
          <w:rFonts w:ascii="宋体" w:hAnsi="宋体" w:cs="宋体" w:eastAsia="宋体" w:hint="default"/>
          <w:sz w:val="18"/>
          <w:szCs w:val="18"/>
        </w:rPr>
        <w:t>股扣除将注销的回购股 份</w:t>
      </w:r>
      <w:r>
        <w:rPr>
          <w:rFonts w:ascii="宋体" w:hAnsi="宋体" w:cs="宋体" w:eastAsia="宋体" w:hint="default"/>
          <w:sz w:val="18"/>
          <w:szCs w:val="18"/>
        </w:rPr>
        <w:t>1,002,240</w:t>
      </w:r>
      <w:r>
        <w:rPr>
          <w:rFonts w:ascii="宋体" w:hAnsi="宋体" w:cs="宋体" w:eastAsia="宋体" w:hint="default"/>
          <w:sz w:val="18"/>
          <w:szCs w:val="18"/>
        </w:rPr>
        <w:t>股后，并以实施</w:t>
      </w:r>
      <w:r>
        <w:rPr>
          <w:rFonts w:ascii="宋体" w:hAnsi="宋体" w:cs="宋体" w:eastAsia="宋体" w:hint="default"/>
          <w:sz w:val="18"/>
          <w:szCs w:val="18"/>
        </w:rPr>
        <w:t>2018</w:t>
      </w:r>
      <w:r>
        <w:rPr>
          <w:rFonts w:ascii="宋体" w:hAnsi="宋体" w:cs="宋体" w:eastAsia="宋体" w:hint="default"/>
          <w:sz w:val="18"/>
          <w:szCs w:val="18"/>
        </w:rPr>
        <w:t>年度利润分配时股权登记日可参与分配的股本为基数向全体股东每</w:t>
      </w:r>
      <w:r>
        <w:rPr>
          <w:rFonts w:ascii="宋体" w:hAnsi="宋体" w:cs="宋体" w:eastAsia="宋体" w:hint="default"/>
          <w:sz w:val="18"/>
          <w:szCs w:val="18"/>
        </w:rPr>
        <w:t>10</w:t>
      </w:r>
      <w:r>
        <w:rPr>
          <w:rFonts w:ascii="宋体" w:hAnsi="宋体" w:cs="宋体" w:eastAsia="宋体" w:hint="default"/>
          <w:sz w:val="18"/>
          <w:szCs w:val="18"/>
        </w:rPr>
        <w:t>股派发现金红利</w:t>
      </w:r>
      <w:r>
        <w:rPr>
          <w:rFonts w:ascii="宋体" w:hAnsi="宋体" w:cs="宋体" w:eastAsia="宋体" w:hint="default"/>
          <w:sz w:val="18"/>
          <w:szCs w:val="18"/>
        </w:rPr>
        <w:t>0.30 </w:t>
      </w:r>
      <w:r>
        <w:rPr>
          <w:rFonts w:ascii="宋体" w:hAnsi="宋体" w:cs="宋体" w:eastAsia="宋体" w:hint="default"/>
          <w:spacing w:val="-5"/>
          <w:sz w:val="18"/>
          <w:szCs w:val="18"/>
        </w:rPr>
        <w:t>元（含税），送红股</w:t>
      </w:r>
      <w:r>
        <w:rPr>
          <w:rFonts w:ascii="宋体" w:hAnsi="宋体" w:cs="宋体" w:eastAsia="宋体" w:hint="default"/>
          <w:spacing w:val="-5"/>
          <w:sz w:val="18"/>
          <w:szCs w:val="18"/>
        </w:rPr>
        <w:t>0</w:t>
      </w:r>
      <w:r>
        <w:rPr>
          <w:rFonts w:ascii="宋体" w:hAnsi="宋体" w:cs="宋体" w:eastAsia="宋体" w:hint="default"/>
          <w:spacing w:val="-5"/>
          <w:sz w:val="18"/>
          <w:szCs w:val="18"/>
        </w:rPr>
        <w:t>股（含税），以资本公积金向全体股东每</w:t>
      </w:r>
      <w:r>
        <w:rPr>
          <w:rFonts w:ascii="宋体" w:hAnsi="宋体" w:cs="宋体" w:eastAsia="宋体" w:hint="default"/>
          <w:spacing w:val="-5"/>
          <w:sz w:val="18"/>
          <w:szCs w:val="18"/>
        </w:rPr>
        <w:t>10</w:t>
      </w:r>
      <w:r>
        <w:rPr>
          <w:rFonts w:ascii="宋体" w:hAnsi="宋体" w:cs="宋体" w:eastAsia="宋体" w:hint="default"/>
          <w:spacing w:val="-5"/>
          <w:sz w:val="18"/>
          <w:szCs w:val="18"/>
        </w:rPr>
        <w:t>股转增</w:t>
      </w:r>
      <w:r>
        <w:rPr>
          <w:rFonts w:ascii="宋体" w:hAnsi="宋体" w:cs="宋体" w:eastAsia="宋体" w:hint="default"/>
          <w:spacing w:val="-5"/>
          <w:sz w:val="18"/>
          <w:szCs w:val="18"/>
        </w:rPr>
        <w:t>7</w:t>
      </w:r>
      <w:r>
        <w:rPr>
          <w:rFonts w:ascii="宋体" w:hAnsi="宋体" w:cs="宋体" w:eastAsia="宋体" w:hint="default"/>
          <w:spacing w:val="-5"/>
          <w:sz w:val="18"/>
          <w:szCs w:val="18"/>
        </w:rPr>
        <w:t>股。</w:t>
      </w:r>
    </w:p>
    <w:p>
      <w:pPr>
        <w:spacing w:line="316" w:lineRule="auto" w:before="19"/>
        <w:ind w:left="112" w:right="986" w:firstLine="631"/>
        <w:jc w:val="left"/>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年，公司通过集中竞价方式累计回购公司股份</w:t>
      </w:r>
      <w:r>
        <w:rPr>
          <w:rFonts w:ascii="宋体" w:hAnsi="宋体" w:cs="宋体" w:eastAsia="宋体" w:hint="default"/>
          <w:spacing w:val="-2"/>
          <w:sz w:val="18"/>
          <w:szCs w:val="18"/>
        </w:rPr>
        <w:t>796,820</w:t>
      </w:r>
      <w:r>
        <w:rPr>
          <w:rFonts w:ascii="宋体" w:hAnsi="宋体" w:cs="宋体" w:eastAsia="宋体" w:hint="default"/>
          <w:spacing w:val="-2"/>
          <w:sz w:val="18"/>
          <w:szCs w:val="18"/>
        </w:rPr>
        <w:t>股，支付现金总额为</w:t>
      </w:r>
      <w:r>
        <w:rPr>
          <w:rFonts w:ascii="宋体" w:hAnsi="宋体" w:cs="宋体" w:eastAsia="宋体" w:hint="default"/>
          <w:spacing w:val="-2"/>
          <w:sz w:val="18"/>
          <w:szCs w:val="18"/>
        </w:rPr>
        <w:t>13,538,693.02</w:t>
      </w:r>
      <w:r>
        <w:rPr>
          <w:rFonts w:ascii="宋体" w:hAnsi="宋体" w:cs="宋体" w:eastAsia="宋体" w:hint="default"/>
          <w:spacing w:val="-2"/>
          <w:sz w:val="18"/>
          <w:szCs w:val="18"/>
        </w:rPr>
        <w:t>元（不含交易费用）。</w:t>
      </w:r>
      <w:r>
        <w:rPr>
          <w:rFonts w:ascii="宋体" w:hAnsi="宋体" w:cs="宋体" w:eastAsia="宋体" w:hint="default"/>
          <w:sz w:val="18"/>
          <w:szCs w:val="18"/>
        </w:rPr>
        <w:t> </w:t>
      </w:r>
      <w:r>
        <w:rPr>
          <w:rFonts w:ascii="宋体" w:hAnsi="宋体" w:cs="宋体" w:eastAsia="宋体" w:hint="default"/>
          <w:spacing w:val="-2"/>
          <w:sz w:val="18"/>
          <w:szCs w:val="18"/>
        </w:rPr>
        <w:t>根据《深圳证券交易所上市公司回购股份实施细则》有关规定，公司当年已实施的股份回购金额视同现金分红，纳入该年度</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现金分红的相关比例计算。基于上述规定，公司</w:t>
      </w:r>
      <w:r>
        <w:rPr>
          <w:rFonts w:ascii="宋体" w:hAnsi="宋体" w:cs="宋体" w:eastAsia="宋体" w:hint="default"/>
          <w:sz w:val="18"/>
          <w:szCs w:val="18"/>
        </w:rPr>
        <w:t>2019</w:t>
      </w:r>
      <w:r>
        <w:rPr>
          <w:rFonts w:ascii="宋体" w:hAnsi="宋体" w:cs="宋体" w:eastAsia="宋体" w:hint="default"/>
          <w:sz w:val="18"/>
          <w:szCs w:val="18"/>
        </w:rPr>
        <w:t>年度不再进行现金利润分配及资本公积金转增股本。</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258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41" w:right="143"/>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1" w:right="142"/>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3"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3" w:right="143"/>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43"/>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-150,581,542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13,538,693.0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13,538,693.0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3,629,750.40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44,803,214.1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6,462,926.40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10,092,676.8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22.53%</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6,777,440.00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33,207,874.9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6,777,440.00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20.41%</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4"/>
        <w:spacing w:line="240" w:lineRule="auto"/>
        <w:ind w:right="1133"/>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6"/>
        <w:spacing w:line="259" w:lineRule="auto"/>
        <w:ind w:right="1133"/>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2"/>
              <w:jc w:val="right"/>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2" w:right="204"/>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 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4"/>
              <w:jc w:val="righ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02" w:right="204"/>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 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103" w:right="108"/>
              <w:jc w:val="both"/>
              <w:rPr>
                <w:rFonts w:ascii="宋体" w:hAnsi="宋体" w:cs="宋体" w:eastAsia="宋体" w:hint="default"/>
                <w:sz w:val="18"/>
                <w:szCs w:val="18"/>
              </w:rPr>
            </w:pPr>
            <w:r>
              <w:rPr>
                <w:rFonts w:ascii="宋体" w:hAnsi="宋体" w:cs="宋体" w:eastAsia="宋体" w:hint="default"/>
                <w:sz w:val="18"/>
                <w:szCs w:val="18"/>
              </w:rPr>
              <w:t>上海中信电 子发展有限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本公司所持 发行人公开 发行股份前 已发行的股 份在锁定期 期满后两年 内将进行股 份减持，减 持股份数量 为不超过本 公司所持股 份数的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066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；本公</w:t>
            </w:r>
            <w:r>
              <w:rPr>
                <w:rFonts w:ascii="宋体" w:hAnsi="宋体" w:cs="宋体" w:eastAsia="宋体" w:hint="default"/>
                <w:w w:val="99"/>
                <w:sz w:val="18"/>
                <w:szCs w:val="18"/>
              </w:rPr>
              <w:t> </w:t>
            </w:r>
            <w:r>
              <w:rPr>
                <w:rFonts w:ascii="宋体" w:hAnsi="宋体" w:cs="宋体" w:eastAsia="宋体" w:hint="default"/>
                <w:sz w:val="18"/>
                <w:szCs w:val="18"/>
              </w:rPr>
              <w:t>司在减持股</w:t>
            </w:r>
            <w:r>
              <w:rPr>
                <w:rFonts w:ascii="宋体" w:hAnsi="宋体" w:cs="宋体" w:eastAsia="宋体" w:hint="default"/>
                <w:w w:val="99"/>
                <w:sz w:val="18"/>
                <w:szCs w:val="18"/>
              </w:rPr>
              <w:t> </w:t>
            </w:r>
            <w:r>
              <w:rPr>
                <w:rFonts w:ascii="宋体" w:hAnsi="宋体" w:cs="宋体" w:eastAsia="宋体" w:hint="default"/>
                <w:sz w:val="18"/>
                <w:szCs w:val="18"/>
              </w:rPr>
              <w:t>份时，将提</w:t>
            </w:r>
            <w:r>
              <w:rPr>
                <w:rFonts w:ascii="宋体" w:hAnsi="宋体" w:cs="宋体" w:eastAsia="宋体" w:hint="default"/>
                <w:w w:val="99"/>
                <w:sz w:val="18"/>
                <w:szCs w:val="18"/>
              </w:rPr>
              <w:t> </w:t>
            </w:r>
            <w:r>
              <w:rPr>
                <w:rFonts w:ascii="宋体" w:hAnsi="宋体" w:cs="宋体" w:eastAsia="宋体" w:hint="default"/>
                <w:sz w:val="18"/>
                <w:szCs w:val="18"/>
              </w:rPr>
              <w:t>前五个交易</w:t>
            </w:r>
            <w:r>
              <w:rPr>
                <w:rFonts w:ascii="宋体" w:hAnsi="宋体" w:cs="宋体" w:eastAsia="宋体" w:hint="default"/>
                <w:w w:val="99"/>
                <w:sz w:val="18"/>
                <w:szCs w:val="18"/>
              </w:rPr>
              <w:t> </w:t>
            </w:r>
            <w:r>
              <w:rPr>
                <w:rFonts w:ascii="宋体" w:hAnsi="宋体" w:cs="宋体" w:eastAsia="宋体" w:hint="default"/>
                <w:sz w:val="18"/>
                <w:szCs w:val="18"/>
              </w:rPr>
              <w:t>日向发行人</w:t>
            </w:r>
            <w:r>
              <w:rPr>
                <w:rFonts w:ascii="宋体" w:hAnsi="宋体" w:cs="宋体" w:eastAsia="宋体" w:hint="default"/>
                <w:w w:val="99"/>
                <w:sz w:val="18"/>
                <w:szCs w:val="18"/>
              </w:rPr>
              <w:t> </w:t>
            </w:r>
            <w:r>
              <w:rPr>
                <w:rFonts w:ascii="宋体" w:hAnsi="宋体" w:cs="宋体" w:eastAsia="宋体" w:hint="default"/>
                <w:sz w:val="18"/>
                <w:szCs w:val="18"/>
              </w:rPr>
              <w:t>提交减持原</w:t>
            </w:r>
            <w:r>
              <w:rPr>
                <w:rFonts w:ascii="宋体" w:hAnsi="宋体" w:cs="宋体" w:eastAsia="宋体" w:hint="default"/>
                <w:w w:val="99"/>
                <w:sz w:val="18"/>
                <w:szCs w:val="18"/>
              </w:rPr>
              <w:t> </w:t>
            </w:r>
            <w:r>
              <w:rPr>
                <w:rFonts w:ascii="宋体" w:hAnsi="宋体" w:cs="宋体" w:eastAsia="宋体" w:hint="default"/>
                <w:sz w:val="18"/>
                <w:szCs w:val="18"/>
              </w:rPr>
              <w:t>因、减持数</w:t>
            </w:r>
            <w:r>
              <w:rPr>
                <w:rFonts w:ascii="宋体" w:hAnsi="宋体" w:cs="宋体" w:eastAsia="宋体" w:hint="default"/>
                <w:w w:val="99"/>
                <w:sz w:val="18"/>
                <w:szCs w:val="18"/>
              </w:rPr>
              <w:t> </w:t>
            </w:r>
            <w:r>
              <w:rPr>
                <w:rFonts w:ascii="宋体" w:hAnsi="宋体" w:cs="宋体" w:eastAsia="宋体" w:hint="default"/>
                <w:sz w:val="18"/>
                <w:szCs w:val="18"/>
              </w:rPr>
              <w:t>量、未来减</w:t>
            </w:r>
            <w:r>
              <w:rPr>
                <w:rFonts w:ascii="宋体" w:hAnsi="宋体" w:cs="宋体" w:eastAsia="宋体" w:hint="default"/>
                <w:w w:val="99"/>
                <w:sz w:val="18"/>
                <w:szCs w:val="18"/>
              </w:rPr>
              <w:t> </w:t>
            </w:r>
            <w:r>
              <w:rPr>
                <w:rFonts w:ascii="宋体" w:hAnsi="宋体" w:cs="宋体" w:eastAsia="宋体" w:hint="default"/>
                <w:sz w:val="18"/>
                <w:szCs w:val="18"/>
              </w:rPr>
              <w:t>持计划、减</w:t>
            </w:r>
            <w:r>
              <w:rPr>
                <w:rFonts w:ascii="宋体" w:hAnsi="宋体" w:cs="宋体" w:eastAsia="宋体" w:hint="default"/>
                <w:w w:val="99"/>
                <w:sz w:val="18"/>
                <w:szCs w:val="18"/>
              </w:rPr>
              <w:t> </w:t>
            </w:r>
            <w:r>
              <w:rPr>
                <w:rFonts w:ascii="宋体" w:hAnsi="宋体" w:cs="宋体" w:eastAsia="宋体" w:hint="default"/>
                <w:sz w:val="18"/>
                <w:szCs w:val="18"/>
              </w:rPr>
              <w:t>持对发行人</w:t>
            </w:r>
            <w:r>
              <w:rPr>
                <w:rFonts w:ascii="宋体" w:hAnsi="宋体" w:cs="宋体" w:eastAsia="宋体" w:hint="default"/>
                <w:w w:val="99"/>
                <w:sz w:val="18"/>
                <w:szCs w:val="18"/>
              </w:rPr>
              <w:t> </w:t>
            </w:r>
            <w:r>
              <w:rPr>
                <w:rFonts w:ascii="宋体" w:hAnsi="宋体" w:cs="宋体" w:eastAsia="宋体" w:hint="default"/>
                <w:sz w:val="18"/>
                <w:szCs w:val="18"/>
              </w:rPr>
              <w:t>治理结构及</w:t>
            </w:r>
            <w:r>
              <w:rPr>
                <w:rFonts w:ascii="宋体" w:hAnsi="宋体" w:cs="宋体" w:eastAsia="宋体" w:hint="default"/>
                <w:w w:val="99"/>
                <w:sz w:val="18"/>
                <w:szCs w:val="18"/>
              </w:rPr>
              <w:t> </w:t>
            </w:r>
            <w:r>
              <w:rPr>
                <w:rFonts w:ascii="宋体" w:hAnsi="宋体" w:cs="宋体" w:eastAsia="宋体" w:hint="default"/>
                <w:sz w:val="18"/>
                <w:szCs w:val="18"/>
              </w:rPr>
              <w:t>持续经营影</w:t>
            </w:r>
            <w:r>
              <w:rPr>
                <w:rFonts w:ascii="宋体" w:hAnsi="宋体" w:cs="宋体" w:eastAsia="宋体" w:hint="default"/>
                <w:w w:val="99"/>
                <w:sz w:val="18"/>
                <w:szCs w:val="18"/>
              </w:rPr>
              <w:t> </w:t>
            </w:r>
            <w:r>
              <w:rPr>
                <w:rFonts w:ascii="宋体" w:hAnsi="宋体" w:cs="宋体" w:eastAsia="宋体" w:hint="default"/>
                <w:sz w:val="18"/>
                <w:szCs w:val="18"/>
              </w:rPr>
              <w:t>响的说明，</w:t>
            </w:r>
            <w:r>
              <w:rPr>
                <w:rFonts w:ascii="宋体" w:hAnsi="宋体" w:cs="宋体" w:eastAsia="宋体" w:hint="default"/>
                <w:w w:val="99"/>
                <w:sz w:val="18"/>
                <w:szCs w:val="18"/>
              </w:rPr>
              <w:t> </w:t>
            </w:r>
            <w:r>
              <w:rPr>
                <w:rFonts w:ascii="宋体" w:hAnsi="宋体" w:cs="宋体" w:eastAsia="宋体" w:hint="default"/>
                <w:sz w:val="18"/>
                <w:szCs w:val="18"/>
              </w:rPr>
              <w:t>并由发行人</w:t>
            </w:r>
            <w:r>
              <w:rPr>
                <w:rFonts w:ascii="宋体" w:hAnsi="宋体" w:cs="宋体" w:eastAsia="宋体" w:hint="default"/>
                <w:w w:val="99"/>
                <w:sz w:val="18"/>
                <w:szCs w:val="18"/>
              </w:rPr>
              <w:t> </w:t>
            </w:r>
            <w:r>
              <w:rPr>
                <w:rFonts w:ascii="宋体" w:hAnsi="宋体" w:cs="宋体" w:eastAsia="宋体" w:hint="default"/>
                <w:sz w:val="18"/>
                <w:szCs w:val="18"/>
              </w:rPr>
              <w:t>在减持前三</w:t>
            </w:r>
            <w:r>
              <w:rPr>
                <w:rFonts w:ascii="宋体" w:hAnsi="宋体" w:cs="宋体" w:eastAsia="宋体" w:hint="default"/>
                <w:w w:val="99"/>
                <w:sz w:val="18"/>
                <w:szCs w:val="18"/>
              </w:rPr>
              <w:t> </w:t>
            </w:r>
            <w:r>
              <w:rPr>
                <w:rFonts w:ascii="宋体" w:hAnsi="宋体" w:cs="宋体" w:eastAsia="宋体" w:hint="default"/>
                <w:sz w:val="18"/>
                <w:szCs w:val="18"/>
              </w:rPr>
              <w:t>个交易日予</w:t>
            </w:r>
            <w:r>
              <w:rPr>
                <w:rFonts w:ascii="宋体" w:hAnsi="宋体" w:cs="宋体" w:eastAsia="宋体" w:hint="default"/>
                <w:w w:val="99"/>
                <w:sz w:val="18"/>
                <w:szCs w:val="18"/>
              </w:rPr>
              <w:t> </w:t>
            </w:r>
            <w:r>
              <w:rPr>
                <w:rFonts w:ascii="宋体" w:hAnsi="宋体" w:cs="宋体" w:eastAsia="宋体" w:hint="default"/>
                <w:sz w:val="18"/>
                <w:szCs w:val="18"/>
              </w:rPr>
              <w:t>以公告；减</w:t>
            </w:r>
            <w:r>
              <w:rPr>
                <w:rFonts w:ascii="宋体" w:hAnsi="宋体" w:cs="宋体" w:eastAsia="宋体" w:hint="default"/>
                <w:w w:val="99"/>
                <w:sz w:val="18"/>
                <w:szCs w:val="18"/>
              </w:rPr>
              <w:t> </w:t>
            </w:r>
            <w:r>
              <w:rPr>
                <w:rFonts w:ascii="宋体" w:hAnsi="宋体" w:cs="宋体" w:eastAsia="宋体" w:hint="default"/>
                <w:sz w:val="18"/>
                <w:szCs w:val="18"/>
              </w:rPr>
              <w:t>持将通过证</w:t>
            </w:r>
            <w:r>
              <w:rPr>
                <w:rFonts w:ascii="宋体" w:hAnsi="宋体" w:cs="宋体" w:eastAsia="宋体" w:hint="default"/>
                <w:w w:val="99"/>
                <w:sz w:val="18"/>
                <w:szCs w:val="18"/>
              </w:rPr>
              <w:t> </w:t>
            </w:r>
            <w:r>
              <w:rPr>
                <w:rFonts w:ascii="宋体" w:hAnsi="宋体" w:cs="宋体" w:eastAsia="宋体" w:hint="default"/>
                <w:sz w:val="18"/>
                <w:szCs w:val="18"/>
              </w:rPr>
              <w:t>券交易所集</w:t>
            </w:r>
            <w:r>
              <w:rPr>
                <w:rFonts w:ascii="宋体" w:hAnsi="宋体" w:cs="宋体" w:eastAsia="宋体" w:hint="default"/>
                <w:w w:val="99"/>
                <w:sz w:val="18"/>
                <w:szCs w:val="18"/>
              </w:rPr>
              <w:t> </w:t>
            </w:r>
            <w:r>
              <w:rPr>
                <w:rFonts w:ascii="宋体" w:hAnsi="宋体" w:cs="宋体" w:eastAsia="宋体" w:hint="default"/>
                <w:sz w:val="18"/>
                <w:szCs w:val="18"/>
              </w:rPr>
              <w:t>中竞价交易</w:t>
            </w:r>
            <w:r>
              <w:rPr>
                <w:rFonts w:ascii="宋体" w:hAnsi="宋体" w:cs="宋体" w:eastAsia="宋体" w:hint="default"/>
                <w:w w:val="99"/>
                <w:sz w:val="18"/>
                <w:szCs w:val="18"/>
              </w:rPr>
              <w:t> </w:t>
            </w:r>
            <w:r>
              <w:rPr>
                <w:rFonts w:ascii="宋体" w:hAnsi="宋体" w:cs="宋体" w:eastAsia="宋体" w:hint="default"/>
                <w:sz w:val="18"/>
                <w:szCs w:val="18"/>
              </w:rPr>
              <w:t>系统、大宗</w:t>
            </w:r>
            <w:r>
              <w:rPr>
                <w:rFonts w:ascii="宋体" w:hAnsi="宋体" w:cs="宋体" w:eastAsia="宋体" w:hint="default"/>
                <w:w w:val="99"/>
                <w:sz w:val="18"/>
                <w:szCs w:val="18"/>
              </w:rPr>
              <w:t> </w:t>
            </w:r>
            <w:r>
              <w:rPr>
                <w:rFonts w:ascii="宋体" w:hAnsi="宋体" w:cs="宋体" w:eastAsia="宋体" w:hint="default"/>
                <w:sz w:val="18"/>
                <w:szCs w:val="18"/>
              </w:rPr>
              <w:t>交易系统等</w:t>
            </w:r>
            <w:r>
              <w:rPr>
                <w:rFonts w:ascii="宋体" w:hAnsi="宋体" w:cs="宋体" w:eastAsia="宋体" w:hint="default"/>
                <w:w w:val="99"/>
                <w:sz w:val="18"/>
                <w:szCs w:val="18"/>
              </w:rPr>
              <w:t> </w:t>
            </w:r>
            <w:r>
              <w:rPr>
                <w:rFonts w:ascii="宋体" w:hAnsi="宋体" w:cs="宋体" w:eastAsia="宋体" w:hint="default"/>
                <w:sz w:val="18"/>
                <w:szCs w:val="18"/>
              </w:rPr>
              <w:t>方式进行，</w:t>
            </w:r>
            <w:r>
              <w:rPr>
                <w:rFonts w:ascii="宋体" w:hAnsi="宋体" w:cs="宋体" w:eastAsia="宋体" w:hint="default"/>
                <w:w w:val="99"/>
                <w:sz w:val="18"/>
                <w:szCs w:val="18"/>
              </w:rPr>
              <w:t> </w:t>
            </w:r>
            <w:r>
              <w:rPr>
                <w:rFonts w:ascii="宋体" w:hAnsi="宋体" w:cs="宋体" w:eastAsia="宋体" w:hint="default"/>
                <w:sz w:val="18"/>
                <w:szCs w:val="18"/>
              </w:rPr>
              <w:t>并且本公司</w:t>
            </w:r>
            <w:r>
              <w:rPr>
                <w:rFonts w:ascii="宋体" w:hAnsi="宋体" w:cs="宋体" w:eastAsia="宋体" w:hint="default"/>
                <w:w w:val="99"/>
                <w:sz w:val="18"/>
                <w:szCs w:val="18"/>
              </w:rPr>
              <w:t> </w:t>
            </w:r>
            <w:r>
              <w:rPr>
                <w:rFonts w:ascii="宋体" w:hAnsi="宋体" w:cs="宋体" w:eastAsia="宋体" w:hint="default"/>
                <w:sz w:val="18"/>
                <w:szCs w:val="18"/>
              </w:rPr>
              <w:t>承诺减持价</w:t>
            </w:r>
            <w:r>
              <w:rPr>
                <w:rFonts w:ascii="宋体" w:hAnsi="宋体" w:cs="宋体" w:eastAsia="宋体" w:hint="default"/>
                <w:w w:val="99"/>
                <w:sz w:val="18"/>
                <w:szCs w:val="18"/>
              </w:rPr>
              <w:t> </w:t>
            </w:r>
            <w:r>
              <w:rPr>
                <w:rFonts w:ascii="宋体" w:hAnsi="宋体" w:cs="宋体" w:eastAsia="宋体" w:hint="default"/>
                <w:sz w:val="18"/>
                <w:szCs w:val="18"/>
              </w:rPr>
              <w:t>格（指复权</w:t>
            </w:r>
            <w:r>
              <w:rPr>
                <w:rFonts w:ascii="宋体" w:hAnsi="宋体" w:cs="宋体" w:eastAsia="宋体" w:hint="default"/>
                <w:w w:val="99"/>
                <w:sz w:val="18"/>
                <w:szCs w:val="18"/>
              </w:rPr>
              <w:t> </w:t>
            </w:r>
            <w:r>
              <w:rPr>
                <w:rFonts w:ascii="宋体" w:hAnsi="宋体" w:cs="宋体" w:eastAsia="宋体" w:hint="default"/>
                <w:sz w:val="18"/>
                <w:szCs w:val="18"/>
              </w:rPr>
              <w:t>后的价格）</w:t>
            </w:r>
            <w:r>
              <w:rPr>
                <w:rFonts w:ascii="宋体" w:hAnsi="宋体" w:cs="宋体" w:eastAsia="宋体" w:hint="default"/>
                <w:w w:val="99"/>
                <w:sz w:val="18"/>
                <w:szCs w:val="18"/>
              </w:rPr>
              <w:t> </w:t>
            </w:r>
            <w:r>
              <w:rPr>
                <w:rFonts w:ascii="宋体" w:hAnsi="宋体" w:cs="宋体" w:eastAsia="宋体" w:hint="default"/>
                <w:sz w:val="18"/>
                <w:szCs w:val="18"/>
              </w:rPr>
              <w:t>不低于发行</w:t>
            </w:r>
            <w:r>
              <w:rPr>
                <w:rFonts w:ascii="宋体" w:hAnsi="宋体" w:cs="宋体" w:eastAsia="宋体" w:hint="default"/>
                <w:w w:val="99"/>
                <w:sz w:val="18"/>
                <w:szCs w:val="18"/>
              </w:rPr>
              <w:t> </w:t>
            </w:r>
            <w:r>
              <w:rPr>
                <w:rFonts w:ascii="宋体" w:hAnsi="宋体" w:cs="宋体" w:eastAsia="宋体" w:hint="default"/>
                <w:sz w:val="18"/>
                <w:szCs w:val="18"/>
              </w:rPr>
              <w:t>价，若低于</w:t>
            </w:r>
            <w:r>
              <w:rPr>
                <w:rFonts w:ascii="宋体" w:hAnsi="宋体" w:cs="宋体" w:eastAsia="宋体" w:hint="default"/>
                <w:w w:val="99"/>
                <w:sz w:val="18"/>
                <w:szCs w:val="18"/>
              </w:rPr>
              <w:t> </w:t>
            </w:r>
            <w:r>
              <w:rPr>
                <w:rFonts w:ascii="宋体" w:hAnsi="宋体" w:cs="宋体" w:eastAsia="宋体" w:hint="default"/>
                <w:sz w:val="18"/>
                <w:szCs w:val="18"/>
              </w:rPr>
              <w:t>发行价的，</w:t>
            </w:r>
            <w:r>
              <w:rPr>
                <w:rFonts w:ascii="宋体" w:hAnsi="宋体" w:cs="宋体" w:eastAsia="宋体" w:hint="default"/>
                <w:w w:val="99"/>
                <w:sz w:val="18"/>
                <w:szCs w:val="18"/>
              </w:rPr>
              <w:t> </w:t>
            </w:r>
            <w:r>
              <w:rPr>
                <w:rFonts w:ascii="宋体" w:hAnsi="宋体" w:cs="宋体" w:eastAsia="宋体" w:hint="default"/>
                <w:sz w:val="18"/>
                <w:szCs w:val="18"/>
              </w:rPr>
              <w:t>本公司的减</w:t>
            </w:r>
            <w:r>
              <w:rPr>
                <w:rFonts w:ascii="宋体" w:hAnsi="宋体" w:cs="宋体" w:eastAsia="宋体" w:hint="default"/>
                <w:w w:val="99"/>
                <w:sz w:val="18"/>
                <w:szCs w:val="18"/>
              </w:rPr>
              <w:t> </w:t>
            </w:r>
            <w:r>
              <w:rPr>
                <w:rFonts w:ascii="宋体" w:hAnsi="宋体" w:cs="宋体" w:eastAsia="宋体" w:hint="default"/>
                <w:sz w:val="18"/>
                <w:szCs w:val="18"/>
              </w:rPr>
              <w:t>持所得收入</w:t>
            </w:r>
            <w:r>
              <w:rPr>
                <w:rFonts w:ascii="宋体" w:hAnsi="宋体" w:cs="宋体" w:eastAsia="宋体" w:hint="default"/>
                <w:w w:val="99"/>
                <w:sz w:val="18"/>
                <w:szCs w:val="18"/>
              </w:rPr>
              <w:t> </w:t>
            </w:r>
            <w:r>
              <w:rPr>
                <w:rFonts w:ascii="宋体" w:hAnsi="宋体" w:cs="宋体" w:eastAsia="宋体" w:hint="default"/>
                <w:sz w:val="18"/>
                <w:szCs w:val="18"/>
              </w:rPr>
              <w:t>归发行人所</w:t>
            </w:r>
            <w:r>
              <w:rPr>
                <w:rFonts w:ascii="宋体" w:hAnsi="宋体" w:cs="宋体" w:eastAsia="宋体" w:hint="default"/>
                <w:w w:val="99"/>
                <w:sz w:val="18"/>
                <w:szCs w:val="18"/>
              </w:rPr>
              <w:t> </w:t>
            </w:r>
            <w:r>
              <w:rPr>
                <w:rFonts w:ascii="宋体" w:hAnsi="宋体" w:cs="宋体" w:eastAsia="宋体" w:hint="default"/>
                <w:sz w:val="18"/>
                <w:szCs w:val="18"/>
              </w:rPr>
              <w:t>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left"/>
              <w:rPr>
                <w:rFonts w:ascii="宋体" w:hAnsi="宋体" w:cs="宋体" w:eastAsia="宋体" w:hint="default"/>
                <w:sz w:val="18"/>
                <w:szCs w:val="18"/>
              </w:rPr>
            </w:pPr>
            <w:r>
              <w:rPr>
                <w:rFonts w:ascii="宋体" w:hAnsi="宋体" w:cs="宋体" w:eastAsia="宋体" w:hint="default"/>
                <w:sz w:val="18"/>
                <w:szCs w:val="18"/>
              </w:rPr>
              <w:t>本人所持发 行人公开发 行股份前已 发行的股份 在锁定期期 满后两年内 减持不超过 本人所持股 份数的 </w:t>
            </w:r>
            <w:r>
              <w:rPr>
                <w:rFonts w:ascii="Times New Roman" w:hAnsi="Times New Roman" w:cs="Times New Roman" w:eastAsia="Times New Roman" w:hint="default"/>
                <w:sz w:val="18"/>
                <w:szCs w:val="18"/>
              </w:rPr>
              <w:t>40%</w:t>
            </w:r>
            <w:r>
              <w:rPr>
                <w:rFonts w:ascii="宋体" w:hAnsi="宋体" w:cs="宋体" w:eastAsia="宋体" w:hint="default"/>
                <w:sz w:val="18"/>
                <w:szCs w:val="18"/>
              </w:rPr>
              <w:t>；本人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59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减持时，将 提前五个交 易日向发行 人提交减持 原因、减持 数量、未来 减持计划、 减持对发行 人治理结构 及持续经营 影响的说 明，并由发 行人在减持 前三个交易 日予以公 告；减持将 通过证券交 易所集中竞 价交易系 统、大宗交 易系统等方 式进行并且 本人承诺减 持价格（指 复权后的价 格</w:t>
            </w:r>
            <w:r>
              <w:rPr>
                <w:rFonts w:ascii="Times New Roman" w:hAnsi="Times New Roman" w:cs="Times New Roman" w:eastAsia="Times New Roman" w:hint="default"/>
                <w:sz w:val="18"/>
                <w:szCs w:val="18"/>
              </w:rPr>
              <w:t>)</w:t>
            </w:r>
            <w:r>
              <w:rPr>
                <w:rFonts w:ascii="宋体" w:hAnsi="宋体" w:cs="宋体" w:eastAsia="宋体" w:hint="default"/>
                <w:sz w:val="18"/>
                <w:szCs w:val="18"/>
              </w:rPr>
              <w:t>不低于 发行价，若 低于发行价 的，本人的 减持所得收 入归发行人 所有。本人 不因职务变 更或离职等 主观原因而 放弃履行此 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00" w:lineRule="auto"/>
              <w:ind w:left="103" w:right="239"/>
              <w:jc w:val="both"/>
              <w:rPr>
                <w:rFonts w:ascii="宋体" w:hAnsi="宋体" w:cs="宋体" w:eastAsia="宋体" w:hint="default"/>
                <w:sz w:val="18"/>
                <w:szCs w:val="18"/>
              </w:rPr>
            </w:pPr>
            <w:r>
              <w:rPr>
                <w:rFonts w:ascii="宋体" w:hAnsi="宋体" w:cs="宋体" w:eastAsia="宋体" w:hint="default"/>
                <w:sz w:val="18"/>
                <w:szCs w:val="18"/>
              </w:rPr>
              <w:t>李志卿</w:t>
            </w:r>
            <w:r>
              <w:rPr>
                <w:rFonts w:ascii="Times New Roman" w:hAnsi="Times New Roman" w:cs="Times New Roman" w:eastAsia="Times New Roman" w:hint="default"/>
                <w:sz w:val="18"/>
                <w:szCs w:val="18"/>
              </w:rPr>
              <w:t>;</w:t>
            </w:r>
            <w:r>
              <w:rPr>
                <w:rFonts w:ascii="宋体" w:hAnsi="宋体" w:cs="宋体" w:eastAsia="宋体" w:hint="default"/>
                <w:sz w:val="18"/>
                <w:szCs w:val="18"/>
              </w:rPr>
              <w:t>刘 理洲</w:t>
            </w:r>
            <w:r>
              <w:rPr>
                <w:rFonts w:ascii="Times New Roman" w:hAnsi="Times New Roman" w:cs="Times New Roman" w:eastAsia="Times New Roman" w:hint="default"/>
                <w:sz w:val="18"/>
                <w:szCs w:val="18"/>
              </w:rPr>
              <w:t>;</w:t>
            </w:r>
            <w:r>
              <w:rPr>
                <w:rFonts w:ascii="宋体" w:hAnsi="宋体" w:cs="宋体" w:eastAsia="宋体" w:hint="default"/>
                <w:sz w:val="18"/>
                <w:szCs w:val="18"/>
              </w:rPr>
              <w:t>杨安 荣</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自信息发展 股票在深圳 证券交易所 创业板上市 之日起十二 个月后，本 人在担任公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司的董事、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管理人员期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间，每年转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超过本人所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持有信息发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职后半年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本人所持有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之日起六个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月内申报离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起十八个月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内不转让本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股份；在信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息发展首次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起第七个月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至第十二个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离职的，自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申报离职之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日起十二个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月内不转让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有的信息发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展股份。发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行人上市后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六个月内如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发行人股票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连续二十个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盘价（指复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权后的价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格，下同）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均低于发行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价，本人持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有的发行人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定期限将自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动延长六个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月。在延长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理其直接或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由发行人回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购其直接或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者间接持有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的发行人公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前已发行的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股份。本人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不因职务变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更或离职等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主观原因而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放弃履行此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所持发行人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份前已发行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的股份在上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述锁定期期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减持，本人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4731"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承诺减持价 格（指复权 后的价格） 不低于发行 价，若低于 发行价的， 本人的减持 所得收入归 发行人所 有。本人不 因职务变更 或离职等主 观原因而放 弃履行此承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103" w:right="108"/>
              <w:jc w:val="both"/>
              <w:rPr>
                <w:rFonts w:ascii="宋体" w:hAnsi="宋体" w:cs="宋体" w:eastAsia="宋体" w:hint="default"/>
                <w:sz w:val="18"/>
                <w:szCs w:val="18"/>
              </w:rPr>
            </w:pPr>
            <w:r>
              <w:rPr>
                <w:rFonts w:ascii="宋体" w:hAnsi="宋体" w:cs="宋体" w:eastAsia="宋体" w:hint="default"/>
                <w:sz w:val="18"/>
                <w:szCs w:val="18"/>
              </w:rPr>
              <w:t>上海中信电 子发展有限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105"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）本公 司目前没 有、将来也 不直接或间 接从事与发 行人及其控 股或实际控 制的子公司 现有及将来 从事的业务 构成同业竞 争的任何活 动，并愿意 对违反上述 承诺而给发 行人造成的 经济损失承 担赔偿责 </w:t>
            </w:r>
            <w:r>
              <w:rPr>
                <w:rFonts w:ascii="宋体" w:hAnsi="宋体" w:cs="宋体" w:eastAsia="宋体" w:hint="default"/>
                <w:spacing w:val="-16"/>
                <w:sz w:val="18"/>
                <w:szCs w:val="18"/>
              </w:rPr>
              <w:t>任。（</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w:t>
            </w:r>
            <w:r>
              <w:rPr>
                <w:rFonts w:ascii="宋体" w:hAnsi="宋体" w:cs="宋体" w:eastAsia="宋体" w:hint="default"/>
                <w:spacing w:val="-85"/>
                <w:sz w:val="18"/>
                <w:szCs w:val="18"/>
              </w:rPr>
              <w:t> </w:t>
            </w:r>
            <w:r>
              <w:rPr>
                <w:rFonts w:ascii="宋体" w:hAnsi="宋体" w:cs="宋体" w:eastAsia="宋体" w:hint="default"/>
                <w:sz w:val="18"/>
                <w:szCs w:val="18"/>
              </w:rPr>
              <w:t>于本公司直 接和间接控 制</w:t>
            </w:r>
            <w:r>
              <w:rPr>
                <w:rFonts w:ascii="Times New Roman" w:hAnsi="Times New Roman" w:cs="Times New Roman" w:eastAsia="Times New Roman" w:hint="default"/>
                <w:sz w:val="18"/>
                <w:szCs w:val="18"/>
              </w:rPr>
              <w:t>/</w:t>
            </w:r>
            <w:r>
              <w:rPr>
                <w:rFonts w:ascii="宋体" w:hAnsi="宋体" w:cs="宋体" w:eastAsia="宋体" w:hint="default"/>
                <w:sz w:val="18"/>
                <w:szCs w:val="18"/>
              </w:rPr>
              <w:t>控股的 其他企业， 本公司将通 过派出机构 和人员（包 括但不限于 董事、总经 理等）以及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003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宋体" w:hAnsi="宋体" w:cs="宋体" w:eastAsia="宋体" w:hint="default"/>
                <w:sz w:val="18"/>
                <w:szCs w:val="18"/>
              </w:rPr>
            </w:pPr>
            <w:r>
              <w:rPr>
                <w:rFonts w:ascii="宋体" w:hAnsi="宋体" w:cs="宋体" w:eastAsia="宋体" w:hint="default"/>
                <w:sz w:val="18"/>
                <w:szCs w:val="18"/>
              </w:rPr>
              <w:t>本公司在该 等企业中的 控股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 地位，保证 该等企业履 行本承诺函 中与本公司 相同的义 务，保证该 等企业不与 发行人进行 同业竞争， 本公司并愿 意对违反上 述承诺而给 发行人造成 的经济损失 承担全部连 带的赔偿责 </w:t>
            </w:r>
            <w:r>
              <w:rPr>
                <w:rFonts w:ascii="宋体" w:hAnsi="宋体" w:cs="宋体" w:eastAsia="宋体" w:hint="default"/>
                <w:spacing w:val="-16"/>
                <w:sz w:val="18"/>
                <w:szCs w:val="18"/>
              </w:rPr>
              <w:t>任。（</w:t>
            </w: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）在</w:t>
            </w:r>
            <w:r>
              <w:rPr>
                <w:rFonts w:ascii="宋体" w:hAnsi="宋体" w:cs="宋体" w:eastAsia="宋体" w:hint="default"/>
                <w:spacing w:val="-85"/>
                <w:sz w:val="18"/>
                <w:szCs w:val="18"/>
              </w:rPr>
              <w:t> </w:t>
            </w:r>
            <w:r>
              <w:rPr>
                <w:rFonts w:ascii="宋体" w:hAnsi="宋体" w:cs="宋体" w:eastAsia="宋体" w:hint="default"/>
                <w:sz w:val="18"/>
                <w:szCs w:val="18"/>
              </w:rPr>
              <w:t>本公司及本 公司所控制 的其他公司 与发行人存 在关联关系 期间或本公 司构成发行 人的控股股 东期间，本 承诺函对本 公司持续有 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105"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①本人目 前没有、将 来也不直接 或间接从事 与发行人及 其控股或实 际控制的子 公司现有及 将来从事的 业务构成同 业竞争的任 何活动，并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愿意对违反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上述承诺而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给发行人造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成的经济损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失承担赔偿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责任。②对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于本人直接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和间接控制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控股的其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他企业，本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人将通过派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出机构和人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员（包括但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不限于董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事、总经理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等）以及本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人在该等企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业中的控股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控制地位，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保证该等企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业履行本承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诺函中与本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人相同的义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务，保证该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等企业不与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发行人进行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本人并愿意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承诺而给发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行人造成的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经济损失承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担全部连带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的赔偿责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任。③在本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人存在关联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关系期间或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本人构成发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行人的实际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控制人期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函对本人持 续有效。</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103" w:right="108"/>
              <w:jc w:val="both"/>
              <w:rPr>
                <w:rFonts w:ascii="宋体" w:hAnsi="宋体" w:cs="宋体" w:eastAsia="宋体" w:hint="default"/>
                <w:sz w:val="18"/>
                <w:szCs w:val="18"/>
              </w:rPr>
            </w:pPr>
            <w:r>
              <w:rPr>
                <w:rFonts w:ascii="宋体" w:hAnsi="宋体" w:cs="宋体" w:eastAsia="宋体" w:hint="default"/>
                <w:sz w:val="18"/>
                <w:szCs w:val="18"/>
              </w:rPr>
              <w:t>上海中信电 子发展有限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5"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）除已 经向相关中 介机构书面 披露的关联 交易以外， 本公司以及 下属全资、 控股子公司 及其他可实 际控制企业</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（以下简称 “附属企 </w:t>
            </w:r>
            <w:r>
              <w:rPr>
                <w:rFonts w:ascii="宋体" w:hAnsi="宋体" w:cs="宋体" w:eastAsia="宋体" w:hint="default"/>
                <w:spacing w:val="-29"/>
                <w:sz w:val="18"/>
                <w:szCs w:val="18"/>
              </w:rPr>
              <w:t>业”）与信息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发展之间现 时不存在其 他任何依照 法律法规和 中国证监会 的有关规定 应披露而未 披露的关联 </w:t>
            </w:r>
            <w:r>
              <w:rPr>
                <w:rFonts w:ascii="宋体" w:hAnsi="宋体" w:cs="宋体" w:eastAsia="宋体" w:hint="default"/>
                <w:spacing w:val="-16"/>
                <w:sz w:val="18"/>
                <w:szCs w:val="18"/>
              </w:rPr>
              <w:t>交易；（</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在本公司作 为信息发展 控股股东期 间，本公司 及附属企业 将尽量避 免、减少与 信息发展发 生关联交 易。如因客 观情况导致 必要的关联 交易无法避 免的，本公 司及附属企 业将严格遵 守法律法规 及中国证监 会和《上海 中信信息发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展股份有限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《上海中信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信息发展股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理办法》等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相关制度的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规定，按照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公平</w:t>
            </w:r>
            <w:r>
              <w:rPr>
                <w:rFonts w:ascii="宋体" w:hAnsi="宋体" w:cs="宋体" w:eastAsia="宋体" w:hint="default"/>
                <w:spacing w:val="-80"/>
                <w:sz w:val="18"/>
                <w:szCs w:val="18"/>
              </w:rPr>
              <w:t>、</w:t>
            </w:r>
            <w:r>
              <w:rPr>
                <w:rFonts w:ascii="宋体" w:hAnsi="宋体" w:cs="宋体" w:eastAsia="宋体" w:hint="default"/>
                <w:sz w:val="18"/>
                <w:szCs w:val="18"/>
              </w:rPr>
              <w:t>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合理、通常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的商业准则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本公司承诺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不利用信息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发展控股股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东地位，损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害信息发展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及其他股东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的合法利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本公司从事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业务有竞争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或活动，本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公司将转让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竞业业务，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停止竞业活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动，或由发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行人收购相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关业务或活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动的成果；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若本公司不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停止已存在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的或潜在的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侵害，或本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易中未按照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公平</w:t>
            </w:r>
            <w:r>
              <w:rPr>
                <w:rFonts w:ascii="宋体" w:hAnsi="宋体" w:cs="宋体" w:eastAsia="宋体" w:hint="default"/>
                <w:spacing w:val="-80"/>
                <w:sz w:val="18"/>
                <w:szCs w:val="18"/>
              </w:rPr>
              <w:t>、</w:t>
            </w:r>
            <w:r>
              <w:rPr>
                <w:rFonts w:ascii="宋体" w:hAnsi="宋体" w:cs="宋体" w:eastAsia="宋体" w:hint="default"/>
                <w:sz w:val="18"/>
                <w:szCs w:val="18"/>
              </w:rPr>
              <w:t>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公正的原则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给发行人造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504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成损失，由 发行人将预 计损失从当 年或以后年 度分配给本 公司的分红 中扣除</w:t>
            </w:r>
            <w:r>
              <w:rPr>
                <w:rFonts w:ascii="Times New Roman" w:hAnsi="Times New Roman" w:cs="Times New Roman" w:eastAsia="Times New Roman" w:hint="default"/>
                <w:sz w:val="18"/>
                <w:szCs w:val="18"/>
              </w:rPr>
              <w:t>,</w:t>
            </w:r>
            <w:r>
              <w:rPr>
                <w:rFonts w:ascii="宋体" w:hAnsi="宋体" w:cs="宋体" w:eastAsia="宋体" w:hint="default"/>
                <w:sz w:val="18"/>
                <w:szCs w:val="18"/>
              </w:rPr>
              <w:t>并 归发行人所 有。本公司 以直接和间 接所持发行 人的全部股 份对上述承 诺提供连带 责任保证担 保。</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105" w:right="110"/>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）除已 经向相关中 介机构书面 披露的关联 交易以外， 本人以及下 属全资、控 股子公司及 其他可实际 控制企业</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（以下简称 “附属企 </w:t>
            </w:r>
            <w:r>
              <w:rPr>
                <w:rFonts w:ascii="宋体" w:hAnsi="宋体" w:cs="宋体" w:eastAsia="宋体" w:hint="default"/>
                <w:spacing w:val="-29"/>
                <w:sz w:val="18"/>
                <w:szCs w:val="18"/>
              </w:rPr>
              <w:t>业”）与信息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发展之间现 时不存在其 他任何依照 法律法规和 中国证监会 的有关规定 应披露而未 披露的关联 </w:t>
            </w:r>
            <w:r>
              <w:rPr>
                <w:rFonts w:ascii="宋体" w:hAnsi="宋体" w:cs="宋体" w:eastAsia="宋体" w:hint="default"/>
                <w:spacing w:val="-16"/>
                <w:sz w:val="18"/>
                <w:szCs w:val="18"/>
              </w:rPr>
              <w:t>交易。（</w:t>
            </w: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在本人作为 信息发展实 际控制人期 间，本人及 附属企业将 尽量避免、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减少与信息</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发展发生关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联交易。如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因客观情况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导致必要的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法避免的，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本人及附属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企业将严格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遵守法律法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规及中国证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监会和《上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海中信信息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发展股份有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程</w:t>
            </w:r>
            <w:r>
              <w:rPr>
                <w:rFonts w:ascii="宋体" w:hAnsi="宋体" w:cs="宋体" w:eastAsia="宋体" w:hint="default"/>
                <w:spacing w:val="-92"/>
                <w:sz w:val="18"/>
                <w:szCs w:val="18"/>
              </w:rPr>
              <w:t>》、</w:t>
            </w:r>
            <w:r>
              <w:rPr>
                <w:rFonts w:ascii="宋体" w:hAnsi="宋体" w:cs="宋体" w:eastAsia="宋体" w:hint="default"/>
                <w:sz w:val="18"/>
                <w:szCs w:val="18"/>
              </w:rPr>
              <w:t>《上海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中信信息发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易管理办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法》等相关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制度的规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定，按照公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平、公允、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合理、通常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的商业准则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进行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本人承诺不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利用信息发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展实际控制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人及股东地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位，损害信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息发展及其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他股东的合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法利益</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若本人从事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与发行人的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业务有竞争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或活动，本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人将转让竞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业业务，停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止竞业活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941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0"/>
              <w:jc w:val="left"/>
              <w:rPr>
                <w:rFonts w:ascii="Times New Roman" w:hAnsi="Times New Roman" w:cs="Times New Roman" w:eastAsia="Times New Roman" w:hint="default"/>
                <w:sz w:val="18"/>
                <w:szCs w:val="18"/>
              </w:rPr>
            </w:pPr>
            <w:r>
              <w:rPr>
                <w:rFonts w:ascii="宋体" w:hAnsi="宋体" w:cs="宋体" w:eastAsia="宋体" w:hint="default"/>
                <w:sz w:val="18"/>
                <w:szCs w:val="18"/>
              </w:rPr>
              <w:t>动，或由发 行人收购相 关业务或活 动的成果； 若本人不停 止已存在的 或潜在的侵 害，或本人 与发行人的 关联交易中 未按照公 平、公开、 公正的原则 给发行人造 成损失，由 发行人将预 计损失从当 年或以后年 度分配给本 人的分红中 扣除，并归 发行人所 有。本人以 直接和间接 所持发行人 的全部股份 对上述承诺 提供连带责 任保证担 保。</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41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3"/>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扣除非经常 性损益后的 净利润为固 定基数，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年扣 除非经常性 损益和股份 支付费用影 响后的净利 润增长率不 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；以</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年扣 除非经常性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91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9"/>
              <w:jc w:val="left"/>
              <w:rPr>
                <w:rFonts w:ascii="宋体" w:hAnsi="宋体" w:cs="宋体" w:eastAsia="宋体" w:hint="default"/>
                <w:sz w:val="18"/>
                <w:szCs w:val="18"/>
              </w:rPr>
            </w:pPr>
            <w:r>
              <w:rPr>
                <w:rFonts w:ascii="宋体" w:hAnsi="宋体" w:cs="宋体" w:eastAsia="宋体" w:hint="default"/>
                <w:sz w:val="18"/>
                <w:szCs w:val="18"/>
              </w:rPr>
              <w:t>损益后的净 利润为固定 基数，</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年扣除非经 常性损益和 股份支付费 用影响后的 净利润增长 率不低 </w:t>
            </w:r>
            <w:r>
              <w:rPr>
                <w:rFonts w:ascii="Times New Roman" w:hAnsi="Times New Roman" w:cs="Times New Roman" w:eastAsia="Times New Roman" w:hint="default"/>
                <w:sz w:val="18"/>
                <w:szCs w:val="18"/>
              </w:rPr>
              <w:t>30%</w:t>
            </w:r>
            <w:r>
              <w:rPr>
                <w:rFonts w:ascii="宋体" w:hAnsi="宋体" w:cs="宋体" w:eastAsia="宋体" w:hint="default"/>
                <w:sz w:val="18"/>
                <w:szCs w:val="18"/>
              </w:rPr>
              <w:t>；以</w:t>
            </w:r>
          </w:p>
          <w:p>
            <w:pPr>
              <w:pStyle w:val="TableParagraph"/>
              <w:spacing w:line="314" w:lineRule="auto"/>
              <w:ind w:left="103"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年扣 除非经常性 损益后的净 利润为固定 基数，</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年扣除非经 常性损益和 股份支付费 用影响后的 净利润增长 率不低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1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0"/>
              <w:jc w:val="left"/>
              <w:rPr>
                <w:rFonts w:ascii="宋体" w:hAnsi="宋体" w:cs="宋体" w:eastAsia="宋体" w:hint="default"/>
                <w:sz w:val="18"/>
                <w:szCs w:val="18"/>
              </w:rPr>
            </w:pPr>
            <w:r>
              <w:rPr>
                <w:rFonts w:ascii="宋体" w:hAnsi="宋体" w:cs="宋体" w:eastAsia="宋体" w:hint="default"/>
                <w:sz w:val="18"/>
                <w:szCs w:val="18"/>
              </w:rPr>
              <w:t>本人在担任 公司的董 事、监事、 高级管理人 员期间，每 年转让的股 份不超过本 人所持有信 息发展股份 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 后半年内， 不转让本人 所持有的信 息发展股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2"/>
              <w:jc w:val="left"/>
              <w:rPr>
                <w:rFonts w:ascii="宋体" w:hAnsi="宋体" w:cs="宋体" w:eastAsia="宋体" w:hint="default"/>
                <w:sz w:val="18"/>
                <w:szCs w:val="18"/>
              </w:rPr>
            </w:pPr>
            <w:r>
              <w:rPr>
                <w:rFonts w:ascii="宋体" w:hAnsi="宋体" w:cs="宋体" w:eastAsia="宋体" w:hint="default"/>
                <w:spacing w:val="-6"/>
                <w:sz w:val="18"/>
                <w:szCs w:val="18"/>
              </w:rPr>
              <w:t>如承诺超期未履行完毕的，应当详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细说明未完成履行的具体原因及 下一步的工作计划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Times New Roman" w:hAnsi="Times New Roman" w:cs="Times New Roman" w:eastAsia="Times New Roman" w:hint="default"/>
          <w:sz w:val="24"/>
          <w:szCs w:val="24"/>
        </w:rPr>
      </w:pPr>
    </w:p>
    <w:p>
      <w:pPr>
        <w:pStyle w:val="Heading6"/>
        <w:spacing w:line="259" w:lineRule="auto" w:before="36"/>
        <w:ind w:right="1133"/>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49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4"/>
        <w:spacing w:line="240" w:lineRule="auto"/>
        <w:ind w:right="1133"/>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4"/>
        <w:spacing w:line="240" w:lineRule="auto"/>
        <w:ind w:right="1116"/>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256" w:lineRule="auto" w:before="96"/>
        <w:ind w:right="1129"/>
        <w:jc w:val="both"/>
      </w:pPr>
      <w:r>
        <w:rPr/>
        <w:t>（</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年度一般企业财务报表格式的通知》和《关于修订印</w:t>
      </w:r>
      <w:r>
        <w:rPr>
          <w:spacing w:val="-38"/>
        </w:rPr>
        <w:t> </w:t>
      </w:r>
      <w:r>
        <w:rPr>
          <w:spacing w:val="-38"/>
        </w:rPr>
      </w:r>
      <w:r>
        <w:rPr/>
        <w:t>发合并财务报表格式（</w:t>
      </w:r>
      <w:r>
        <w:rPr>
          <w:rFonts w:ascii="Times New Roman" w:hAnsi="Times New Roman" w:cs="Times New Roman" w:eastAsia="Times New Roman" w:hint="default"/>
        </w:rPr>
        <w:t>2019</w:t>
      </w:r>
      <w:r>
        <w:rPr/>
        <w:t>版）的通知》</w:t>
      </w:r>
    </w:p>
    <w:p>
      <w:pPr>
        <w:pStyle w:val="BodyText"/>
        <w:spacing w:line="256" w:lineRule="auto" w:before="5"/>
        <w:ind w:right="1126"/>
        <w:jc w:val="both"/>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45"/>
        </w:rPr>
        <w:t> </w:t>
      </w:r>
      <w:r>
        <w:rPr/>
        <w:t>发布了《关于修订印发</w:t>
      </w:r>
      <w:r>
        <w:rPr>
          <w:rFonts w:ascii="Times New Roman" w:hAnsi="Times New Roman" w:cs="Times New Roman" w:eastAsia="Times New Roman" w:hint="default"/>
        </w:rPr>
        <w:t>2019</w:t>
      </w:r>
      <w:r>
        <w:rPr/>
        <w:t>年度一般企业财</w:t>
      </w:r>
      <w:r>
        <w:rPr>
          <w:spacing w:val="-91"/>
        </w:rPr>
        <w:t> </w:t>
      </w:r>
      <w:r>
        <w:rPr>
          <w:spacing w:val="-91"/>
        </w:rPr>
      </w:r>
      <w:r>
        <w:rPr>
          <w:spacing w:val="-5"/>
          <w:w w:val="100"/>
        </w:rPr>
        <w:t>务报表格式的通知》（财会（</w:t>
      </w:r>
      <w:r>
        <w:rPr>
          <w:rFonts w:ascii="Times New Roman" w:hAnsi="Times New Roman" w:cs="Times New Roman" w:eastAsia="Times New Roman" w:hint="default"/>
          <w:spacing w:val="-5"/>
          <w:w w:val="100"/>
        </w:rPr>
        <w:t>2019</w:t>
      </w:r>
      <w:r>
        <w:rPr>
          <w:spacing w:val="-5"/>
          <w:w w:val="100"/>
        </w:rPr>
        <w:t>）</w:t>
      </w:r>
      <w:r>
        <w:rPr>
          <w:rFonts w:ascii="Times New Roman" w:hAnsi="Times New Roman" w:cs="Times New Roman" w:eastAsia="Times New Roman" w:hint="default"/>
          <w:spacing w:val="-5"/>
          <w:w w:val="100"/>
        </w:rPr>
        <w:t>6</w:t>
      </w:r>
      <w:r>
        <w:rPr>
          <w:spacing w:val="-5"/>
          <w:w w:val="100"/>
        </w:rPr>
        <w:t>号）和《关于修订印发合并财务报表格式（</w:t>
      </w:r>
      <w:r>
        <w:rPr>
          <w:rFonts w:ascii="Times New Roman" w:hAnsi="Times New Roman" w:cs="Times New Roman" w:eastAsia="Times New Roman" w:hint="default"/>
          <w:spacing w:val="-5"/>
          <w:w w:val="100"/>
        </w:rPr>
        <w:t>2019</w:t>
      </w:r>
      <w:r>
        <w:rPr>
          <w:spacing w:val="-5"/>
          <w:w w:val="100"/>
        </w:rPr>
        <w:t>版）的</w:t>
      </w:r>
      <w:r>
        <w:rPr>
          <w:spacing w:val="-83"/>
          <w:w w:val="100"/>
        </w:rPr>
        <w:t> </w:t>
      </w:r>
      <w:r>
        <w:rPr>
          <w:spacing w:val="-83"/>
          <w:w w:val="100"/>
        </w:rPr>
      </w:r>
      <w:r>
        <w:rPr>
          <w:spacing w:val="-8"/>
          <w:w w:val="100"/>
        </w:rPr>
        <w:t>通知》（财会（</w:t>
      </w:r>
      <w:r>
        <w:rPr>
          <w:rFonts w:ascii="Times New Roman" w:hAnsi="Times New Roman" w:cs="Times New Roman" w:eastAsia="Times New Roman" w:hint="default"/>
          <w:spacing w:val="-8"/>
          <w:w w:val="100"/>
        </w:rPr>
        <w:t>2019</w:t>
      </w:r>
      <w:r>
        <w:rPr>
          <w:spacing w:val="-8"/>
          <w:w w:val="100"/>
        </w:rPr>
        <w:t>）</w:t>
      </w:r>
      <w:r>
        <w:rPr>
          <w:rFonts w:ascii="Times New Roman" w:hAnsi="Times New Roman" w:cs="Times New Roman" w:eastAsia="Times New Roman" w:hint="default"/>
          <w:spacing w:val="-8"/>
          <w:w w:val="100"/>
        </w:rPr>
        <w:t>16</w:t>
      </w:r>
      <w:r>
        <w:rPr>
          <w:spacing w:val="-8"/>
          <w:w w:val="100"/>
        </w:rPr>
        <w:t>号），对一般企业财务报表格式进行了修订。本公司执行上述规定的</w:t>
      </w:r>
      <w:r>
        <w:rPr>
          <w:spacing w:val="-65"/>
          <w:w w:val="100"/>
        </w:rPr>
        <w:t> </w:t>
      </w:r>
      <w:r>
        <w:rPr>
          <w:spacing w:val="-65"/>
          <w:w w:val="100"/>
        </w:rPr>
      </w:r>
      <w:r>
        <w:rPr/>
        <w:t>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6"/>
        <w:ind w:left="0" w:right="2393"/>
        <w:jc w:val="right"/>
      </w:pPr>
      <w:r>
        <w:rPr/>
        <w:pict>
          <v:shape style="position:absolute;margin-left:92.064003pt;margin-top:-49.656296pt;width:378.45pt;height:243.3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42"/>
                    <w:gridCol w:w="2350"/>
                    <w:gridCol w:w="2069"/>
                  </w:tblGrid>
                  <w:tr>
                    <w:trPr>
                      <w:trHeight w:val="355" w:hRule="exact"/>
                    </w:trPr>
                    <w:tc>
                      <w:tcPr>
                        <w:tcW w:w="3142" w:type="dxa"/>
                        <w:vMerge w:val="restart"/>
                        <w:tcBorders>
                          <w:top w:val="single" w:sz="6" w:space="0" w:color="000000"/>
                          <w:left w:val="single" w:sz="6" w:space="0" w:color="000000"/>
                          <w:right w:val="single" w:sz="6" w:space="0" w:color="000000"/>
                        </w:tcBorders>
                      </w:tcPr>
                      <w:p>
                        <w:pPr>
                          <w:pStyle w:val="TableParagraph"/>
                          <w:spacing w:line="274" w:lineRule="exact"/>
                          <w:ind w:left="30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4419" w:type="dxa"/>
                        <w:gridSpan w:val="2"/>
                        <w:tcBorders>
                          <w:top w:val="single" w:sz="6" w:space="0" w:color="000000"/>
                          <w:left w:val="single" w:sz="6" w:space="0" w:color="000000"/>
                          <w:bottom w:val="single" w:sz="12" w:space="0" w:color="000000"/>
                          <w:right w:val="nil" w:sz="6" w:space="0" w:color="auto"/>
                        </w:tcBorders>
                      </w:tcPr>
                      <w:p>
                        <w:pPr>
                          <w:pStyle w:val="TableParagraph"/>
                          <w:spacing w:line="274" w:lineRule="exact"/>
                          <w:ind w:left="835"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350" w:hRule="exact"/>
                    </w:trPr>
                    <w:tc>
                      <w:tcPr>
                        <w:tcW w:w="3142" w:type="dxa"/>
                        <w:vMerge/>
                        <w:tcBorders>
                          <w:left w:val="single" w:sz="6" w:space="0" w:color="000000"/>
                          <w:bottom w:val="single" w:sz="12" w:space="0" w:color="000000"/>
                          <w:right w:val="single" w:sz="6" w:space="0" w:color="000000"/>
                        </w:tcBorders>
                      </w:tcPr>
                      <w:p>
                        <w:pP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206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785" w:hRule="exact"/>
                    </w:trPr>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）资产负债表中“应收票据及</w:t>
                        </w:r>
                        <w:r>
                          <w:rPr>
                            <w:rFonts w:ascii="宋体" w:hAnsi="宋体" w:cs="宋体" w:eastAsia="宋体" w:hint="default"/>
                            <w:w w:val="100"/>
                            <w:sz w:val="21"/>
                            <w:szCs w:val="21"/>
                          </w:rPr>
                          <w:t> </w:t>
                        </w:r>
                        <w:r>
                          <w:rPr>
                            <w:rFonts w:ascii="宋体" w:hAnsi="宋体" w:cs="宋体" w:eastAsia="宋体" w:hint="default"/>
                            <w:spacing w:val="-4"/>
                            <w:sz w:val="21"/>
                            <w:szCs w:val="21"/>
                          </w:rPr>
                          <w:t>应收账款”拆分为“应收票据”和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“应收账款”列示；“应付票据及</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应付账款”拆分为“应付票据”和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“应付账款”列示；比较数据相应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调整。</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w w:val="100"/>
                            <w:sz w:val="21"/>
                            <w:szCs w:val="21"/>
                          </w:rPr>
                          <w:t> </w:t>
                        </w:r>
                        <w:r>
                          <w:rPr>
                            <w:rFonts w:ascii="宋体" w:hAnsi="宋体" w:cs="宋体" w:eastAsia="宋体" w:hint="default"/>
                            <w:spacing w:val="-17"/>
                            <w:sz w:val="21"/>
                            <w:szCs w:val="21"/>
                          </w:rPr>
                          <w:t>拆分为“应收票据”和“应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w w:val="100"/>
                            <w:sz w:val="21"/>
                            <w:szCs w:val="21"/>
                          </w:rPr>
                          <w:t>收账款”，年初余额无影</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响；</w:t>
                        </w:r>
                        <w:r>
                          <w:rPr>
                            <w:rFonts w:ascii="宋体" w:hAnsi="宋体" w:cs="宋体" w:eastAsia="宋体" w:hint="default"/>
                            <w:spacing w:val="-103"/>
                            <w:sz w:val="21"/>
                            <w:szCs w:val="21"/>
                          </w:rPr>
                          <w:t> </w:t>
                        </w:r>
                        <w:r>
                          <w:rPr>
                            <w:rFonts w:ascii="宋体" w:hAnsi="宋体" w:cs="宋体" w:eastAsia="宋体" w:hint="default"/>
                            <w:sz w:val="21"/>
                            <w:szCs w:val="21"/>
                          </w:rPr>
                          <w:t>“应付票据及应付账款”</w:t>
                        </w:r>
                        <w:r>
                          <w:rPr>
                            <w:rFonts w:ascii="宋体" w:hAnsi="宋体" w:cs="宋体" w:eastAsia="宋体" w:hint="default"/>
                            <w:w w:val="100"/>
                            <w:sz w:val="21"/>
                            <w:szCs w:val="21"/>
                          </w:rPr>
                          <w:t> </w:t>
                        </w:r>
                        <w:r>
                          <w:rPr>
                            <w:rFonts w:ascii="宋体" w:hAnsi="宋体" w:cs="宋体" w:eastAsia="宋体" w:hint="default"/>
                            <w:spacing w:val="-17"/>
                            <w:sz w:val="21"/>
                            <w:szCs w:val="21"/>
                          </w:rPr>
                          <w:t>拆分为“应付票据”和“应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9"/>
                            <w:w w:val="100"/>
                            <w:sz w:val="21"/>
                            <w:szCs w:val="21"/>
                          </w:rPr>
                          <w:t>付账款”，“应付票据”上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年年末余额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49,375,341.80</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“应</w:t>
                        </w:r>
                      </w:p>
                      <w:p>
                        <w:pPr>
                          <w:pStyle w:val="TableParagraph"/>
                          <w:spacing w:line="273" w:lineRule="auto" w:before="7"/>
                          <w:ind w:left="2" w:right="228"/>
                          <w:jc w:val="left"/>
                          <w:rPr>
                            <w:rFonts w:ascii="宋体" w:hAnsi="宋体" w:cs="宋体" w:eastAsia="宋体" w:hint="default"/>
                            <w:sz w:val="21"/>
                            <w:szCs w:val="21"/>
                          </w:rPr>
                        </w:pPr>
                        <w:r>
                          <w:rPr>
                            <w:rFonts w:ascii="宋体" w:hAnsi="宋体" w:cs="宋体" w:eastAsia="宋体" w:hint="default"/>
                            <w:sz w:val="21"/>
                            <w:szCs w:val="21"/>
                          </w:rPr>
                          <w:t>付账款”上年年末余额</w:t>
                        </w:r>
                        <w:r>
                          <w:rPr>
                            <w:rFonts w:ascii="宋体" w:hAnsi="宋体" w:cs="宋体" w:eastAsia="宋体" w:hint="default"/>
                            <w:w w:val="100"/>
                            <w:sz w:val="21"/>
                            <w:szCs w:val="21"/>
                          </w:rPr>
                          <w:t> </w:t>
                        </w:r>
                        <w:r>
                          <w:rPr>
                            <w:rFonts w:ascii="宋体" w:hAnsi="宋体" w:cs="宋体" w:eastAsia="宋体" w:hint="default"/>
                            <w:sz w:val="21"/>
                            <w:szCs w:val="21"/>
                          </w:rPr>
                          <w:t>178,913,005.63</w:t>
                        </w:r>
                        <w:r>
                          <w:rPr>
                            <w:rFonts w:ascii="宋体" w:hAnsi="宋体" w:cs="宋体" w:eastAsia="宋体" w:hint="default"/>
                            <w:sz w:val="21"/>
                            <w:szCs w:val="21"/>
                          </w:rPr>
                          <w:t>元。</w:t>
                        </w:r>
                      </w:p>
                    </w:tc>
                    <w:tc>
                      <w:tcPr>
                        <w:tcW w:w="206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pacing w:val="-17"/>
                            <w:sz w:val="21"/>
                            <w:szCs w:val="21"/>
                          </w:rPr>
                          <w:t>款”拆分为“应收票据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2"/>
                            <w:w w:val="100"/>
                            <w:sz w:val="21"/>
                            <w:szCs w:val="21"/>
                          </w:rPr>
                          <w:t>和“应收账款”，年初</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余额无影响；</w:t>
                        </w:r>
                        <w:r>
                          <w:rPr>
                            <w:rFonts w:ascii="宋体" w:hAnsi="宋体" w:cs="宋体" w:eastAsia="宋体" w:hint="default"/>
                            <w:w w:val="100"/>
                            <w:sz w:val="21"/>
                            <w:szCs w:val="21"/>
                          </w:rPr>
                          <w:t> </w:t>
                        </w:r>
                        <w:r>
                          <w:rPr>
                            <w:rFonts w:ascii="宋体" w:hAnsi="宋体" w:cs="宋体" w:eastAsia="宋体" w:hint="default"/>
                            <w:sz w:val="21"/>
                            <w:szCs w:val="21"/>
                          </w:rPr>
                          <w:t>“应付票据及应付账</w:t>
                        </w:r>
                        <w:r>
                          <w:rPr>
                            <w:rFonts w:ascii="宋体" w:hAnsi="宋体" w:cs="宋体" w:eastAsia="宋体" w:hint="default"/>
                            <w:w w:val="100"/>
                            <w:sz w:val="21"/>
                            <w:szCs w:val="21"/>
                          </w:rPr>
                          <w:t> </w:t>
                        </w:r>
                        <w:r>
                          <w:rPr>
                            <w:rFonts w:ascii="宋体" w:hAnsi="宋体" w:cs="宋体" w:eastAsia="宋体" w:hint="default"/>
                            <w:spacing w:val="-17"/>
                            <w:sz w:val="21"/>
                            <w:szCs w:val="21"/>
                          </w:rPr>
                          <w:t>款”拆分为“应付票据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6"/>
                            <w:w w:val="100"/>
                            <w:sz w:val="21"/>
                            <w:szCs w:val="21"/>
                          </w:rPr>
                          <w:t>和“应付账款”，“应付</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票据”上年年末余额</w:t>
                        </w:r>
                        <w:r>
                          <w:rPr>
                            <w:rFonts w:ascii="宋体" w:hAnsi="宋体" w:cs="宋体" w:eastAsia="宋体" w:hint="default"/>
                            <w:w w:val="100"/>
                            <w:sz w:val="21"/>
                            <w:szCs w:val="21"/>
                          </w:rPr>
                          <w:t> </w:t>
                        </w:r>
                        <w:r>
                          <w:rPr>
                            <w:rFonts w:ascii="宋体" w:hAnsi="宋体" w:cs="宋体" w:eastAsia="宋体" w:hint="default"/>
                            <w:sz w:val="21"/>
                            <w:szCs w:val="21"/>
                          </w:rPr>
                          <w:t>59,375,341.80</w:t>
                        </w:r>
                        <w:r>
                          <w:rPr>
                            <w:rFonts w:ascii="宋体" w:hAnsi="宋体" w:cs="宋体" w:eastAsia="宋体" w:hint="default"/>
                            <w:sz w:val="21"/>
                            <w:szCs w:val="21"/>
                          </w:rPr>
                          <w:t>元，</w:t>
                        </w:r>
                      </w:p>
                      <w:p>
                        <w:pPr>
                          <w:pStyle w:val="TableParagraph"/>
                          <w:spacing w:line="273" w:lineRule="auto" w:before="7"/>
                          <w:ind w:left="4" w:right="3"/>
                          <w:jc w:val="left"/>
                          <w:rPr>
                            <w:rFonts w:ascii="宋体" w:hAnsi="宋体" w:cs="宋体" w:eastAsia="宋体" w:hint="default"/>
                            <w:sz w:val="21"/>
                            <w:szCs w:val="21"/>
                          </w:rPr>
                        </w:pPr>
                        <w:r>
                          <w:rPr>
                            <w:rFonts w:ascii="宋体" w:hAnsi="宋体" w:cs="宋体" w:eastAsia="宋体" w:hint="default"/>
                            <w:spacing w:val="-7"/>
                            <w:sz w:val="21"/>
                            <w:szCs w:val="21"/>
                          </w:rPr>
                          <w:t>“应付账款”上年年末</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余额</w:t>
                        </w:r>
                        <w:r>
                          <w:rPr>
                            <w:rFonts w:ascii="宋体" w:hAnsi="宋体" w:cs="宋体" w:eastAsia="宋体" w:hint="default"/>
                            <w:sz w:val="21"/>
                            <w:szCs w:val="21"/>
                          </w:rPr>
                          <w:t>139,156,560.17</w:t>
                        </w:r>
                      </w:p>
                      <w:p>
                        <w:pPr>
                          <w:pStyle w:val="TableParagraph"/>
                          <w:spacing w:line="240" w:lineRule="auto" w:before="7"/>
                          <w:ind w:left="4"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353" w:hRule="exact"/>
                    </w:trPr>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）在利润表中投资收益项下新</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14"/>
                          <w:jc w:val="center"/>
                          <w:rPr>
                            <w:rFonts w:ascii="宋体" w:hAnsi="宋体" w:cs="宋体" w:eastAsia="宋体" w:hint="default"/>
                            <w:sz w:val="21"/>
                            <w:szCs w:val="21"/>
                          </w:rPr>
                        </w:pPr>
                        <w:r>
                          <w:rPr>
                            <w:rFonts w:ascii="宋体" w:hAnsi="宋体" w:cs="宋体" w:eastAsia="宋体" w:hint="default"/>
                            <w:spacing w:val="-2"/>
                            <w:sz w:val="21"/>
                            <w:szCs w:val="21"/>
                          </w:rPr>
                          <w:t>“以摊余成本计量的金融</w:t>
                        </w:r>
                      </w:p>
                    </w:tc>
                    <w:tc>
                      <w:tcPr>
                        <w:tcW w:w="206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“以摊余成本计量的</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0" w:right="2393"/>
        <w:jc w:val="right"/>
      </w:pPr>
      <w:r>
        <w:rPr>
          <w:w w:val="100"/>
        </w:rPr>
        <w:t>”</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821" w:type="dxa"/>
        <w:tblLayout w:type="fixed"/>
        <w:tblCellMar>
          <w:top w:w="0" w:type="dxa"/>
          <w:left w:w="0" w:type="dxa"/>
          <w:bottom w:w="0" w:type="dxa"/>
          <w:right w:w="0" w:type="dxa"/>
        </w:tblCellMar>
        <w:tblLook w:val="01E0"/>
      </w:tblPr>
      <w:tblGrid>
        <w:gridCol w:w="3142"/>
        <w:gridCol w:w="2350"/>
        <w:gridCol w:w="2069"/>
      </w:tblGrid>
      <w:tr>
        <w:trPr>
          <w:trHeight w:val="980" w:hRule="exact"/>
        </w:trPr>
        <w:tc>
          <w:tcPr>
            <w:tcW w:w="3142"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pacing w:val="-4"/>
                <w:sz w:val="21"/>
                <w:szCs w:val="21"/>
              </w:rPr>
              <w:t>增“其中：以摊余成本计量的金融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资产终止确认收益”项目。比较数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据不调整。</w:t>
            </w:r>
          </w:p>
        </w:tc>
        <w:tc>
          <w:tcPr>
            <w:tcW w:w="2350"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pacing w:val="-86"/>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发生额及上期发生额无影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2069"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4" w:right="58"/>
              <w:jc w:val="left"/>
              <w:rPr>
                <w:rFonts w:ascii="宋体" w:hAnsi="宋体" w:cs="宋体" w:eastAsia="宋体" w:hint="default"/>
                <w:sz w:val="21"/>
                <w:szCs w:val="21"/>
              </w:rPr>
            </w:pPr>
            <w:r>
              <w:rPr>
                <w:rFonts w:ascii="宋体" w:hAnsi="宋体" w:cs="宋体" w:eastAsia="宋体" w:hint="default"/>
                <w:sz w:val="21"/>
                <w:szCs w:val="21"/>
              </w:rPr>
              <w:t>金融资产终止确认收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1"/>
                <w:sz w:val="21"/>
                <w:szCs w:val="21"/>
              </w:rPr>
              <w:t> </w:t>
            </w:r>
            <w:r>
              <w:rPr>
                <w:rFonts w:ascii="宋体" w:hAnsi="宋体" w:cs="宋体" w:eastAsia="宋体" w:hint="default"/>
                <w:sz w:val="21"/>
                <w:szCs w:val="21"/>
              </w:rPr>
              <w:t>本期发生额及上</w:t>
            </w:r>
            <w:r>
              <w:rPr>
                <w:rFonts w:ascii="宋体" w:hAnsi="宋体" w:cs="宋体" w:eastAsia="宋体" w:hint="default"/>
                <w:w w:val="100"/>
                <w:sz w:val="21"/>
                <w:szCs w:val="21"/>
              </w:rPr>
              <w:t> </w:t>
            </w:r>
            <w:r>
              <w:rPr>
                <w:rFonts w:ascii="宋体" w:hAnsi="宋体" w:cs="宋体" w:eastAsia="宋体" w:hint="default"/>
                <w:sz w:val="21"/>
                <w:szCs w:val="21"/>
              </w:rPr>
              <w:t>期发生额无影响。</w:t>
            </w:r>
          </w:p>
        </w:tc>
      </w:tr>
    </w:tbl>
    <w:p>
      <w:pPr>
        <w:spacing w:line="240" w:lineRule="auto" w:before="2"/>
        <w:rPr>
          <w:rFonts w:ascii="宋体" w:hAnsi="宋体" w:cs="宋体" w:eastAsia="宋体" w:hint="default"/>
          <w:sz w:val="20"/>
          <w:szCs w:val="20"/>
        </w:rPr>
      </w:pPr>
    </w:p>
    <w:p>
      <w:pPr>
        <w:pStyle w:val="BodyText"/>
        <w:spacing w:line="256" w:lineRule="auto" w:before="36"/>
        <w:ind w:left="1373" w:right="1114" w:firstLine="16"/>
        <w:jc w:val="left"/>
      </w:pPr>
      <w:r>
        <w:rPr>
          <w:spacing w:val="2"/>
          <w:w w:val="100"/>
        </w:rPr>
        <w:t>（</w:t>
      </w:r>
      <w:r>
        <w:rPr>
          <w:rFonts w:ascii="Times New Roman" w:hAnsi="Times New Roman" w:cs="Times New Roman" w:eastAsia="Times New Roman" w:hint="default"/>
          <w:w w:val="100"/>
        </w:rPr>
        <w:t>2</w:t>
      </w:r>
      <w:r>
        <w:rPr>
          <w:w w:val="100"/>
        </w:rPr>
        <w:t>）执行</w:t>
      </w:r>
      <w:r>
        <w:rPr>
          <w:spacing w:val="2"/>
          <w:w w:val="100"/>
        </w:rPr>
        <w:t>《</w:t>
      </w:r>
      <w:r>
        <w:rPr>
          <w:w w:val="100"/>
        </w:rPr>
        <w:t>企业会</w:t>
      </w:r>
      <w:r>
        <w:rPr>
          <w:spacing w:val="2"/>
          <w:w w:val="100"/>
        </w:rPr>
        <w:t>计</w:t>
      </w:r>
      <w:r>
        <w:rPr>
          <w:w w:val="100"/>
        </w:rPr>
        <w:t>准则</w:t>
      </w:r>
      <w:r>
        <w:rPr>
          <w:spacing w:val="3"/>
          <w:w w:val="100"/>
        </w:rPr>
        <w:t>第</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spacing w:val="2"/>
          <w:w w:val="100"/>
        </w:rPr>
        <w:t>2</w:t>
      </w:r>
      <w:r>
        <w:rPr>
          <w:w w:val="100"/>
        </w:rPr>
        <w:t>号——金</w:t>
      </w:r>
      <w:r>
        <w:rPr>
          <w:spacing w:val="2"/>
          <w:w w:val="100"/>
        </w:rPr>
        <w:t>融</w:t>
      </w:r>
      <w:r>
        <w:rPr>
          <w:w w:val="100"/>
        </w:rPr>
        <w:t>工具确认和</w:t>
      </w:r>
      <w:r>
        <w:rPr>
          <w:spacing w:val="2"/>
          <w:w w:val="100"/>
        </w:rPr>
        <w:t>计</w:t>
      </w:r>
      <w:r>
        <w:rPr>
          <w:w w:val="100"/>
        </w:rPr>
        <w:t>量</w:t>
      </w:r>
      <w:r>
        <w:rPr>
          <w:spacing w:val="-104"/>
          <w:w w:val="100"/>
        </w:rPr>
        <w:t>》</w:t>
      </w:r>
      <w:r>
        <w:rPr>
          <w:spacing w:val="-106"/>
          <w:w w:val="100"/>
        </w:rPr>
        <w:t>、</w:t>
      </w:r>
      <w:r>
        <w:rPr>
          <w:w w:val="100"/>
        </w:rPr>
        <w:t>《企业</w:t>
      </w:r>
      <w:r>
        <w:rPr>
          <w:spacing w:val="2"/>
          <w:w w:val="100"/>
        </w:rPr>
        <w:t>会</w:t>
      </w:r>
      <w:r>
        <w:rPr>
          <w:w w:val="100"/>
        </w:rPr>
        <w:t>计准则</w:t>
      </w:r>
      <w:r>
        <w:rPr>
          <w:spacing w:val="4"/>
          <w:w w:val="100"/>
        </w:rPr>
        <w:t>第</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spacing w:val="2"/>
          <w:w w:val="100"/>
        </w:rPr>
        <w:t>3</w:t>
      </w:r>
      <w:r>
        <w:rPr>
          <w:w w:val="100"/>
        </w:rPr>
        <w:t>号—</w:t>
      </w:r>
      <w:r>
        <w:rPr>
          <w:spacing w:val="2"/>
          <w:w w:val="100"/>
        </w:rPr>
        <w:t>—</w:t>
      </w:r>
      <w:r>
        <w:rPr>
          <w:w w:val="100"/>
        </w:rPr>
        <w:t>金</w:t>
      </w:r>
      <w:r>
        <w:rPr>
          <w:w w:val="100"/>
        </w:rPr>
        <w:t> 融资</w:t>
      </w:r>
      <w:r>
        <w:rPr>
          <w:spacing w:val="-3"/>
          <w:w w:val="100"/>
        </w:rPr>
        <w:t>产</w:t>
      </w:r>
      <w:r>
        <w:rPr>
          <w:w w:val="100"/>
        </w:rPr>
        <w:t>转</w:t>
      </w:r>
      <w:r>
        <w:rPr>
          <w:spacing w:val="-3"/>
          <w:w w:val="100"/>
        </w:rPr>
        <w:t>移</w:t>
      </w:r>
      <w:r>
        <w:rPr>
          <w:spacing w:val="-106"/>
          <w:w w:val="100"/>
        </w:rPr>
        <w:t>》</w:t>
      </w:r>
      <w:r>
        <w:rPr>
          <w:spacing w:val="-120"/>
          <w:w w:val="100"/>
        </w:rPr>
        <w:t>、</w:t>
      </w:r>
      <w:r>
        <w:rPr>
          <w:w w:val="100"/>
        </w:rPr>
        <w:t>《</w:t>
      </w:r>
      <w:r>
        <w:rPr>
          <w:spacing w:val="-3"/>
          <w:w w:val="100"/>
        </w:rPr>
        <w:t>企</w:t>
      </w:r>
      <w:r>
        <w:rPr>
          <w:w w:val="100"/>
        </w:rPr>
        <w:t>业</w:t>
      </w:r>
      <w:r>
        <w:rPr>
          <w:spacing w:val="-3"/>
          <w:w w:val="100"/>
        </w:rPr>
        <w:t>会计</w:t>
      </w:r>
      <w:r>
        <w:rPr>
          <w:w w:val="100"/>
        </w:rPr>
        <w:t>准则</w:t>
      </w:r>
      <w:r>
        <w:rPr>
          <w:spacing w:val="-3"/>
          <w:w w:val="100"/>
        </w:rPr>
        <w:t>第</w:t>
      </w:r>
      <w:r>
        <w:rPr>
          <w:rFonts w:ascii="Times New Roman" w:hAnsi="Times New Roman" w:cs="Times New Roman" w:eastAsia="Times New Roman" w:hint="default"/>
          <w:w w:val="100"/>
        </w:rPr>
        <w:t>24</w:t>
      </w:r>
      <w:r>
        <w:rPr>
          <w:spacing w:val="-3"/>
          <w:w w:val="100"/>
        </w:rPr>
        <w:t>号</w:t>
      </w:r>
      <w:r>
        <w:rPr>
          <w:w w:val="100"/>
        </w:rPr>
        <w:t>—</w:t>
      </w:r>
      <w:r>
        <w:rPr>
          <w:spacing w:val="-3"/>
          <w:w w:val="100"/>
        </w:rPr>
        <w:t>—</w:t>
      </w:r>
      <w:r>
        <w:rPr>
          <w:w w:val="100"/>
        </w:rPr>
        <w:t>套</w:t>
      </w:r>
      <w:r>
        <w:rPr>
          <w:spacing w:val="-3"/>
          <w:w w:val="100"/>
        </w:rPr>
        <w:t>期</w:t>
      </w:r>
      <w:r>
        <w:rPr>
          <w:w w:val="100"/>
        </w:rPr>
        <w:t>会</w:t>
      </w:r>
      <w:r>
        <w:rPr>
          <w:spacing w:val="-3"/>
          <w:w w:val="100"/>
        </w:rPr>
        <w:t>计</w:t>
      </w:r>
      <w:r>
        <w:rPr>
          <w:spacing w:val="-13"/>
          <w:w w:val="100"/>
        </w:rPr>
        <w:t>》</w:t>
      </w:r>
      <w:r>
        <w:rPr>
          <w:spacing w:val="-15"/>
          <w:w w:val="100"/>
        </w:rPr>
        <w:t>和</w:t>
      </w:r>
      <w:r>
        <w:rPr>
          <w:spacing w:val="-3"/>
          <w:w w:val="100"/>
        </w:rPr>
        <w:t>《</w:t>
      </w:r>
      <w:r>
        <w:rPr>
          <w:w w:val="100"/>
        </w:rPr>
        <w:t>企</w:t>
      </w:r>
      <w:r>
        <w:rPr>
          <w:spacing w:val="-3"/>
          <w:w w:val="100"/>
        </w:rPr>
        <w:t>业</w:t>
      </w:r>
      <w:r>
        <w:rPr>
          <w:w w:val="100"/>
        </w:rPr>
        <w:t>会</w:t>
      </w:r>
      <w:r>
        <w:rPr>
          <w:spacing w:val="-3"/>
          <w:w w:val="100"/>
        </w:rPr>
        <w:t>计</w:t>
      </w:r>
      <w:r>
        <w:rPr>
          <w:w w:val="100"/>
        </w:rPr>
        <w:t>准则</w:t>
      </w:r>
      <w:r>
        <w:rPr>
          <w:spacing w:val="-2"/>
          <w:w w:val="100"/>
        </w:rPr>
        <w:t>第</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7</w:t>
      </w:r>
      <w:r>
        <w:rPr>
          <w:w w:val="100"/>
        </w:rPr>
        <w:t>号—</w:t>
      </w:r>
      <w:r>
        <w:rPr>
          <w:spacing w:val="-3"/>
          <w:w w:val="100"/>
        </w:rPr>
        <w:t>—</w:t>
      </w:r>
      <w:r>
        <w:rPr>
          <w:w w:val="100"/>
        </w:rPr>
        <w:t>金</w:t>
      </w:r>
      <w:r>
        <w:rPr>
          <w:spacing w:val="-3"/>
          <w:w w:val="100"/>
        </w:rPr>
        <w:t>融</w:t>
      </w:r>
      <w:r>
        <w:rPr>
          <w:w w:val="100"/>
        </w:rPr>
        <w:t>工具</w:t>
      </w:r>
      <w:r>
        <w:rPr>
          <w:w w:val="100"/>
        </w:rPr>
        <w:t> 列报</w:t>
      </w:r>
      <w:r>
        <w:rPr>
          <w:spacing w:val="-108"/>
          <w:w w:val="100"/>
        </w:rPr>
        <w:t>》</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7</w:t>
      </w:r>
      <w:r>
        <w:rPr>
          <w:spacing w:val="-3"/>
          <w:w w:val="100"/>
        </w:rPr>
        <w:t>年</w:t>
      </w:r>
      <w:r>
        <w:rPr>
          <w:w w:val="100"/>
        </w:rPr>
        <w:t>修</w:t>
      </w:r>
      <w:r>
        <w:rPr>
          <w:spacing w:val="-3"/>
          <w:w w:val="100"/>
        </w:rPr>
        <w:t>订</w:t>
      </w:r>
      <w:r>
        <w:rPr>
          <w:w w:val="100"/>
        </w:rPr>
        <w:t>）</w:t>
      </w:r>
      <w:r>
        <w:rPr>
          <w:w w:val="100"/>
        </w:rPr>
        <w:t> 财政</w:t>
      </w:r>
      <w:r>
        <w:rPr>
          <w:spacing w:val="-3"/>
          <w:w w:val="100"/>
        </w:rPr>
        <w:t>部</w:t>
      </w:r>
      <w:r>
        <w:rPr>
          <w:spacing w:val="-1"/>
          <w:w w:val="100"/>
        </w:rPr>
        <w:t>于</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spacing w:val="-3"/>
          <w:w w:val="100"/>
        </w:rPr>
        <w:t>年</w:t>
      </w:r>
      <w:r>
        <w:rPr>
          <w:w w:val="100"/>
        </w:rPr>
        <w:t>度</w:t>
      </w:r>
      <w:r>
        <w:rPr>
          <w:spacing w:val="-3"/>
          <w:w w:val="100"/>
        </w:rPr>
        <w:t>修</w:t>
      </w:r>
      <w:r>
        <w:rPr>
          <w:w w:val="100"/>
        </w:rPr>
        <w:t>订</w:t>
      </w:r>
      <w:r>
        <w:rPr>
          <w:spacing w:val="-15"/>
          <w:w w:val="100"/>
        </w:rPr>
        <w:t>了</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2</w:t>
      </w:r>
      <w:r>
        <w:rPr>
          <w:w w:val="100"/>
        </w:rPr>
        <w:t>号</w:t>
      </w:r>
      <w:r>
        <w:rPr>
          <w:spacing w:val="-3"/>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spacing w:val="-120"/>
          <w:w w:val="100"/>
        </w:rPr>
        <w:t>、</w:t>
      </w:r>
      <w:r>
        <w:rPr>
          <w:w w:val="100"/>
        </w:rPr>
        <w:t>《企</w:t>
      </w:r>
      <w:r>
        <w:rPr>
          <w:spacing w:val="-3"/>
          <w:w w:val="100"/>
        </w:rPr>
        <w:t>业</w:t>
      </w:r>
      <w:r>
        <w:rPr>
          <w:w w:val="100"/>
        </w:rPr>
        <w:t>会</w:t>
      </w:r>
      <w:r>
        <w:rPr>
          <w:spacing w:val="-3"/>
          <w:w w:val="100"/>
        </w:rPr>
        <w:t>计</w:t>
      </w:r>
      <w:r>
        <w:rPr>
          <w:w w:val="100"/>
        </w:rPr>
        <w:t>准则</w:t>
      </w:r>
      <w:r>
        <w:rPr>
          <w:w w:val="100"/>
        </w:rPr>
        <w:t> 第</w:t>
      </w:r>
      <w:r>
        <w:rPr>
          <w:rFonts w:ascii="Times New Roman" w:hAnsi="Times New Roman" w:cs="Times New Roman" w:eastAsia="Times New Roman" w:hint="default"/>
          <w:w w:val="100"/>
        </w:rPr>
        <w:t>23</w:t>
      </w:r>
      <w:r>
        <w:rPr>
          <w:spacing w:val="-3"/>
          <w:w w:val="100"/>
        </w:rPr>
        <w:t>号</w:t>
      </w:r>
      <w:r>
        <w:rPr>
          <w:w w:val="100"/>
        </w:rPr>
        <w:t>—</w:t>
      </w:r>
      <w:r>
        <w:rPr>
          <w:spacing w:val="-3"/>
          <w:w w:val="100"/>
        </w:rPr>
        <w:t>—</w:t>
      </w:r>
      <w:r>
        <w:rPr>
          <w:w w:val="100"/>
        </w:rPr>
        <w:t>金</w:t>
      </w:r>
      <w:r>
        <w:rPr>
          <w:spacing w:val="-3"/>
          <w:w w:val="100"/>
        </w:rPr>
        <w:t>融</w:t>
      </w:r>
      <w:r>
        <w:rPr>
          <w:w w:val="100"/>
        </w:rPr>
        <w:t>资</w:t>
      </w:r>
      <w:r>
        <w:rPr>
          <w:spacing w:val="-3"/>
          <w:w w:val="100"/>
        </w:rPr>
        <w:t>产</w:t>
      </w:r>
      <w:r>
        <w:rPr>
          <w:w w:val="100"/>
        </w:rPr>
        <w:t>转</w:t>
      </w:r>
      <w:r>
        <w:rPr>
          <w:spacing w:val="-3"/>
          <w:w w:val="100"/>
        </w:rPr>
        <w:t>移</w:t>
      </w:r>
      <w:r>
        <w:rPr>
          <w:spacing w:val="-108"/>
          <w:w w:val="100"/>
        </w:rPr>
        <w:t>》</w:t>
      </w:r>
      <w:r>
        <w:rPr>
          <w:spacing w:val="-113"/>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spacing w:val="-3"/>
          <w:w w:val="100"/>
        </w:rPr>
        <w:t>号—</w:t>
      </w:r>
      <w:r>
        <w:rPr>
          <w:w w:val="100"/>
        </w:rPr>
        <w:t>—套</w:t>
      </w:r>
      <w:r>
        <w:rPr>
          <w:spacing w:val="-3"/>
          <w:w w:val="100"/>
        </w:rPr>
        <w:t>期</w:t>
      </w:r>
      <w:r>
        <w:rPr>
          <w:w w:val="100"/>
        </w:rPr>
        <w:t>会</w:t>
      </w:r>
      <w:r>
        <w:rPr>
          <w:spacing w:val="-3"/>
          <w:w w:val="100"/>
        </w:rPr>
        <w:t>计</w:t>
      </w:r>
      <w:r>
        <w:rPr>
          <w:spacing w:val="-10"/>
          <w:w w:val="100"/>
        </w:rPr>
        <w:t>》</w:t>
      </w:r>
      <w:r>
        <w:rPr>
          <w:spacing w:val="-8"/>
          <w:w w:val="100"/>
        </w:rPr>
        <w:t>和</w:t>
      </w:r>
      <w:r>
        <w:rPr>
          <w:spacing w:val="-3"/>
          <w:w w:val="100"/>
        </w:rPr>
        <w:t>《</w:t>
      </w:r>
      <w:r>
        <w:rPr>
          <w:w w:val="100"/>
        </w:rPr>
        <w:t>企</w:t>
      </w:r>
      <w:r>
        <w:rPr>
          <w:spacing w:val="-3"/>
          <w:w w:val="100"/>
        </w:rPr>
        <w:t>业会</w:t>
      </w:r>
      <w:r>
        <w:rPr>
          <w:w w:val="100"/>
        </w:rPr>
        <w:t>计准</w:t>
      </w:r>
      <w:r>
        <w:rPr>
          <w:spacing w:val="-3"/>
          <w:w w:val="100"/>
        </w:rPr>
        <w:t>则</w:t>
      </w:r>
      <w:r>
        <w:rPr>
          <w:w w:val="100"/>
        </w:rPr>
        <w:t>第</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7</w:t>
      </w:r>
      <w:r>
        <w:rPr>
          <w:w w:val="100"/>
        </w:rPr>
        <w:t>号</w:t>
      </w:r>
    </w:p>
    <w:p>
      <w:pPr>
        <w:pStyle w:val="BodyText"/>
        <w:spacing w:line="268" w:lineRule="auto" w:before="5"/>
        <w:ind w:left="1373" w:right="1125"/>
        <w:jc w:val="left"/>
      </w:pPr>
      <w:r>
        <w:rPr>
          <w:spacing w:val="-2"/>
          <w:w w:val="100"/>
        </w:rPr>
        <w:t>——金融工具列报》。修订后的准则规定，对于首次执行日尚未终止确认的金融工具，之前</w:t>
      </w:r>
      <w:r>
        <w:rPr>
          <w:spacing w:val="-102"/>
          <w:w w:val="100"/>
        </w:rPr>
        <w:t> </w:t>
      </w:r>
      <w:r>
        <w:rPr>
          <w:spacing w:val="-102"/>
          <w:w w:val="100"/>
        </w:rPr>
      </w:r>
      <w:r>
        <w:rPr>
          <w:spacing w:val="-2"/>
        </w:rPr>
        <w:t>的确认和计量与修订后的准则要求不一致的，应当追溯调整。涉及前期比较财务报表数据与</w:t>
      </w:r>
      <w:r>
        <w:rPr>
          <w:spacing w:val="-52"/>
        </w:rPr>
        <w:t> </w:t>
      </w:r>
      <w:r>
        <w:rPr>
          <w:spacing w:val="-52"/>
        </w:rPr>
      </w:r>
      <w:r>
        <w:rPr>
          <w:spacing w:val="-2"/>
        </w:rPr>
        <w:t>修订后的准则要求不一致的，无需调整。本公司将因追溯调整产生的累积影响数调整当年年</w:t>
      </w:r>
      <w:r>
        <w:rPr>
          <w:spacing w:val="-54"/>
        </w:rPr>
        <w:t> </w:t>
      </w:r>
      <w:r>
        <w:rPr>
          <w:spacing w:val="-54"/>
        </w:rPr>
      </w:r>
      <w:r>
        <w:rPr/>
        <w:t>初留存收益和其他综合收益。</w:t>
      </w:r>
      <w:r>
        <w:rPr>
          <w:w w:val="100"/>
        </w:rPr>
        <w:t> </w:t>
      </w: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w:t>
      </w:r>
      <w:r>
        <w:rPr>
          <w:spacing w:val="-42"/>
        </w:rPr>
        <w:t> </w:t>
      </w:r>
      <w:r>
        <w:rPr>
          <w:spacing w:val="-42"/>
        </w:rPr>
      </w:r>
      <w:r>
        <w:rPr/>
        <w:t>述新金融工具准则的主要影响如下：</w:t>
      </w:r>
    </w:p>
    <w:p>
      <w:pPr>
        <w:spacing w:line="240" w:lineRule="auto" w:before="0"/>
        <w:rPr>
          <w:rFonts w:ascii="宋体" w:hAnsi="宋体" w:cs="宋体" w:eastAsia="宋体" w:hint="default"/>
          <w:sz w:val="2"/>
          <w:szCs w:val="2"/>
        </w:rPr>
      </w:pPr>
    </w:p>
    <w:tbl>
      <w:tblPr>
        <w:tblW w:w="0" w:type="auto"/>
        <w:jc w:val="left"/>
        <w:tblInd w:w="821" w:type="dxa"/>
        <w:tblLayout w:type="fixed"/>
        <w:tblCellMar>
          <w:top w:w="0" w:type="dxa"/>
          <w:left w:w="0" w:type="dxa"/>
          <w:bottom w:w="0" w:type="dxa"/>
          <w:right w:w="0" w:type="dxa"/>
        </w:tblCellMar>
        <w:tblLook w:val="01E0"/>
      </w:tblPr>
      <w:tblGrid>
        <w:gridCol w:w="2165"/>
        <w:gridCol w:w="3200"/>
        <w:gridCol w:w="2948"/>
      </w:tblGrid>
      <w:tr>
        <w:trPr>
          <w:trHeight w:val="355" w:hRule="exact"/>
        </w:trPr>
        <w:tc>
          <w:tcPr>
            <w:tcW w:w="2165" w:type="dxa"/>
            <w:vMerge w:val="restart"/>
            <w:tcBorders>
              <w:top w:val="single" w:sz="6" w:space="0" w:color="000000"/>
              <w:left w:val="single" w:sz="6" w:space="0" w:color="000000"/>
              <w:right w:val="single" w:sz="6" w:space="0" w:color="000000"/>
            </w:tcBorders>
          </w:tcPr>
          <w:p>
            <w:pPr>
              <w:pStyle w:val="TableParagraph"/>
              <w:spacing w:line="273" w:lineRule="auto"/>
              <w:ind w:left="863" w:right="22" w:hanging="840"/>
              <w:jc w:val="left"/>
              <w:rPr>
                <w:rFonts w:ascii="宋体" w:hAnsi="宋体" w:cs="宋体" w:eastAsia="宋体" w:hint="default"/>
                <w:sz w:val="21"/>
                <w:szCs w:val="21"/>
              </w:rPr>
            </w:pPr>
            <w:r>
              <w:rPr>
                <w:rFonts w:ascii="宋体" w:hAnsi="宋体" w:cs="宋体" w:eastAsia="宋体" w:hint="default"/>
                <w:sz w:val="21"/>
                <w:szCs w:val="21"/>
              </w:rPr>
              <w:t>会计政策变更的内容和</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6147" w:type="dxa"/>
            <w:gridSpan w:val="2"/>
            <w:tcBorders>
              <w:top w:val="single" w:sz="6" w:space="0" w:color="000000"/>
              <w:left w:val="single" w:sz="6" w:space="0" w:color="000000"/>
              <w:bottom w:val="single" w:sz="12" w:space="0" w:color="000000"/>
              <w:right w:val="nil" w:sz="6" w:space="0" w:color="auto"/>
            </w:tcBorders>
          </w:tcPr>
          <w:p>
            <w:pPr>
              <w:pStyle w:val="TableParagraph"/>
              <w:spacing w:line="272" w:lineRule="exact"/>
              <w:ind w:left="1701"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350" w:hRule="exact"/>
        </w:trPr>
        <w:tc>
          <w:tcPr>
            <w:tcW w:w="2165" w:type="dxa"/>
            <w:vMerge/>
            <w:tcBorders>
              <w:left w:val="single" w:sz="6" w:space="0" w:color="000000"/>
              <w:bottom w:val="single" w:sz="12" w:space="0" w:color="000000"/>
              <w:right w:val="single" w:sz="6" w:space="0" w:color="000000"/>
            </w:tcBorders>
          </w:tcPr>
          <w:p>
            <w:pPr/>
          </w:p>
        </w:tc>
        <w:tc>
          <w:tcPr>
            <w:tcW w:w="320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294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4097" w:hRule="exact"/>
        </w:trPr>
        <w:tc>
          <w:tcPr>
            <w:tcW w:w="216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）可供出售权益工具</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投资重分类为“以公允</w:t>
            </w:r>
            <w:r>
              <w:rPr>
                <w:rFonts w:ascii="宋体" w:hAnsi="宋体" w:cs="宋体" w:eastAsia="宋体" w:hint="default"/>
                <w:w w:val="100"/>
                <w:sz w:val="21"/>
                <w:szCs w:val="21"/>
              </w:rPr>
              <w:t> </w:t>
            </w:r>
            <w:r>
              <w:rPr>
                <w:rFonts w:ascii="宋体" w:hAnsi="宋体" w:cs="宋体" w:eastAsia="宋体" w:hint="default"/>
                <w:sz w:val="21"/>
                <w:szCs w:val="21"/>
              </w:rPr>
              <w:t>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320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655"/>
              <w:jc w:val="left"/>
              <w:rPr>
                <w:rFonts w:ascii="宋体" w:hAnsi="宋体" w:cs="宋体" w:eastAsia="宋体" w:hint="default"/>
                <w:sz w:val="21"/>
                <w:szCs w:val="21"/>
              </w:rPr>
            </w:pPr>
            <w:r>
              <w:rPr>
                <w:rFonts w:ascii="宋体" w:hAnsi="宋体" w:cs="宋体" w:eastAsia="宋体" w:hint="default"/>
                <w:sz w:val="21"/>
                <w:szCs w:val="21"/>
              </w:rPr>
              <w:t>其他流动资产：无影响；</w:t>
            </w:r>
            <w:r>
              <w:rPr>
                <w:rFonts w:ascii="宋体" w:hAnsi="宋体" w:cs="宋体" w:eastAsia="宋体" w:hint="default"/>
                <w:w w:val="100"/>
                <w:sz w:val="21"/>
                <w:szCs w:val="21"/>
              </w:rPr>
              <w:t> </w:t>
            </w:r>
            <w:r>
              <w:rPr>
                <w:rFonts w:ascii="宋体" w:hAnsi="宋体" w:cs="宋体" w:eastAsia="宋体" w:hint="default"/>
                <w:spacing w:val="-2"/>
                <w:sz w:val="21"/>
                <w:szCs w:val="21"/>
              </w:rPr>
              <w:t>交易性金融资产：无影响；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可供出售金融资产：减少</w:t>
            </w:r>
            <w:r>
              <w:rPr>
                <w:rFonts w:ascii="宋体" w:hAnsi="宋体" w:cs="宋体" w:eastAsia="宋体" w:hint="default"/>
                <w:w w:val="100"/>
                <w:sz w:val="21"/>
                <w:szCs w:val="21"/>
              </w:rPr>
              <w:t> </w:t>
            </w:r>
            <w:r>
              <w:rPr>
                <w:rFonts w:ascii="宋体" w:hAnsi="宋体" w:cs="宋体" w:eastAsia="宋体" w:hint="default"/>
                <w:sz w:val="21"/>
                <w:szCs w:val="21"/>
              </w:rPr>
              <w:t>23,000,000.00</w:t>
            </w:r>
            <w:r>
              <w:rPr>
                <w:rFonts w:ascii="宋体" w:hAnsi="宋体" w:cs="宋体" w:eastAsia="宋体" w:hint="default"/>
                <w:sz w:val="21"/>
                <w:szCs w:val="21"/>
              </w:rPr>
              <w:t>元；</w:t>
            </w:r>
          </w:p>
          <w:p>
            <w:pPr>
              <w:pStyle w:val="TableParagraph"/>
              <w:spacing w:line="273" w:lineRule="auto" w:before="7"/>
              <w:ind w:left="4" w:right="655"/>
              <w:jc w:val="left"/>
              <w:rPr>
                <w:rFonts w:ascii="宋体" w:hAnsi="宋体" w:cs="宋体" w:eastAsia="宋体" w:hint="default"/>
                <w:sz w:val="21"/>
                <w:szCs w:val="21"/>
              </w:rPr>
            </w:pPr>
            <w:r>
              <w:rPr>
                <w:rFonts w:ascii="宋体" w:hAnsi="宋体" w:cs="宋体" w:eastAsia="宋体" w:hint="default"/>
                <w:spacing w:val="-2"/>
                <w:sz w:val="21"/>
                <w:szCs w:val="21"/>
              </w:rPr>
              <w:t>其他非流动金融资产：增加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23,149,232.00</w:t>
            </w:r>
            <w:r>
              <w:rPr>
                <w:rFonts w:ascii="宋体" w:hAnsi="宋体" w:cs="宋体" w:eastAsia="宋体" w:hint="default"/>
                <w:sz w:val="21"/>
                <w:szCs w:val="21"/>
              </w:rPr>
              <w:t>元；</w:t>
            </w:r>
          </w:p>
          <w:p>
            <w:pPr>
              <w:pStyle w:val="TableParagraph"/>
              <w:spacing w:line="273" w:lineRule="auto" w:before="8"/>
              <w:ind w:left="4" w:right="130"/>
              <w:jc w:val="left"/>
              <w:rPr>
                <w:rFonts w:ascii="宋体" w:hAnsi="宋体" w:cs="宋体" w:eastAsia="宋体" w:hint="default"/>
                <w:sz w:val="21"/>
                <w:szCs w:val="21"/>
              </w:rPr>
            </w:pPr>
            <w:r>
              <w:rPr>
                <w:rFonts w:ascii="宋体" w:hAnsi="宋体" w:cs="宋体" w:eastAsia="宋体" w:hint="default"/>
                <w:spacing w:val="-1"/>
                <w:sz w:val="21"/>
                <w:szCs w:val="21"/>
              </w:rPr>
              <w:t>递延所得税资产：增加</w:t>
            </w:r>
            <w:r>
              <w:rPr>
                <w:rFonts w:ascii="宋体" w:hAnsi="宋体" w:cs="宋体" w:eastAsia="宋体" w:hint="default"/>
                <w:spacing w:val="-1"/>
                <w:sz w:val="21"/>
                <w:szCs w:val="21"/>
              </w:rPr>
              <w:t>53,948.70</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1"/>
                <w:sz w:val="21"/>
                <w:szCs w:val="21"/>
              </w:rPr>
              <w:t>递延所得税负债：增加</w:t>
            </w:r>
            <w:r>
              <w:rPr>
                <w:rFonts w:ascii="宋体" w:hAnsi="宋体" w:cs="宋体" w:eastAsia="宋体" w:hint="default"/>
                <w:spacing w:val="-1"/>
                <w:sz w:val="21"/>
                <w:szCs w:val="21"/>
              </w:rPr>
              <w:t>76,333.50</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元；</w:t>
            </w:r>
          </w:p>
          <w:p>
            <w:pPr>
              <w:pStyle w:val="TableParagraph"/>
              <w:spacing w:line="273" w:lineRule="auto" w:before="7"/>
              <w:ind w:left="4" w:right="131"/>
              <w:jc w:val="left"/>
              <w:rPr>
                <w:rFonts w:ascii="宋体" w:hAnsi="宋体" w:cs="宋体" w:eastAsia="宋体" w:hint="default"/>
                <w:sz w:val="21"/>
                <w:szCs w:val="21"/>
              </w:rPr>
            </w:pPr>
            <w:r>
              <w:rPr>
                <w:rFonts w:ascii="宋体" w:hAnsi="宋体" w:cs="宋体" w:eastAsia="宋体" w:hint="default"/>
                <w:sz w:val="21"/>
                <w:szCs w:val="21"/>
              </w:rPr>
              <w:t>其他综合收益：无影响；</w:t>
            </w:r>
            <w:r>
              <w:rPr>
                <w:rFonts w:ascii="宋体" w:hAnsi="宋体" w:cs="宋体" w:eastAsia="宋体" w:hint="default"/>
                <w:w w:val="100"/>
                <w:sz w:val="21"/>
                <w:szCs w:val="21"/>
              </w:rPr>
              <w:t> </w:t>
            </w:r>
            <w:r>
              <w:rPr>
                <w:rFonts w:ascii="宋体" w:hAnsi="宋体" w:cs="宋体" w:eastAsia="宋体" w:hint="default"/>
                <w:sz w:val="21"/>
                <w:szCs w:val="21"/>
              </w:rPr>
              <w:t>盈余公积：增加</w:t>
            </w:r>
            <w:r>
              <w:rPr>
                <w:rFonts w:ascii="宋体" w:hAnsi="宋体" w:cs="宋体" w:eastAsia="宋体" w:hint="default"/>
                <w:sz w:val="21"/>
                <w:szCs w:val="21"/>
              </w:rPr>
              <w:t>43,255.65</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1"/>
                <w:sz w:val="21"/>
                <w:szCs w:val="21"/>
              </w:rPr>
              <w:t>未分配利润：增加</w:t>
            </w:r>
            <w:r>
              <w:rPr>
                <w:rFonts w:ascii="宋体" w:hAnsi="宋体" w:cs="宋体" w:eastAsia="宋体" w:hint="default"/>
                <w:spacing w:val="-1"/>
                <w:sz w:val="21"/>
                <w:szCs w:val="21"/>
              </w:rPr>
              <w:t>83,591.55</w:t>
            </w:r>
            <w:r>
              <w:rPr>
                <w:rFonts w:ascii="宋体" w:hAnsi="宋体" w:cs="宋体" w:eastAsia="宋体" w:hint="default"/>
                <w:spacing w:val="-1"/>
                <w:sz w:val="21"/>
                <w:szCs w:val="21"/>
              </w:rPr>
              <w:t>元。</w:t>
            </w:r>
          </w:p>
        </w:tc>
        <w:tc>
          <w:tcPr>
            <w:tcW w:w="2948"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411"/>
              <w:jc w:val="left"/>
              <w:rPr>
                <w:rFonts w:ascii="宋体" w:hAnsi="宋体" w:cs="宋体" w:eastAsia="宋体" w:hint="default"/>
                <w:sz w:val="21"/>
                <w:szCs w:val="21"/>
              </w:rPr>
            </w:pPr>
            <w:r>
              <w:rPr>
                <w:rFonts w:ascii="宋体" w:hAnsi="宋体" w:cs="宋体" w:eastAsia="宋体" w:hint="default"/>
                <w:sz w:val="21"/>
                <w:szCs w:val="21"/>
              </w:rPr>
              <w:t>其他流动资产：无影响；</w:t>
            </w:r>
            <w:r>
              <w:rPr>
                <w:rFonts w:ascii="宋体" w:hAnsi="宋体" w:cs="宋体" w:eastAsia="宋体" w:hint="default"/>
                <w:w w:val="100"/>
                <w:sz w:val="21"/>
                <w:szCs w:val="21"/>
              </w:rPr>
              <w:t> </w:t>
            </w:r>
            <w:r>
              <w:rPr>
                <w:rFonts w:ascii="宋体" w:hAnsi="宋体" w:cs="宋体" w:eastAsia="宋体" w:hint="default"/>
                <w:spacing w:val="-2"/>
                <w:sz w:val="21"/>
                <w:szCs w:val="21"/>
              </w:rPr>
              <w:t>交易性金融资产：无影响；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可供出售金融资产：减少</w:t>
            </w:r>
            <w:r>
              <w:rPr>
                <w:rFonts w:ascii="宋体" w:hAnsi="宋体" w:cs="宋体" w:eastAsia="宋体" w:hint="default"/>
                <w:w w:val="100"/>
                <w:sz w:val="21"/>
                <w:szCs w:val="21"/>
              </w:rPr>
              <w:t> </w:t>
            </w:r>
            <w:r>
              <w:rPr>
                <w:rFonts w:ascii="宋体" w:hAnsi="宋体" w:cs="宋体" w:eastAsia="宋体" w:hint="default"/>
                <w:sz w:val="21"/>
                <w:szCs w:val="21"/>
              </w:rPr>
              <w:t>3,000,000.00</w:t>
            </w:r>
            <w:r>
              <w:rPr>
                <w:rFonts w:ascii="宋体" w:hAnsi="宋体" w:cs="宋体" w:eastAsia="宋体" w:hint="default"/>
                <w:sz w:val="21"/>
                <w:szCs w:val="21"/>
              </w:rPr>
              <w:t>元；</w:t>
            </w:r>
          </w:p>
          <w:p>
            <w:pPr>
              <w:pStyle w:val="TableParagraph"/>
              <w:spacing w:line="273" w:lineRule="auto" w:before="7"/>
              <w:ind w:left="4" w:right="411"/>
              <w:jc w:val="left"/>
              <w:rPr>
                <w:rFonts w:ascii="宋体" w:hAnsi="宋体" w:cs="宋体" w:eastAsia="宋体" w:hint="default"/>
                <w:sz w:val="21"/>
                <w:szCs w:val="21"/>
              </w:rPr>
            </w:pPr>
            <w:r>
              <w:rPr>
                <w:rFonts w:ascii="宋体" w:hAnsi="宋体" w:cs="宋体" w:eastAsia="宋体" w:hint="default"/>
                <w:spacing w:val="-2"/>
                <w:sz w:val="21"/>
                <w:szCs w:val="21"/>
              </w:rPr>
              <w:t>其他非流动金融资产：增加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3,508,889.97</w:t>
            </w:r>
            <w:r>
              <w:rPr>
                <w:rFonts w:ascii="宋体" w:hAnsi="宋体" w:cs="宋体" w:eastAsia="宋体" w:hint="default"/>
                <w:sz w:val="21"/>
                <w:szCs w:val="21"/>
              </w:rPr>
              <w:t>元；</w:t>
            </w:r>
          </w:p>
          <w:p>
            <w:pPr>
              <w:pStyle w:val="TableParagraph"/>
              <w:spacing w:line="273" w:lineRule="auto" w:before="8"/>
              <w:ind w:left="4" w:right="831"/>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76,333.50</w:t>
            </w:r>
            <w:r>
              <w:rPr>
                <w:rFonts w:ascii="宋体" w:hAnsi="宋体" w:cs="宋体" w:eastAsia="宋体" w:hint="default"/>
                <w:sz w:val="21"/>
                <w:szCs w:val="21"/>
              </w:rPr>
              <w:t>元；</w:t>
            </w:r>
          </w:p>
          <w:p>
            <w:pPr>
              <w:pStyle w:val="TableParagraph"/>
              <w:spacing w:line="273" w:lineRule="auto" w:before="7"/>
              <w:ind w:left="4" w:right="96"/>
              <w:jc w:val="left"/>
              <w:rPr>
                <w:rFonts w:ascii="宋体" w:hAnsi="宋体" w:cs="宋体" w:eastAsia="宋体" w:hint="default"/>
                <w:sz w:val="21"/>
                <w:szCs w:val="21"/>
              </w:rPr>
            </w:pPr>
            <w:r>
              <w:rPr>
                <w:rFonts w:ascii="宋体" w:hAnsi="宋体" w:cs="宋体" w:eastAsia="宋体" w:hint="default"/>
                <w:sz w:val="21"/>
                <w:szCs w:val="21"/>
              </w:rPr>
              <w:t>其他综合收益：无影响；</w:t>
            </w:r>
            <w:r>
              <w:rPr>
                <w:rFonts w:ascii="宋体" w:hAnsi="宋体" w:cs="宋体" w:eastAsia="宋体" w:hint="default"/>
                <w:w w:val="100"/>
                <w:sz w:val="21"/>
                <w:szCs w:val="21"/>
              </w:rPr>
              <w:t> </w:t>
            </w:r>
            <w:r>
              <w:rPr>
                <w:rFonts w:ascii="宋体" w:hAnsi="宋体" w:cs="宋体" w:eastAsia="宋体" w:hint="default"/>
                <w:spacing w:val="-1"/>
                <w:sz w:val="21"/>
                <w:szCs w:val="21"/>
              </w:rPr>
              <w:t>盈余公积：增加</w:t>
            </w:r>
            <w:r>
              <w:rPr>
                <w:rFonts w:ascii="宋体" w:hAnsi="宋体" w:cs="宋体" w:eastAsia="宋体" w:hint="default"/>
                <w:spacing w:val="-1"/>
                <w:sz w:val="21"/>
                <w:szCs w:val="21"/>
              </w:rPr>
              <w:t>43,255.65</w:t>
            </w:r>
            <w:r>
              <w:rPr>
                <w:rFonts w:ascii="宋体" w:hAnsi="宋体" w:cs="宋体" w:eastAsia="宋体" w:hint="default"/>
                <w:spacing w:val="-1"/>
                <w:sz w:val="21"/>
                <w:szCs w:val="21"/>
              </w:rPr>
              <w:t>元；</w:t>
            </w:r>
            <w:r>
              <w:rPr>
                <w:rFonts w:ascii="宋体" w:hAnsi="宋体" w:cs="宋体" w:eastAsia="宋体" w:hint="default"/>
                <w:spacing w:val="-88"/>
                <w:sz w:val="21"/>
                <w:szCs w:val="21"/>
              </w:rPr>
              <w:t> </w:t>
            </w:r>
            <w:r>
              <w:rPr>
                <w:rFonts w:ascii="宋体" w:hAnsi="宋体" w:cs="宋体" w:eastAsia="宋体" w:hint="default"/>
                <w:sz w:val="21"/>
                <w:szCs w:val="21"/>
              </w:rPr>
              <w:t>未分配利润：增加</w:t>
            </w:r>
            <w:r>
              <w:rPr>
                <w:rFonts w:ascii="宋体" w:hAnsi="宋体" w:cs="宋体" w:eastAsia="宋体" w:hint="default"/>
                <w:sz w:val="21"/>
                <w:szCs w:val="21"/>
              </w:rPr>
              <w:t>389,300.82</w:t>
            </w:r>
            <w:r>
              <w:rPr>
                <w:rFonts w:ascii="宋体" w:hAnsi="宋体" w:cs="宋体" w:eastAsia="宋体" w:hint="default"/>
                <w:w w:val="100"/>
                <w:sz w:val="21"/>
                <w:szCs w:val="21"/>
              </w:rPr>
              <w:t> </w:t>
            </w:r>
            <w:r>
              <w:rPr>
                <w:rFonts w:ascii="宋体" w:hAnsi="宋体" w:cs="宋体" w:eastAsia="宋体" w:hint="default"/>
                <w:sz w:val="21"/>
                <w:szCs w:val="21"/>
              </w:rPr>
              <w:t>元。</w:t>
            </w:r>
          </w:p>
        </w:tc>
      </w:tr>
    </w:tbl>
    <w:p>
      <w:pPr>
        <w:spacing w:line="240" w:lineRule="auto" w:before="13"/>
        <w:rPr>
          <w:rFonts w:ascii="宋体" w:hAnsi="宋体" w:cs="宋体" w:eastAsia="宋体" w:hint="default"/>
          <w:sz w:val="19"/>
          <w:szCs w:val="19"/>
        </w:rPr>
      </w:pPr>
    </w:p>
    <w:p>
      <w:pPr>
        <w:pStyle w:val="BodyText"/>
        <w:spacing w:line="261" w:lineRule="auto" w:before="36"/>
        <w:ind w:right="986"/>
        <w:jc w:val="left"/>
      </w:pPr>
      <w:r>
        <w:rPr>
          <w:spacing w:val="-5"/>
          <w:w w:val="100"/>
        </w:rPr>
        <w:t>（</w:t>
      </w:r>
      <w:r>
        <w:rPr>
          <w:rFonts w:ascii="Times New Roman" w:hAnsi="Times New Roman" w:cs="Times New Roman" w:eastAsia="Times New Roman" w:hint="default"/>
          <w:spacing w:val="-5"/>
          <w:w w:val="100"/>
        </w:rPr>
        <w:t>3</w:t>
      </w:r>
      <w:r>
        <w:rPr>
          <w:spacing w:val="-5"/>
          <w:w w:val="100"/>
        </w:rPr>
        <w:t>）执行《企业会计准则第</w:t>
      </w:r>
      <w:r>
        <w:rPr>
          <w:rFonts w:ascii="Times New Roman" w:hAnsi="Times New Roman" w:cs="Times New Roman" w:eastAsia="Times New Roman" w:hint="default"/>
          <w:spacing w:val="-5"/>
          <w:w w:val="100"/>
        </w:rPr>
        <w:t>7</w:t>
      </w:r>
      <w:r>
        <w:rPr>
          <w:spacing w:val="-5"/>
          <w:w w:val="100"/>
        </w:rPr>
        <w:t>号——非货币性资产交换》（</w:t>
      </w:r>
      <w:r>
        <w:rPr>
          <w:rFonts w:ascii="Times New Roman" w:hAnsi="Times New Roman" w:cs="Times New Roman" w:eastAsia="Times New Roman" w:hint="default"/>
          <w:spacing w:val="-5"/>
          <w:w w:val="100"/>
        </w:rPr>
        <w:t>2019</w:t>
      </w:r>
      <w:r>
        <w:rPr>
          <w:spacing w:val="-5"/>
          <w:w w:val="100"/>
        </w:rPr>
        <w:t>修订）</w:t>
      </w:r>
      <w:r>
        <w:rPr>
          <w:spacing w:val="-87"/>
          <w:w w:val="100"/>
        </w:rPr>
        <w:t> </w:t>
      </w:r>
      <w:r>
        <w:rPr>
          <w:spacing w:val="-87"/>
          <w:w w:val="100"/>
        </w:rPr>
      </w:r>
      <w:r>
        <w:rPr>
          <w:spacing w:val="-9"/>
          <w:w w:val="100"/>
        </w:rPr>
        <w:t>财政部于</w:t>
      </w:r>
      <w:r>
        <w:rPr>
          <w:rFonts w:ascii="Times New Roman" w:hAnsi="Times New Roman" w:cs="Times New Roman" w:eastAsia="Times New Roman" w:hint="default"/>
          <w:spacing w:val="-9"/>
          <w:w w:val="100"/>
        </w:rPr>
        <w:t>2019</w:t>
      </w:r>
      <w:r>
        <w:rPr>
          <w:spacing w:val="-9"/>
          <w:w w:val="100"/>
        </w:rPr>
        <w:t>年</w:t>
      </w:r>
      <w:r>
        <w:rPr>
          <w:rFonts w:ascii="Times New Roman" w:hAnsi="Times New Roman" w:cs="Times New Roman" w:eastAsia="Times New Roman" w:hint="default"/>
          <w:spacing w:val="-9"/>
          <w:w w:val="100"/>
        </w:rPr>
        <w:t>5</w:t>
      </w:r>
      <w:r>
        <w:rPr>
          <w:spacing w:val="-9"/>
          <w:w w:val="100"/>
        </w:rPr>
        <w:t>月</w:t>
      </w:r>
      <w:r>
        <w:rPr>
          <w:rFonts w:ascii="Times New Roman" w:hAnsi="Times New Roman" w:cs="Times New Roman" w:eastAsia="Times New Roman" w:hint="default"/>
          <w:spacing w:val="-9"/>
          <w:w w:val="100"/>
        </w:rPr>
        <w:t>9</w:t>
      </w:r>
      <w:r>
        <w:rPr>
          <w:spacing w:val="-9"/>
          <w:w w:val="100"/>
        </w:rPr>
        <w:t>日发布了《企业会计准则第</w:t>
      </w:r>
      <w:r>
        <w:rPr>
          <w:rFonts w:ascii="Times New Roman" w:hAnsi="Times New Roman" w:cs="Times New Roman" w:eastAsia="Times New Roman" w:hint="default"/>
          <w:spacing w:val="-9"/>
          <w:w w:val="100"/>
        </w:rPr>
        <w:t>7</w:t>
      </w:r>
      <w:r>
        <w:rPr>
          <w:spacing w:val="-9"/>
          <w:w w:val="100"/>
        </w:rPr>
        <w:t>号——非货币性资产交换》（</w:t>
      </w:r>
      <w:r>
        <w:rPr>
          <w:rFonts w:ascii="Times New Roman" w:hAnsi="Times New Roman" w:cs="Times New Roman" w:eastAsia="Times New Roman" w:hint="default"/>
          <w:spacing w:val="-9"/>
          <w:w w:val="100"/>
        </w:rPr>
        <w:t>2019</w:t>
      </w:r>
      <w:r>
        <w:rPr>
          <w:spacing w:val="-9"/>
          <w:w w:val="100"/>
        </w:rPr>
        <w:t>修订）（财</w:t>
      </w:r>
      <w:r>
        <w:rPr>
          <w:spacing w:val="-98"/>
          <w:w w:val="100"/>
        </w:rPr>
        <w:t> </w:t>
      </w:r>
      <w:r>
        <w:rPr>
          <w:spacing w:val="-98"/>
          <w:w w:val="100"/>
        </w:rPr>
      </w:r>
      <w:r>
        <w:rPr>
          <w:spacing w:val="-2"/>
          <w:w w:val="100"/>
        </w:rPr>
        <w:t>会〔</w:t>
      </w:r>
      <w:r>
        <w:rPr>
          <w:rFonts w:ascii="Times New Roman" w:hAnsi="Times New Roman" w:cs="Times New Roman" w:eastAsia="Times New Roman" w:hint="default"/>
          <w:spacing w:val="-2"/>
          <w:w w:val="100"/>
        </w:rPr>
        <w:t>2019</w:t>
      </w:r>
      <w:r>
        <w:rPr>
          <w:spacing w:val="-2"/>
          <w:w w:val="100"/>
        </w:rPr>
        <w:t>〕</w:t>
      </w:r>
      <w:r>
        <w:rPr>
          <w:rFonts w:ascii="Times New Roman" w:hAnsi="Times New Roman" w:cs="Times New Roman" w:eastAsia="Times New Roman" w:hint="default"/>
          <w:spacing w:val="-2"/>
          <w:w w:val="100"/>
        </w:rPr>
        <w:t>8</w:t>
      </w:r>
      <w:r>
        <w:rPr>
          <w:spacing w:val="-2"/>
          <w:w w:val="100"/>
        </w:rPr>
        <w:t>号），修订后的准则自</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6</w:t>
      </w:r>
      <w:r>
        <w:rPr>
          <w:spacing w:val="-2"/>
          <w:w w:val="100"/>
        </w:rPr>
        <w:t>月</w:t>
      </w:r>
      <w:r>
        <w:rPr>
          <w:rFonts w:ascii="Times New Roman" w:hAnsi="Times New Roman" w:cs="Times New Roman" w:eastAsia="Times New Roman" w:hint="default"/>
          <w:spacing w:val="-2"/>
          <w:w w:val="100"/>
        </w:rPr>
        <w:t>10</w:t>
      </w:r>
      <w:r>
        <w:rPr>
          <w:spacing w:val="-2"/>
          <w:w w:val="100"/>
        </w:rPr>
        <w:t>日起施行，对</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1</w:t>
      </w:r>
      <w:r>
        <w:rPr>
          <w:spacing w:val="-2"/>
          <w:w w:val="100"/>
        </w:rPr>
        <w:t>月</w:t>
      </w:r>
      <w:r>
        <w:rPr>
          <w:rFonts w:ascii="Times New Roman" w:hAnsi="Times New Roman" w:cs="Times New Roman" w:eastAsia="Times New Roman" w:hint="default"/>
          <w:spacing w:val="-2"/>
          <w:w w:val="100"/>
        </w:rPr>
        <w:t>1</w:t>
      </w:r>
      <w:r>
        <w:rPr>
          <w:spacing w:val="-2"/>
          <w:w w:val="100"/>
        </w:rPr>
        <w:t>日至本准则施行日</w:t>
      </w:r>
      <w:r>
        <w:rPr>
          <w:spacing w:val="-99"/>
          <w:w w:val="100"/>
        </w:rPr>
        <w:t> </w:t>
      </w:r>
      <w:r>
        <w:rPr>
          <w:spacing w:val="-99"/>
          <w:w w:val="100"/>
        </w:rPr>
      </w:r>
      <w:r>
        <w:rPr>
          <w:spacing w:val="-3"/>
        </w:rPr>
        <w:t>之间发生的非货币性资产交换，应根据本准则进行调整。对</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日之前发生的非货币</w:t>
      </w:r>
      <w:r>
        <w:rPr>
          <w:spacing w:val="-20"/>
        </w:rPr>
        <w:t> </w:t>
      </w:r>
      <w:r>
        <w:rPr>
          <w:spacing w:val="-20"/>
        </w:rPr>
      </w:r>
      <w:r>
        <w:rPr>
          <w:spacing w:val="-3"/>
        </w:rPr>
        <w:t>性资产交换，不需要按照本准则的规定进行追溯调整。本公司执行上述准则在本报告期内无</w:t>
      </w:r>
      <w:r>
        <w:rPr>
          <w:spacing w:val="-31"/>
        </w:rPr>
        <w:t> </w:t>
      </w:r>
      <w:r>
        <w:rPr>
          <w:spacing w:val="-31"/>
        </w:rPr>
      </w:r>
      <w:r>
        <w:rPr/>
        <w:t>重大影响。</w:t>
      </w:r>
    </w:p>
    <w:p>
      <w:pPr>
        <w:spacing w:line="240" w:lineRule="auto" w:before="3"/>
        <w:rPr>
          <w:rFonts w:ascii="宋体" w:hAnsi="宋体" w:cs="宋体" w:eastAsia="宋体" w:hint="default"/>
          <w:sz w:val="25"/>
          <w:szCs w:val="25"/>
        </w:rPr>
      </w:pPr>
    </w:p>
    <w:p>
      <w:pPr>
        <w:pStyle w:val="BodyText"/>
        <w:spacing w:line="256" w:lineRule="auto"/>
        <w:ind w:right="986"/>
        <w:jc w:val="left"/>
      </w:pPr>
      <w:r>
        <w:rPr>
          <w:w w:val="100"/>
        </w:rPr>
        <w:t>（</w:t>
      </w:r>
      <w:r>
        <w:rPr>
          <w:rFonts w:ascii="Times New Roman" w:hAnsi="Times New Roman" w:cs="Times New Roman" w:eastAsia="Times New Roman" w:hint="default"/>
          <w:w w:val="100"/>
        </w:rPr>
        <w:t>4</w:t>
      </w:r>
      <w:r>
        <w:rPr>
          <w:spacing w:val="-3"/>
          <w:w w:val="100"/>
        </w:rPr>
        <w:t>）</w:t>
      </w:r>
      <w:r>
        <w:rPr>
          <w:w w:val="100"/>
        </w:rPr>
        <w:t>执</w:t>
      </w:r>
      <w:r>
        <w:rPr>
          <w:spacing w:val="-3"/>
          <w:w w:val="100"/>
        </w:rPr>
        <w:t>行</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rFonts w:ascii="Times New Roman" w:hAnsi="Times New Roman" w:cs="Times New Roman" w:eastAsia="Times New Roman" w:hint="default"/>
          <w:w w:val="100"/>
        </w:rPr>
        <w:t>12</w:t>
      </w:r>
      <w:r>
        <w:rPr>
          <w:spacing w:val="-3"/>
          <w:w w:val="100"/>
        </w:rPr>
        <w:t>号</w:t>
      </w:r>
      <w:r>
        <w:rPr>
          <w:w w:val="100"/>
        </w:rPr>
        <w:t>—</w:t>
      </w:r>
      <w:r>
        <w:rPr>
          <w:spacing w:val="-3"/>
          <w:w w:val="100"/>
        </w:rPr>
        <w:t>—</w:t>
      </w:r>
      <w:r>
        <w:rPr>
          <w:w w:val="100"/>
        </w:rPr>
        <w:t>债</w:t>
      </w:r>
      <w:r>
        <w:rPr>
          <w:spacing w:val="-3"/>
          <w:w w:val="100"/>
        </w:rPr>
        <w:t>务</w:t>
      </w:r>
      <w:r>
        <w:rPr>
          <w:w w:val="100"/>
        </w:rPr>
        <w:t>重</w:t>
      </w:r>
      <w:r>
        <w:rPr>
          <w:spacing w:val="-3"/>
          <w:w w:val="100"/>
        </w:rPr>
        <w:t>组</w:t>
      </w:r>
      <w:r>
        <w:rPr>
          <w:spacing w:val="-106"/>
          <w:w w:val="100"/>
        </w:rPr>
        <w:t>》</w:t>
      </w:r>
      <w:r>
        <w:rPr>
          <w:w w:val="100"/>
        </w:rPr>
        <w:t>（</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9</w:t>
      </w:r>
      <w:r>
        <w:rPr>
          <w:w w:val="100"/>
        </w:rPr>
        <w:t>修</w:t>
      </w:r>
      <w:r>
        <w:rPr>
          <w:spacing w:val="-3"/>
          <w:w w:val="100"/>
        </w:rPr>
        <w:t>订</w:t>
      </w:r>
      <w:r>
        <w:rPr>
          <w:w w:val="100"/>
        </w:rPr>
        <w:t>）</w:t>
      </w:r>
      <w:r>
        <w:rPr>
          <w:w w:val="100"/>
        </w:rPr>
        <w:t> </w:t>
      </w:r>
      <w:r>
        <w:rPr>
          <w:spacing w:val="7"/>
          <w:w w:val="100"/>
        </w:rPr>
        <w:t>财政部</w:t>
      </w:r>
      <w:r>
        <w:rPr>
          <w:spacing w:val="4"/>
          <w:w w:val="100"/>
        </w:rPr>
        <w:t>于</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4"/>
          <w:w w:val="100"/>
        </w:rPr>
        <w:t>9</w:t>
      </w:r>
      <w:r>
        <w:rPr>
          <w:spacing w:val="7"/>
          <w:w w:val="100"/>
        </w:rPr>
        <w:t>年</w:t>
      </w:r>
      <w:r>
        <w:rPr>
          <w:rFonts w:ascii="Times New Roman" w:hAnsi="Times New Roman" w:cs="Times New Roman" w:eastAsia="Times New Roman" w:hint="default"/>
          <w:spacing w:val="7"/>
          <w:w w:val="100"/>
        </w:rPr>
        <w:t>5</w:t>
      </w:r>
      <w:r>
        <w:rPr>
          <w:spacing w:val="7"/>
          <w:w w:val="100"/>
        </w:rPr>
        <w:t>月</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7"/>
          <w:w w:val="100"/>
        </w:rPr>
        <w:t>6</w:t>
      </w:r>
      <w:r>
        <w:rPr>
          <w:spacing w:val="4"/>
          <w:w w:val="100"/>
        </w:rPr>
        <w:t>日</w:t>
      </w:r>
      <w:r>
        <w:rPr>
          <w:spacing w:val="6"/>
          <w:w w:val="100"/>
        </w:rPr>
        <w:t>发布了</w:t>
      </w:r>
      <w:r>
        <w:rPr>
          <w:spacing w:val="4"/>
          <w:w w:val="100"/>
        </w:rPr>
        <w:t>《</w:t>
      </w:r>
      <w:r>
        <w:rPr>
          <w:spacing w:val="6"/>
          <w:w w:val="100"/>
        </w:rPr>
        <w:t>企</w:t>
      </w:r>
      <w:r>
        <w:rPr>
          <w:spacing w:val="4"/>
          <w:w w:val="100"/>
        </w:rPr>
        <w:t>业</w:t>
      </w:r>
      <w:r>
        <w:rPr>
          <w:spacing w:val="6"/>
          <w:w w:val="100"/>
        </w:rPr>
        <w:t>会计</w:t>
      </w:r>
      <w:r>
        <w:rPr>
          <w:spacing w:val="4"/>
          <w:w w:val="100"/>
        </w:rPr>
        <w:t>准</w:t>
      </w:r>
      <w:r>
        <w:rPr>
          <w:spacing w:val="6"/>
          <w:w w:val="100"/>
        </w:rPr>
        <w:t>则</w:t>
      </w:r>
      <w:r>
        <w:rPr>
          <w:spacing w:val="7"/>
          <w:w w:val="100"/>
        </w:rPr>
        <w:t>第</w:t>
      </w:r>
      <w:r>
        <w:rPr>
          <w:rFonts w:ascii="Times New Roman" w:hAnsi="Times New Roman" w:cs="Times New Roman" w:eastAsia="Times New Roman" w:hint="default"/>
          <w:w w:val="100"/>
        </w:rPr>
        <w:t>1</w:t>
      </w:r>
      <w:r>
        <w:rPr>
          <w:rFonts w:ascii="Times New Roman" w:hAnsi="Times New Roman" w:cs="Times New Roman" w:eastAsia="Times New Roman" w:hint="default"/>
          <w:spacing w:val="7"/>
          <w:w w:val="100"/>
        </w:rPr>
        <w:t>2</w:t>
      </w:r>
      <w:r>
        <w:rPr>
          <w:spacing w:val="7"/>
          <w:w w:val="100"/>
        </w:rPr>
        <w:t>号—</w:t>
      </w:r>
      <w:r>
        <w:rPr>
          <w:spacing w:val="4"/>
          <w:w w:val="100"/>
        </w:rPr>
        <w:t>—</w:t>
      </w:r>
      <w:r>
        <w:rPr>
          <w:spacing w:val="6"/>
          <w:w w:val="100"/>
        </w:rPr>
        <w:t>债</w:t>
      </w:r>
      <w:r>
        <w:rPr>
          <w:spacing w:val="4"/>
          <w:w w:val="100"/>
        </w:rPr>
        <w:t>务</w:t>
      </w:r>
      <w:r>
        <w:rPr>
          <w:spacing w:val="6"/>
          <w:w w:val="100"/>
        </w:rPr>
        <w:t>重组</w:t>
      </w:r>
      <w:r>
        <w:rPr>
          <w:spacing w:val="-99"/>
          <w:w w:val="100"/>
        </w:rPr>
        <w:t>》</w:t>
      </w:r>
      <w:r>
        <w:rPr>
          <w:spacing w:val="6"/>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7"/>
          <w:w w:val="100"/>
        </w:rPr>
        <w:t>9</w:t>
      </w:r>
      <w:r>
        <w:rPr>
          <w:spacing w:val="6"/>
          <w:w w:val="100"/>
        </w:rPr>
        <w:t>修订</w:t>
      </w:r>
      <w:r>
        <w:rPr>
          <w:spacing w:val="-99"/>
          <w:w w:val="100"/>
        </w:rPr>
        <w:t>）</w:t>
      </w:r>
      <w:r>
        <w:rPr>
          <w:spacing w:val="4"/>
          <w:w w:val="100"/>
        </w:rPr>
        <w:t>（</w:t>
      </w:r>
      <w:r>
        <w:rPr>
          <w:spacing w:val="6"/>
          <w:w w:val="100"/>
        </w:rPr>
        <w:t>财</w:t>
      </w:r>
      <w:r>
        <w:rPr>
          <w:w w:val="100"/>
        </w:rPr>
        <w:t>会</w:t>
      </w:r>
    </w:p>
    <w:p>
      <w:pPr>
        <w:pStyle w:val="BodyText"/>
        <w:spacing w:line="256" w:lineRule="auto" w:before="5"/>
        <w:ind w:right="1127"/>
        <w:jc w:val="both"/>
      </w:pPr>
      <w:r>
        <w:rPr>
          <w:spacing w:val="-2"/>
          <w:w w:val="100"/>
        </w:rPr>
        <w:t>〔</w:t>
      </w:r>
      <w:r>
        <w:rPr>
          <w:rFonts w:ascii="Times New Roman" w:hAnsi="Times New Roman" w:cs="Times New Roman" w:eastAsia="Times New Roman" w:hint="default"/>
          <w:spacing w:val="-2"/>
          <w:w w:val="100"/>
        </w:rPr>
        <w:t>2019</w:t>
      </w:r>
      <w:r>
        <w:rPr>
          <w:spacing w:val="-2"/>
          <w:w w:val="100"/>
        </w:rPr>
        <w:t>〕</w:t>
      </w:r>
      <w:r>
        <w:rPr>
          <w:rFonts w:ascii="Times New Roman" w:hAnsi="Times New Roman" w:cs="Times New Roman" w:eastAsia="Times New Roman" w:hint="default"/>
          <w:spacing w:val="-2"/>
          <w:w w:val="100"/>
        </w:rPr>
        <w:t>9</w:t>
      </w:r>
      <w:r>
        <w:rPr>
          <w:spacing w:val="-2"/>
          <w:w w:val="100"/>
        </w:rPr>
        <w:t>号），修订后的准则自</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6</w:t>
      </w:r>
      <w:r>
        <w:rPr>
          <w:spacing w:val="-2"/>
          <w:w w:val="100"/>
        </w:rPr>
        <w:t>月</w:t>
      </w:r>
      <w:r>
        <w:rPr>
          <w:rFonts w:ascii="Times New Roman" w:hAnsi="Times New Roman" w:cs="Times New Roman" w:eastAsia="Times New Roman" w:hint="default"/>
          <w:spacing w:val="-2"/>
          <w:w w:val="100"/>
        </w:rPr>
        <w:t>17</w:t>
      </w:r>
      <w:r>
        <w:rPr>
          <w:spacing w:val="-2"/>
          <w:w w:val="100"/>
        </w:rPr>
        <w:t>日起施行，对</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1</w:t>
      </w:r>
      <w:r>
        <w:rPr>
          <w:spacing w:val="-2"/>
          <w:w w:val="100"/>
        </w:rPr>
        <w:t>月</w:t>
      </w:r>
      <w:r>
        <w:rPr>
          <w:rFonts w:ascii="Times New Roman" w:hAnsi="Times New Roman" w:cs="Times New Roman" w:eastAsia="Times New Roman" w:hint="default"/>
          <w:spacing w:val="-2"/>
          <w:w w:val="100"/>
        </w:rPr>
        <w:t>1</w:t>
      </w:r>
      <w:r>
        <w:rPr>
          <w:spacing w:val="-2"/>
          <w:w w:val="100"/>
        </w:rPr>
        <w:t>日至本准则施行日之</w:t>
      </w:r>
      <w:r>
        <w:rPr>
          <w:spacing w:val="-97"/>
          <w:w w:val="100"/>
        </w:rPr>
        <w:t> </w:t>
      </w:r>
      <w:r>
        <w:rPr>
          <w:spacing w:val="-97"/>
          <w:w w:val="100"/>
        </w:rPr>
      </w:r>
      <w:r>
        <w:rPr>
          <w:spacing w:val="-3"/>
        </w:rPr>
        <w:t>间发生的债务重组，应根据本准则进行调整。对</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日之前发生的债务重组，不需要</w:t>
      </w:r>
      <w:r>
        <w:rPr>
          <w:spacing w:val="-28"/>
        </w:rPr>
        <w:t> </w:t>
      </w:r>
      <w:r>
        <w:rPr>
          <w:spacing w:val="-28"/>
        </w:rPr>
      </w:r>
      <w:r>
        <w:rPr/>
        <w:t>按照本准则的规定进行追溯调整。本公司执行上述准则在本报告期内无重大影响。</w:t>
      </w:r>
    </w:p>
    <w:p>
      <w:pPr>
        <w:spacing w:after="0" w:line="256" w:lineRule="auto"/>
        <w:jc w:val="both"/>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1133"/>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pStyle w:val="BodyText"/>
        <w:spacing w:line="266" w:lineRule="auto" w:before="94"/>
        <w:ind w:left="826" w:right="98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日，公司第四届董事会第三十次会议审议通过了《关于公司控股子公司对外投资</w:t>
      </w:r>
      <w:r>
        <w:rPr>
          <w:spacing w:val="-10"/>
        </w:rPr>
        <w:t> </w:t>
      </w:r>
      <w:r>
        <w:rPr>
          <w:spacing w:val="-10"/>
        </w:rPr>
      </w:r>
      <w:r>
        <w:rPr>
          <w:spacing w:val="-4"/>
          <w:w w:val="100"/>
        </w:rPr>
        <w:t>的议案》。为加强公司在科技和创新产业的投资和发展能力，上海中信信息发展股份有限公司（以</w:t>
      </w:r>
      <w:r>
        <w:rPr>
          <w:spacing w:val="-103"/>
          <w:w w:val="100"/>
        </w:rPr>
        <w:t> </w:t>
      </w:r>
      <w:r>
        <w:rPr>
          <w:spacing w:val="-103"/>
          <w:w w:val="100"/>
        </w:rPr>
      </w:r>
      <w:r>
        <w:rPr>
          <w:spacing w:val="-7"/>
          <w:w w:val="100"/>
        </w:rPr>
        <w:t>下简称“公司”或“信息发展”）控股子公司信发资产管理有限责任公司（以下简称“信发资产”）</w:t>
      </w:r>
      <w:r>
        <w:rPr>
          <w:spacing w:val="-72"/>
          <w:w w:val="100"/>
        </w:rPr>
        <w:t> </w:t>
      </w:r>
      <w:r>
        <w:rPr>
          <w:spacing w:val="-72"/>
          <w:w w:val="100"/>
        </w:rPr>
      </w:r>
      <w:r>
        <w:rPr/>
        <w:t>拟出资人民币</w:t>
      </w:r>
      <w:r>
        <w:rPr>
          <w:rFonts w:ascii="Times New Roman" w:hAnsi="Times New Roman" w:cs="Times New Roman" w:eastAsia="Times New Roman" w:hint="default"/>
        </w:rPr>
        <w:t>1,000</w:t>
      </w:r>
      <w:r>
        <w:rPr/>
        <w:t>万元与普通合伙人君信（上海）股权投资基金管理有限公司（以下简称“君信</w:t>
      </w:r>
      <w:r>
        <w:rPr>
          <w:spacing w:val="-52"/>
        </w:rPr>
        <w:t> </w:t>
      </w:r>
      <w:r>
        <w:rPr>
          <w:spacing w:val="-52"/>
        </w:rPr>
      </w:r>
      <w:r>
        <w:rPr>
          <w:spacing w:val="-4"/>
          <w:w w:val="100"/>
        </w:rPr>
        <w:t>资本”）共同参与投资苏民投君信（上海）产业升级与科技创新股权投资合伙企业（有限合伙），</w:t>
      </w:r>
      <w:r>
        <w:rPr>
          <w:spacing w:val="-97"/>
          <w:w w:val="100"/>
        </w:rPr>
        <w:t> </w:t>
      </w:r>
      <w:r>
        <w:rPr>
          <w:spacing w:val="-97"/>
          <w:w w:val="100"/>
        </w:rPr>
      </w:r>
      <w:r>
        <w:rPr/>
        <w:t>与君信资本共同开展对外投资。本次投资后，信发资产占苏民投君信（上海）产业升级与科技创</w:t>
      </w:r>
      <w:r>
        <w:rPr>
          <w:spacing w:val="-9"/>
        </w:rPr>
        <w:t> </w:t>
      </w:r>
      <w:r>
        <w:rPr>
          <w:spacing w:val="-9"/>
        </w:rPr>
      </w:r>
      <w:r>
        <w:rPr/>
        <w:t>新股权投资合伙企业（有限合伙）的股份比例为</w:t>
      </w:r>
      <w:r>
        <w:rPr>
          <w:rFonts w:ascii="Times New Roman" w:hAnsi="Times New Roman" w:cs="Times New Roman" w:eastAsia="Times New Roman" w:hint="default"/>
        </w:rPr>
        <w:t>0.86%</w:t>
      </w:r>
      <w:r>
        <w:rPr/>
        <w:t>。</w:t>
      </w:r>
      <w:r>
        <w:rPr>
          <w:w w:val="100"/>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日，信发资产管理有限责任公司实际已出资人民币</w:t>
      </w:r>
      <w:r>
        <w:rPr>
          <w:rFonts w:ascii="Times New Roman" w:hAnsi="Times New Roman" w:cs="Times New Roman" w:eastAsia="Times New Roman" w:hint="default"/>
        </w:rPr>
        <w:t>600</w:t>
      </w:r>
      <w:r>
        <w:rPr/>
        <w:t>万元。</w:t>
      </w:r>
    </w:p>
    <w:p>
      <w:pPr>
        <w:spacing w:line="240" w:lineRule="auto" w:before="7"/>
        <w:rPr>
          <w:rFonts w:ascii="宋体" w:hAnsi="宋体" w:cs="宋体" w:eastAsia="宋体" w:hint="default"/>
          <w:sz w:val="23"/>
          <w:szCs w:val="23"/>
        </w:rPr>
      </w:pPr>
    </w:p>
    <w:p>
      <w:pPr>
        <w:pStyle w:val="BodyText"/>
        <w:spacing w:line="259" w:lineRule="auto"/>
        <w:ind w:left="826" w:right="1123"/>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日，控股子公司追溯云信息发展股份有限公司与原立军、廖静、韩姗月签订股权转</w:t>
      </w:r>
      <w:r>
        <w:rPr>
          <w:spacing w:val="-27"/>
        </w:rPr>
        <w:t> </w:t>
      </w:r>
      <w:r>
        <w:rPr>
          <w:spacing w:val="-27"/>
        </w:rPr>
      </w:r>
      <w:r>
        <w:rPr/>
        <w:t>让协议，双方确认：原立军向追溯云信息发展股份有限公司转让其持有的上海商情信息中心有限</w:t>
      </w:r>
      <w:r>
        <w:rPr>
          <w:spacing w:val="-9"/>
        </w:rPr>
        <w:t> </w:t>
      </w:r>
      <w:r>
        <w:rPr>
          <w:spacing w:val="-9"/>
        </w:rPr>
      </w:r>
      <w:r>
        <w:rPr>
          <w:spacing w:val="-2"/>
          <w:w w:val="100"/>
        </w:rPr>
        <w:t>责任公司</w:t>
      </w:r>
      <w:r>
        <w:rPr>
          <w:rFonts w:ascii="Times New Roman" w:hAnsi="Times New Roman" w:cs="Times New Roman" w:eastAsia="Times New Roman" w:hint="default"/>
          <w:spacing w:val="-2"/>
          <w:w w:val="100"/>
        </w:rPr>
        <w:t>6</w:t>
      </w:r>
      <w:r>
        <w:rPr>
          <w:spacing w:val="-2"/>
          <w:w w:val="100"/>
        </w:rPr>
        <w:t>万元的出资额（股权比例</w:t>
      </w:r>
      <w:r>
        <w:rPr>
          <w:rFonts w:ascii="Times New Roman" w:hAnsi="Times New Roman" w:cs="Times New Roman" w:eastAsia="Times New Roman" w:hint="default"/>
          <w:spacing w:val="-2"/>
          <w:w w:val="100"/>
        </w:rPr>
        <w:t>6%</w:t>
      </w:r>
      <w:r>
        <w:rPr>
          <w:spacing w:val="-2"/>
          <w:w w:val="100"/>
        </w:rPr>
        <w:t>），股权转让款为</w:t>
      </w:r>
      <w:r>
        <w:rPr>
          <w:rFonts w:ascii="Times New Roman" w:hAnsi="Times New Roman" w:cs="Times New Roman" w:eastAsia="Times New Roman" w:hint="default"/>
          <w:spacing w:val="-2"/>
          <w:w w:val="100"/>
        </w:rPr>
        <w:t>199.20</w:t>
      </w:r>
      <w:r>
        <w:rPr>
          <w:spacing w:val="-2"/>
          <w:w w:val="100"/>
        </w:rPr>
        <w:t>万元；廖静向追溯云信息发展股份</w:t>
      </w:r>
      <w:r>
        <w:rPr>
          <w:spacing w:val="-85"/>
          <w:w w:val="100"/>
        </w:rPr>
        <w:t> </w:t>
      </w:r>
      <w:r>
        <w:rPr>
          <w:spacing w:val="-85"/>
          <w:w w:val="100"/>
        </w:rPr>
      </w:r>
      <w:r>
        <w:rPr>
          <w:spacing w:val="-5"/>
          <w:w w:val="100"/>
        </w:rPr>
        <w:t>有限公司转让其持有的上海商情信息中心有限责任公司</w:t>
      </w:r>
      <w:r>
        <w:rPr>
          <w:rFonts w:ascii="Times New Roman" w:hAnsi="Times New Roman" w:cs="Times New Roman" w:eastAsia="Times New Roman" w:hint="default"/>
          <w:spacing w:val="-5"/>
          <w:w w:val="100"/>
        </w:rPr>
        <w:t>2.5</w:t>
      </w:r>
      <w:r>
        <w:rPr>
          <w:spacing w:val="-5"/>
          <w:w w:val="100"/>
        </w:rPr>
        <w:t>万元的出资额（股权比例</w:t>
      </w:r>
      <w:r>
        <w:rPr>
          <w:rFonts w:ascii="Times New Roman" w:hAnsi="Times New Roman" w:cs="Times New Roman" w:eastAsia="Times New Roman" w:hint="default"/>
          <w:spacing w:val="-5"/>
          <w:w w:val="100"/>
        </w:rPr>
        <w:t>2.5%</w:t>
      </w:r>
      <w:r>
        <w:rPr>
          <w:spacing w:val="-5"/>
          <w:w w:val="100"/>
        </w:rPr>
        <w:t>），股权转</w:t>
      </w:r>
      <w:r>
        <w:rPr>
          <w:spacing w:val="-104"/>
          <w:w w:val="100"/>
        </w:rPr>
        <w:t> </w:t>
      </w:r>
      <w:r>
        <w:rPr>
          <w:spacing w:val="-104"/>
          <w:w w:val="100"/>
        </w:rPr>
      </w:r>
      <w:r>
        <w:rPr/>
        <w:t>让款为</w:t>
      </w:r>
      <w:r>
        <w:rPr>
          <w:rFonts w:ascii="Times New Roman" w:hAnsi="Times New Roman" w:cs="Times New Roman" w:eastAsia="Times New Roman" w:hint="default"/>
        </w:rPr>
        <w:t>83</w:t>
      </w:r>
      <w:r>
        <w:rPr/>
        <w:t>万元；韩姗月向追溯云信息发展股份有限公司转让其持有的上海商情信息中心有限责任</w:t>
      </w:r>
      <w:r>
        <w:rPr>
          <w:spacing w:val="-10"/>
        </w:rPr>
        <w:t> </w:t>
      </w:r>
      <w:r>
        <w:rPr>
          <w:spacing w:val="-10"/>
        </w:rPr>
      </w:r>
      <w:r>
        <w:rPr/>
        <w:t>公司</w:t>
      </w:r>
      <w:r>
        <w:rPr>
          <w:rFonts w:ascii="Times New Roman" w:hAnsi="Times New Roman" w:cs="Times New Roman" w:eastAsia="Times New Roman" w:hint="default"/>
        </w:rPr>
        <w:t>2.5</w:t>
      </w:r>
      <w:r>
        <w:rPr/>
        <w:t>万元的出资额（股权比例</w:t>
      </w:r>
      <w:r>
        <w:rPr>
          <w:rFonts w:ascii="Times New Roman" w:hAnsi="Times New Roman" w:cs="Times New Roman" w:eastAsia="Times New Roman" w:hint="default"/>
        </w:rPr>
        <w:t>2.5%</w:t>
      </w:r>
      <w:r>
        <w:rPr/>
        <w:t>）</w:t>
      </w:r>
      <w:r>
        <w:rPr>
          <w:rFonts w:ascii="Times New Roman" w:hAnsi="Times New Roman" w:cs="Times New Roman" w:eastAsia="Times New Roman" w:hint="default"/>
        </w:rPr>
        <w:t>,</w:t>
      </w:r>
      <w:r>
        <w:rPr/>
        <w:t>股权转让款为</w:t>
      </w:r>
      <w:r>
        <w:rPr>
          <w:rFonts w:ascii="Times New Roman" w:hAnsi="Times New Roman" w:cs="Times New Roman" w:eastAsia="Times New Roman" w:hint="default"/>
        </w:rPr>
        <w:t>83</w:t>
      </w:r>
      <w:r>
        <w:rPr/>
        <w:t>万元。</w:t>
      </w:r>
      <w:r>
        <w:rPr>
          <w:w w:val="100"/>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日，上海商情信息中心有限责任公司已完成工商变更登记手续。</w:t>
      </w:r>
    </w:p>
    <w:p>
      <w:pPr>
        <w:spacing w:line="240" w:lineRule="auto" w:before="1"/>
        <w:rPr>
          <w:rFonts w:ascii="宋体" w:hAnsi="宋体" w:cs="宋体" w:eastAsia="宋体" w:hint="default"/>
          <w:sz w:val="24"/>
          <w:szCs w:val="24"/>
        </w:rPr>
      </w:pPr>
    </w:p>
    <w:p>
      <w:pPr>
        <w:pStyle w:val="BodyText"/>
        <w:spacing w:line="259" w:lineRule="auto"/>
        <w:ind w:left="826" w:right="1126" w:hanging="365"/>
        <w:jc w:val="left"/>
      </w:pPr>
      <w:r>
        <w:rPr>
          <w:rFonts w:ascii="宋体" w:hAnsi="宋体" w:cs="宋体" w:eastAsia="宋体" w:hint="default"/>
          <w:b/>
          <w:bCs/>
        </w:rPr>
        <w:t>关于购买控股子公司上海追索信息科技有限公司</w:t>
      </w:r>
      <w:r>
        <w:rPr>
          <w:rFonts w:ascii="Times New Roman" w:hAnsi="Times New Roman" w:cs="Times New Roman" w:eastAsia="Times New Roman" w:hint="default"/>
          <w:b/>
          <w:bCs/>
        </w:rPr>
        <w:t>49%</w:t>
      </w:r>
      <w:r>
        <w:rPr>
          <w:rFonts w:ascii="宋体" w:hAnsi="宋体" w:cs="宋体" w:eastAsia="宋体" w:hint="default"/>
          <w:b/>
          <w:bCs/>
        </w:rPr>
        <w:t>剩余股权的事项</w:t>
      </w:r>
      <w:r>
        <w:rPr>
          <w:rFonts w:ascii="宋体" w:hAnsi="宋体" w:cs="宋体" w:eastAsia="宋体" w:hint="default"/>
          <w:b/>
          <w:bCs/>
          <w:w w:val="100"/>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日，公司第四届董事会第三十二次会议审议通过了《关于购买上海追索信息科技有限</w:t>
      </w:r>
      <w:r>
        <w:rPr>
          <w:w w:val="100"/>
        </w:rPr>
        <w:t> </w:t>
      </w:r>
      <w:r>
        <w:rPr>
          <w:spacing w:val="-3"/>
          <w:w w:val="100"/>
        </w:rPr>
        <w:t>公司</w:t>
      </w:r>
      <w:r>
        <w:rPr>
          <w:rFonts w:ascii="Times New Roman" w:hAnsi="Times New Roman" w:cs="Times New Roman" w:eastAsia="Times New Roman" w:hint="default"/>
          <w:spacing w:val="-3"/>
          <w:w w:val="100"/>
        </w:rPr>
        <w:t>49%</w:t>
      </w:r>
      <w:r>
        <w:rPr>
          <w:spacing w:val="-3"/>
          <w:w w:val="100"/>
        </w:rPr>
        <w:t>股权的议案》。为进一步促进公司业务拓展，整合内外有效资源，有利于公司的长远持续</w:t>
      </w:r>
      <w:r>
        <w:rPr>
          <w:w w:val="100"/>
        </w:rPr>
        <w:t> </w:t>
      </w:r>
      <w:r>
        <w:rPr>
          <w:spacing w:val="-4"/>
          <w:w w:val="100"/>
        </w:rPr>
        <w:t>发展，公司全资子公司光典信息发展有限公司（以下简称“光典信息”）拟购买马连兴、张信定、</w:t>
      </w:r>
      <w:r>
        <w:rPr>
          <w:w w:val="100"/>
        </w:rPr>
        <w:t> </w:t>
      </w:r>
      <w:r>
        <w:rPr>
          <w:spacing w:val="-3"/>
          <w:w w:val="100"/>
        </w:rPr>
        <w:t>上海追信管理咨询合伙企业（有限合伙）、刘晓芳、陈延合计持有的追索信息</w:t>
      </w:r>
      <w:r>
        <w:rPr>
          <w:rFonts w:ascii="Times New Roman" w:hAnsi="Times New Roman" w:cs="Times New Roman" w:eastAsia="Times New Roman" w:hint="default"/>
          <w:spacing w:val="-3"/>
          <w:w w:val="100"/>
        </w:rPr>
        <w:t>49%</w:t>
      </w:r>
      <w:r>
        <w:rPr>
          <w:spacing w:val="-3"/>
          <w:w w:val="100"/>
        </w:rPr>
        <w:t>的股权，本次转</w:t>
      </w:r>
      <w:r>
        <w:rPr>
          <w:w w:val="100"/>
        </w:rPr>
        <w:t> </w:t>
      </w:r>
      <w:r>
        <w:rPr/>
        <w:t>让完成后，公司将持有追索信息</w:t>
      </w:r>
      <w:r>
        <w:rPr>
          <w:rFonts w:ascii="Times New Roman" w:hAnsi="Times New Roman" w:cs="Times New Roman" w:eastAsia="Times New Roman" w:hint="default"/>
        </w:rPr>
        <w:t>100%</w:t>
      </w:r>
      <w:r>
        <w:rPr/>
        <w:t>的股权。</w:t>
      </w:r>
      <w:r>
        <w:rPr>
          <w:w w:val="100"/>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日，上海追索信息科技有限公司已完成工商变更登记手续。</w:t>
      </w:r>
    </w:p>
    <w:p>
      <w:pPr>
        <w:spacing w:line="240" w:lineRule="auto" w:before="1"/>
        <w:rPr>
          <w:rFonts w:ascii="宋体" w:hAnsi="宋体" w:cs="宋体" w:eastAsia="宋体" w:hint="default"/>
          <w:sz w:val="24"/>
          <w:szCs w:val="24"/>
        </w:rPr>
      </w:pPr>
    </w:p>
    <w:p>
      <w:pPr>
        <w:pStyle w:val="BodyText"/>
        <w:spacing w:line="264" w:lineRule="auto"/>
        <w:ind w:left="826" w:right="1117" w:hanging="365"/>
        <w:jc w:val="left"/>
      </w:pPr>
      <w:r>
        <w:rPr>
          <w:rFonts w:ascii="宋体" w:hAnsi="宋体" w:cs="宋体" w:eastAsia="宋体" w:hint="default"/>
          <w:b/>
          <w:bCs/>
        </w:rPr>
        <w:t>关于出售全资子公司上海金档信息技术有限公司</w:t>
      </w:r>
      <w:r>
        <w:rPr>
          <w:rFonts w:ascii="Times New Roman" w:hAnsi="Times New Roman" w:cs="Times New Roman" w:eastAsia="Times New Roman" w:hint="default"/>
          <w:b/>
          <w:bCs/>
        </w:rPr>
        <w:t>100%</w:t>
      </w:r>
      <w:r>
        <w:rPr>
          <w:rFonts w:ascii="宋体" w:hAnsi="宋体" w:cs="宋体" w:eastAsia="宋体" w:hint="default"/>
          <w:b/>
          <w:bCs/>
        </w:rPr>
        <w:t>股权的事项</w:t>
      </w:r>
      <w:r>
        <w:rPr>
          <w:rFonts w:ascii="宋体" w:hAnsi="宋体" w:cs="宋体" w:eastAsia="宋体" w:hint="default"/>
          <w:b/>
          <w:bCs/>
          <w:w w:val="100"/>
        </w:rPr>
        <w:t> </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20</w:t>
      </w:r>
      <w:r>
        <w:rPr>
          <w:spacing w:val="-4"/>
        </w:rPr>
        <w:t>日，公司第四届董事会第三十七次会议审议通过了《关于出售全资子公司上海金档信</w:t>
      </w:r>
      <w:r>
        <w:rPr>
          <w:w w:val="100"/>
        </w:rPr>
        <w:t> 息技术有限公司</w:t>
      </w:r>
      <w:r>
        <w:rPr>
          <w:spacing w:val="-12"/>
          <w:w w:val="100"/>
        </w:rPr>
        <w:t> </w:t>
      </w:r>
      <w:r>
        <w:rPr>
          <w:rFonts w:ascii="Times New Roman" w:hAnsi="Times New Roman" w:cs="Times New Roman" w:eastAsia="Times New Roman" w:hint="default"/>
          <w:spacing w:val="-3"/>
          <w:w w:val="100"/>
        </w:rPr>
        <w:t>100%</w:t>
      </w:r>
      <w:r>
        <w:rPr>
          <w:spacing w:val="-3"/>
          <w:w w:val="100"/>
        </w:rPr>
        <w:t>股权的议案》。为进一步整合公司资源，聚焦智慧食安、智慧档案、智慧司</w:t>
      </w:r>
      <w:r>
        <w:rPr>
          <w:w w:val="100"/>
        </w:rPr>
        <w:t> </w:t>
      </w:r>
      <w:r>
        <w:rPr/>
        <w:t>法以及区块链和大数据两个创新中心的业务，优化资源配置，降低财务杠杆，上海中信信息发展</w:t>
      </w:r>
      <w:r>
        <w:rPr>
          <w:w w:val="100"/>
        </w:rPr>
        <w:t> </w:t>
      </w:r>
      <w:r>
        <w:rPr>
          <w:spacing w:val="-4"/>
          <w:w w:val="100"/>
        </w:rPr>
        <w:t>股份有限公司（以下简称“公司”）拟将全资子公司上海金档信息技术有限公司（以下简称“金档</w:t>
      </w:r>
      <w:r>
        <w:rPr>
          <w:spacing w:val="-3"/>
          <w:w w:val="100"/>
        </w:rPr>
        <w:t> </w:t>
      </w:r>
      <w:r>
        <w:rPr>
          <w:spacing w:val="-17"/>
          <w:w w:val="100"/>
        </w:rPr>
        <w:t>信息”）</w:t>
      </w:r>
      <w:r>
        <w:rPr>
          <w:rFonts w:ascii="Times New Roman" w:hAnsi="Times New Roman" w:cs="Times New Roman" w:eastAsia="Times New Roman" w:hint="default"/>
          <w:spacing w:val="-17"/>
          <w:w w:val="100"/>
        </w:rPr>
        <w:t>100%</w:t>
      </w:r>
      <w:r>
        <w:rPr>
          <w:spacing w:val="-17"/>
          <w:w w:val="100"/>
        </w:rPr>
        <w:t>股权，以人民币</w:t>
      </w:r>
      <w:r>
        <w:rPr>
          <w:w w:val="100"/>
        </w:rPr>
        <w:t> </w:t>
      </w:r>
      <w:r>
        <w:rPr>
          <w:rFonts w:ascii="Times New Roman" w:hAnsi="Times New Roman" w:cs="Times New Roman" w:eastAsia="Times New Roman" w:hint="default"/>
          <w:w w:val="100"/>
        </w:rPr>
        <w:t>2650</w:t>
      </w:r>
      <w:r>
        <w:rPr>
          <w:rFonts w:ascii="Times New Roman" w:hAnsi="Times New Roman" w:cs="Times New Roman" w:eastAsia="Times New Roman" w:hint="default"/>
          <w:spacing w:val="26"/>
          <w:w w:val="100"/>
        </w:rPr>
        <w:t> </w:t>
      </w:r>
      <w:r>
        <w:rPr>
          <w:spacing w:val="-6"/>
          <w:w w:val="100"/>
        </w:rPr>
        <w:t>万元价格全部转让给上海谷数信息技术有限公司（以下简称“本</w:t>
      </w:r>
      <w:r>
        <w:rPr>
          <w:w w:val="100"/>
        </w:rPr>
        <w:t> </w:t>
      </w:r>
      <w:r>
        <w:rPr>
          <w:spacing w:val="-22"/>
          <w:w w:val="100"/>
        </w:rPr>
        <w:t>次交易”）</w:t>
      </w:r>
      <w:r>
        <w:rPr>
          <w:w w:val="100"/>
        </w:rPr>
        <w:t> </w:t>
      </w:r>
      <w:r>
        <w:rPr/>
        <w:t>上海谷数与上市公司之间不存在产权、业务、资产、债权债务、人员等方面的其它关系。</w:t>
      </w:r>
      <w:r>
        <w:rPr>
          <w:w w:val="100"/>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日，上海金档信息技术有限公司已完成工商变更登记手续。</w:t>
      </w:r>
    </w:p>
    <w:p>
      <w:pPr>
        <w:spacing w:line="240" w:lineRule="auto" w:before="9"/>
        <w:rPr>
          <w:rFonts w:ascii="宋体" w:hAnsi="宋体" w:cs="宋体" w:eastAsia="宋体" w:hint="default"/>
          <w:sz w:val="23"/>
          <w:szCs w:val="23"/>
        </w:rPr>
      </w:pPr>
    </w:p>
    <w:p>
      <w:pPr>
        <w:spacing w:line="268" w:lineRule="auto" w:before="0"/>
        <w:ind w:left="821" w:right="986" w:hanging="360"/>
        <w:jc w:val="left"/>
        <w:rPr>
          <w:rFonts w:ascii="宋体" w:hAnsi="宋体" w:cs="宋体" w:eastAsia="宋体" w:hint="default"/>
          <w:sz w:val="21"/>
          <w:szCs w:val="21"/>
        </w:rPr>
      </w:pPr>
      <w:r>
        <w:rPr>
          <w:rFonts w:ascii="宋体" w:hAnsi="宋体" w:cs="宋体" w:eastAsia="宋体" w:hint="default"/>
          <w:b/>
          <w:bCs/>
          <w:sz w:val="21"/>
          <w:szCs w:val="21"/>
        </w:rPr>
        <w:t>关于向控股股东出售二级参股子公司易批生鲜信息发展股份有限公司和淘菜猫信息发展股份有限公司</w:t>
      </w:r>
      <w:r>
        <w:rPr>
          <w:rFonts w:ascii="宋体" w:hAnsi="宋体" w:cs="宋体" w:eastAsia="宋体" w:hint="default"/>
          <w:b/>
          <w:bCs/>
          <w:spacing w:val="-90"/>
          <w:sz w:val="21"/>
          <w:szCs w:val="21"/>
        </w:rPr>
        <w:t> </w:t>
      </w:r>
      <w:r>
        <w:rPr>
          <w:rFonts w:ascii="宋体" w:hAnsi="宋体" w:cs="宋体" w:eastAsia="宋体" w:hint="default"/>
          <w:b/>
          <w:bCs/>
          <w:sz w:val="21"/>
          <w:szCs w:val="21"/>
        </w:rPr>
        <w:t>股权的事项</w:t>
      </w:r>
      <w:r>
        <w:rPr>
          <w:rFonts w:ascii="宋体" w:hAnsi="宋体" w:cs="宋体" w:eastAsia="宋体" w:hint="default"/>
          <w:b/>
          <w:bCs/>
          <w:w w:val="100"/>
          <w:sz w:val="21"/>
          <w:szCs w:val="21"/>
        </w:rPr>
        <w:t> </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日，公司召开了第四届董事会第三十四次会议，审议通过了《关于向控股股东出售二</w:t>
      </w:r>
      <w:r>
        <w:rPr>
          <w:rFonts w:ascii="宋体" w:hAnsi="宋体" w:cs="宋体" w:eastAsia="宋体" w:hint="default"/>
          <w:w w:val="100"/>
          <w:sz w:val="21"/>
          <w:szCs w:val="21"/>
        </w:rPr>
        <w:t> </w:t>
      </w:r>
      <w:r>
        <w:rPr>
          <w:rFonts w:ascii="宋体" w:hAnsi="宋体" w:cs="宋体" w:eastAsia="宋体" w:hint="default"/>
          <w:spacing w:val="-4"/>
          <w:w w:val="100"/>
          <w:sz w:val="21"/>
          <w:szCs w:val="21"/>
        </w:rPr>
        <w:t>级控股子公司易批生鲜信息发展股份有限公司股权暨关联交易的议案》，公司拟将全资子公司光典</w:t>
      </w:r>
      <w:r>
        <w:rPr>
          <w:rFonts w:ascii="宋体" w:hAnsi="宋体" w:cs="宋体" w:eastAsia="宋体" w:hint="default"/>
          <w:w w:val="100"/>
          <w:sz w:val="21"/>
          <w:szCs w:val="21"/>
        </w:rPr>
        <w:t> </w:t>
      </w:r>
      <w:r>
        <w:rPr>
          <w:rFonts w:ascii="宋体" w:hAnsi="宋体" w:cs="宋体" w:eastAsia="宋体" w:hint="default"/>
          <w:spacing w:val="-4"/>
          <w:w w:val="100"/>
          <w:sz w:val="21"/>
          <w:szCs w:val="21"/>
        </w:rPr>
        <w:t>信息发展有限公司（以下简称“光典信息”）合法持有并正常经营的易批生鲜信息发展股份有限公</w:t>
      </w:r>
      <w:r>
        <w:rPr>
          <w:rFonts w:ascii="宋体" w:hAnsi="宋体" w:cs="宋体" w:eastAsia="宋体" w:hint="default"/>
          <w:w w:val="100"/>
          <w:sz w:val="21"/>
          <w:szCs w:val="21"/>
        </w:rPr>
        <w:t> </w:t>
      </w:r>
      <w:r>
        <w:rPr>
          <w:rFonts w:ascii="宋体" w:hAnsi="宋体" w:cs="宋体" w:eastAsia="宋体" w:hint="default"/>
          <w:spacing w:val="-10"/>
          <w:w w:val="100"/>
          <w:sz w:val="21"/>
          <w:szCs w:val="21"/>
        </w:rPr>
        <w:t>司（以下简称“易批生鲜”）的</w:t>
      </w:r>
      <w:r>
        <w:rPr>
          <w:rFonts w:ascii="Times New Roman" w:hAnsi="Times New Roman" w:cs="Times New Roman" w:eastAsia="Times New Roman" w:hint="default"/>
          <w:spacing w:val="-10"/>
          <w:w w:val="100"/>
          <w:sz w:val="21"/>
          <w:szCs w:val="21"/>
        </w:rPr>
        <w:t>1,000</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万元出资额（股权比例</w:t>
      </w:r>
      <w:r>
        <w:rPr>
          <w:rFonts w:ascii="宋体" w:hAnsi="宋体" w:cs="宋体" w:eastAsia="宋体" w:hint="default"/>
          <w:spacing w:val="-25"/>
          <w:w w:val="100"/>
          <w:sz w:val="21"/>
          <w:szCs w:val="21"/>
        </w:rPr>
        <w:t> </w:t>
      </w:r>
      <w:r>
        <w:rPr>
          <w:rFonts w:ascii="Times New Roman" w:hAnsi="Times New Roman" w:cs="Times New Roman" w:eastAsia="Times New Roman" w:hint="default"/>
          <w:spacing w:val="-2"/>
          <w:w w:val="100"/>
          <w:sz w:val="21"/>
          <w:szCs w:val="21"/>
        </w:rPr>
        <w:t>16.6667%</w:t>
      </w:r>
      <w:r>
        <w:rPr>
          <w:rFonts w:ascii="宋体" w:hAnsi="宋体" w:cs="宋体" w:eastAsia="宋体" w:hint="default"/>
          <w:spacing w:val="-2"/>
          <w:w w:val="100"/>
          <w:sz w:val="21"/>
          <w:szCs w:val="21"/>
        </w:rPr>
        <w:t>）以人民币</w:t>
      </w:r>
      <w:r>
        <w:rPr>
          <w:rFonts w:ascii="Times New Roman" w:hAnsi="Times New Roman" w:cs="Times New Roman" w:eastAsia="Times New Roman" w:hint="default"/>
          <w:spacing w:val="-2"/>
          <w:w w:val="100"/>
          <w:sz w:val="21"/>
          <w:szCs w:val="21"/>
        </w:rPr>
        <w:t>1,000</w:t>
      </w:r>
      <w:r>
        <w:rPr>
          <w:rFonts w:ascii="宋体" w:hAnsi="宋体" w:cs="宋体" w:eastAsia="宋体" w:hint="default"/>
          <w:spacing w:val="-2"/>
          <w:w w:val="100"/>
          <w:sz w:val="21"/>
          <w:szCs w:val="21"/>
        </w:rPr>
        <w:t>万元全部转</w:t>
      </w:r>
    </w:p>
    <w:p>
      <w:pPr>
        <w:spacing w:after="0" w:line="268" w:lineRule="auto"/>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64" w:lineRule="auto" w:before="36"/>
        <w:ind w:left="826" w:right="986"/>
        <w:jc w:val="left"/>
      </w:pPr>
      <w:r>
        <w:rPr/>
        <w:t>让给控股股东中信电子。</w:t>
      </w:r>
      <w:r>
        <w:rPr>
          <w:w w:val="100"/>
        </w:rPr>
        <w:t> </w:t>
      </w:r>
      <w:r>
        <w:rPr/>
        <w:t>此外，该此董事会同时审议通过了《关于向控股股东出售二级控股子公司淘菜猫信息发展股份有</w:t>
      </w:r>
      <w:r>
        <w:rPr>
          <w:spacing w:val="-9"/>
        </w:rPr>
        <w:t> </w:t>
      </w:r>
      <w:r>
        <w:rPr>
          <w:spacing w:val="-9"/>
        </w:rPr>
      </w:r>
      <w:r>
        <w:rPr>
          <w:spacing w:val="-4"/>
          <w:w w:val="100"/>
        </w:rPr>
        <w:t>限公司股权暨关联交易的议案》，公司拟将全资子公司光典信息发展有限公司（以下简称“光典信</w:t>
      </w:r>
      <w:r>
        <w:rPr>
          <w:spacing w:val="-99"/>
          <w:w w:val="100"/>
        </w:rPr>
        <w:t> </w:t>
      </w:r>
      <w:r>
        <w:rPr>
          <w:spacing w:val="-99"/>
          <w:w w:val="100"/>
        </w:rPr>
      </w:r>
      <w:r>
        <w:rPr>
          <w:spacing w:val="-9"/>
          <w:w w:val="100"/>
        </w:rPr>
        <w:t>息”）合法持有并正常经营的淘菜猫信息发展股份有限公司（以下简称“淘菜猫”）的</w:t>
      </w:r>
      <w:r>
        <w:rPr>
          <w:w w:val="100"/>
        </w:rPr>
        <w:t> </w:t>
      </w:r>
      <w:r>
        <w:rPr>
          <w:rFonts w:ascii="Times New Roman" w:hAnsi="Times New Roman" w:cs="Times New Roman" w:eastAsia="Times New Roman" w:hint="default"/>
          <w:w w:val="100"/>
        </w:rPr>
        <w:t>1000</w:t>
      </w:r>
      <w:r>
        <w:rPr>
          <w:rFonts w:ascii="Times New Roman" w:hAnsi="Times New Roman" w:cs="Times New Roman" w:eastAsia="Times New Roman" w:hint="default"/>
          <w:spacing w:val="17"/>
          <w:w w:val="100"/>
        </w:rPr>
        <w:t> </w:t>
      </w:r>
      <w:r>
        <w:rPr>
          <w:spacing w:val="-1"/>
          <w:w w:val="100"/>
        </w:rPr>
        <w:t>万元出</w:t>
      </w:r>
      <w:r>
        <w:rPr>
          <w:w w:val="100"/>
        </w:rPr>
        <w:t> </w:t>
      </w:r>
      <w:r>
        <w:rPr/>
        <w:t>资额（股权比例</w:t>
      </w:r>
      <w:r>
        <w:rPr>
          <w:spacing w:val="-24"/>
        </w:rPr>
        <w:t> </w:t>
      </w:r>
      <w:r>
        <w:rPr>
          <w:rFonts w:ascii="Times New Roman" w:hAnsi="Times New Roman" w:cs="Times New Roman" w:eastAsia="Times New Roman" w:hint="default"/>
        </w:rPr>
        <w:t>10%</w:t>
      </w:r>
      <w:r>
        <w:rPr/>
        <w:t>）以人民币</w:t>
      </w:r>
      <w:r>
        <w:rPr>
          <w:spacing w:val="-2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8"/>
        </w:rPr>
        <w:t> </w:t>
      </w:r>
      <w:r>
        <w:rPr/>
        <w:t>万元全部转让给控股股东中信电子。</w:t>
      </w:r>
      <w:r>
        <w:rPr>
          <w:spacing w:val="-102"/>
        </w:rPr>
        <w:t> </w:t>
      </w:r>
      <w:r>
        <w:rPr>
          <w:spacing w:val="-102"/>
        </w:rPr>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日，易批生鲜信息发展股份有限公司和淘菜猫信息发展股份有限公司已完成工</w:t>
      </w:r>
      <w:r>
        <w:rPr>
          <w:spacing w:val="-11"/>
        </w:rPr>
        <w:t> </w:t>
      </w:r>
      <w:r>
        <w:rPr>
          <w:spacing w:val="-11"/>
        </w:rPr>
      </w:r>
      <w:r>
        <w:rPr/>
        <w:t>商变更登记手续。</w:t>
      </w:r>
    </w:p>
    <w:p>
      <w:pPr>
        <w:spacing w:line="240" w:lineRule="auto" w:before="1"/>
        <w:rPr>
          <w:rFonts w:ascii="宋体" w:hAnsi="宋体" w:cs="宋体" w:eastAsia="宋体" w:hint="default"/>
          <w:sz w:val="25"/>
          <w:szCs w:val="25"/>
        </w:rPr>
      </w:pPr>
    </w:p>
    <w:p>
      <w:pPr>
        <w:pStyle w:val="BodyText"/>
        <w:spacing w:line="261" w:lineRule="auto"/>
        <w:ind w:left="826" w:right="1133" w:hanging="365"/>
        <w:jc w:val="left"/>
      </w:pPr>
      <w:r>
        <w:rPr>
          <w:rFonts w:ascii="宋体" w:hAnsi="宋体" w:cs="宋体" w:eastAsia="宋体" w:hint="default"/>
          <w:b/>
          <w:bCs/>
        </w:rPr>
        <w:t>关于控股子公司追溯云信息发展股份有限公司引进战略投资者的事项</w:t>
      </w:r>
      <w:r>
        <w:rPr>
          <w:rFonts w:ascii="宋体" w:hAnsi="宋体" w:cs="宋体" w:eastAsia="宋体" w:hint="default"/>
          <w:b/>
          <w:bCs/>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日，经公司第四届董事会第二十三次会议审议并通过了《关于公司二级控股子公司</w:t>
      </w:r>
      <w:r>
        <w:rPr>
          <w:w w:val="100"/>
        </w:rPr>
        <w:t> </w:t>
      </w:r>
      <w:r>
        <w:rPr>
          <w:spacing w:val="-2"/>
          <w:w w:val="100"/>
        </w:rPr>
        <w:t>追溯云信息发展股份有限公司引进战略投资者的议案》，并于</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1</w:t>
      </w:r>
      <w:r>
        <w:rPr>
          <w:spacing w:val="-2"/>
          <w:w w:val="100"/>
        </w:rPr>
        <w:t>月</w:t>
      </w:r>
      <w:r>
        <w:rPr>
          <w:rFonts w:ascii="Times New Roman" w:hAnsi="Times New Roman" w:cs="Times New Roman" w:eastAsia="Times New Roman" w:hint="default"/>
          <w:spacing w:val="-2"/>
          <w:w w:val="100"/>
        </w:rPr>
        <w:t>17</w:t>
      </w:r>
      <w:r>
        <w:rPr>
          <w:spacing w:val="-2"/>
          <w:w w:val="100"/>
        </w:rPr>
        <w:t>日召开的</w:t>
      </w:r>
      <w:r>
        <w:rPr>
          <w:rFonts w:ascii="Times New Roman" w:hAnsi="Times New Roman" w:cs="Times New Roman" w:eastAsia="Times New Roman" w:hint="default"/>
          <w:spacing w:val="-2"/>
          <w:w w:val="100"/>
        </w:rPr>
        <w:t>2019</w:t>
      </w:r>
      <w:r>
        <w:rPr>
          <w:spacing w:val="-2"/>
          <w:w w:val="100"/>
        </w:rPr>
        <w:t>年第一次</w:t>
      </w:r>
      <w:r>
        <w:rPr>
          <w:w w:val="100"/>
        </w:rPr>
        <w:t> </w:t>
      </w:r>
      <w:r>
        <w:rPr>
          <w:spacing w:val="-4"/>
        </w:rPr>
        <w:t>临时股东大会审议并通过，北海石基信息技术有限公司（以下简称</w:t>
      </w:r>
      <w:r>
        <w:rPr>
          <w:rFonts w:ascii="Times New Roman" w:hAnsi="Times New Roman" w:cs="Times New Roman" w:eastAsia="Times New Roman" w:hint="default"/>
          <w:spacing w:val="-4"/>
        </w:rPr>
        <w:t>“</w:t>
      </w:r>
      <w:r>
        <w:rPr>
          <w:spacing w:val="-4"/>
        </w:rPr>
        <w:t>北海石基</w:t>
      </w:r>
      <w:r>
        <w:rPr>
          <w:rFonts w:ascii="Times New Roman" w:hAnsi="Times New Roman" w:cs="Times New Roman" w:eastAsia="Times New Roman" w:hint="default"/>
          <w:spacing w:val="-4"/>
        </w:rPr>
        <w:t>”</w:t>
      </w:r>
      <w:r>
        <w:rPr>
          <w:spacing w:val="-4"/>
        </w:rPr>
        <w:t>）拟对信息发展二级</w:t>
      </w:r>
      <w:r>
        <w:rPr>
          <w:w w:val="100"/>
        </w:rPr>
        <w:t> </w:t>
      </w:r>
      <w:r>
        <w:rPr>
          <w:spacing w:val="-3"/>
        </w:rPr>
        <w:t>控股子公司追溯云信息发展股份有限公司（以下简称</w:t>
      </w:r>
      <w:r>
        <w:rPr>
          <w:rFonts w:ascii="Times New Roman" w:hAnsi="Times New Roman" w:cs="Times New Roman" w:eastAsia="Times New Roman" w:hint="default"/>
          <w:spacing w:val="-3"/>
        </w:rPr>
        <w:t>“</w:t>
      </w:r>
      <w:r>
        <w:rPr>
          <w:spacing w:val="-3"/>
        </w:rPr>
        <w:t>追溯云</w:t>
      </w:r>
      <w:r>
        <w:rPr>
          <w:rFonts w:ascii="Times New Roman" w:hAnsi="Times New Roman" w:cs="Times New Roman" w:eastAsia="Times New Roman" w:hint="default"/>
          <w:spacing w:val="-3"/>
        </w:rPr>
        <w:t>”</w:t>
      </w:r>
      <w:r>
        <w:rPr>
          <w:spacing w:val="-3"/>
        </w:rPr>
        <w:t>）进行投资，总投资金额为</w:t>
      </w:r>
      <w:r>
        <w:rPr>
          <w:rFonts w:ascii="Times New Roman" w:hAnsi="Times New Roman" w:cs="Times New Roman" w:eastAsia="Times New Roman" w:hint="default"/>
          <w:spacing w:val="-3"/>
        </w:rPr>
        <w:t>10,000</w:t>
      </w:r>
      <w:r>
        <w:rPr>
          <w:spacing w:val="-3"/>
        </w:rPr>
        <w:t>万</w:t>
      </w:r>
      <w:r>
        <w:rPr>
          <w:w w:val="100"/>
        </w:rPr>
        <w:t> </w:t>
      </w:r>
      <w:r>
        <w:rPr/>
        <w:t>元。</w:t>
      </w:r>
      <w:r>
        <w:rPr>
          <w:w w:val="100"/>
        </w:rPr>
        <w:t> </w:t>
      </w:r>
      <w:r>
        <w:rPr>
          <w:spacing w:val="-2"/>
        </w:rPr>
        <w:t>北海石基拟以</w:t>
      </w:r>
      <w:r>
        <w:rPr>
          <w:rFonts w:ascii="Times New Roman" w:hAnsi="Times New Roman" w:cs="Times New Roman" w:eastAsia="Times New Roman" w:hint="default"/>
          <w:spacing w:val="-2"/>
        </w:rPr>
        <w:t>2,000.00</w:t>
      </w:r>
      <w:r>
        <w:rPr>
          <w:spacing w:val="-2"/>
        </w:rPr>
        <w:t>万元的价格受让追溯云现有股东张曙华所持追溯云</w:t>
      </w:r>
      <w:r>
        <w:rPr>
          <w:rFonts w:ascii="Times New Roman" w:hAnsi="Times New Roman" w:cs="Times New Roman" w:eastAsia="Times New Roman" w:hint="default"/>
          <w:spacing w:val="-2"/>
        </w:rPr>
        <w:t>300</w:t>
      </w:r>
      <w:r>
        <w:rPr>
          <w:spacing w:val="-2"/>
        </w:rPr>
        <w:t>万股股份，以</w:t>
      </w:r>
      <w:r>
        <w:rPr>
          <w:rFonts w:ascii="Times New Roman" w:hAnsi="Times New Roman" w:cs="Times New Roman" w:eastAsia="Times New Roman" w:hint="default"/>
          <w:spacing w:val="-2"/>
        </w:rPr>
        <w:t>2,250.00</w:t>
      </w:r>
      <w:r>
        <w:rPr>
          <w:rFonts w:ascii="Times New Roman" w:hAnsi="Times New Roman" w:cs="Times New Roman" w:eastAsia="Times New Roman" w:hint="default"/>
          <w:w w:val="100"/>
        </w:rPr>
        <w:t> </w:t>
      </w:r>
      <w:r>
        <w:rPr>
          <w:spacing w:val="2"/>
        </w:rPr>
        <w:t>万元的价格受让追溯云现有股东上海中信电子发展有限公司所持追溯云</w:t>
      </w:r>
      <w:r>
        <w:rPr>
          <w:rFonts w:ascii="Times New Roman" w:hAnsi="Times New Roman" w:cs="Times New Roman" w:eastAsia="Times New Roman" w:hint="default"/>
          <w:spacing w:val="2"/>
        </w:rPr>
        <w:t>337.51</w:t>
      </w:r>
      <w:r>
        <w:rPr>
          <w:spacing w:val="2"/>
        </w:rPr>
        <w:t>万股股份；同时以</w:t>
      </w:r>
      <w:r>
        <w:rPr>
          <w:w w:val="100"/>
        </w:rPr>
        <w:t> </w:t>
      </w:r>
      <w:r>
        <w:rPr>
          <w:rFonts w:ascii="Times New Roman" w:hAnsi="Times New Roman" w:cs="Times New Roman" w:eastAsia="Times New Roman" w:hint="default"/>
          <w:spacing w:val="-2"/>
        </w:rPr>
        <w:t>5,750</w:t>
      </w:r>
      <w:r>
        <w:rPr>
          <w:spacing w:val="-2"/>
        </w:rPr>
        <w:t>万元的价格认购追溯云新增的注册资本</w:t>
      </w:r>
      <w:r>
        <w:rPr>
          <w:rFonts w:ascii="Times New Roman" w:hAnsi="Times New Roman" w:cs="Times New Roman" w:eastAsia="Times New Roman" w:hint="default"/>
          <w:spacing w:val="-2"/>
        </w:rPr>
        <w:t>862.49</w:t>
      </w:r>
      <w:r>
        <w:rPr>
          <w:spacing w:val="-2"/>
        </w:rPr>
        <w:t>万元，其中：</w:t>
      </w:r>
      <w:r>
        <w:rPr>
          <w:rFonts w:ascii="Times New Roman" w:hAnsi="Times New Roman" w:cs="Times New Roman" w:eastAsia="Times New Roman" w:hint="default"/>
          <w:spacing w:val="-2"/>
        </w:rPr>
        <w:t>862.49</w:t>
      </w:r>
      <w:r>
        <w:rPr>
          <w:spacing w:val="-2"/>
        </w:rPr>
        <w:t>万元计入追溯云注册资本，</w:t>
      </w:r>
      <w:r>
        <w:rPr>
          <w:w w:val="100"/>
        </w:rPr>
        <w:t> </w:t>
      </w:r>
      <w:r>
        <w:rPr/>
        <w:t>剩余</w:t>
      </w:r>
      <w:r>
        <w:rPr>
          <w:rFonts w:ascii="Times New Roman" w:hAnsi="Times New Roman" w:cs="Times New Roman" w:eastAsia="Times New Roman" w:hint="default"/>
        </w:rPr>
        <w:t>4,887.51</w:t>
      </w:r>
      <w:r>
        <w:rPr/>
        <w:t>万元作为溢价进入追溯云资本公积。</w:t>
      </w:r>
      <w:r>
        <w:rPr>
          <w:w w:val="100"/>
        </w:rPr>
        <w:t> </w:t>
      </w:r>
      <w:r>
        <w:rPr/>
        <w:t>截止本报告日，上述股权转让款及增资款已实际到位，追溯云已完成工商变更登记。</w:t>
      </w:r>
    </w:p>
    <w:p>
      <w:pPr>
        <w:spacing w:line="240" w:lineRule="auto" w:before="5"/>
        <w:rPr>
          <w:rFonts w:ascii="宋体" w:hAnsi="宋体" w:cs="宋体" w:eastAsia="宋体" w:hint="default"/>
          <w:sz w:val="22"/>
          <w:szCs w:val="22"/>
        </w:rPr>
      </w:pPr>
    </w:p>
    <w:p>
      <w:pPr>
        <w:pStyle w:val="Heading4"/>
        <w:spacing w:line="240" w:lineRule="auto"/>
        <w:ind w:right="1133"/>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立信会计事务所（特殊普通合伙）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庄继宁、吴海燕</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57" w:lineRule="auto" w:before="117"/>
        <w:ind w:left="112" w:right="62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聘请内部控制审计会计师事务所、财务顾问或保荐人情况</w:t>
      </w:r>
    </w:p>
    <w:p>
      <w:pPr>
        <w:spacing w:before="29"/>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1133"/>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公司报告期未发生破产重整相关事项。</w:t>
      </w:r>
    </w:p>
    <w:p>
      <w:pPr>
        <w:spacing w:line="240" w:lineRule="auto" w:before="7"/>
        <w:rPr>
          <w:rFonts w:ascii="宋体" w:hAnsi="宋体" w:cs="宋体" w:eastAsia="宋体" w:hint="default"/>
          <w:sz w:val="18"/>
          <w:szCs w:val="18"/>
        </w:rPr>
      </w:pPr>
    </w:p>
    <w:p>
      <w:pPr>
        <w:pStyle w:val="Heading4"/>
        <w:spacing w:line="240" w:lineRule="auto"/>
        <w:ind w:right="1133"/>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本年度公司无重大诉讼、仲裁事项。</w:t>
      </w:r>
    </w:p>
    <w:p>
      <w:pPr>
        <w:spacing w:line="240" w:lineRule="auto" w:before="7"/>
        <w:rPr>
          <w:rFonts w:ascii="宋体" w:hAnsi="宋体" w:cs="宋体" w:eastAsia="宋体" w:hint="default"/>
          <w:sz w:val="18"/>
          <w:szCs w:val="18"/>
        </w:rPr>
      </w:pPr>
    </w:p>
    <w:p>
      <w:pPr>
        <w:pStyle w:val="Heading4"/>
        <w:spacing w:line="240" w:lineRule="auto"/>
        <w:ind w:right="1133"/>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公司报告期不存在处罚及整改情况。</w:t>
      </w:r>
    </w:p>
    <w:p>
      <w:pPr>
        <w:spacing w:line="240" w:lineRule="auto" w:before="2"/>
        <w:rPr>
          <w:rFonts w:ascii="宋体" w:hAnsi="宋体" w:cs="宋体" w:eastAsia="宋体" w:hint="default"/>
          <w:sz w:val="18"/>
          <w:szCs w:val="18"/>
        </w:rPr>
      </w:pPr>
    </w:p>
    <w:p>
      <w:pPr>
        <w:pStyle w:val="Heading4"/>
        <w:spacing w:line="240" w:lineRule="auto"/>
        <w:ind w:right="1133"/>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112" w:right="44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公司报告期无股权激励计划、员工持股计划或其他员工激励措施及其实施情况。</w:t>
      </w:r>
    </w:p>
    <w:p>
      <w:pPr>
        <w:spacing w:line="240" w:lineRule="auto" w:before="7"/>
        <w:rPr>
          <w:rFonts w:ascii="宋体" w:hAnsi="宋体" w:cs="宋体" w:eastAsia="宋体" w:hint="default"/>
          <w:sz w:val="18"/>
          <w:szCs w:val="18"/>
        </w:rPr>
      </w:pPr>
    </w:p>
    <w:p>
      <w:pPr>
        <w:pStyle w:val="Heading4"/>
        <w:spacing w:line="240" w:lineRule="auto"/>
        <w:ind w:right="1133"/>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公司报告期未发生与日常经营相关的关联交易。</w:t>
      </w:r>
    </w:p>
    <w:p>
      <w:pPr>
        <w:spacing w:line="240" w:lineRule="auto" w:before="4"/>
        <w:rPr>
          <w:rFonts w:ascii="宋体" w:hAnsi="宋体" w:cs="宋体" w:eastAsia="宋体" w:hint="default"/>
          <w:sz w:val="20"/>
          <w:szCs w:val="20"/>
        </w:rPr>
      </w:pPr>
    </w:p>
    <w:p>
      <w:pPr>
        <w:pStyle w:val="Heading6"/>
        <w:spacing w:line="240" w:lineRule="auto"/>
        <w:ind w:right="1133"/>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1652"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91" w:right="18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24" w:right="12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4" w:right="12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316" w:lineRule="auto" w:before="17"/>
              <w:ind w:left="216" w:right="209"/>
              <w:jc w:val="both"/>
              <w:rPr>
                <w:rFonts w:ascii="宋体" w:hAnsi="宋体" w:cs="宋体" w:eastAsia="宋体" w:hint="default"/>
                <w:sz w:val="18"/>
                <w:szCs w:val="18"/>
              </w:rPr>
            </w:pPr>
            <w:r>
              <w:rPr>
                <w:rFonts w:ascii="宋体" w:hAnsi="宋体" w:cs="宋体" w:eastAsia="宋体" w:hint="default"/>
                <w:sz w:val="18"/>
                <w:szCs w:val="18"/>
              </w:rPr>
              <w:t>（万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316" w:lineRule="auto" w:before="17"/>
              <w:ind w:left="213" w:right="213"/>
              <w:jc w:val="both"/>
              <w:rPr>
                <w:rFonts w:ascii="宋体" w:hAnsi="宋体" w:cs="宋体" w:eastAsia="宋体" w:hint="default"/>
                <w:sz w:val="18"/>
                <w:szCs w:val="18"/>
              </w:rPr>
            </w:pPr>
            <w:r>
              <w:rPr>
                <w:rFonts w:ascii="宋体" w:hAnsi="宋体" w:cs="宋体" w:eastAsia="宋体" w:hint="default"/>
                <w:sz w:val="18"/>
                <w:szCs w:val="18"/>
              </w:rPr>
              <w:t>（万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4" w:right="120"/>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4" w:right="12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2" w:right="12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07" w:right="120"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99" w:right="12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5"/>
              <w:jc w:val="both"/>
              <w:rPr>
                <w:rFonts w:ascii="宋体" w:hAnsi="宋体" w:cs="宋体" w:eastAsia="宋体" w:hint="default"/>
                <w:sz w:val="18"/>
                <w:szCs w:val="18"/>
              </w:rPr>
            </w:pPr>
            <w:r>
              <w:rPr>
                <w:rFonts w:ascii="宋体" w:hAnsi="宋体" w:cs="宋体" w:eastAsia="宋体" w:hint="default"/>
                <w:sz w:val="18"/>
                <w:szCs w:val="18"/>
              </w:rPr>
              <w:t>上海中 信电子 发展有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275"/>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43"/>
              <w:jc w:val="left"/>
              <w:rPr>
                <w:rFonts w:ascii="宋体" w:hAnsi="宋体" w:cs="宋体" w:eastAsia="宋体" w:hint="default"/>
                <w:sz w:val="18"/>
                <w:szCs w:val="18"/>
              </w:rPr>
            </w:pPr>
            <w:r>
              <w:rPr>
                <w:rFonts w:ascii="宋体" w:hAnsi="宋体" w:cs="宋体" w:eastAsia="宋体" w:hint="default"/>
                <w:sz w:val="18"/>
                <w:szCs w:val="18"/>
              </w:rPr>
              <w:t>出售股 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46"/>
              <w:jc w:val="both"/>
              <w:rPr>
                <w:rFonts w:ascii="宋体" w:hAnsi="宋体" w:cs="宋体" w:eastAsia="宋体" w:hint="default"/>
                <w:sz w:val="18"/>
                <w:szCs w:val="18"/>
              </w:rPr>
            </w:pPr>
            <w:r>
              <w:rPr>
                <w:rFonts w:ascii="宋体" w:hAnsi="宋体" w:cs="宋体" w:eastAsia="宋体" w:hint="default"/>
                <w:sz w:val="18"/>
                <w:szCs w:val="18"/>
              </w:rPr>
              <w:t>向控股 股东出 售二级 参股子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43"/>
              <w:jc w:val="both"/>
              <w:rPr>
                <w:rFonts w:ascii="宋体" w:hAnsi="宋体" w:cs="宋体" w:eastAsia="宋体" w:hint="default"/>
                <w:sz w:val="18"/>
                <w:szCs w:val="18"/>
              </w:rPr>
            </w:pPr>
            <w:r>
              <w:rPr>
                <w:rFonts w:ascii="宋体" w:hAnsi="宋体" w:cs="宋体" w:eastAsia="宋体" w:hint="default"/>
                <w:sz w:val="18"/>
                <w:szCs w:val="18"/>
              </w:rPr>
              <w:t>根据江 苏中企 华中天 资产评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37"/>
              <w:jc w:val="both"/>
              <w:rPr>
                <w:rFonts w:ascii="宋体" w:hAnsi="宋体" w:cs="宋体" w:eastAsia="宋体" w:hint="default"/>
                <w:sz w:val="18"/>
                <w:szCs w:val="18"/>
              </w:rPr>
            </w:pPr>
            <w:r>
              <w:rPr>
                <w:rFonts w:ascii="宋体" w:hAnsi="宋体" w:cs="宋体" w:eastAsia="宋体" w:hint="default"/>
                <w:sz w:val="18"/>
                <w:szCs w:val="18"/>
              </w:rPr>
              <w:t>《关于 向控股 股东出 售二级</w:t>
            </w:r>
          </w:p>
        </w:tc>
      </w:tr>
    </w:tbl>
    <w:p>
      <w:pPr>
        <w:spacing w:after="0" w:line="316"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11284"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7"/>
              <w:jc w:val="both"/>
              <w:rPr>
                <w:rFonts w:ascii="宋体" w:hAnsi="宋体" w:cs="宋体" w:eastAsia="宋体" w:hint="default"/>
                <w:sz w:val="18"/>
                <w:szCs w:val="18"/>
              </w:rPr>
            </w:pPr>
            <w:r>
              <w:rPr>
                <w:rFonts w:ascii="宋体" w:hAnsi="宋体" w:cs="宋体" w:eastAsia="宋体" w:hint="default"/>
                <w:sz w:val="18"/>
                <w:szCs w:val="18"/>
              </w:rPr>
              <w:t>公司淘 菜猫信 息发展 股份有 限公司 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6"/>
              <w:jc w:val="both"/>
              <w:rPr>
                <w:rFonts w:ascii="宋体" w:hAnsi="宋体" w:cs="宋体" w:eastAsia="宋体" w:hint="default"/>
                <w:sz w:val="18"/>
                <w:szCs w:val="18"/>
              </w:rPr>
            </w:pPr>
            <w:r>
              <w:rPr>
                <w:rFonts w:ascii="宋体" w:hAnsi="宋体" w:cs="宋体" w:eastAsia="宋体" w:hint="default"/>
                <w:sz w:val="18"/>
                <w:szCs w:val="18"/>
              </w:rPr>
              <w:t>估有限 公司出 具的以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103"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日为评 估基准 日的资 产评估 报告苏 中资评 报字</w:t>
            </w:r>
          </w:p>
          <w:p>
            <w:pPr>
              <w:pStyle w:val="TableParagraph"/>
              <w:spacing w:line="240" w:lineRule="auto" w:before="21"/>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）第</w:t>
            </w:r>
          </w:p>
          <w:p>
            <w:pPr>
              <w:pStyle w:val="TableParagraph"/>
              <w:spacing w:line="240" w:lineRule="auto" w:before="118"/>
              <w:ind w:left="103" w:right="0"/>
              <w:jc w:val="both"/>
              <w:rPr>
                <w:rFonts w:ascii="Times New Roman" w:hAnsi="Times New Roman" w:cs="Times New Roman" w:eastAsia="Times New Roman" w:hint="default"/>
                <w:sz w:val="18"/>
                <w:szCs w:val="18"/>
              </w:rPr>
            </w:pPr>
            <w:r>
              <w:rPr>
                <w:rFonts w:ascii="Times New Roman"/>
                <w:sz w:val="18"/>
              </w:rPr>
              <w:t>1038</w:t>
            </w:r>
          </w:p>
          <w:p>
            <w:pPr>
              <w:pStyle w:val="TableParagraph"/>
              <w:spacing w:line="316" w:lineRule="auto" w:before="63"/>
              <w:ind w:left="103"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号，公 司持有 的淘菜 猫股权 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103"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 基准日 的权益 价值为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1"/>
              <w:ind w:left="103" w:right="97"/>
              <w:jc w:val="both"/>
              <w:rPr>
                <w:rFonts w:ascii="Times New Roman" w:hAnsi="Times New Roman" w:cs="Times New Roman" w:eastAsia="Times New Roman" w:hint="default"/>
                <w:sz w:val="18"/>
                <w:szCs w:val="18"/>
              </w:rPr>
            </w:pPr>
            <w:r>
              <w:rPr>
                <w:rFonts w:ascii="宋体" w:hAnsi="宋体" w:cs="宋体" w:eastAsia="宋体" w:hint="default"/>
                <w:sz w:val="18"/>
                <w:szCs w:val="18"/>
              </w:rPr>
              <w:t>元。经 各方友 好协商 同意本 次股权 转让的 价款总 计人民 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p>
          <w:p>
            <w:pPr>
              <w:pStyle w:val="TableParagraph"/>
              <w:spacing w:line="235" w:lineRule="exact"/>
              <w:ind w:left="10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both"/>
              <w:rPr>
                <w:rFonts w:ascii="宋体" w:hAnsi="宋体" w:cs="宋体" w:eastAsia="宋体" w:hint="default"/>
                <w:sz w:val="18"/>
                <w:szCs w:val="18"/>
              </w:rPr>
            </w:pPr>
            <w:r>
              <w:rPr>
                <w:rFonts w:ascii="宋体" w:hAnsi="宋体" w:cs="宋体" w:eastAsia="宋体" w:hint="default"/>
                <w:sz w:val="18"/>
                <w:szCs w:val="18"/>
              </w:rPr>
              <w:t>参股子 公司淘 菜猫信 息发展 股份有 限公司 股权暨 关联交 易的公 告》</w:t>
            </w:r>
          </w:p>
        </w:tc>
      </w:tr>
      <w:tr>
        <w:trPr>
          <w:trHeight w:val="254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103" w:right="194"/>
              <w:jc w:val="both"/>
              <w:rPr>
                <w:rFonts w:ascii="宋体" w:hAnsi="宋体" w:cs="宋体" w:eastAsia="宋体" w:hint="default"/>
                <w:sz w:val="18"/>
                <w:szCs w:val="18"/>
              </w:rPr>
            </w:pPr>
            <w:r>
              <w:rPr>
                <w:rFonts w:ascii="宋体" w:hAnsi="宋体" w:cs="宋体" w:eastAsia="宋体" w:hint="default"/>
                <w:sz w:val="18"/>
                <w:szCs w:val="18"/>
              </w:rPr>
              <w:t>上海中 信电子 发展有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105" w:right="275"/>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105" w:right="143"/>
              <w:jc w:val="left"/>
              <w:rPr>
                <w:rFonts w:ascii="宋体" w:hAnsi="宋体" w:cs="宋体" w:eastAsia="宋体" w:hint="default"/>
                <w:sz w:val="18"/>
                <w:szCs w:val="18"/>
              </w:rPr>
            </w:pPr>
            <w:r>
              <w:rPr>
                <w:rFonts w:ascii="宋体" w:hAnsi="宋体" w:cs="宋体" w:eastAsia="宋体" w:hint="default"/>
                <w:sz w:val="18"/>
                <w:szCs w:val="18"/>
              </w:rPr>
              <w:t>出售股 权</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7"/>
              <w:jc w:val="both"/>
              <w:rPr>
                <w:rFonts w:ascii="宋体" w:hAnsi="宋体" w:cs="宋体" w:eastAsia="宋体" w:hint="default"/>
                <w:sz w:val="18"/>
                <w:szCs w:val="18"/>
              </w:rPr>
            </w:pPr>
            <w:r>
              <w:rPr>
                <w:rFonts w:ascii="宋体" w:hAnsi="宋体" w:cs="宋体" w:eastAsia="宋体" w:hint="default"/>
                <w:sz w:val="18"/>
                <w:szCs w:val="18"/>
              </w:rPr>
              <w:t>向控股 股东出 售二级 参股子 公司易 批生鲜 信息发 展股份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96"/>
              <w:jc w:val="both"/>
              <w:rPr>
                <w:rFonts w:ascii="宋体" w:hAnsi="宋体" w:cs="宋体" w:eastAsia="宋体" w:hint="default"/>
                <w:sz w:val="18"/>
                <w:szCs w:val="18"/>
              </w:rPr>
            </w:pPr>
            <w:r>
              <w:rPr>
                <w:rFonts w:ascii="宋体" w:hAnsi="宋体" w:cs="宋体" w:eastAsia="宋体" w:hint="default"/>
                <w:sz w:val="18"/>
                <w:szCs w:val="18"/>
              </w:rPr>
              <w:t>根据江 苏中企 华中天 资产评 估有限 公司出 具的以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92" w:right="0"/>
              <w:jc w:val="left"/>
              <w:rPr>
                <w:rFonts w:ascii="Times New Roman" w:hAnsi="Times New Roman" w:cs="Times New Roman" w:eastAsia="Times New Roman" w:hint="default"/>
                <w:sz w:val="18"/>
                <w:szCs w:val="18"/>
              </w:rPr>
            </w:pPr>
            <w:r>
              <w:rPr>
                <w:rFonts w:ascii="Times New Roman"/>
                <w:sz w:val="18"/>
              </w:rPr>
              <w:t>964.03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92" w:right="0"/>
              <w:jc w:val="left"/>
              <w:rPr>
                <w:rFonts w:ascii="Times New Roman" w:hAnsi="Times New Roman" w:cs="Times New Roman" w:eastAsia="Times New Roman" w:hint="default"/>
                <w:sz w:val="18"/>
                <w:szCs w:val="18"/>
              </w:rPr>
            </w:pPr>
            <w:r>
              <w:rPr>
                <w:rFonts w:ascii="Times New Roman"/>
                <w:sz w:val="18"/>
              </w:rPr>
              <w:t>964.03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80" w:right="0"/>
              <w:jc w:val="left"/>
              <w:rPr>
                <w:rFonts w:ascii="Times New Roman" w:hAnsi="Times New Roman" w:cs="Times New Roman" w:eastAsia="Times New Roman" w:hint="default"/>
                <w:sz w:val="18"/>
                <w:szCs w:val="18"/>
              </w:rPr>
            </w:pPr>
            <w:r>
              <w:rPr>
                <w:rFonts w:ascii="Times New Roman"/>
                <w:sz w:val="18"/>
              </w:rPr>
              <w:t>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78" w:right="0"/>
              <w:jc w:val="left"/>
              <w:rPr>
                <w:rFonts w:ascii="Times New Roman" w:hAnsi="Times New Roman" w:cs="Times New Roman" w:eastAsia="Times New Roman" w:hint="default"/>
                <w:sz w:val="18"/>
                <w:szCs w:val="18"/>
              </w:rPr>
            </w:pPr>
            <w:r>
              <w:rPr>
                <w:rFonts w:ascii="Times New Roman"/>
                <w:sz w:val="18"/>
              </w:rPr>
              <w:t>35.97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7"/>
              <w:jc w:val="both"/>
              <w:rPr>
                <w:rFonts w:ascii="宋体" w:hAnsi="宋体" w:cs="宋体" w:eastAsia="宋体" w:hint="default"/>
                <w:sz w:val="18"/>
                <w:szCs w:val="18"/>
              </w:rPr>
            </w:pPr>
            <w:r>
              <w:rPr>
                <w:rFonts w:ascii="宋体" w:hAnsi="宋体" w:cs="宋体" w:eastAsia="宋体" w:hint="default"/>
                <w:sz w:val="18"/>
                <w:szCs w:val="18"/>
              </w:rPr>
              <w:t>《关于 向控股 股东出 售二级 参股子 公司易 批生鲜 信息发</w:t>
            </w:r>
          </w:p>
        </w:tc>
      </w:tr>
    </w:tbl>
    <w:p>
      <w:pPr>
        <w:spacing w:after="0" w:line="316"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50"/>
        <w:gridCol w:w="751"/>
        <w:gridCol w:w="799"/>
        <w:gridCol w:w="802"/>
        <w:gridCol w:w="797"/>
        <w:gridCol w:w="797"/>
        <w:gridCol w:w="797"/>
        <w:gridCol w:w="797"/>
        <w:gridCol w:w="797"/>
        <w:gridCol w:w="795"/>
        <w:gridCol w:w="799"/>
        <w:gridCol w:w="792"/>
      </w:tblGrid>
      <w:tr>
        <w:trPr>
          <w:trHeight w:val="10660"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47"/>
              <w:jc w:val="left"/>
              <w:rPr>
                <w:rFonts w:ascii="宋体" w:hAnsi="宋体" w:cs="宋体" w:eastAsia="宋体" w:hint="default"/>
                <w:sz w:val="18"/>
                <w:szCs w:val="18"/>
              </w:rPr>
            </w:pPr>
            <w:r>
              <w:rPr>
                <w:rFonts w:ascii="宋体" w:hAnsi="宋体" w:cs="宋体" w:eastAsia="宋体" w:hint="default"/>
                <w:sz w:val="18"/>
                <w:szCs w:val="18"/>
              </w:rPr>
              <w:t>有限公 司股权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日为评 估基准 日的资 产评估 报告苏 中资评 报字</w:t>
            </w:r>
          </w:p>
          <w:p>
            <w:pPr>
              <w:pStyle w:val="TableParagraph"/>
              <w:spacing w:line="240" w:lineRule="auto" w:before="2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）第</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1038</w:t>
            </w:r>
          </w:p>
          <w:p>
            <w:pPr>
              <w:pStyle w:val="TableParagraph"/>
              <w:spacing w:line="319" w:lineRule="auto" w:before="63"/>
              <w:ind w:left="103" w:right="96"/>
              <w:jc w:val="left"/>
              <w:rPr>
                <w:rFonts w:ascii="宋体" w:hAnsi="宋体" w:cs="宋体" w:eastAsia="宋体" w:hint="default"/>
                <w:sz w:val="18"/>
                <w:szCs w:val="18"/>
              </w:rPr>
            </w:pPr>
            <w:r>
              <w:rPr>
                <w:rFonts w:ascii="宋体" w:hAnsi="宋体" w:cs="宋体" w:eastAsia="宋体" w:hint="default"/>
                <w:sz w:val="18"/>
                <w:szCs w:val="18"/>
              </w:rPr>
              <w:t>号，公 司持有 的易批 生鲜股 权以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103"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日为基 准日的 权益价 值为</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sz w:val="18"/>
              </w:rPr>
              <w:t>964.03</w:t>
            </w:r>
          </w:p>
          <w:p>
            <w:pPr>
              <w:pStyle w:val="TableParagraph"/>
              <w:spacing w:line="316" w:lineRule="auto" w:before="63"/>
              <w:ind w:left="103" w:right="96"/>
              <w:jc w:val="left"/>
              <w:rPr>
                <w:rFonts w:ascii="宋体" w:hAnsi="宋体" w:cs="宋体" w:eastAsia="宋体" w:hint="default"/>
                <w:sz w:val="18"/>
                <w:szCs w:val="18"/>
              </w:rPr>
            </w:pPr>
            <w:r>
              <w:rPr>
                <w:rFonts w:ascii="宋体" w:hAnsi="宋体" w:cs="宋体" w:eastAsia="宋体" w:hint="default"/>
                <w:sz w:val="18"/>
                <w:szCs w:val="18"/>
              </w:rPr>
              <w:t>万元。 经各方 友好协 商同意 本次股 权转让 的价款 总计人 民币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7"/>
              <w:jc w:val="both"/>
              <w:rPr>
                <w:rFonts w:ascii="宋体" w:hAnsi="宋体" w:cs="宋体" w:eastAsia="宋体" w:hint="default"/>
                <w:sz w:val="18"/>
                <w:szCs w:val="18"/>
              </w:rPr>
            </w:pPr>
            <w:r>
              <w:rPr>
                <w:rFonts w:ascii="宋体" w:hAnsi="宋体" w:cs="宋体" w:eastAsia="宋体" w:hint="default"/>
                <w:sz w:val="18"/>
                <w:szCs w:val="18"/>
              </w:rPr>
              <w:t>展股份 有限公 司股权 暨关联 交易的 公告》</w:t>
            </w:r>
          </w:p>
        </w:tc>
      </w:tr>
      <w:tr>
        <w:trPr>
          <w:trHeight w:val="71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5"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207"/>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371"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35"/>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年公司明确了信息发展</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战略，即信息发展是一家运用区块链和大数据 等技术，面向智慧食安、智慧档案、智慧司法等政府和企业，为数字中国提供 行业专有云综合解决方案的服务运营商。</w:t>
            </w:r>
          </w:p>
          <w:p>
            <w:pPr>
              <w:pStyle w:val="TableParagraph"/>
              <w:spacing w:line="312" w:lineRule="auto" w:before="65"/>
              <w:ind w:left="103" w:right="13"/>
              <w:jc w:val="left"/>
              <w:rPr>
                <w:rFonts w:ascii="宋体" w:hAnsi="宋体" w:cs="宋体" w:eastAsia="宋体" w:hint="default"/>
                <w:sz w:val="18"/>
                <w:szCs w:val="18"/>
              </w:rPr>
            </w:pPr>
            <w:r>
              <w:rPr>
                <w:rFonts w:ascii="宋体" w:hAnsi="宋体" w:cs="宋体" w:eastAsia="宋体" w:hint="default"/>
                <w:sz w:val="18"/>
                <w:szCs w:val="18"/>
              </w:rPr>
              <w:t>本次交易完成后，上市公司将不再持有淘菜猫信息发展股份有限公司、易批生 鲜信息发展股份有限公司的股权，此举有利于公司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战略的进一步聚焦及顺 利实施。未来公司将集中优势资源更聚焦于智慧食安领域，加快向产品型、服 </w:t>
            </w:r>
            <w:r>
              <w:rPr>
                <w:rFonts w:ascii="宋体" w:hAnsi="宋体" w:cs="宋体" w:eastAsia="宋体" w:hint="default"/>
                <w:spacing w:val="-2"/>
                <w:sz w:val="18"/>
                <w:szCs w:val="18"/>
              </w:rPr>
              <w:t>务型公司迈进，实现公司各项经济指标的不断提升，兼顾公司长期和近期利益，</w:t>
            </w:r>
          </w:p>
        </w:tc>
      </w:tr>
    </w:tbl>
    <w:p>
      <w:pPr>
        <w:spacing w:after="0" w:line="312"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201"/>
        <w:gridCol w:w="6371"/>
      </w:tblGrid>
      <w:tr>
        <w:trPr>
          <w:trHeight w:val="675"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5"/>
              <w:jc w:val="left"/>
              <w:rPr>
                <w:rFonts w:ascii="宋体" w:hAnsi="宋体" w:cs="宋体" w:eastAsia="宋体" w:hint="default"/>
                <w:sz w:val="18"/>
                <w:szCs w:val="18"/>
              </w:rPr>
            </w:pPr>
            <w:r>
              <w:rPr>
                <w:rFonts w:ascii="宋体" w:hAnsi="宋体" w:cs="宋体" w:eastAsia="宋体" w:hint="default"/>
                <w:sz w:val="18"/>
                <w:szCs w:val="18"/>
              </w:rPr>
              <w:t>有利于上市公司进一步优化产业结构和规范公司治理，符合公司和投资者的利 益。对公司财务产生积极响应。</w:t>
            </w:r>
          </w:p>
        </w:tc>
      </w:tr>
      <w:tr>
        <w:trPr>
          <w:trHeight w:val="713"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2"/>
              <w:jc w:val="left"/>
              <w:rPr>
                <w:rFonts w:ascii="宋体" w:hAnsi="宋体" w:cs="宋体" w:eastAsia="宋体" w:hint="default"/>
                <w:sz w:val="18"/>
                <w:szCs w:val="18"/>
              </w:rPr>
            </w:pPr>
            <w:r>
              <w:rPr>
                <w:rFonts w:ascii="宋体" w:hAnsi="宋体" w:cs="宋体" w:eastAsia="宋体" w:hint="default"/>
                <w:spacing w:val="-5"/>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71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公司报告期未发生共同对外投资的关联交易。</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60" w:lineRule="auto" w:before="0"/>
        <w:ind w:left="112" w:right="76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公司报告期不存在关联债权债务往来。</w:t>
      </w:r>
    </w:p>
    <w:p>
      <w:pPr>
        <w:spacing w:line="240" w:lineRule="auto" w:before="4"/>
        <w:rPr>
          <w:rFonts w:ascii="宋体" w:hAnsi="宋体" w:cs="宋体" w:eastAsia="宋体" w:hint="default"/>
          <w:sz w:val="20"/>
          <w:szCs w:val="20"/>
        </w:rPr>
      </w:pPr>
    </w:p>
    <w:p>
      <w:pPr>
        <w:pStyle w:val="Heading6"/>
        <w:spacing w:line="240" w:lineRule="auto"/>
        <w:ind w:right="1133"/>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公司报告期无其他重大关联交易。</w:t>
      </w:r>
    </w:p>
    <w:p>
      <w:pPr>
        <w:spacing w:line="240" w:lineRule="auto" w:before="5"/>
        <w:rPr>
          <w:rFonts w:ascii="宋体" w:hAnsi="宋体" w:cs="宋体" w:eastAsia="宋体" w:hint="default"/>
          <w:sz w:val="18"/>
          <w:szCs w:val="18"/>
        </w:rPr>
      </w:pPr>
    </w:p>
    <w:p>
      <w:pPr>
        <w:pStyle w:val="Heading4"/>
        <w:spacing w:line="240" w:lineRule="auto"/>
        <w:ind w:right="1133"/>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公司报告期不存在托管情况。</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公司报告期不存在承包情况。</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公司报告期不存在租赁情况。</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公司报告期不存在担保情况。</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0"/>
        <w:jc w:val="both"/>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公司报告期不存在委托理财。</w:t>
      </w:r>
    </w:p>
    <w:p>
      <w:pPr>
        <w:spacing w:line="240" w:lineRule="auto" w:before="2"/>
        <w:rPr>
          <w:rFonts w:ascii="宋体" w:hAnsi="宋体" w:cs="宋体" w:eastAsia="宋体" w:hint="default"/>
          <w:sz w:val="20"/>
          <w:szCs w:val="20"/>
        </w:rPr>
      </w:pPr>
    </w:p>
    <w:p>
      <w:pPr>
        <w:pStyle w:val="Heading6"/>
        <w:spacing w:line="240" w:lineRule="auto"/>
        <w:ind w:right="0"/>
        <w:jc w:val="both"/>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公司报告期不存在委托贷款。</w:t>
      </w:r>
    </w:p>
    <w:p>
      <w:pPr>
        <w:spacing w:line="240" w:lineRule="auto" w:before="5"/>
        <w:rPr>
          <w:rFonts w:ascii="宋体" w:hAnsi="宋体" w:cs="宋体" w:eastAsia="宋体" w:hint="default"/>
          <w:sz w:val="20"/>
          <w:szCs w:val="20"/>
        </w:rPr>
      </w:pPr>
    </w:p>
    <w:p>
      <w:pPr>
        <w:pStyle w:val="Heading6"/>
        <w:spacing w:line="240" w:lineRule="auto"/>
        <w:ind w:right="0"/>
        <w:jc w:val="both"/>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80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公司报告期不存在其他重大合同。</w:t>
      </w:r>
    </w:p>
    <w:p>
      <w:pPr>
        <w:spacing w:line="240" w:lineRule="auto" w:before="5"/>
        <w:rPr>
          <w:rFonts w:ascii="宋体" w:hAnsi="宋体" w:cs="宋体" w:eastAsia="宋体" w:hint="default"/>
          <w:sz w:val="18"/>
          <w:szCs w:val="18"/>
        </w:rPr>
      </w:pPr>
    </w:p>
    <w:p>
      <w:pPr>
        <w:pStyle w:val="Heading4"/>
        <w:spacing w:line="240" w:lineRule="auto"/>
        <w:ind w:right="0"/>
        <w:jc w:val="both"/>
        <w:rPr>
          <w:b w:val="0"/>
          <w:bCs w:val="0"/>
        </w:rPr>
      </w:pPr>
      <w:bookmarkStart w:name="十七、社会责任情况" w:id="94"/>
      <w:bookmarkEnd w:id="94"/>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0"/>
        <w:jc w:val="both"/>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129" w:firstLine="542"/>
        <w:jc w:val="left"/>
        <w:rPr>
          <w:rFonts w:ascii="宋体" w:hAnsi="宋体" w:cs="宋体" w:eastAsia="宋体" w:hint="default"/>
          <w:sz w:val="18"/>
          <w:szCs w:val="18"/>
        </w:rPr>
      </w:pPr>
      <w:r>
        <w:rPr>
          <w:rFonts w:ascii="宋体" w:hAnsi="宋体" w:cs="宋体" w:eastAsia="宋体" w:hint="default"/>
          <w:spacing w:val="-2"/>
          <w:sz w:val="18"/>
          <w:szCs w:val="18"/>
        </w:rPr>
        <w:t>上海消费扶贫联盟在</w:t>
      </w:r>
      <w:r>
        <w:rPr>
          <w:rFonts w:ascii="宋体" w:hAnsi="宋体" w:cs="宋体" w:eastAsia="宋体" w:hint="default"/>
          <w:spacing w:val="-2"/>
          <w:sz w:val="18"/>
          <w:szCs w:val="18"/>
        </w:rPr>
        <w:t>2019</w:t>
      </w:r>
      <w:r>
        <w:rPr>
          <w:rFonts w:ascii="宋体" w:hAnsi="宋体" w:cs="宋体" w:eastAsia="宋体" w:hint="default"/>
          <w:spacing w:val="-2"/>
          <w:sz w:val="18"/>
          <w:szCs w:val="18"/>
        </w:rPr>
        <w:t>年完成了对原上海商务扶贫联盟的升级，标志着联盟的扶贫工作更加聚焦以消费扶贫带动产</w:t>
      </w:r>
      <w:r>
        <w:rPr>
          <w:rFonts w:ascii="宋体" w:hAnsi="宋体" w:cs="宋体" w:eastAsia="宋体" w:hint="default"/>
          <w:sz w:val="18"/>
          <w:szCs w:val="18"/>
        </w:rPr>
        <w:t> 业扶贫的中央精神；同时从组织上成立了沪遵消费扶贫联盟的扶贫地区属地化联盟，具体分两方面来总结消费扶贫工作：</w:t>
      </w:r>
    </w:p>
    <w:p>
      <w:pPr>
        <w:spacing w:line="319" w:lineRule="auto" w:before="19"/>
        <w:ind w:left="655" w:right="1129"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、联盟升级为聚焦消费扶贫的创新服务组织。 </w:t>
      </w:r>
      <w:r>
        <w:rPr>
          <w:rFonts w:ascii="宋体" w:hAnsi="宋体" w:cs="宋体" w:eastAsia="宋体" w:hint="default"/>
          <w:spacing w:val="-2"/>
          <w:sz w:val="18"/>
          <w:szCs w:val="18"/>
        </w:rPr>
        <w:t>为深入学习贯彻习近平总书记关于扶贫工作的重要论述，按照党中央、国务院决策部署，落实《市政府办公厅关于本</w:t>
      </w:r>
    </w:p>
    <w:p>
      <w:pPr>
        <w:spacing w:line="316" w:lineRule="auto" w:before="17"/>
        <w:ind w:left="112" w:right="1132" w:firstLine="0"/>
        <w:jc w:val="both"/>
        <w:rPr>
          <w:rFonts w:ascii="宋体" w:hAnsi="宋体" w:cs="宋体" w:eastAsia="宋体" w:hint="default"/>
          <w:sz w:val="18"/>
          <w:szCs w:val="18"/>
        </w:rPr>
      </w:pPr>
      <w:r>
        <w:rPr>
          <w:rFonts w:ascii="宋体" w:hAnsi="宋体" w:cs="宋体" w:eastAsia="宋体" w:hint="default"/>
          <w:spacing w:val="-5"/>
          <w:sz w:val="18"/>
          <w:szCs w:val="18"/>
        </w:rPr>
        <w:t>市深入开展消费扶贫助力打赢脱贫攻坚战的实施意见》（沪府办发〔</w:t>
      </w:r>
      <w:r>
        <w:rPr>
          <w:rFonts w:ascii="宋体" w:hAnsi="宋体" w:cs="宋体" w:eastAsia="宋体" w:hint="default"/>
          <w:spacing w:val="-5"/>
          <w:sz w:val="18"/>
          <w:szCs w:val="18"/>
        </w:rPr>
        <w:t>2019</w:t>
      </w:r>
      <w:r>
        <w:rPr>
          <w:rFonts w:ascii="宋体" w:hAnsi="宋体" w:cs="宋体" w:eastAsia="宋体" w:hint="default"/>
          <w:spacing w:val="-5"/>
          <w:sz w:val="18"/>
          <w:szCs w:val="18"/>
        </w:rPr>
        <w:t>〕</w:t>
      </w:r>
      <w:r>
        <w:rPr>
          <w:rFonts w:ascii="宋体" w:hAnsi="宋体" w:cs="宋体" w:eastAsia="宋体" w:hint="default"/>
          <w:spacing w:val="-5"/>
          <w:sz w:val="18"/>
          <w:szCs w:val="18"/>
        </w:rPr>
        <w:t>12</w:t>
      </w:r>
      <w:r>
        <w:rPr>
          <w:rFonts w:ascii="宋体" w:hAnsi="宋体" w:cs="宋体" w:eastAsia="宋体" w:hint="default"/>
          <w:spacing w:val="-5"/>
          <w:sz w:val="18"/>
          <w:szCs w:val="18"/>
        </w:rPr>
        <w:t>号），坚持精准扶贫方略，坚持政府引导、社会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参与、市场运作、创新机制、突出重点、分类施策，着力激发全社会参与消费扶贫的积极性，市商务委、市政府合作交流办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在</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日共同召开的“本市推进消费扶贫工作会议”上宣布成立升级后的上海消费扶贫联盟。</w:t>
      </w:r>
    </w:p>
    <w:p>
      <w:pPr>
        <w:spacing w:line="316" w:lineRule="auto" w:before="19"/>
        <w:ind w:left="112" w:right="1034" w:firstLine="542"/>
        <w:jc w:val="left"/>
        <w:rPr>
          <w:rFonts w:ascii="宋体" w:hAnsi="宋体" w:cs="宋体" w:eastAsia="宋体" w:hint="default"/>
          <w:sz w:val="18"/>
          <w:szCs w:val="18"/>
        </w:rPr>
      </w:pPr>
      <w:r>
        <w:rPr>
          <w:rFonts w:ascii="宋体" w:hAnsi="宋体" w:cs="宋体" w:eastAsia="宋体" w:hint="default"/>
          <w:spacing w:val="-2"/>
          <w:sz w:val="18"/>
          <w:szCs w:val="18"/>
        </w:rPr>
        <w:t>会议旨在发挥上海大市场、大流通优势，进一步动员全市各区、各部门和各有关企业，积极带头参与消费扶贫。在创</w:t>
      </w:r>
      <w:r>
        <w:rPr>
          <w:rFonts w:ascii="宋体" w:hAnsi="宋体" w:cs="宋体" w:eastAsia="宋体" w:hint="default"/>
          <w:sz w:val="18"/>
          <w:szCs w:val="18"/>
        </w:rPr>
        <w:t> </w:t>
      </w:r>
      <w:r>
        <w:rPr>
          <w:rFonts w:ascii="宋体" w:hAnsi="宋体" w:cs="宋体" w:eastAsia="宋体" w:hint="default"/>
          <w:spacing w:val="-4"/>
          <w:sz w:val="18"/>
          <w:szCs w:val="18"/>
        </w:rPr>
        <w:t>新对接机制、探索消费扶贫模式方面，会议现场市商务委华源主任和市政府合作交流办姚海主任共同为“上海消费扶贫联盟”</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揭牌。升级后的</w:t>
      </w:r>
      <w:r>
        <w:rPr>
          <w:rFonts w:ascii="宋体" w:hAnsi="宋体" w:cs="宋体" w:eastAsia="宋体" w:hint="default"/>
          <w:sz w:val="18"/>
          <w:szCs w:val="18"/>
        </w:rPr>
        <w:t>2.0</w:t>
      </w:r>
      <w:r>
        <w:rPr>
          <w:rFonts w:ascii="宋体" w:hAnsi="宋体" w:cs="宋体" w:eastAsia="宋体" w:hint="default"/>
          <w:sz w:val="18"/>
          <w:szCs w:val="18"/>
        </w:rPr>
        <w:t>版上海消费扶贫联盟，不仅组织名称上更加聚焦，实质是用统一思想、聚焦资源、积极服务作为联盟的 实施纲领，来全新聚焦对于贫困地区的全产业链升级与品牌化建设工作，进而通过推进消费扶贫工作打赢打好脱贫攻坚战。</w:t>
      </w:r>
    </w:p>
    <w:p>
      <w:pPr>
        <w:spacing w:line="240" w:lineRule="auto" w:before="4"/>
        <w:rPr>
          <w:rFonts w:ascii="宋体" w:hAnsi="宋体" w:cs="宋体" w:eastAsia="宋体" w:hint="default"/>
          <w:sz w:val="25"/>
          <w:szCs w:val="25"/>
        </w:rPr>
      </w:pPr>
    </w:p>
    <w:p>
      <w:pPr>
        <w:spacing w:line="316" w:lineRule="auto" w:before="0"/>
        <w:ind w:left="655" w:right="1129"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、成立沪遵消费扶贫联盟，推进属地化服务。 </w:t>
      </w:r>
      <w:r>
        <w:rPr>
          <w:rFonts w:ascii="宋体" w:hAnsi="宋体" w:cs="宋体" w:eastAsia="宋体" w:hint="default"/>
          <w:spacing w:val="-2"/>
          <w:sz w:val="18"/>
          <w:szCs w:val="18"/>
        </w:rPr>
        <w:t>为认真贯彻落实习近平总书记在解决“两不愁三保障”突出问题座谈会上的讲话精神，以及党中央、国务院关于开展</w:t>
      </w:r>
    </w:p>
    <w:p>
      <w:pPr>
        <w:spacing w:line="316" w:lineRule="auto" w:before="19"/>
        <w:ind w:left="112" w:right="1131" w:firstLine="0"/>
        <w:jc w:val="both"/>
        <w:rPr>
          <w:rFonts w:ascii="宋体" w:hAnsi="宋体" w:cs="宋体" w:eastAsia="宋体" w:hint="default"/>
          <w:sz w:val="18"/>
          <w:szCs w:val="18"/>
        </w:rPr>
      </w:pPr>
      <w:r>
        <w:rPr>
          <w:rFonts w:ascii="宋体" w:hAnsi="宋体" w:cs="宋体" w:eastAsia="宋体" w:hint="default"/>
          <w:spacing w:val="-2"/>
          <w:sz w:val="18"/>
          <w:szCs w:val="18"/>
        </w:rPr>
        <w:t>消费扶贫工作的重要部署和沪遵扶贫协作第九次联席会议精神，进一步创新扶贫协作工作载体，加大“遵品入沪”上海外延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蔬菜基地建设力度，也为更好推动遵义蔬菜产业生产规模化、流通标准化发展，扩大沪遵农产品产销对接渠道，构建“遵品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入沪”市场化机制，在</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日“遵品入沪”消费扶贫暨蔬菜产业发展现场推进会上，成立了第一个专为扶贫地区提供属地 </w:t>
      </w:r>
      <w:r>
        <w:rPr>
          <w:rFonts w:ascii="宋体" w:hAnsi="宋体" w:cs="宋体" w:eastAsia="宋体" w:hint="default"/>
          <w:spacing w:val="-3"/>
          <w:sz w:val="18"/>
          <w:szCs w:val="18"/>
        </w:rPr>
        <w:t>化服务的沪遵消费扶贫联盟，并在会上发布了《遵义农产品流通销售标准指南》。</w:t>
      </w:r>
    </w:p>
    <w:p>
      <w:pPr>
        <w:spacing w:line="316" w:lineRule="auto" w:before="19"/>
        <w:ind w:left="112" w:right="1129" w:firstLine="542"/>
        <w:jc w:val="both"/>
        <w:rPr>
          <w:rFonts w:ascii="宋体" w:hAnsi="宋体" w:cs="宋体" w:eastAsia="宋体" w:hint="default"/>
          <w:sz w:val="18"/>
          <w:szCs w:val="18"/>
        </w:rPr>
      </w:pPr>
      <w:r>
        <w:rPr>
          <w:rFonts w:ascii="宋体" w:hAnsi="宋体" w:cs="宋体" w:eastAsia="宋体" w:hint="default"/>
          <w:spacing w:val="-2"/>
          <w:sz w:val="18"/>
          <w:szCs w:val="18"/>
        </w:rPr>
        <w:t>沪遵消费扶贫联盟成立后，把联盟成员的范围从上海销售企业扩大到遵义种养殖、生产加工企业，然后逐步把消费扶</w:t>
      </w:r>
      <w:r>
        <w:rPr>
          <w:rFonts w:ascii="宋体" w:hAnsi="宋体" w:cs="宋体" w:eastAsia="宋体" w:hint="default"/>
          <w:sz w:val="18"/>
          <w:szCs w:val="18"/>
        </w:rPr>
        <w:t> </w:t>
      </w:r>
      <w:r>
        <w:rPr>
          <w:rFonts w:ascii="宋体" w:hAnsi="宋体" w:cs="宋体" w:eastAsia="宋体" w:hint="default"/>
          <w:spacing w:val="-2"/>
          <w:sz w:val="18"/>
          <w:szCs w:val="18"/>
        </w:rPr>
        <w:t>贫的业务范围扩大到从遵义到上海的全产业链、覆盖遵义各县的全地域、覆盖遵义种养殖农产品的全品类，为后续的遵义方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竹笋首次入沪推广打下了扎实的基础。</w:t>
      </w:r>
    </w:p>
    <w:p>
      <w:pPr>
        <w:spacing w:after="0" w:line="316"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131" w:firstLine="542"/>
        <w:jc w:val="both"/>
        <w:rPr>
          <w:rFonts w:ascii="宋体" w:hAnsi="宋体" w:cs="宋体" w:eastAsia="宋体" w:hint="default"/>
          <w:sz w:val="18"/>
          <w:szCs w:val="18"/>
        </w:rPr>
      </w:pPr>
      <w:r>
        <w:rPr>
          <w:rFonts w:ascii="宋体" w:hAnsi="宋体" w:cs="宋体" w:eastAsia="宋体" w:hint="default"/>
          <w:spacing w:val="-5"/>
          <w:sz w:val="18"/>
          <w:szCs w:val="18"/>
        </w:rPr>
        <w:t>随着党的十九大发出了坚决打赢脱贫攻坚战的号令，要确保到</w:t>
      </w:r>
      <w:r>
        <w:rPr>
          <w:rFonts w:ascii="宋体" w:hAnsi="宋体" w:cs="宋体" w:eastAsia="宋体" w:hint="default"/>
          <w:spacing w:val="-5"/>
          <w:sz w:val="18"/>
          <w:szCs w:val="18"/>
        </w:rPr>
        <w:t>2020</w:t>
      </w:r>
      <w:r>
        <w:rPr>
          <w:rFonts w:ascii="宋体" w:hAnsi="宋体" w:cs="宋体" w:eastAsia="宋体" w:hint="default"/>
          <w:spacing w:val="-5"/>
          <w:sz w:val="18"/>
          <w:szCs w:val="18"/>
        </w:rPr>
        <w:t>年我国现行标准下农村贫困人口实现脱贫，做到“脱</w:t>
      </w:r>
      <w:r>
        <w:rPr>
          <w:rFonts w:ascii="宋体" w:hAnsi="宋体" w:cs="宋体" w:eastAsia="宋体" w:hint="default"/>
          <w:sz w:val="18"/>
          <w:szCs w:val="18"/>
        </w:rPr>
        <w:t> </w:t>
      </w:r>
      <w:r>
        <w:rPr>
          <w:rFonts w:ascii="宋体" w:hAnsi="宋体" w:cs="宋体" w:eastAsia="宋体" w:hint="default"/>
          <w:spacing w:val="-2"/>
          <w:sz w:val="18"/>
          <w:szCs w:val="18"/>
        </w:rPr>
        <w:t>真贫、真脱贫”。信息发展积极响应国家号召，在上海市相关部门帮助指导下，秉承“造血为主、输血为辅”的理念，实施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精准扶贫战略，相关扶贫工作取得积极成效。</w:t>
      </w:r>
    </w:p>
    <w:p>
      <w:pPr>
        <w:spacing w:line="316" w:lineRule="auto" w:before="19"/>
        <w:ind w:left="112" w:right="1131" w:firstLine="542"/>
        <w:jc w:val="both"/>
        <w:rPr>
          <w:rFonts w:ascii="宋体" w:hAnsi="宋体" w:cs="宋体" w:eastAsia="宋体" w:hint="default"/>
          <w:sz w:val="18"/>
          <w:szCs w:val="18"/>
        </w:rPr>
      </w:pPr>
      <w:r>
        <w:rPr>
          <w:rFonts w:ascii="宋体" w:hAnsi="宋体" w:cs="宋体" w:eastAsia="宋体" w:hint="default"/>
          <w:spacing w:val="-2"/>
          <w:sz w:val="18"/>
          <w:szCs w:val="18"/>
        </w:rPr>
        <w:t>公司提供的“群策”产业精准扶贫计划，一方面让真正的原产地产品直送到达消费者手中，为农民增收，推动农产品</w:t>
      </w:r>
      <w:r>
        <w:rPr>
          <w:rFonts w:ascii="宋体" w:hAnsi="宋体" w:cs="宋体" w:eastAsia="宋体" w:hint="default"/>
          <w:sz w:val="18"/>
          <w:szCs w:val="18"/>
        </w:rPr>
        <w:t> 向质优价高的品牌化方向发展；另一方面，帮助产区完成互联网</w:t>
      </w:r>
      <w:r>
        <w:rPr>
          <w:rFonts w:ascii="宋体" w:hAnsi="宋体" w:cs="宋体" w:eastAsia="宋体" w:hint="default"/>
          <w:sz w:val="18"/>
          <w:szCs w:val="18"/>
        </w:rPr>
        <w:t>+</w:t>
      </w:r>
      <w:r>
        <w:rPr>
          <w:rFonts w:ascii="宋体" w:hAnsi="宋体" w:cs="宋体" w:eastAsia="宋体" w:hint="default"/>
          <w:sz w:val="18"/>
          <w:szCs w:val="18"/>
        </w:rPr>
        <w:t>的转型升级，提高产品溢价空间，增强消费者对品牌的信 </w:t>
      </w:r>
      <w:r>
        <w:rPr>
          <w:rFonts w:ascii="宋体" w:hAnsi="宋体" w:cs="宋体" w:eastAsia="宋体" w:hint="default"/>
          <w:spacing w:val="-2"/>
          <w:sz w:val="18"/>
          <w:szCs w:val="18"/>
        </w:rPr>
        <w:t>任，协助产品创造更高价值，加快当地群众迈向小康生活的步伐。未来将深入开展好沪滇遵扶贫协作和对口支援工作，充分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发挥各自资源优势，扎实推进“云品入沪”、“遵品入户”产销对接精准扶贫，发挥社会效应，对接对口贫困地区政府，召集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一批企、事业单位，成立“上海商务扶贫联盟”，为精准扶贫事业共同添砖加瓦。实现滞销农产品在上海平价菜专柜直销。</w:t>
      </w:r>
    </w:p>
    <w:p>
      <w:pPr>
        <w:spacing w:line="240" w:lineRule="auto" w:before="11"/>
        <w:rPr>
          <w:rFonts w:ascii="宋体" w:hAnsi="宋体" w:cs="宋体" w:eastAsia="宋体" w:hint="default"/>
          <w:sz w:val="22"/>
          <w:szCs w:val="22"/>
        </w:rPr>
      </w:pPr>
    </w:p>
    <w:p>
      <w:pPr>
        <w:pStyle w:val="Heading6"/>
        <w:spacing w:line="240" w:lineRule="auto"/>
        <w:ind w:right="1133"/>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1132" w:firstLine="542"/>
        <w:jc w:val="both"/>
        <w:rPr>
          <w:rFonts w:ascii="宋体" w:hAnsi="宋体" w:cs="宋体" w:eastAsia="宋体" w:hint="default"/>
          <w:sz w:val="18"/>
          <w:szCs w:val="18"/>
        </w:rPr>
      </w:pPr>
      <w:r>
        <w:rPr>
          <w:rFonts w:ascii="宋体" w:hAnsi="宋体" w:cs="宋体" w:eastAsia="宋体" w:hint="default"/>
          <w:spacing w:val="-2"/>
          <w:sz w:val="18"/>
          <w:szCs w:val="18"/>
        </w:rPr>
        <w:t>报告期内公司多次实地调研贫困地区农产品产业现状，并计入上海消费扶贫联盟，进而通过推进消费扶贫工作打赢打</w:t>
      </w:r>
      <w:r>
        <w:rPr>
          <w:rFonts w:ascii="宋体" w:hAnsi="宋体" w:cs="宋体" w:eastAsia="宋体" w:hint="default"/>
          <w:sz w:val="18"/>
          <w:szCs w:val="18"/>
        </w:rPr>
        <w:t> 好脱贫攻坚战。具体工作如下：</w:t>
      </w:r>
    </w:p>
    <w:p>
      <w:pPr>
        <w:spacing w:before="19"/>
        <w:ind w:left="655" w:right="986"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、通过整合产业链上各主体推进协作共同扶贫，组织联盟成员一起完成商品化、供应链服务，同时带动上海线下近</w:t>
      </w:r>
    </w:p>
    <w:p>
      <w:pPr>
        <w:spacing w:line="316" w:lineRule="auto" w:before="76"/>
        <w:ind w:left="112" w:right="1034" w:firstLine="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个渠道</w:t>
      </w:r>
      <w:r>
        <w:rPr>
          <w:rFonts w:ascii="宋体" w:hAnsi="宋体" w:cs="宋体" w:eastAsia="宋体" w:hint="default"/>
          <w:sz w:val="18"/>
          <w:szCs w:val="18"/>
        </w:rPr>
        <w:t>400</w:t>
      </w:r>
      <w:r>
        <w:rPr>
          <w:rFonts w:ascii="宋体" w:hAnsi="宋体" w:cs="宋体" w:eastAsia="宋体" w:hint="default"/>
          <w:sz w:val="18"/>
          <w:szCs w:val="18"/>
        </w:rPr>
        <w:t>个门店</w:t>
      </w:r>
      <w:r>
        <w:rPr>
          <w:rFonts w:ascii="宋体" w:hAnsi="宋体" w:cs="宋体" w:eastAsia="宋体" w:hint="default"/>
          <w:sz w:val="18"/>
          <w:szCs w:val="18"/>
        </w:rPr>
        <w:t>+</w:t>
      </w:r>
      <w:r>
        <w:rPr>
          <w:rFonts w:ascii="宋体" w:hAnsi="宋体" w:cs="宋体" w:eastAsia="宋体" w:hint="default"/>
          <w:sz w:val="18"/>
          <w:szCs w:val="18"/>
        </w:rPr>
        <w:t>线上覆盖华东区域等整体扶贫，推进市场营销工作，销售近</w:t>
      </w:r>
      <w:r>
        <w:rPr>
          <w:rFonts w:ascii="宋体" w:hAnsi="宋体" w:cs="宋体" w:eastAsia="宋体" w:hint="default"/>
          <w:sz w:val="18"/>
          <w:szCs w:val="18"/>
        </w:rPr>
        <w:t>80</w:t>
      </w:r>
      <w:r>
        <w:rPr>
          <w:rFonts w:ascii="宋体" w:hAnsi="宋体" w:cs="宋体" w:eastAsia="宋体" w:hint="default"/>
          <w:sz w:val="18"/>
          <w:szCs w:val="18"/>
        </w:rPr>
        <w:t>吨，直接带动建档立卡户</w:t>
      </w:r>
      <w:r>
        <w:rPr>
          <w:rFonts w:ascii="宋体" w:hAnsi="宋体" w:cs="宋体" w:eastAsia="宋体" w:hint="default"/>
          <w:sz w:val="18"/>
          <w:szCs w:val="18"/>
        </w:rPr>
        <w:t>184</w:t>
      </w:r>
      <w:r>
        <w:rPr>
          <w:rFonts w:ascii="宋体" w:hAnsi="宋体" w:cs="宋体" w:eastAsia="宋体" w:hint="default"/>
          <w:sz w:val="18"/>
          <w:szCs w:val="18"/>
        </w:rPr>
        <w:t>户、</w:t>
      </w:r>
      <w:r>
        <w:rPr>
          <w:rFonts w:ascii="宋体" w:hAnsi="宋体" w:cs="宋体" w:eastAsia="宋体" w:hint="default"/>
          <w:sz w:val="18"/>
          <w:szCs w:val="18"/>
        </w:rPr>
        <w:t>757</w:t>
      </w:r>
      <w:r>
        <w:rPr>
          <w:rFonts w:ascii="宋体" w:hAnsi="宋体" w:cs="宋体" w:eastAsia="宋体" w:hint="default"/>
          <w:sz w:val="18"/>
          <w:szCs w:val="18"/>
        </w:rPr>
        <w:t>人； </w:t>
      </w:r>
      <w:r>
        <w:rPr>
          <w:rFonts w:ascii="宋体" w:hAnsi="宋体" w:cs="宋体" w:eastAsia="宋体" w:hint="default"/>
          <w:spacing w:val="-2"/>
          <w:sz w:val="18"/>
          <w:szCs w:val="18"/>
        </w:rPr>
        <w:t>同时给上海市民带来了贵州生态、营养丰富、鲜嫩无渣的遵义方竹笋，满足了消费升级需求；也让各个经营主体走通了市场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化之路，产生了各方共赢的效益；同时也发挥了联盟关于聚焦小众特色商品、数字化技术、线上营销、点对点销售、满足消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费升级需求、宣传造势、与传统渠道销售联动等方面的优势，助力贵州（遵义）针对生态、优质、特色农产品推进消费扶贫</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工作。同时，遵义方竹笋的入沪推广，将遵义农产品的生态口碑引入了上海消费市场，为后续遵义赤水冬笋入沪做好了充分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准备。</w:t>
      </w:r>
    </w:p>
    <w:p>
      <w:pPr>
        <w:spacing w:line="240" w:lineRule="auto" w:before="4"/>
        <w:rPr>
          <w:rFonts w:ascii="宋体" w:hAnsi="宋体" w:cs="宋体" w:eastAsia="宋体" w:hint="default"/>
          <w:sz w:val="25"/>
          <w:szCs w:val="25"/>
        </w:rPr>
      </w:pPr>
    </w:p>
    <w:p>
      <w:pPr>
        <w:spacing w:line="316" w:lineRule="auto" w:before="0"/>
        <w:ind w:left="112" w:right="986" w:firstLine="54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、联盟积极对接政府机关和扶贫地区的农产品销售和采购。</w:t>
      </w:r>
      <w:r>
        <w:rPr>
          <w:rFonts w:ascii="宋体" w:hAnsi="宋体" w:cs="宋体" w:eastAsia="宋体" w:hint="default"/>
          <w:sz w:val="18"/>
          <w:szCs w:val="18"/>
        </w:rPr>
        <w:t>2019</w:t>
      </w:r>
      <w:r>
        <w:rPr>
          <w:rFonts w:ascii="宋体" w:hAnsi="宋体" w:cs="宋体" w:eastAsia="宋体" w:hint="default"/>
          <w:sz w:val="18"/>
          <w:szCs w:val="18"/>
        </w:rPr>
        <w:t>年年初，在杨浦区区委区政府的大力支持下，联盟 </w:t>
      </w:r>
      <w:r>
        <w:rPr>
          <w:rFonts w:ascii="宋体" w:hAnsi="宋体" w:cs="宋体" w:eastAsia="宋体" w:hint="default"/>
          <w:spacing w:val="-2"/>
          <w:sz w:val="18"/>
          <w:szCs w:val="18"/>
        </w:rPr>
        <w:t>组织道真县农业平台公司兴农公司，从蔬菜标准化，到预冷、到物流运输、最后到仓储销售等进行全供应链帮扶和对接，为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杨浦区</w:t>
      </w:r>
      <w:r>
        <w:rPr>
          <w:rFonts w:ascii="宋体" w:hAnsi="宋体" w:cs="宋体" w:eastAsia="宋体" w:hint="default"/>
          <w:spacing w:val="-2"/>
          <w:sz w:val="18"/>
          <w:szCs w:val="18"/>
        </w:rPr>
        <w:t>1600</w:t>
      </w:r>
      <w:r>
        <w:rPr>
          <w:rFonts w:ascii="宋体" w:hAnsi="宋体" w:cs="宋体" w:eastAsia="宋体" w:hint="default"/>
          <w:spacing w:val="-2"/>
          <w:sz w:val="18"/>
          <w:szCs w:val="18"/>
        </w:rPr>
        <w:t>名公务员带来道真蔬菜的职工福利体验机会，并为后续遵义农产品进入机关推广做好准备。在杨浦区商务委的支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持下，联盟与杨浦商贸集团公司积极对接，在农产品企业员工团购、在菜市场探索开设消费扶贫专柜等方面渠道了明显效果。</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阳普菜市场公司是杨浦的“菜篮子”，下属有</w:t>
      </w:r>
      <w:r>
        <w:rPr>
          <w:rFonts w:ascii="宋体" w:hAnsi="宋体" w:cs="宋体" w:eastAsia="宋体" w:hint="default"/>
          <w:spacing w:val="-2"/>
          <w:sz w:val="18"/>
          <w:szCs w:val="18"/>
        </w:rPr>
        <w:t>28</w:t>
      </w:r>
      <w:r>
        <w:rPr>
          <w:rFonts w:ascii="宋体" w:hAnsi="宋体" w:cs="宋体" w:eastAsia="宋体" w:hint="default"/>
          <w:spacing w:val="-2"/>
          <w:sz w:val="18"/>
          <w:szCs w:val="18"/>
        </w:rPr>
        <w:t>家菜市场。在联盟对接下，全体员工积极响应，设立了销售专柜、集团全员</w:t>
      </w:r>
      <w:r>
        <w:rPr>
          <w:rFonts w:ascii="宋体" w:hAnsi="宋体" w:cs="宋体" w:eastAsia="宋体" w:hint="default"/>
          <w:spacing w:val="-70"/>
          <w:sz w:val="18"/>
          <w:szCs w:val="18"/>
        </w:rPr>
        <w:t> </w:t>
      </w:r>
      <w:r>
        <w:rPr>
          <w:rFonts w:ascii="宋体" w:hAnsi="宋体" w:cs="宋体" w:eastAsia="宋体" w:hint="default"/>
          <w:spacing w:val="-2"/>
          <w:sz w:val="18"/>
          <w:szCs w:val="18"/>
        </w:rPr>
        <w:t>参与拓宽思路，充分利用各类资源多渠道通过零售、单位团购等销售手段，参与消费扶贫工作；并在安图、平昌、阜新、靖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宇、国和、双辽等已开设实体消费扶贫专柜，交易量从</w:t>
      </w:r>
      <w:r>
        <w:rPr>
          <w:rFonts w:ascii="宋体" w:hAnsi="宋体" w:cs="宋体" w:eastAsia="宋体" w:hint="default"/>
          <w:sz w:val="18"/>
          <w:szCs w:val="18"/>
        </w:rPr>
        <w:t>2018</w:t>
      </w:r>
      <w:r>
        <w:rPr>
          <w:rFonts w:ascii="宋体" w:hAnsi="宋体" w:cs="宋体" w:eastAsia="宋体" w:hint="default"/>
          <w:sz w:val="18"/>
          <w:szCs w:val="18"/>
        </w:rPr>
        <w:t>年的</w:t>
      </w:r>
      <w:r>
        <w:rPr>
          <w:rFonts w:ascii="宋体" w:hAnsi="宋体" w:cs="宋体" w:eastAsia="宋体" w:hint="default"/>
          <w:sz w:val="18"/>
          <w:szCs w:val="18"/>
        </w:rPr>
        <w:t>47100</w:t>
      </w:r>
      <w:r>
        <w:rPr>
          <w:rFonts w:ascii="宋体" w:hAnsi="宋体" w:cs="宋体" w:eastAsia="宋体" w:hint="default"/>
          <w:sz w:val="18"/>
          <w:szCs w:val="18"/>
        </w:rPr>
        <w:t>斤扩大至</w:t>
      </w:r>
      <w:r>
        <w:rPr>
          <w:rFonts w:ascii="宋体" w:hAnsi="宋体" w:cs="宋体" w:eastAsia="宋体" w:hint="default"/>
          <w:sz w:val="18"/>
          <w:szCs w:val="18"/>
        </w:rPr>
        <w:t>2019</w:t>
      </w:r>
      <w:r>
        <w:rPr>
          <w:rFonts w:ascii="宋体" w:hAnsi="宋体" w:cs="宋体" w:eastAsia="宋体" w:hint="default"/>
          <w:sz w:val="18"/>
          <w:szCs w:val="18"/>
        </w:rPr>
        <w:t>年上半年的</w:t>
      </w:r>
      <w:r>
        <w:rPr>
          <w:rFonts w:ascii="宋体" w:hAnsi="宋体" w:cs="宋体" w:eastAsia="宋体" w:hint="default"/>
          <w:sz w:val="18"/>
          <w:szCs w:val="18"/>
        </w:rPr>
        <w:t>292900</w:t>
      </w:r>
      <w:r>
        <w:rPr>
          <w:rFonts w:ascii="宋体" w:hAnsi="宋体" w:cs="宋体" w:eastAsia="宋体" w:hint="default"/>
          <w:sz w:val="18"/>
          <w:szCs w:val="18"/>
        </w:rPr>
        <w:t>斤，交易额从</w:t>
      </w:r>
      <w:r>
        <w:rPr>
          <w:rFonts w:ascii="宋体" w:hAnsi="宋体" w:cs="宋体" w:eastAsia="宋体" w:hint="default"/>
          <w:sz w:val="18"/>
          <w:szCs w:val="18"/>
        </w:rPr>
        <w:t>2018</w:t>
      </w:r>
      <w:r>
        <w:rPr>
          <w:rFonts w:ascii="宋体" w:hAnsi="宋体" w:cs="宋体" w:eastAsia="宋体" w:hint="default"/>
          <w:sz w:val="18"/>
          <w:szCs w:val="18"/>
        </w:rPr>
        <w:t>年 的</w:t>
      </w:r>
      <w:r>
        <w:rPr>
          <w:rFonts w:ascii="宋体" w:hAnsi="宋体" w:cs="宋体" w:eastAsia="宋体" w:hint="default"/>
          <w:sz w:val="18"/>
          <w:szCs w:val="18"/>
        </w:rPr>
        <w:t>206600</w:t>
      </w:r>
      <w:r>
        <w:rPr>
          <w:rFonts w:ascii="宋体" w:hAnsi="宋体" w:cs="宋体" w:eastAsia="宋体" w:hint="default"/>
          <w:sz w:val="18"/>
          <w:szCs w:val="18"/>
        </w:rPr>
        <w:t>元扩大至</w:t>
      </w:r>
      <w:r>
        <w:rPr>
          <w:rFonts w:ascii="宋体" w:hAnsi="宋体" w:cs="宋体" w:eastAsia="宋体" w:hint="default"/>
          <w:sz w:val="18"/>
          <w:szCs w:val="18"/>
        </w:rPr>
        <w:t>2019</w:t>
      </w:r>
      <w:r>
        <w:rPr>
          <w:rFonts w:ascii="宋体" w:hAnsi="宋体" w:cs="宋体" w:eastAsia="宋体" w:hint="default"/>
          <w:sz w:val="18"/>
          <w:szCs w:val="18"/>
        </w:rPr>
        <w:t>年上半年的</w:t>
      </w:r>
      <w:r>
        <w:rPr>
          <w:rFonts w:ascii="宋体" w:hAnsi="宋体" w:cs="宋体" w:eastAsia="宋体" w:hint="default"/>
          <w:sz w:val="18"/>
          <w:szCs w:val="18"/>
        </w:rPr>
        <w:t>1306950</w:t>
      </w:r>
      <w:r>
        <w:rPr>
          <w:rFonts w:ascii="宋体" w:hAnsi="宋体" w:cs="宋体" w:eastAsia="宋体" w:hint="default"/>
          <w:sz w:val="18"/>
          <w:szCs w:val="18"/>
        </w:rPr>
        <w:t>元。</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3"/>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4"/>
        <w:rPr>
          <w:rFonts w:ascii="宋体" w:hAnsi="宋体" w:cs="宋体" w:eastAsia="宋体" w:hint="default"/>
          <w:b/>
          <w:bCs/>
          <w:sz w:val="19"/>
          <w:szCs w:val="19"/>
        </w:rPr>
      </w:pPr>
    </w:p>
    <w:p>
      <w:pPr>
        <w:pStyle w:val="Heading6"/>
        <w:spacing w:line="240" w:lineRule="auto" w:before="36"/>
        <w:ind w:right="1133"/>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130" w:firstLine="0"/>
        <w:jc w:val="both"/>
        <w:rPr>
          <w:rFonts w:ascii="宋体" w:hAnsi="宋体" w:cs="宋体" w:eastAsia="宋体" w:hint="default"/>
          <w:sz w:val="18"/>
          <w:szCs w:val="18"/>
        </w:rPr>
      </w:pPr>
      <w:r>
        <w:rPr>
          <w:rFonts w:ascii="宋体" w:hAnsi="宋体" w:cs="宋体" w:eastAsia="宋体" w:hint="default"/>
          <w:spacing w:val="-2"/>
          <w:sz w:val="18"/>
          <w:szCs w:val="18"/>
        </w:rPr>
        <w:t>公司结合自身经营优势，将扶贫重点工作放在产销对接机制的建立上，但对于实际农产品的推进亦有具体展开，运用上海市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商务委在精准扶贫工作中的龙头作用，发挥社会效应，为精准扶贫事业共同添砖加瓦，以产业发展带动贫困地区自我发展能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力和脱贫造血功能持续增强，实现区域贫困户稳定增收、精准脱贫。</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9"/>
        <w:ind w:left="112"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71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公司报告期不存在需要说明的其他重大事项。</w:t>
      </w:r>
    </w:p>
    <w:p>
      <w:pPr>
        <w:spacing w:line="240" w:lineRule="auto" w:before="7"/>
        <w:rPr>
          <w:rFonts w:ascii="宋体" w:hAnsi="宋体" w:cs="宋体" w:eastAsia="宋体" w:hint="default"/>
          <w:sz w:val="18"/>
          <w:szCs w:val="18"/>
        </w:rPr>
      </w:pPr>
    </w:p>
    <w:p>
      <w:pPr>
        <w:pStyle w:val="Heading4"/>
        <w:spacing w:line="240" w:lineRule="auto"/>
        <w:ind w:right="1133"/>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986"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z w:val="18"/>
          <w:szCs w:val="18"/>
        </w:rPr>
        <w:t>1</w:t>
      </w:r>
      <w:r>
        <w:rPr>
          <w:rFonts w:ascii="宋体" w:hAnsi="宋体" w:cs="宋体" w:eastAsia="宋体" w:hint="default"/>
          <w:sz w:val="18"/>
          <w:szCs w:val="18"/>
        </w:rPr>
        <w:t>、公司于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日召开第四届董事会第二十三次会议，审议通过了《关于公司二级控股子公司追溯云信息发展股份 </w:t>
      </w:r>
      <w:r>
        <w:rPr>
          <w:rFonts w:ascii="宋体" w:hAnsi="宋体" w:cs="宋体" w:eastAsia="宋体" w:hint="default"/>
          <w:spacing w:val="-5"/>
          <w:sz w:val="18"/>
          <w:szCs w:val="18"/>
        </w:rPr>
        <w:t>有限公司引入战略投资者的议案》，公司董事会同意引入北海石基信息技术有限公司（以下简称“北海石基”）为追溯云信息</w:t>
      </w:r>
    </w:p>
    <w:p>
      <w:pPr>
        <w:spacing w:line="319" w:lineRule="auto" w:before="2"/>
        <w:ind w:left="112" w:right="1034" w:firstLine="0"/>
        <w:jc w:val="left"/>
        <w:rPr>
          <w:rFonts w:ascii="宋体" w:hAnsi="宋体" w:cs="宋体" w:eastAsia="宋体" w:hint="default"/>
          <w:sz w:val="18"/>
          <w:szCs w:val="18"/>
        </w:rPr>
      </w:pPr>
      <w:r>
        <w:rPr>
          <w:rFonts w:ascii="宋体" w:hAnsi="宋体" w:cs="宋体" w:eastAsia="宋体" w:hint="default"/>
          <w:spacing w:val="-6"/>
          <w:sz w:val="18"/>
          <w:szCs w:val="18"/>
        </w:rPr>
        <w:t>发展股份有限公司（以下简称“追溯云”）战略投资者。</w:t>
      </w:r>
      <w:r>
        <w:rPr>
          <w:rFonts w:ascii="宋体" w:hAnsi="宋体" w:cs="宋体" w:eastAsia="宋体" w:hint="default"/>
          <w:spacing w:val="-6"/>
          <w:sz w:val="18"/>
          <w:szCs w:val="18"/>
        </w:rPr>
        <w:t>2018</w:t>
      </w:r>
      <w:r>
        <w:rPr>
          <w:rFonts w:ascii="宋体" w:hAnsi="宋体" w:cs="宋体" w:eastAsia="宋体" w:hint="default"/>
          <w:spacing w:val="-6"/>
          <w:sz w:val="18"/>
          <w:szCs w:val="18"/>
        </w:rPr>
        <w:t>年</w:t>
      </w:r>
      <w:r>
        <w:rPr>
          <w:rFonts w:ascii="宋体" w:hAnsi="宋体" w:cs="宋体" w:eastAsia="宋体" w:hint="default"/>
          <w:spacing w:val="-6"/>
          <w:sz w:val="18"/>
          <w:szCs w:val="18"/>
        </w:rPr>
        <w:t>12</w:t>
      </w:r>
      <w:r>
        <w:rPr>
          <w:rFonts w:ascii="宋体" w:hAnsi="宋体" w:cs="宋体" w:eastAsia="宋体" w:hint="default"/>
          <w:spacing w:val="-6"/>
          <w:sz w:val="18"/>
          <w:szCs w:val="18"/>
        </w:rPr>
        <w:t>月</w:t>
      </w:r>
      <w:r>
        <w:rPr>
          <w:rFonts w:ascii="宋体" w:hAnsi="宋体" w:cs="宋体" w:eastAsia="宋体" w:hint="default"/>
          <w:spacing w:val="-6"/>
          <w:sz w:val="18"/>
          <w:szCs w:val="18"/>
        </w:rPr>
        <w:t>29</w:t>
      </w:r>
      <w:r>
        <w:rPr>
          <w:rFonts w:ascii="宋体" w:hAnsi="宋体" w:cs="宋体" w:eastAsia="宋体" w:hint="default"/>
          <w:spacing w:val="-6"/>
          <w:sz w:val="18"/>
          <w:szCs w:val="18"/>
        </w:rPr>
        <w:t>日，相关各方与北海石基签署《股份转让及认购协议》，</w:t>
      </w:r>
      <w:r>
        <w:rPr>
          <w:rFonts w:ascii="宋体" w:hAnsi="宋体" w:cs="宋体" w:eastAsia="宋体" w:hint="default"/>
          <w:sz w:val="18"/>
          <w:szCs w:val="18"/>
        </w:rPr>
        <w:t> 北海石基拟以</w:t>
      </w:r>
      <w:r>
        <w:rPr>
          <w:rFonts w:ascii="宋体" w:hAnsi="宋体" w:cs="宋体" w:eastAsia="宋体" w:hint="default"/>
          <w:sz w:val="18"/>
          <w:szCs w:val="18"/>
        </w:rPr>
        <w:t>2,000.00</w:t>
      </w:r>
      <w:r>
        <w:rPr>
          <w:rFonts w:ascii="宋体" w:hAnsi="宋体" w:cs="宋体" w:eastAsia="宋体" w:hint="default"/>
          <w:sz w:val="18"/>
          <w:szCs w:val="18"/>
        </w:rPr>
        <w:t>万元的价格受让追溯云现有股东张曙华所持追溯云</w:t>
      </w:r>
      <w:r>
        <w:rPr>
          <w:rFonts w:ascii="宋体" w:hAnsi="宋体" w:cs="宋体" w:eastAsia="宋体" w:hint="default"/>
          <w:sz w:val="18"/>
          <w:szCs w:val="18"/>
        </w:rPr>
        <w:t>300</w:t>
      </w:r>
      <w:r>
        <w:rPr>
          <w:rFonts w:ascii="宋体" w:hAnsi="宋体" w:cs="宋体" w:eastAsia="宋体" w:hint="default"/>
          <w:sz w:val="18"/>
          <w:szCs w:val="18"/>
        </w:rPr>
        <w:t>万股股份，以</w:t>
      </w:r>
      <w:r>
        <w:rPr>
          <w:rFonts w:ascii="宋体" w:hAnsi="宋体" w:cs="宋体" w:eastAsia="宋体" w:hint="default"/>
          <w:sz w:val="18"/>
          <w:szCs w:val="18"/>
        </w:rPr>
        <w:t>2,250.00</w:t>
      </w:r>
      <w:r>
        <w:rPr>
          <w:rFonts w:ascii="宋体" w:hAnsi="宋体" w:cs="宋体" w:eastAsia="宋体" w:hint="default"/>
          <w:sz w:val="18"/>
          <w:szCs w:val="18"/>
        </w:rPr>
        <w:t>万元的价格受让追溯云</w:t>
      </w:r>
      <w:r>
        <w:rPr>
          <w:rFonts w:ascii="宋体" w:hAnsi="宋体" w:cs="宋体" w:eastAsia="宋体" w:hint="default"/>
          <w:spacing w:val="-3"/>
          <w:sz w:val="18"/>
          <w:szCs w:val="18"/>
        </w:rPr>
        <w:t> </w:t>
      </w:r>
      <w:r>
        <w:rPr>
          <w:rFonts w:ascii="宋体" w:hAnsi="宋体" w:cs="宋体" w:eastAsia="宋体" w:hint="default"/>
          <w:sz w:val="18"/>
          <w:szCs w:val="18"/>
        </w:rPr>
        <w:t>现有股东上海中信电子发展有限公司所持追溯云</w:t>
      </w:r>
      <w:r>
        <w:rPr>
          <w:rFonts w:ascii="宋体" w:hAnsi="宋体" w:cs="宋体" w:eastAsia="宋体" w:hint="default"/>
          <w:sz w:val="18"/>
          <w:szCs w:val="18"/>
        </w:rPr>
        <w:t>337.51</w:t>
      </w:r>
      <w:r>
        <w:rPr>
          <w:rFonts w:ascii="宋体" w:hAnsi="宋体" w:cs="宋体" w:eastAsia="宋体" w:hint="default"/>
          <w:sz w:val="18"/>
          <w:szCs w:val="18"/>
        </w:rPr>
        <w:t>万股股份；同时以</w:t>
      </w:r>
      <w:r>
        <w:rPr>
          <w:rFonts w:ascii="宋体" w:hAnsi="宋体" w:cs="宋体" w:eastAsia="宋体" w:hint="default"/>
          <w:sz w:val="18"/>
          <w:szCs w:val="18"/>
        </w:rPr>
        <w:t>5,750</w:t>
      </w:r>
      <w:r>
        <w:rPr>
          <w:rFonts w:ascii="宋体" w:hAnsi="宋体" w:cs="宋体" w:eastAsia="宋体" w:hint="default"/>
          <w:sz w:val="18"/>
          <w:szCs w:val="18"/>
        </w:rPr>
        <w:t>万元的价格认购追溯云新增的注册资本 </w:t>
      </w:r>
      <w:r>
        <w:rPr>
          <w:rFonts w:ascii="宋体" w:hAnsi="宋体" w:cs="宋体" w:eastAsia="宋体" w:hint="default"/>
          <w:sz w:val="18"/>
          <w:szCs w:val="18"/>
        </w:rPr>
        <w:t>862.49</w:t>
      </w:r>
      <w:r>
        <w:rPr>
          <w:rFonts w:ascii="宋体" w:hAnsi="宋体" w:cs="宋体" w:eastAsia="宋体" w:hint="default"/>
          <w:sz w:val="18"/>
          <w:szCs w:val="18"/>
        </w:rPr>
        <w:t>万元，其中，</w:t>
      </w:r>
      <w:r>
        <w:rPr>
          <w:rFonts w:ascii="宋体" w:hAnsi="宋体" w:cs="宋体" w:eastAsia="宋体" w:hint="default"/>
          <w:sz w:val="18"/>
          <w:szCs w:val="18"/>
        </w:rPr>
        <w:t>862.49</w:t>
      </w:r>
      <w:r>
        <w:rPr>
          <w:rFonts w:ascii="宋体" w:hAnsi="宋体" w:cs="宋体" w:eastAsia="宋体" w:hint="default"/>
          <w:sz w:val="18"/>
          <w:szCs w:val="18"/>
        </w:rPr>
        <w:t>万元计入追溯云注册资本，剩余</w:t>
      </w:r>
      <w:r>
        <w:rPr>
          <w:rFonts w:ascii="宋体" w:hAnsi="宋体" w:cs="宋体" w:eastAsia="宋体" w:hint="default"/>
          <w:sz w:val="18"/>
          <w:szCs w:val="18"/>
        </w:rPr>
        <w:t>4,887.51</w:t>
      </w:r>
      <w:r>
        <w:rPr>
          <w:rFonts w:ascii="宋体" w:hAnsi="宋体" w:cs="宋体" w:eastAsia="宋体" w:hint="default"/>
          <w:sz w:val="18"/>
          <w:szCs w:val="18"/>
        </w:rPr>
        <w:t>万元作为溢价进入追溯云资本公积。</w:t>
      </w:r>
    </w:p>
    <w:p>
      <w:pPr>
        <w:spacing w:line="316" w:lineRule="auto" w:before="17"/>
        <w:ind w:left="112" w:right="1124" w:firstLine="0"/>
        <w:jc w:val="left"/>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6</w:t>
      </w:r>
      <w:r>
        <w:rPr>
          <w:rFonts w:ascii="宋体" w:hAnsi="宋体" w:cs="宋体" w:eastAsia="宋体" w:hint="default"/>
          <w:spacing w:val="-2"/>
          <w:sz w:val="18"/>
          <w:szCs w:val="18"/>
        </w:rPr>
        <w:t>月</w:t>
      </w:r>
      <w:r>
        <w:rPr>
          <w:rFonts w:ascii="宋体" w:hAnsi="宋体" w:cs="宋体" w:eastAsia="宋体" w:hint="default"/>
          <w:spacing w:val="-2"/>
          <w:sz w:val="18"/>
          <w:szCs w:val="18"/>
        </w:rPr>
        <w:t>20</w:t>
      </w:r>
      <w:r>
        <w:rPr>
          <w:rFonts w:ascii="宋体" w:hAnsi="宋体" w:cs="宋体" w:eastAsia="宋体" w:hint="default"/>
          <w:spacing w:val="-2"/>
          <w:sz w:val="18"/>
          <w:szCs w:val="18"/>
        </w:rPr>
        <w:t>日召开第四届董事会第三十次会议，审议通过了《关于公司控股子公司对外投资的议案》。为加强公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司在科技和创新产业的投资和发展能力，公司控股子公司信发资产管理有限责任公司（以下简称“信发资产”）拟出资人民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币</w:t>
      </w:r>
      <w:r>
        <w:rPr>
          <w:rFonts w:ascii="宋体" w:hAnsi="宋体" w:cs="宋体" w:eastAsia="宋体" w:hint="default"/>
          <w:spacing w:val="-2"/>
          <w:sz w:val="18"/>
          <w:szCs w:val="18"/>
        </w:rPr>
        <w:t>1000</w:t>
      </w:r>
      <w:r>
        <w:rPr>
          <w:rFonts w:ascii="宋体" w:hAnsi="宋体" w:cs="宋体" w:eastAsia="宋体" w:hint="default"/>
          <w:spacing w:val="-2"/>
          <w:sz w:val="18"/>
          <w:szCs w:val="18"/>
        </w:rPr>
        <w:t>万元与普通合伙人君信（上海）股权投资基金管理有限公司（以下简称“君信资本”）共同参与投资苏民投君信（上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海）产业升级与科技创新股权投资合伙企业（有限合伙），与君信资本共同开展对外投资。本次投资后，信发资产占苏民投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君信（上海）产业升级与科技创新股权投资合伙企业（有限合伙）的股份比例为</w:t>
      </w:r>
      <w:r>
        <w:rPr>
          <w:rFonts w:ascii="宋体" w:hAnsi="宋体" w:cs="宋体" w:eastAsia="宋体" w:hint="default"/>
          <w:sz w:val="18"/>
          <w:szCs w:val="18"/>
        </w:rPr>
        <w:t>0.86%</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3</w:t>
      </w:r>
      <w:r>
        <w:rPr>
          <w:rFonts w:ascii="宋体" w:hAnsi="宋体" w:cs="宋体" w:eastAsia="宋体" w:hint="default"/>
          <w:sz w:val="18"/>
          <w:szCs w:val="18"/>
        </w:rPr>
        <w:t>、公司于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日召开了第四届董事会第三十二次会议审议通过了《关于购买上海追索信息科技有限公司</w:t>
      </w:r>
      <w:r>
        <w:rPr>
          <w:rFonts w:ascii="宋体" w:hAnsi="宋体" w:cs="宋体" w:eastAsia="宋体" w:hint="default"/>
          <w:sz w:val="18"/>
          <w:szCs w:val="18"/>
        </w:rPr>
        <w:t>49%</w:t>
      </w:r>
      <w:r>
        <w:rPr>
          <w:rFonts w:ascii="宋体" w:hAnsi="宋体" w:cs="宋体" w:eastAsia="宋体" w:hint="default"/>
          <w:sz w:val="18"/>
          <w:szCs w:val="18"/>
        </w:rPr>
        <w:t>股权的 </w:t>
      </w:r>
      <w:r>
        <w:rPr>
          <w:rFonts w:ascii="宋体" w:hAnsi="宋体" w:cs="宋体" w:eastAsia="宋体" w:hint="default"/>
          <w:spacing w:val="-5"/>
          <w:sz w:val="18"/>
          <w:szCs w:val="18"/>
        </w:rPr>
        <w:t>议案》。上海追索信息科技有限公司（以下简称“追索信息”）主要从事食品安全信息追溯领域的计算机系统研究、集成和推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广应用。自</w:t>
      </w:r>
      <w:r>
        <w:rPr>
          <w:rFonts w:ascii="宋体" w:hAnsi="宋体" w:cs="宋体" w:eastAsia="宋体" w:hint="default"/>
          <w:spacing w:val="-2"/>
          <w:sz w:val="18"/>
          <w:szCs w:val="18"/>
        </w:rPr>
        <w:t>2012</w:t>
      </w:r>
      <w:r>
        <w:rPr>
          <w:rFonts w:ascii="宋体" w:hAnsi="宋体" w:cs="宋体" w:eastAsia="宋体" w:hint="default"/>
          <w:spacing w:val="-2"/>
          <w:sz w:val="18"/>
          <w:szCs w:val="18"/>
        </w:rPr>
        <w:t>年成为公司控股子公司以来，追索信息业务发展良好。为进一步促进公司业务拓展，整合内外有效资源，有</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19" w:lineRule="auto" w:before="44"/>
        <w:ind w:left="112" w:right="1131" w:firstLine="0"/>
        <w:jc w:val="both"/>
        <w:rPr>
          <w:rFonts w:ascii="宋体" w:hAnsi="宋体" w:cs="宋体" w:eastAsia="宋体" w:hint="default"/>
          <w:sz w:val="18"/>
          <w:szCs w:val="18"/>
        </w:rPr>
      </w:pPr>
      <w:r>
        <w:rPr>
          <w:rFonts w:ascii="宋体" w:hAnsi="宋体" w:cs="宋体" w:eastAsia="宋体" w:hint="default"/>
          <w:spacing w:val="-2"/>
          <w:sz w:val="18"/>
          <w:szCs w:val="18"/>
        </w:rPr>
        <w:t>利于公司的长远持续发展，公司全资子公司光典信息发展有限公司（以下简称“光典信息”）拟购买马连兴、张信定、上海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追信管理咨询合伙企业（有限合伙）、刘晓芳、陈延合计持有的追索信息</w:t>
      </w:r>
      <w:r>
        <w:rPr>
          <w:rFonts w:ascii="宋体" w:hAnsi="宋体" w:cs="宋体" w:eastAsia="宋体" w:hint="default"/>
          <w:spacing w:val="-4"/>
          <w:sz w:val="18"/>
          <w:szCs w:val="18"/>
        </w:rPr>
        <w:t>49%</w:t>
      </w:r>
      <w:r>
        <w:rPr>
          <w:rFonts w:ascii="宋体" w:hAnsi="宋体" w:cs="宋体" w:eastAsia="宋体" w:hint="default"/>
          <w:spacing w:val="-4"/>
          <w:sz w:val="18"/>
          <w:szCs w:val="18"/>
        </w:rPr>
        <w:t>的股权，本次转让完成后，公司将持有追索信息</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100%</w:t>
      </w:r>
      <w:r>
        <w:rPr>
          <w:rFonts w:ascii="宋体" w:hAnsi="宋体" w:cs="宋体" w:eastAsia="宋体" w:hint="default"/>
          <w:sz w:val="18"/>
          <w:szCs w:val="18"/>
        </w:rPr>
        <w:t>的股权。</w:t>
      </w:r>
    </w:p>
    <w:p>
      <w:pPr>
        <w:spacing w:line="316" w:lineRule="auto" w:before="17"/>
        <w:ind w:left="112" w:right="1037" w:firstLine="0"/>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日分别召开了第四届董事会第三十四次会议、第四届监事会第二十七次会议，审议通过了《关于向控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股股东出售二级参股子公司易批生鲜信息发展股份有限公司股权暨关联交易的议案》，公司拟将全资子公司光典信息发展有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限公司（以下简称“光典信息”）合法持有并正常经营的易批生鲜信息发展股份有限公司（以下简称“易批生鲜”）的</w:t>
      </w:r>
      <w:r>
        <w:rPr>
          <w:rFonts w:ascii="宋体" w:hAnsi="宋体" w:cs="宋体" w:eastAsia="宋体" w:hint="default"/>
          <w:spacing w:val="-4"/>
          <w:sz w:val="18"/>
          <w:szCs w:val="18"/>
        </w:rPr>
        <w:t>1000</w:t>
      </w:r>
      <w:r>
        <w:rPr>
          <w:rFonts w:ascii="宋体" w:hAnsi="宋体" w:cs="宋体" w:eastAsia="宋体" w:hint="default"/>
          <w:spacing w:val="-42"/>
          <w:sz w:val="18"/>
          <w:szCs w:val="18"/>
        </w:rPr>
        <w:t> </w:t>
      </w:r>
      <w:r>
        <w:rPr>
          <w:rFonts w:ascii="宋体" w:hAnsi="宋体" w:cs="宋体" w:eastAsia="宋体" w:hint="default"/>
          <w:sz w:val="18"/>
          <w:szCs w:val="18"/>
        </w:rPr>
        <w:t>万元出资额（股权比例</w:t>
      </w:r>
      <w:r>
        <w:rPr>
          <w:rFonts w:ascii="宋体" w:hAnsi="宋体" w:cs="宋体" w:eastAsia="宋体" w:hint="default"/>
          <w:sz w:val="18"/>
          <w:szCs w:val="18"/>
        </w:rPr>
        <w:t>16.6667%</w:t>
      </w:r>
      <w:r>
        <w:rPr>
          <w:rFonts w:ascii="宋体" w:hAnsi="宋体" w:cs="宋体" w:eastAsia="宋体" w:hint="default"/>
          <w:sz w:val="18"/>
          <w:szCs w:val="18"/>
        </w:rPr>
        <w:t>）以人民币</w:t>
      </w:r>
      <w:r>
        <w:rPr>
          <w:rFonts w:ascii="宋体" w:hAnsi="宋体" w:cs="宋体" w:eastAsia="宋体" w:hint="default"/>
          <w:sz w:val="18"/>
          <w:szCs w:val="18"/>
        </w:rPr>
        <w:t>1000</w:t>
      </w:r>
      <w:r>
        <w:rPr>
          <w:rFonts w:ascii="宋体" w:hAnsi="宋体" w:cs="宋体" w:eastAsia="宋体" w:hint="default"/>
          <w:sz w:val="18"/>
          <w:szCs w:val="18"/>
        </w:rPr>
        <w:t>万元全部转让给控股股东中信电子。 </w:t>
      </w:r>
      <w:r>
        <w:rPr>
          <w:rFonts w:ascii="宋体" w:hAnsi="宋体" w:cs="宋体" w:eastAsia="宋体" w:hint="default"/>
          <w:spacing w:val="-2"/>
          <w:sz w:val="18"/>
          <w:szCs w:val="18"/>
        </w:rPr>
        <w:t>5</w:t>
      </w:r>
      <w:r>
        <w:rPr>
          <w:rFonts w:ascii="宋体" w:hAnsi="宋体" w:cs="宋体" w:eastAsia="宋体" w:hint="default"/>
          <w:spacing w:val="-2"/>
          <w:sz w:val="18"/>
          <w:szCs w:val="18"/>
        </w:rPr>
        <w:t>、公司于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日分别召开了第四届董事会第三十四次会议、第四届监事会第二十七次会议，审议通过了《关于向控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股股东出售二级参股子公司淘菜猫信息发展股份有限公司股权暨关联交易的议案》，公司拟将全资子公司光典信息发展有限</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公司（以下简称“光典信息”）合法持有并正常经营的淘菜猫信息发展股份有限公司（以下简称“淘菜猫”）的</w:t>
      </w:r>
      <w:r>
        <w:rPr>
          <w:rFonts w:ascii="宋体" w:hAnsi="宋体" w:cs="宋体" w:eastAsia="宋体" w:hint="default"/>
          <w:spacing w:val="-5"/>
          <w:sz w:val="18"/>
          <w:szCs w:val="18"/>
        </w:rPr>
        <w:t>1000</w:t>
      </w:r>
      <w:r>
        <w:rPr>
          <w:rFonts w:ascii="宋体" w:hAnsi="宋体" w:cs="宋体" w:eastAsia="宋体" w:hint="default"/>
          <w:spacing w:val="-5"/>
          <w:sz w:val="18"/>
          <w:szCs w:val="18"/>
        </w:rPr>
        <w:t>万元出资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额（股权比例</w:t>
      </w:r>
      <w:r>
        <w:rPr>
          <w:rFonts w:ascii="宋体" w:hAnsi="宋体" w:cs="宋体" w:eastAsia="宋体" w:hint="default"/>
          <w:sz w:val="18"/>
          <w:szCs w:val="18"/>
        </w:rPr>
        <w:t>10%</w:t>
      </w:r>
      <w:r>
        <w:rPr>
          <w:rFonts w:ascii="宋体" w:hAnsi="宋体" w:cs="宋体" w:eastAsia="宋体" w:hint="default"/>
          <w:sz w:val="18"/>
          <w:szCs w:val="18"/>
        </w:rPr>
        <w:t>）以人民币</w:t>
      </w:r>
      <w:r>
        <w:rPr>
          <w:rFonts w:ascii="宋体" w:hAnsi="宋体" w:cs="宋体" w:eastAsia="宋体" w:hint="default"/>
          <w:sz w:val="18"/>
          <w:szCs w:val="18"/>
        </w:rPr>
        <w:t>1000</w:t>
      </w:r>
      <w:r>
        <w:rPr>
          <w:rFonts w:ascii="宋体" w:hAnsi="宋体" w:cs="宋体" w:eastAsia="宋体" w:hint="default"/>
          <w:sz w:val="18"/>
          <w:szCs w:val="18"/>
        </w:rPr>
        <w:t>万元全部转让给控股股东中信电子。 </w:t>
      </w:r>
      <w:r>
        <w:rPr>
          <w:rFonts w:ascii="宋体" w:hAnsi="宋体" w:cs="宋体" w:eastAsia="宋体" w:hint="default"/>
          <w:sz w:val="18"/>
          <w:szCs w:val="18"/>
        </w:rPr>
        <w:t>6</w:t>
      </w:r>
      <w:r>
        <w:rPr>
          <w:rFonts w:ascii="宋体" w:hAnsi="宋体" w:cs="宋体" w:eastAsia="宋体" w:hint="default"/>
          <w:sz w:val="18"/>
          <w:szCs w:val="18"/>
        </w:rPr>
        <w:t>、公司于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日召开了第四届董事会第三十七次会议，审议通过了《关于出售全资子公司上海金档信息技术有限 </w:t>
      </w:r>
      <w:r>
        <w:rPr>
          <w:rFonts w:ascii="宋体" w:hAnsi="宋体" w:cs="宋体" w:eastAsia="宋体" w:hint="default"/>
          <w:spacing w:val="-3"/>
          <w:sz w:val="18"/>
          <w:szCs w:val="18"/>
        </w:rPr>
        <w:t>公司</w:t>
      </w:r>
      <w:r>
        <w:rPr>
          <w:rFonts w:ascii="宋体" w:hAnsi="宋体" w:cs="宋体" w:eastAsia="宋体" w:hint="default"/>
          <w:spacing w:val="-3"/>
          <w:sz w:val="18"/>
          <w:szCs w:val="18"/>
        </w:rPr>
        <w:t>100%</w:t>
      </w:r>
      <w:r>
        <w:rPr>
          <w:rFonts w:ascii="宋体" w:hAnsi="宋体" w:cs="宋体" w:eastAsia="宋体" w:hint="default"/>
          <w:spacing w:val="-3"/>
          <w:sz w:val="18"/>
          <w:szCs w:val="18"/>
        </w:rPr>
        <w:t>股权的议案》，公司拟将全资子公司金档信息的</w:t>
      </w:r>
      <w:r>
        <w:rPr>
          <w:rFonts w:ascii="宋体" w:hAnsi="宋体" w:cs="宋体" w:eastAsia="宋体" w:hint="default"/>
          <w:spacing w:val="-3"/>
          <w:sz w:val="18"/>
          <w:szCs w:val="18"/>
        </w:rPr>
        <w:t>100%</w:t>
      </w:r>
      <w:r>
        <w:rPr>
          <w:rFonts w:ascii="宋体" w:hAnsi="宋体" w:cs="宋体" w:eastAsia="宋体" w:hint="default"/>
          <w:spacing w:val="-3"/>
          <w:sz w:val="18"/>
          <w:szCs w:val="18"/>
        </w:rPr>
        <w:t>股权以人民币</w:t>
      </w:r>
      <w:r>
        <w:rPr>
          <w:rFonts w:ascii="宋体" w:hAnsi="宋体" w:cs="宋体" w:eastAsia="宋体" w:hint="default"/>
          <w:spacing w:val="-3"/>
          <w:sz w:val="18"/>
          <w:szCs w:val="18"/>
        </w:rPr>
        <w:t>2650</w:t>
      </w:r>
      <w:r>
        <w:rPr>
          <w:rFonts w:ascii="宋体" w:hAnsi="宋体" w:cs="宋体" w:eastAsia="宋体" w:hint="default"/>
          <w:spacing w:val="-3"/>
          <w:sz w:val="18"/>
          <w:szCs w:val="18"/>
        </w:rPr>
        <w:t>万元全部转让给上海谷数信息技术有限公司。</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5" w:right="1133"/>
        <w:jc w:val="left"/>
        <w:rPr>
          <w:b w:val="0"/>
          <w:bCs w:val="0"/>
        </w:rPr>
      </w:pPr>
      <w:bookmarkStart w:name="第六节股份变动及股东情况" w:id="104"/>
      <w:bookmarkEnd w:id="104"/>
      <w:r>
        <w:rPr>
          <w:b w:val="0"/>
          <w:bCs w:val="0"/>
        </w:rPr>
      </w:r>
      <w:bookmarkStart w:name="_bookmark4" w:id="105"/>
      <w:bookmarkEnd w:id="10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1133"/>
        <w:jc w:val="left"/>
        <w:rPr>
          <w:b w:val="0"/>
          <w:bCs w:val="0"/>
        </w:rPr>
      </w:pPr>
      <w:bookmarkStart w:name="一、股份变动情况" w:id="106"/>
      <w:bookmarkEnd w:id="106"/>
      <w:r>
        <w:rPr>
          <w:b w:val="0"/>
          <w:bCs w:val="0"/>
        </w:rPr>
      </w:r>
      <w:r>
        <w:rPr/>
        <w:t>一、股份变动情况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132"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24,883,</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866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15,520,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-1,002,2</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14,517,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39,401,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670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19.21%</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24,883,</w:t>
            </w:r>
          </w:p>
          <w:p>
            <w:pPr>
              <w:pStyle w:val="TableParagraph"/>
              <w:spacing w:line="240" w:lineRule="auto" w:before="102"/>
              <w:ind w:left="439" w:right="0"/>
              <w:jc w:val="left"/>
              <w:rPr>
                <w:rFonts w:ascii="Times New Roman" w:hAnsi="Times New Roman" w:cs="Times New Roman" w:eastAsia="Times New Roman" w:hint="default"/>
                <w:sz w:val="18"/>
                <w:szCs w:val="18"/>
              </w:rPr>
            </w:pPr>
            <w:r>
              <w:rPr>
                <w:rFonts w:ascii="Times New Roman"/>
                <w:sz w:val="18"/>
              </w:rPr>
              <w:t>866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20.40%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15,520,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-1,002,2</w:t>
            </w:r>
          </w:p>
          <w:p>
            <w:pPr>
              <w:pStyle w:val="TableParagraph"/>
              <w:spacing w:line="240" w:lineRule="auto" w:before="102"/>
              <w:ind w:left="530" w:right="0"/>
              <w:jc w:val="left"/>
              <w:rPr>
                <w:rFonts w:ascii="Times New Roman" w:hAnsi="Times New Roman" w:cs="Times New Roman" w:eastAsia="Times New Roman" w:hint="default"/>
                <w:sz w:val="18"/>
                <w:szCs w:val="18"/>
              </w:rPr>
            </w:pPr>
            <w:r>
              <w:rPr>
                <w:rFonts w:ascii="Times New Roman"/>
                <w:sz w:val="18"/>
              </w:rPr>
              <w:t>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14,517,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39,401,</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670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19.21%</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0" w:right="0"/>
              <w:jc w:val="left"/>
              <w:rPr>
                <w:rFonts w:ascii="Times New Roman" w:hAnsi="Times New Roman" w:cs="Times New Roman" w:eastAsia="Times New Roman" w:hint="default"/>
                <w:sz w:val="18"/>
                <w:szCs w:val="18"/>
              </w:rPr>
            </w:pPr>
            <w:r>
              <w:rPr>
                <w:rFonts w:ascii="Times New Roman"/>
                <w:sz w:val="18"/>
              </w:rPr>
              <w:t>24,883,</w:t>
            </w:r>
          </w:p>
          <w:p>
            <w:pPr>
              <w:pStyle w:val="TableParagraph"/>
              <w:spacing w:line="240" w:lineRule="auto" w:before="102"/>
              <w:ind w:left="439" w:right="0"/>
              <w:jc w:val="left"/>
              <w:rPr>
                <w:rFonts w:ascii="Times New Roman" w:hAnsi="Times New Roman" w:cs="Times New Roman" w:eastAsia="Times New Roman" w:hint="default"/>
                <w:sz w:val="18"/>
                <w:szCs w:val="18"/>
              </w:rPr>
            </w:pPr>
            <w:r>
              <w:rPr>
                <w:rFonts w:ascii="Times New Roman"/>
                <w:sz w:val="18"/>
              </w:rPr>
              <w:t>866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15,520,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-1,002,2</w:t>
            </w:r>
          </w:p>
          <w:p>
            <w:pPr>
              <w:pStyle w:val="TableParagraph"/>
              <w:spacing w:line="240" w:lineRule="auto" w:before="102"/>
              <w:ind w:left="530" w:right="0"/>
              <w:jc w:val="left"/>
              <w:rPr>
                <w:rFonts w:ascii="Times New Roman" w:hAnsi="Times New Roman" w:cs="Times New Roman" w:eastAsia="Times New Roman" w:hint="default"/>
                <w:sz w:val="18"/>
                <w:szCs w:val="18"/>
              </w:rPr>
            </w:pPr>
            <w:r>
              <w:rPr>
                <w:rFonts w:ascii="Times New Roman"/>
                <w:sz w:val="18"/>
              </w:rPr>
              <w:t>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14,517,</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804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39,401,</w:t>
            </w:r>
          </w:p>
          <w:p>
            <w:pPr>
              <w:pStyle w:val="TableParagraph"/>
              <w:spacing w:line="240" w:lineRule="auto" w:before="102"/>
              <w:ind w:left="410" w:right="0"/>
              <w:jc w:val="left"/>
              <w:rPr>
                <w:rFonts w:ascii="Times New Roman" w:hAnsi="Times New Roman" w:cs="Times New Roman" w:eastAsia="Times New Roman" w:hint="default"/>
                <w:sz w:val="18"/>
                <w:szCs w:val="18"/>
              </w:rPr>
            </w:pPr>
            <w:r>
              <w:rPr>
                <w:rFonts w:ascii="Times New Roman"/>
                <w:sz w:val="18"/>
              </w:rPr>
              <w:t>670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19.21%</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97,110,</w:t>
            </w:r>
          </w:p>
          <w:p>
            <w:pPr>
              <w:pStyle w:val="TableParagraph"/>
              <w:spacing w:line="240" w:lineRule="auto" w:before="102"/>
              <w:ind w:left="439" w:right="0"/>
              <w:jc w:val="left"/>
              <w:rPr>
                <w:rFonts w:ascii="Times New Roman" w:hAnsi="Times New Roman" w:cs="Times New Roman" w:eastAsia="Times New Roman" w:hint="default"/>
                <w:sz w:val="18"/>
                <w:szCs w:val="18"/>
              </w:rPr>
            </w:pPr>
            <w:r>
              <w:rPr>
                <w:rFonts w:ascii="Times New Roman"/>
                <w:sz w:val="18"/>
              </w:rPr>
              <w:t>054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68,623,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652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68,623,</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165,73</w:t>
            </w:r>
          </w:p>
          <w:p>
            <w:pPr>
              <w:pStyle w:val="TableParagraph"/>
              <w:spacing w:line="240" w:lineRule="auto" w:before="102"/>
              <w:ind w:left="275" w:right="0"/>
              <w:jc w:val="left"/>
              <w:rPr>
                <w:rFonts w:ascii="Times New Roman" w:hAnsi="Times New Roman" w:cs="Times New Roman" w:eastAsia="Times New Roman" w:hint="default"/>
                <w:sz w:val="18"/>
                <w:szCs w:val="18"/>
              </w:rPr>
            </w:pPr>
            <w:r>
              <w:rPr>
                <w:rFonts w:ascii="Times New Roman"/>
                <w:sz w:val="18"/>
              </w:rPr>
              <w:t>3,706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80.79%</w:t>
            </w:r>
          </w:p>
        </w:tc>
      </w:tr>
      <w:tr>
        <w:trPr>
          <w:trHeight w:val="71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97,110,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054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79.60%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68,623,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652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68,623,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165,73</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3,706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80.79%</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121,993</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,920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84,143,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696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-1,002,2</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40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83,141,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205,13</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5,376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60" w:lineRule="auto" w:before="115"/>
        <w:ind w:left="112" w:right="868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z w:val="18"/>
          <w:szCs w:val="18"/>
        </w:rPr>
        <w:t>1</w:t>
      </w:r>
      <w:r>
        <w:rPr>
          <w:rFonts w:ascii="宋体" w:hAnsi="宋体" w:cs="宋体" w:eastAsia="宋体" w:hint="default"/>
          <w:sz w:val="18"/>
          <w:szCs w:val="18"/>
        </w:rPr>
        <w:t>、注销回购股权激励股权</w:t>
      </w:r>
    </w:p>
    <w:p>
      <w:pPr>
        <w:spacing w:line="222" w:lineRule="exact"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pacing w:val="1"/>
          <w:sz w:val="18"/>
          <w:szCs w:val="18"/>
        </w:rPr>
        <w:t>9</w:t>
      </w:r>
      <w:r>
        <w:rPr>
          <w:rFonts w:ascii="宋体" w:hAnsi="宋体" w:cs="宋体" w:eastAsia="宋体" w:hint="default"/>
          <w:sz w:val="18"/>
          <w:szCs w:val="18"/>
        </w:rPr>
        <w:t>年</w:t>
      </w:r>
      <w:r>
        <w:rPr>
          <w:rFonts w:ascii="宋体" w:hAnsi="宋体" w:cs="宋体" w:eastAsia="宋体" w:hint="default"/>
          <w:spacing w:val="1"/>
          <w:sz w:val="18"/>
          <w:szCs w:val="18"/>
        </w:rPr>
        <w:t>6</w:t>
      </w:r>
      <w:r>
        <w:rPr>
          <w:rFonts w:ascii="宋体" w:hAnsi="宋体" w:cs="宋体" w:eastAsia="宋体" w:hint="default"/>
          <w:spacing w:val="-3"/>
          <w:sz w:val="18"/>
          <w:szCs w:val="18"/>
        </w:rPr>
        <w:t>月</w:t>
      </w:r>
      <w:r>
        <w:rPr>
          <w:rFonts w:ascii="宋体" w:hAnsi="宋体" w:cs="宋体" w:eastAsia="宋体" w:hint="default"/>
          <w:spacing w:val="1"/>
          <w:sz w:val="18"/>
          <w:szCs w:val="18"/>
        </w:rPr>
        <w:t>27</w:t>
      </w:r>
      <w:r>
        <w:rPr>
          <w:rFonts w:ascii="宋体" w:hAnsi="宋体" w:cs="宋体" w:eastAsia="宋体" w:hint="default"/>
          <w:sz w:val="18"/>
          <w:szCs w:val="18"/>
        </w:rPr>
        <w:t>日披露了</w:t>
      </w:r>
      <w:r>
        <w:rPr>
          <w:rFonts w:ascii="宋体" w:hAnsi="宋体" w:cs="宋体" w:eastAsia="宋体" w:hint="default"/>
          <w:spacing w:val="-3"/>
          <w:sz w:val="18"/>
          <w:szCs w:val="18"/>
        </w:rPr>
        <w:t>《</w:t>
      </w:r>
      <w:r>
        <w:rPr>
          <w:rFonts w:ascii="宋体" w:hAnsi="宋体" w:cs="宋体" w:eastAsia="宋体" w:hint="default"/>
          <w:sz w:val="18"/>
          <w:szCs w:val="18"/>
        </w:rPr>
        <w:t>关于部分限制性股票回购注销完成的公告</w:t>
      </w:r>
      <w:r>
        <w:rPr>
          <w:rFonts w:ascii="宋体" w:hAnsi="宋体" w:cs="宋体" w:eastAsia="宋体" w:hint="default"/>
          <w:spacing w:val="-92"/>
          <w:sz w:val="18"/>
          <w:szCs w:val="18"/>
        </w:rPr>
        <w:t>》</w:t>
      </w:r>
      <w:r>
        <w:rPr>
          <w:rFonts w:ascii="宋体" w:hAnsi="宋体" w:cs="宋体" w:eastAsia="宋体" w:hint="default"/>
          <w:sz w:val="18"/>
          <w:szCs w:val="18"/>
        </w:rPr>
        <w:t>。注销已回购</w:t>
      </w:r>
      <w:r>
        <w:rPr>
          <w:rFonts w:ascii="宋体" w:hAnsi="宋体" w:cs="宋体" w:eastAsia="宋体" w:hint="default"/>
          <w:spacing w:val="1"/>
          <w:sz w:val="18"/>
          <w:szCs w:val="18"/>
        </w:rPr>
        <w:t>的</w:t>
      </w:r>
      <w:r>
        <w:rPr>
          <w:rFonts w:ascii="宋体" w:hAnsi="宋体" w:cs="宋体" w:eastAsia="宋体" w:hint="default"/>
          <w:spacing w:val="1"/>
          <w:sz w:val="18"/>
          <w:szCs w:val="18"/>
        </w:rPr>
        <w:t>1,00</w:t>
      </w:r>
      <w:r>
        <w:rPr>
          <w:rFonts w:ascii="宋体" w:hAnsi="宋体" w:cs="宋体" w:eastAsia="宋体" w:hint="default"/>
          <w:spacing w:val="-2"/>
          <w:sz w:val="18"/>
          <w:szCs w:val="18"/>
        </w:rPr>
        <w:t>2</w:t>
      </w:r>
      <w:r>
        <w:rPr>
          <w:rFonts w:ascii="宋体" w:hAnsi="宋体" w:cs="宋体" w:eastAsia="宋体" w:hint="default"/>
          <w:spacing w:val="1"/>
          <w:sz w:val="18"/>
          <w:szCs w:val="18"/>
        </w:rPr>
        <w:t>,</w:t>
      </w:r>
      <w:r>
        <w:rPr>
          <w:rFonts w:ascii="宋体" w:hAnsi="宋体" w:cs="宋体" w:eastAsia="宋体" w:hint="default"/>
          <w:spacing w:val="-2"/>
          <w:sz w:val="18"/>
          <w:szCs w:val="18"/>
        </w:rPr>
        <w:t>2</w:t>
      </w:r>
      <w:r>
        <w:rPr>
          <w:rFonts w:ascii="宋体" w:hAnsi="宋体" w:cs="宋体" w:eastAsia="宋体" w:hint="default"/>
          <w:spacing w:val="1"/>
          <w:sz w:val="18"/>
          <w:szCs w:val="18"/>
        </w:rPr>
        <w:t>4</w:t>
      </w:r>
      <w:r>
        <w:rPr>
          <w:rFonts w:ascii="宋体" w:hAnsi="宋体" w:cs="宋体" w:eastAsia="宋体" w:hint="default"/>
          <w:spacing w:val="2"/>
          <w:sz w:val="18"/>
          <w:szCs w:val="18"/>
        </w:rPr>
        <w:t>0</w:t>
      </w:r>
      <w:r>
        <w:rPr>
          <w:rFonts w:ascii="宋体" w:hAnsi="宋体" w:cs="宋体" w:eastAsia="宋体" w:hint="default"/>
          <w:sz w:val="18"/>
          <w:szCs w:val="18"/>
        </w:rPr>
        <w:t>股。</w:t>
      </w:r>
    </w:p>
    <w:p>
      <w:pPr>
        <w:spacing w:before="76"/>
        <w:ind w:left="112" w:right="1133"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、利润分配</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19" w:lineRule="auto" w:before="44"/>
        <w:ind w:left="112" w:right="1034" w:firstLine="0"/>
        <w:jc w:val="left"/>
        <w:rPr>
          <w:rFonts w:ascii="宋体" w:hAnsi="宋体" w:cs="宋体" w:eastAsia="宋体" w:hint="default"/>
          <w:sz w:val="18"/>
          <w:szCs w:val="18"/>
        </w:rPr>
      </w:pPr>
      <w:r>
        <w:rPr>
          <w:rFonts w:ascii="宋体" w:hAnsi="宋体" w:cs="宋体" w:eastAsia="宋体" w:hint="default"/>
          <w:spacing w:val="-2"/>
          <w:sz w:val="18"/>
          <w:szCs w:val="18"/>
        </w:rPr>
        <w:t>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日召开了</w:t>
      </w:r>
      <w:r>
        <w:rPr>
          <w:rFonts w:ascii="宋体" w:hAnsi="宋体" w:cs="宋体" w:eastAsia="宋体" w:hint="default"/>
          <w:spacing w:val="-2"/>
          <w:sz w:val="18"/>
          <w:szCs w:val="18"/>
        </w:rPr>
        <w:t>2018</w:t>
      </w:r>
      <w:r>
        <w:rPr>
          <w:rFonts w:ascii="宋体" w:hAnsi="宋体" w:cs="宋体" w:eastAsia="宋体" w:hint="default"/>
          <w:spacing w:val="-2"/>
          <w:sz w:val="18"/>
          <w:szCs w:val="18"/>
        </w:rPr>
        <w:t>年年度股东大会，审议通过了《公司</w:t>
      </w:r>
      <w:r>
        <w:rPr>
          <w:rFonts w:ascii="宋体" w:hAnsi="宋体" w:cs="宋体" w:eastAsia="宋体" w:hint="default"/>
          <w:spacing w:val="-2"/>
          <w:sz w:val="18"/>
          <w:szCs w:val="18"/>
        </w:rPr>
        <w:t>2018</w:t>
      </w:r>
      <w:r>
        <w:rPr>
          <w:rFonts w:ascii="宋体" w:hAnsi="宋体" w:cs="宋体" w:eastAsia="宋体" w:hint="default"/>
          <w:spacing w:val="-2"/>
          <w:sz w:val="18"/>
          <w:szCs w:val="18"/>
        </w:rPr>
        <w:t>年度利润分配方案》。公司以</w:t>
      </w:r>
      <w:r>
        <w:rPr>
          <w:rFonts w:ascii="宋体" w:hAnsi="宋体" w:cs="宋体" w:eastAsia="宋体" w:hint="default"/>
          <w:spacing w:val="-2"/>
          <w:sz w:val="18"/>
          <w:szCs w:val="18"/>
        </w:rPr>
        <w:t>2018</w:t>
      </w:r>
      <w:r>
        <w:rPr>
          <w:rFonts w:ascii="宋体" w:hAnsi="宋体" w:cs="宋体" w:eastAsia="宋体" w:hint="default"/>
          <w:spacing w:val="-2"/>
          <w:sz w:val="18"/>
          <w:szCs w:val="18"/>
        </w:rPr>
        <w:t>年末总股本</w:t>
      </w:r>
      <w:r>
        <w:rPr>
          <w:rFonts w:ascii="宋体" w:hAnsi="宋体" w:cs="宋体" w:eastAsia="宋体" w:hint="default"/>
          <w:spacing w:val="-60"/>
          <w:sz w:val="18"/>
          <w:szCs w:val="18"/>
        </w:rPr>
        <w:t> </w:t>
      </w:r>
      <w:r>
        <w:rPr>
          <w:rFonts w:ascii="宋体" w:hAnsi="宋体" w:cs="宋体" w:eastAsia="宋体" w:hint="default"/>
          <w:sz w:val="18"/>
          <w:szCs w:val="18"/>
        </w:rPr>
        <w:t>121,993,920</w:t>
      </w:r>
      <w:r>
        <w:rPr>
          <w:rFonts w:ascii="宋体" w:hAnsi="宋体" w:cs="宋体" w:eastAsia="宋体" w:hint="default"/>
          <w:sz w:val="18"/>
          <w:szCs w:val="18"/>
        </w:rPr>
        <w:t>股扣除回购注销的</w:t>
      </w:r>
      <w:r>
        <w:rPr>
          <w:rFonts w:ascii="宋体" w:hAnsi="宋体" w:cs="宋体" w:eastAsia="宋体" w:hint="default"/>
          <w:sz w:val="18"/>
          <w:szCs w:val="18"/>
        </w:rPr>
        <w:t>1,002,240</w:t>
      </w:r>
      <w:r>
        <w:rPr>
          <w:rFonts w:ascii="宋体" w:hAnsi="宋体" w:cs="宋体" w:eastAsia="宋体" w:hint="default"/>
          <w:sz w:val="18"/>
          <w:szCs w:val="18"/>
        </w:rPr>
        <w:t>股及回购专用账户中的</w:t>
      </w:r>
      <w:r>
        <w:rPr>
          <w:rFonts w:ascii="宋体" w:hAnsi="宋体" w:cs="宋体" w:eastAsia="宋体" w:hint="default"/>
          <w:sz w:val="18"/>
          <w:szCs w:val="18"/>
        </w:rPr>
        <w:t>786,400</w:t>
      </w:r>
      <w:r>
        <w:rPr>
          <w:rFonts w:ascii="宋体" w:hAnsi="宋体" w:cs="宋体" w:eastAsia="宋体" w:hint="default"/>
          <w:sz w:val="18"/>
          <w:szCs w:val="18"/>
        </w:rPr>
        <w:t>股后的可参与分配的总股数</w:t>
      </w:r>
      <w:r>
        <w:rPr>
          <w:rFonts w:ascii="宋体" w:hAnsi="宋体" w:cs="宋体" w:eastAsia="宋体" w:hint="default"/>
          <w:sz w:val="18"/>
          <w:szCs w:val="18"/>
        </w:rPr>
        <w:t>120,205,280</w:t>
      </w:r>
      <w:r>
        <w:rPr>
          <w:rFonts w:ascii="宋体" w:hAnsi="宋体" w:cs="宋体" w:eastAsia="宋体" w:hint="default"/>
          <w:sz w:val="18"/>
          <w:szCs w:val="18"/>
        </w:rPr>
        <w:t>股为基数， </w:t>
      </w:r>
      <w:r>
        <w:rPr>
          <w:rFonts w:ascii="宋体" w:hAnsi="宋体" w:cs="宋体" w:eastAsia="宋体" w:hint="default"/>
          <w:spacing w:val="-2"/>
          <w:sz w:val="18"/>
          <w:szCs w:val="18"/>
        </w:rPr>
        <w:t>以资本公积金向全体股东每</w:t>
      </w:r>
      <w:r>
        <w:rPr>
          <w:rFonts w:ascii="宋体" w:hAnsi="宋体" w:cs="宋体" w:eastAsia="宋体" w:hint="default"/>
          <w:spacing w:val="-2"/>
          <w:sz w:val="18"/>
          <w:szCs w:val="18"/>
        </w:rPr>
        <w:t>10</w:t>
      </w:r>
      <w:r>
        <w:rPr>
          <w:rFonts w:ascii="宋体" w:hAnsi="宋体" w:cs="宋体" w:eastAsia="宋体" w:hint="default"/>
          <w:spacing w:val="-2"/>
          <w:sz w:val="18"/>
          <w:szCs w:val="18"/>
        </w:rPr>
        <w:t>股转增</w:t>
      </w:r>
      <w:r>
        <w:rPr>
          <w:rFonts w:ascii="宋体" w:hAnsi="宋体" w:cs="宋体" w:eastAsia="宋体" w:hint="default"/>
          <w:spacing w:val="-2"/>
          <w:sz w:val="18"/>
          <w:szCs w:val="18"/>
        </w:rPr>
        <w:t>7</w:t>
      </w:r>
      <w:r>
        <w:rPr>
          <w:rFonts w:ascii="宋体" w:hAnsi="宋体" w:cs="宋体" w:eastAsia="宋体" w:hint="default"/>
          <w:spacing w:val="-2"/>
          <w:sz w:val="18"/>
          <w:szCs w:val="18"/>
        </w:rPr>
        <w:t>股。分红前本公司总股本为</w:t>
      </w:r>
      <w:r>
        <w:rPr>
          <w:rFonts w:ascii="宋体" w:hAnsi="宋体" w:cs="宋体" w:eastAsia="宋体" w:hint="default"/>
          <w:spacing w:val="-2"/>
          <w:sz w:val="18"/>
          <w:szCs w:val="18"/>
        </w:rPr>
        <w:t>120,991,680</w:t>
      </w:r>
      <w:r>
        <w:rPr>
          <w:rFonts w:ascii="宋体" w:hAnsi="宋体" w:cs="宋体" w:eastAsia="宋体" w:hint="default"/>
          <w:spacing w:val="-2"/>
          <w:sz w:val="18"/>
          <w:szCs w:val="18"/>
        </w:rPr>
        <w:t>股（含回购股份），实施后总股本增至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205,135,376</w:t>
      </w:r>
      <w:r>
        <w:rPr>
          <w:rFonts w:ascii="宋体" w:hAnsi="宋体" w:cs="宋体" w:eastAsia="宋体" w:hint="default"/>
          <w:spacing w:val="-5"/>
          <w:sz w:val="18"/>
          <w:szCs w:val="18"/>
        </w:rPr>
        <w:t>股（含回购股份）。</w:t>
      </w:r>
    </w:p>
    <w:p>
      <w:pPr>
        <w:spacing w:before="58"/>
        <w:ind w:left="112" w:right="1133"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日，公司召开了第四届董事会第二十四次会议、第四届监事会第十八次会议，审议通过了《关于调整限制性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股票回购价格及回购注销部分限制性股票》，公司独立董事对相关事项发表了独立意见。</w:t>
      </w:r>
    </w:p>
    <w:p>
      <w:pPr>
        <w:spacing w:before="2"/>
        <w:ind w:left="112" w:right="1133" w:firstLine="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19</w:t>
      </w:r>
      <w:r>
        <w:rPr>
          <w:rFonts w:ascii="宋体" w:hAnsi="宋体" w:cs="宋体" w:eastAsia="宋体" w:hint="default"/>
          <w:spacing w:val="-3"/>
          <w:sz w:val="18"/>
          <w:szCs w:val="18"/>
        </w:rPr>
        <w:t>年</w:t>
      </w:r>
      <w:r>
        <w:rPr>
          <w:rFonts w:ascii="宋体" w:hAnsi="宋体" w:cs="宋体" w:eastAsia="宋体" w:hint="default"/>
          <w:spacing w:val="1"/>
          <w:sz w:val="18"/>
          <w:szCs w:val="18"/>
        </w:rPr>
        <w:t>5</w:t>
      </w:r>
      <w:r>
        <w:rPr>
          <w:rFonts w:ascii="宋体" w:hAnsi="宋体" w:cs="宋体" w:eastAsia="宋体" w:hint="default"/>
          <w:sz w:val="18"/>
          <w:szCs w:val="18"/>
        </w:rPr>
        <w:t>月</w:t>
      </w:r>
      <w:r>
        <w:rPr>
          <w:rFonts w:ascii="宋体" w:hAnsi="宋体" w:cs="宋体" w:eastAsia="宋体" w:hint="default"/>
          <w:spacing w:val="-2"/>
          <w:sz w:val="18"/>
          <w:szCs w:val="18"/>
        </w:rPr>
        <w:t>3</w:t>
      </w:r>
      <w:r>
        <w:rPr>
          <w:rFonts w:ascii="宋体" w:hAnsi="宋体" w:cs="宋体" w:eastAsia="宋体" w:hint="default"/>
          <w:spacing w:val="1"/>
          <w:sz w:val="18"/>
          <w:szCs w:val="18"/>
        </w:rPr>
        <w:t>0</w:t>
      </w:r>
      <w:r>
        <w:rPr>
          <w:rFonts w:ascii="宋体" w:hAnsi="宋体" w:cs="宋体" w:eastAsia="宋体" w:hint="default"/>
          <w:sz w:val="18"/>
          <w:szCs w:val="18"/>
        </w:rPr>
        <w:t>日，公司召开</w:t>
      </w:r>
      <w:r>
        <w:rPr>
          <w:rFonts w:ascii="宋体" w:hAnsi="宋体" w:cs="宋体" w:eastAsia="宋体" w:hint="default"/>
          <w:spacing w:val="-2"/>
          <w:sz w:val="18"/>
          <w:szCs w:val="18"/>
        </w:rPr>
        <w:t>2</w:t>
      </w:r>
      <w:r>
        <w:rPr>
          <w:rFonts w:ascii="宋体" w:hAnsi="宋体" w:cs="宋体" w:eastAsia="宋体" w:hint="default"/>
          <w:spacing w:val="1"/>
          <w:sz w:val="18"/>
          <w:szCs w:val="18"/>
        </w:rPr>
        <w:t>01</w:t>
      </w:r>
      <w:r>
        <w:rPr>
          <w:rFonts w:ascii="宋体" w:hAnsi="宋体" w:cs="宋体" w:eastAsia="宋体" w:hint="default"/>
          <w:spacing w:val="2"/>
          <w:sz w:val="18"/>
          <w:szCs w:val="18"/>
        </w:rPr>
        <w:t>8</w:t>
      </w:r>
      <w:r>
        <w:rPr>
          <w:rFonts w:ascii="宋体" w:hAnsi="宋体" w:cs="宋体" w:eastAsia="宋体" w:hint="default"/>
          <w:sz w:val="18"/>
          <w:szCs w:val="18"/>
        </w:rPr>
        <w:t>年年度股东大会审议并通</w:t>
      </w:r>
      <w:r>
        <w:rPr>
          <w:rFonts w:ascii="宋体" w:hAnsi="宋体" w:cs="宋体" w:eastAsia="宋体" w:hint="default"/>
          <w:spacing w:val="-3"/>
          <w:sz w:val="18"/>
          <w:szCs w:val="18"/>
        </w:rPr>
        <w:t>过</w:t>
      </w:r>
      <w:r>
        <w:rPr>
          <w:rFonts w:ascii="宋体" w:hAnsi="宋体" w:cs="宋体" w:eastAsia="宋体" w:hint="default"/>
          <w:sz w:val="18"/>
          <w:szCs w:val="18"/>
        </w:rPr>
        <w:t>《关于回购注销部分限制性股票的议案</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319" w:lineRule="auto" w:before="76"/>
        <w:ind w:left="112" w:right="1133" w:firstLine="0"/>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日，公司召开</w:t>
      </w:r>
      <w:r>
        <w:rPr>
          <w:rFonts w:ascii="宋体" w:hAnsi="宋体" w:cs="宋体" w:eastAsia="宋体" w:hint="default"/>
          <w:spacing w:val="-2"/>
          <w:sz w:val="18"/>
          <w:szCs w:val="18"/>
        </w:rPr>
        <w:t>2019</w:t>
      </w:r>
      <w:r>
        <w:rPr>
          <w:rFonts w:ascii="宋体" w:hAnsi="宋体" w:cs="宋体" w:eastAsia="宋体" w:hint="default"/>
          <w:spacing w:val="-2"/>
          <w:sz w:val="18"/>
          <w:szCs w:val="18"/>
        </w:rPr>
        <w:t>年年度股东大会审议并通过《关于公司</w:t>
      </w:r>
      <w:r>
        <w:rPr>
          <w:rFonts w:ascii="宋体" w:hAnsi="宋体" w:cs="宋体" w:eastAsia="宋体" w:hint="default"/>
          <w:spacing w:val="-2"/>
          <w:sz w:val="18"/>
          <w:szCs w:val="18"/>
        </w:rPr>
        <w:t>2018</w:t>
      </w:r>
      <w:r>
        <w:rPr>
          <w:rFonts w:ascii="宋体" w:hAnsi="宋体" w:cs="宋体" w:eastAsia="宋体" w:hint="default"/>
          <w:spacing w:val="-2"/>
          <w:sz w:val="18"/>
          <w:szCs w:val="18"/>
        </w:rPr>
        <w:t>年度利润分配方案的议案》，公司以</w:t>
      </w:r>
      <w:r>
        <w:rPr>
          <w:rFonts w:ascii="宋体" w:hAnsi="宋体" w:cs="宋体" w:eastAsia="宋体" w:hint="default"/>
          <w:spacing w:val="-2"/>
          <w:sz w:val="18"/>
          <w:szCs w:val="18"/>
        </w:rPr>
        <w:t>2018</w:t>
      </w:r>
      <w:r>
        <w:rPr>
          <w:rFonts w:ascii="宋体" w:hAnsi="宋体" w:cs="宋体" w:eastAsia="宋体" w:hint="default"/>
          <w:spacing w:val="-2"/>
          <w:sz w:val="18"/>
          <w:szCs w:val="18"/>
        </w:rPr>
        <w:t>年末</w:t>
      </w:r>
      <w:r>
        <w:rPr>
          <w:rFonts w:ascii="宋体" w:hAnsi="宋体" w:cs="宋体" w:eastAsia="宋体" w:hint="default"/>
          <w:spacing w:val="-54"/>
          <w:sz w:val="18"/>
          <w:szCs w:val="18"/>
        </w:rPr>
        <w:t> </w:t>
      </w:r>
      <w:r>
        <w:rPr>
          <w:rFonts w:ascii="宋体" w:hAnsi="宋体" w:cs="宋体" w:eastAsia="宋体" w:hint="default"/>
          <w:sz w:val="18"/>
          <w:szCs w:val="18"/>
        </w:rPr>
        <w:t>总股本</w:t>
      </w:r>
      <w:r>
        <w:rPr>
          <w:rFonts w:ascii="宋体" w:hAnsi="宋体" w:cs="宋体" w:eastAsia="宋体" w:hint="default"/>
          <w:sz w:val="18"/>
          <w:szCs w:val="18"/>
        </w:rPr>
        <w:t>121,993,920</w:t>
      </w:r>
      <w:r>
        <w:rPr>
          <w:rFonts w:ascii="宋体" w:hAnsi="宋体" w:cs="宋体" w:eastAsia="宋体" w:hint="default"/>
          <w:sz w:val="18"/>
          <w:szCs w:val="18"/>
        </w:rPr>
        <w:t>股扣除回购注销的</w:t>
      </w:r>
      <w:r>
        <w:rPr>
          <w:rFonts w:ascii="宋体" w:hAnsi="宋体" w:cs="宋体" w:eastAsia="宋体" w:hint="default"/>
          <w:sz w:val="18"/>
          <w:szCs w:val="18"/>
        </w:rPr>
        <w:t>1,002,240</w:t>
      </w:r>
      <w:r>
        <w:rPr>
          <w:rFonts w:ascii="宋体" w:hAnsi="宋体" w:cs="宋体" w:eastAsia="宋体" w:hint="default"/>
          <w:sz w:val="18"/>
          <w:szCs w:val="18"/>
        </w:rPr>
        <w:t>股及回购专用账户中的</w:t>
      </w:r>
      <w:r>
        <w:rPr>
          <w:rFonts w:ascii="宋体" w:hAnsi="宋体" w:cs="宋体" w:eastAsia="宋体" w:hint="default"/>
          <w:sz w:val="18"/>
          <w:szCs w:val="18"/>
        </w:rPr>
        <w:t>786,400</w:t>
      </w:r>
      <w:r>
        <w:rPr>
          <w:rFonts w:ascii="宋体" w:hAnsi="宋体" w:cs="宋体" w:eastAsia="宋体" w:hint="default"/>
          <w:sz w:val="18"/>
          <w:szCs w:val="18"/>
        </w:rPr>
        <w:t>股后的可参与分配的总股数</w:t>
      </w:r>
      <w:r>
        <w:rPr>
          <w:rFonts w:ascii="宋体" w:hAnsi="宋体" w:cs="宋体" w:eastAsia="宋体" w:hint="default"/>
          <w:sz w:val="18"/>
          <w:szCs w:val="18"/>
        </w:rPr>
        <w:t>120,205,280</w:t>
      </w:r>
      <w:r>
        <w:rPr>
          <w:rFonts w:ascii="宋体" w:hAnsi="宋体" w:cs="宋体" w:eastAsia="宋体" w:hint="default"/>
          <w:sz w:val="18"/>
          <w:szCs w:val="18"/>
        </w:rPr>
        <w:t>股 </w:t>
      </w:r>
      <w:r>
        <w:rPr>
          <w:rFonts w:ascii="宋体" w:hAnsi="宋体" w:cs="宋体" w:eastAsia="宋体" w:hint="default"/>
          <w:spacing w:val="-2"/>
          <w:sz w:val="18"/>
          <w:szCs w:val="18"/>
        </w:rPr>
        <w:t>为基数，以资本公积金向全体股东每</w:t>
      </w:r>
      <w:r>
        <w:rPr>
          <w:rFonts w:ascii="宋体" w:hAnsi="宋体" w:cs="宋体" w:eastAsia="宋体" w:hint="default"/>
          <w:spacing w:val="-2"/>
          <w:sz w:val="18"/>
          <w:szCs w:val="18"/>
        </w:rPr>
        <w:t>10</w:t>
      </w:r>
      <w:r>
        <w:rPr>
          <w:rFonts w:ascii="宋体" w:hAnsi="宋体" w:cs="宋体" w:eastAsia="宋体" w:hint="default"/>
          <w:spacing w:val="-2"/>
          <w:sz w:val="18"/>
          <w:szCs w:val="18"/>
        </w:rPr>
        <w:t>股转增</w:t>
      </w:r>
      <w:r>
        <w:rPr>
          <w:rFonts w:ascii="宋体" w:hAnsi="宋体" w:cs="宋体" w:eastAsia="宋体" w:hint="default"/>
          <w:spacing w:val="-2"/>
          <w:sz w:val="18"/>
          <w:szCs w:val="18"/>
        </w:rPr>
        <w:t>7</w:t>
      </w:r>
      <w:r>
        <w:rPr>
          <w:rFonts w:ascii="宋体" w:hAnsi="宋体" w:cs="宋体" w:eastAsia="宋体" w:hint="default"/>
          <w:spacing w:val="-2"/>
          <w:sz w:val="18"/>
          <w:szCs w:val="18"/>
        </w:rPr>
        <w:t>股。分红前本公司总股本为</w:t>
      </w:r>
      <w:r>
        <w:rPr>
          <w:rFonts w:ascii="宋体" w:hAnsi="宋体" w:cs="宋体" w:eastAsia="宋体" w:hint="default"/>
          <w:spacing w:val="-2"/>
          <w:sz w:val="18"/>
          <w:szCs w:val="18"/>
        </w:rPr>
        <w:t>120,991,680</w:t>
      </w:r>
      <w:r>
        <w:rPr>
          <w:rFonts w:ascii="宋体" w:hAnsi="宋体" w:cs="宋体" w:eastAsia="宋体" w:hint="default"/>
          <w:spacing w:val="-2"/>
          <w:sz w:val="18"/>
          <w:szCs w:val="18"/>
        </w:rPr>
        <w:t>股（含回购股份），实施后总股本增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至</w:t>
      </w:r>
      <w:r>
        <w:rPr>
          <w:rFonts w:ascii="宋体" w:hAnsi="宋体" w:cs="宋体" w:eastAsia="宋体" w:hint="default"/>
          <w:spacing w:val="-5"/>
          <w:sz w:val="18"/>
          <w:szCs w:val="18"/>
        </w:rPr>
        <w:t>205,135,376</w:t>
      </w:r>
      <w:r>
        <w:rPr>
          <w:rFonts w:ascii="宋体" w:hAnsi="宋体" w:cs="宋体" w:eastAsia="宋体" w:hint="default"/>
          <w:spacing w:val="-5"/>
          <w:sz w:val="18"/>
          <w:szCs w:val="18"/>
        </w:rPr>
        <w:t>股（含回购股份）。</w:t>
      </w:r>
    </w:p>
    <w:p>
      <w:pPr>
        <w:spacing w:before="58"/>
        <w:ind w:left="112" w:right="1133"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60" w:lineRule="auto" w:before="115"/>
        <w:ind w:left="112" w:right="175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z w:val="18"/>
          <w:szCs w:val="18"/>
        </w:rPr>
        <w:t>1</w:t>
      </w:r>
      <w:r>
        <w:rPr>
          <w:rFonts w:ascii="宋体" w:hAnsi="宋体" w:cs="宋体" w:eastAsia="宋体" w:hint="default"/>
          <w:sz w:val="18"/>
          <w:szCs w:val="18"/>
        </w:rPr>
        <w:t>、公司股权激励计划回购注销，已于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日在中国证券登记结算有限责任公司深圳分公司完成回购注销。 股份回购的实施进展情况</w:t>
      </w:r>
    </w:p>
    <w:p>
      <w:pPr>
        <w:spacing w:line="338" w:lineRule="auto" w:before="25"/>
        <w:ind w:left="112" w:right="11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日召开了第四届董事会第二十四次会议、第四届监事会第十八次会议，审议通过了《关于调整限制性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股票回购价格及回购注销部分限制性股票》，公司独立董事对相关事项发表了独立意见。后于</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6</w:t>
      </w:r>
      <w:r>
        <w:rPr>
          <w:rFonts w:ascii="宋体" w:hAnsi="宋体" w:cs="宋体" w:eastAsia="宋体" w:hint="default"/>
          <w:spacing w:val="-4"/>
          <w:sz w:val="18"/>
          <w:szCs w:val="18"/>
        </w:rPr>
        <w:t>月</w:t>
      </w:r>
      <w:r>
        <w:rPr>
          <w:rFonts w:ascii="宋体" w:hAnsi="宋体" w:cs="宋体" w:eastAsia="宋体" w:hint="default"/>
          <w:spacing w:val="-4"/>
          <w:sz w:val="18"/>
          <w:szCs w:val="18"/>
        </w:rPr>
        <w:t>27</w:t>
      </w:r>
      <w:r>
        <w:rPr>
          <w:rFonts w:ascii="宋体" w:hAnsi="宋体" w:cs="宋体" w:eastAsia="宋体" w:hint="default"/>
          <w:spacing w:val="-4"/>
          <w:sz w:val="18"/>
          <w:szCs w:val="18"/>
        </w:rPr>
        <w:t>日披露了《关于部</w:t>
      </w:r>
    </w:p>
    <w:p>
      <w:pPr>
        <w:spacing w:line="316" w:lineRule="auto" w:before="2"/>
        <w:ind w:left="112" w:right="1040" w:firstLine="0"/>
        <w:jc w:val="left"/>
        <w:rPr>
          <w:rFonts w:ascii="宋体" w:hAnsi="宋体" w:cs="宋体" w:eastAsia="宋体" w:hint="default"/>
          <w:sz w:val="18"/>
          <w:szCs w:val="18"/>
        </w:rPr>
      </w:pPr>
      <w:r>
        <w:rPr>
          <w:rFonts w:ascii="宋体" w:hAnsi="宋体" w:cs="宋体" w:eastAsia="宋体" w:hint="default"/>
          <w:spacing w:val="-3"/>
          <w:sz w:val="18"/>
          <w:szCs w:val="18"/>
        </w:rPr>
        <w:t>分限制性股票回购注销完成的公告》。注销已回购的</w:t>
      </w:r>
      <w:r>
        <w:rPr>
          <w:rFonts w:ascii="宋体" w:hAnsi="宋体" w:cs="宋体" w:eastAsia="宋体" w:hint="default"/>
          <w:spacing w:val="-3"/>
          <w:sz w:val="18"/>
          <w:szCs w:val="18"/>
        </w:rPr>
        <w:t>1,002,240</w:t>
      </w:r>
      <w:r>
        <w:rPr>
          <w:rFonts w:ascii="宋体" w:hAnsi="宋体" w:cs="宋体" w:eastAsia="宋体" w:hint="default"/>
          <w:spacing w:val="-3"/>
          <w:sz w:val="18"/>
          <w:szCs w:val="18"/>
        </w:rPr>
        <w:t>股股份。</w:t>
      </w:r>
      <w:r>
        <w:rPr>
          <w:rFonts w:ascii="宋体" w:hAnsi="宋体" w:cs="宋体" w:eastAsia="宋体" w:hint="default"/>
          <w:spacing w:val="-73"/>
          <w:sz w:val="18"/>
          <w:szCs w:val="18"/>
        </w:rPr>
        <w:t> </w:t>
      </w:r>
      <w:r>
        <w:rPr>
          <w:rFonts w:ascii="宋体" w:hAnsi="宋体" w:cs="宋体" w:eastAsia="宋体"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20</w:t>
      </w:r>
      <w:r>
        <w:rPr>
          <w:rFonts w:ascii="宋体" w:hAnsi="宋体" w:cs="宋体" w:eastAsia="宋体" w:hint="default"/>
          <w:spacing w:val="-2"/>
          <w:sz w:val="18"/>
          <w:szCs w:val="18"/>
        </w:rPr>
        <w:t>日召开第四届董事会第十九次会议审议通过了《关于回购公司股份的议案》，该议案已经</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17</w:t>
      </w:r>
      <w:r>
        <w:rPr>
          <w:rFonts w:ascii="宋体" w:hAnsi="宋体" w:cs="宋体" w:eastAsia="宋体" w:hint="default"/>
          <w:spacing w:val="-2"/>
          <w:sz w:val="18"/>
          <w:szCs w:val="18"/>
        </w:rPr>
        <w:t>日召</w:t>
      </w:r>
      <w:r>
        <w:rPr>
          <w:rFonts w:ascii="宋体" w:hAnsi="宋体" w:cs="宋体" w:eastAsia="宋体" w:hint="default"/>
          <w:spacing w:val="-65"/>
          <w:sz w:val="18"/>
          <w:szCs w:val="18"/>
        </w:rPr>
        <w:t> </w:t>
      </w:r>
      <w:r>
        <w:rPr>
          <w:rFonts w:ascii="宋体" w:hAnsi="宋体" w:cs="宋体" w:eastAsia="宋体" w:hint="default"/>
          <w:sz w:val="18"/>
          <w:szCs w:val="18"/>
        </w:rPr>
        <w:t>开的公司</w:t>
      </w:r>
      <w:r>
        <w:rPr>
          <w:rFonts w:ascii="宋体" w:hAnsi="宋体" w:cs="宋体" w:eastAsia="宋体" w:hint="default"/>
          <w:sz w:val="18"/>
          <w:szCs w:val="18"/>
        </w:rPr>
        <w:t>2018</w:t>
      </w:r>
      <w:r>
        <w:rPr>
          <w:rFonts w:ascii="宋体" w:hAnsi="宋体" w:cs="宋体" w:eastAsia="宋体" w:hint="default"/>
          <w:sz w:val="18"/>
          <w:szCs w:val="18"/>
        </w:rPr>
        <w:t>年第六次临时股东大会审议通过。公司回购股份资金总额为人民币</w:t>
      </w:r>
      <w:r>
        <w:rPr>
          <w:rFonts w:ascii="宋体" w:hAnsi="宋体" w:cs="宋体" w:eastAsia="宋体" w:hint="default"/>
          <w:sz w:val="18"/>
          <w:szCs w:val="18"/>
        </w:rPr>
        <w:t>2,000</w:t>
      </w:r>
      <w:r>
        <w:rPr>
          <w:rFonts w:ascii="宋体" w:hAnsi="宋体" w:cs="宋体" w:eastAsia="宋体" w:hint="default"/>
          <w:sz w:val="18"/>
          <w:szCs w:val="18"/>
        </w:rPr>
        <w:t>万元</w:t>
      </w:r>
      <w:r>
        <w:rPr>
          <w:rFonts w:ascii="宋体" w:hAnsi="宋体" w:cs="宋体" w:eastAsia="宋体" w:hint="default"/>
          <w:sz w:val="18"/>
          <w:szCs w:val="18"/>
        </w:rPr>
        <w:t>-3,000</w:t>
      </w:r>
      <w:r>
        <w:rPr>
          <w:rFonts w:ascii="宋体" w:hAnsi="宋体" w:cs="宋体" w:eastAsia="宋体" w:hint="default"/>
          <w:sz w:val="18"/>
          <w:szCs w:val="18"/>
        </w:rPr>
        <w:t>万元，价格不超过</w:t>
      </w:r>
      <w:r>
        <w:rPr>
          <w:rFonts w:ascii="宋体" w:hAnsi="宋体" w:cs="宋体" w:eastAsia="宋体" w:hint="default"/>
          <w:sz w:val="18"/>
          <w:szCs w:val="18"/>
        </w:rPr>
        <w:t>30</w:t>
      </w:r>
      <w:r>
        <w:rPr>
          <w:rFonts w:ascii="宋体" w:hAnsi="宋体" w:cs="宋体" w:eastAsia="宋体" w:hint="default"/>
          <w:sz w:val="18"/>
          <w:szCs w:val="18"/>
        </w:rPr>
        <w:t>元</w:t>
      </w:r>
      <w:r>
        <w:rPr>
          <w:rFonts w:ascii="宋体" w:hAnsi="宋体" w:cs="宋体" w:eastAsia="宋体" w:hint="default"/>
          <w:sz w:val="18"/>
          <w:szCs w:val="18"/>
        </w:rPr>
        <w:t>/ </w:t>
      </w:r>
      <w:r>
        <w:rPr>
          <w:rFonts w:ascii="宋体" w:hAnsi="宋体" w:cs="宋体" w:eastAsia="宋体" w:hint="default"/>
          <w:spacing w:val="-2"/>
          <w:sz w:val="18"/>
          <w:szCs w:val="18"/>
        </w:rPr>
        <w:t>股，回购股份方式为深圳证券交易所集中竞价交易方式或其他法律法规允许的方式，回购期限自股东大会审议通过回购股份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方案之日起不超过</w:t>
      </w:r>
      <w:r>
        <w:rPr>
          <w:rFonts w:ascii="宋体" w:hAnsi="宋体" w:cs="宋体" w:eastAsia="宋体" w:hint="default"/>
          <w:spacing w:val="-2"/>
          <w:sz w:val="18"/>
          <w:szCs w:val="18"/>
        </w:rPr>
        <w:t>12</w:t>
      </w:r>
      <w:r>
        <w:rPr>
          <w:rFonts w:ascii="宋体" w:hAnsi="宋体" w:cs="宋体" w:eastAsia="宋体" w:hint="default"/>
          <w:spacing w:val="-2"/>
          <w:sz w:val="18"/>
          <w:szCs w:val="18"/>
        </w:rPr>
        <w:t>个月。详情请见公司于</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日在巨潮资讯网上公告的《关于回购公司股份的报告书》（公告编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号：</w:t>
      </w:r>
      <w:r>
        <w:rPr>
          <w:rFonts w:ascii="宋体" w:hAnsi="宋体" w:cs="宋体" w:eastAsia="宋体" w:hint="default"/>
          <w:spacing w:val="-3"/>
          <w:sz w:val="18"/>
          <w:szCs w:val="18"/>
        </w:rPr>
        <w:t>2018-115</w:t>
      </w:r>
      <w:r>
        <w:rPr>
          <w:rFonts w:ascii="宋体" w:hAnsi="宋体" w:cs="宋体" w:eastAsia="宋体" w:hint="default"/>
          <w:spacing w:val="-3"/>
          <w:sz w:val="18"/>
          <w:szCs w:val="18"/>
        </w:rPr>
        <w:t>）。截至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11</w:t>
      </w:r>
      <w:r>
        <w:rPr>
          <w:rFonts w:ascii="宋体" w:hAnsi="宋体" w:cs="宋体" w:eastAsia="宋体" w:hint="default"/>
          <w:spacing w:val="-3"/>
          <w:sz w:val="18"/>
          <w:szCs w:val="18"/>
        </w:rPr>
        <w:t>月</w:t>
      </w:r>
      <w:r>
        <w:rPr>
          <w:rFonts w:ascii="宋体" w:hAnsi="宋体" w:cs="宋体" w:eastAsia="宋体" w:hint="default"/>
          <w:spacing w:val="-3"/>
          <w:sz w:val="18"/>
          <w:szCs w:val="18"/>
        </w:rPr>
        <w:t>28</w:t>
      </w:r>
      <w:r>
        <w:rPr>
          <w:rFonts w:ascii="宋体" w:hAnsi="宋体" w:cs="宋体" w:eastAsia="宋体" w:hint="default"/>
          <w:spacing w:val="-3"/>
          <w:sz w:val="18"/>
          <w:szCs w:val="18"/>
        </w:rPr>
        <w:t>日，公司通过股份回购专用账户以集中竞价交易方式累计回购股份</w:t>
      </w:r>
      <w:r>
        <w:rPr>
          <w:rFonts w:ascii="宋体" w:hAnsi="宋体" w:cs="宋体" w:eastAsia="宋体" w:hint="default"/>
          <w:spacing w:val="-3"/>
          <w:sz w:val="18"/>
          <w:szCs w:val="18"/>
        </w:rPr>
        <w:t>1,122,200</w:t>
      </w:r>
      <w:r>
        <w:rPr>
          <w:rFonts w:ascii="宋体" w:hAnsi="宋体" w:cs="宋体" w:eastAsia="宋体" w:hint="default"/>
          <w:spacing w:val="-3"/>
          <w:sz w:val="18"/>
          <w:szCs w:val="18"/>
        </w:rPr>
        <w:t>股，占公司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总股本的</w:t>
      </w:r>
      <w:r>
        <w:rPr>
          <w:rFonts w:ascii="宋体" w:hAnsi="宋体" w:cs="宋体" w:eastAsia="宋体" w:hint="default"/>
          <w:spacing w:val="-6"/>
          <w:sz w:val="18"/>
          <w:szCs w:val="18"/>
        </w:rPr>
        <w:t>0.5471%</w:t>
      </w:r>
      <w:r>
        <w:rPr>
          <w:rFonts w:ascii="宋体" w:hAnsi="宋体" w:cs="宋体" w:eastAsia="宋体" w:hint="default"/>
          <w:spacing w:val="-6"/>
          <w:sz w:val="18"/>
          <w:szCs w:val="18"/>
        </w:rPr>
        <w:t>，最高成交价为</w:t>
      </w:r>
      <w:r>
        <w:rPr>
          <w:rFonts w:ascii="宋体" w:hAnsi="宋体" w:cs="宋体" w:eastAsia="宋体" w:hint="default"/>
          <w:spacing w:val="-6"/>
          <w:sz w:val="18"/>
          <w:szCs w:val="18"/>
        </w:rPr>
        <w:t>19.99</w:t>
      </w:r>
      <w:r>
        <w:rPr>
          <w:rFonts w:ascii="宋体" w:hAnsi="宋体" w:cs="宋体" w:eastAsia="宋体" w:hint="default"/>
          <w:spacing w:val="-6"/>
          <w:sz w:val="18"/>
          <w:szCs w:val="18"/>
        </w:rPr>
        <w:t>元</w:t>
      </w:r>
      <w:r>
        <w:rPr>
          <w:rFonts w:ascii="宋体" w:hAnsi="宋体" w:cs="宋体" w:eastAsia="宋体" w:hint="default"/>
          <w:spacing w:val="-6"/>
          <w:sz w:val="18"/>
          <w:szCs w:val="18"/>
        </w:rPr>
        <w:t>/</w:t>
      </w:r>
      <w:r>
        <w:rPr>
          <w:rFonts w:ascii="宋体" w:hAnsi="宋体" w:cs="宋体" w:eastAsia="宋体" w:hint="default"/>
          <w:spacing w:val="-6"/>
          <w:sz w:val="18"/>
          <w:szCs w:val="18"/>
        </w:rPr>
        <w:t>股，最低成交价为</w:t>
      </w:r>
      <w:r>
        <w:rPr>
          <w:rFonts w:ascii="宋体" w:hAnsi="宋体" w:cs="宋体" w:eastAsia="宋体" w:hint="default"/>
          <w:spacing w:val="-6"/>
          <w:sz w:val="18"/>
          <w:szCs w:val="18"/>
        </w:rPr>
        <w:t>14.81</w:t>
      </w:r>
      <w:r>
        <w:rPr>
          <w:rFonts w:ascii="宋体" w:hAnsi="宋体" w:cs="宋体" w:eastAsia="宋体" w:hint="default"/>
          <w:spacing w:val="-6"/>
          <w:sz w:val="18"/>
          <w:szCs w:val="18"/>
        </w:rPr>
        <w:t>元</w:t>
      </w:r>
      <w:r>
        <w:rPr>
          <w:rFonts w:ascii="宋体" w:hAnsi="宋体" w:cs="宋体" w:eastAsia="宋体" w:hint="default"/>
          <w:spacing w:val="-6"/>
          <w:sz w:val="18"/>
          <w:szCs w:val="18"/>
        </w:rPr>
        <w:t>/</w:t>
      </w:r>
      <w:r>
        <w:rPr>
          <w:rFonts w:ascii="宋体" w:hAnsi="宋体" w:cs="宋体" w:eastAsia="宋体" w:hint="default"/>
          <w:spacing w:val="-6"/>
          <w:sz w:val="18"/>
          <w:szCs w:val="18"/>
        </w:rPr>
        <w:t>股，支付的总金额为</w:t>
      </w:r>
      <w:r>
        <w:rPr>
          <w:rFonts w:ascii="宋体" w:hAnsi="宋体" w:cs="宋体" w:eastAsia="宋体" w:hint="default"/>
          <w:spacing w:val="-6"/>
          <w:sz w:val="18"/>
          <w:szCs w:val="18"/>
        </w:rPr>
        <w:t>20,001,619.42</w:t>
      </w:r>
      <w:r>
        <w:rPr>
          <w:rFonts w:ascii="宋体" w:hAnsi="宋体" w:cs="宋体" w:eastAsia="宋体" w:hint="default"/>
          <w:spacing w:val="-6"/>
          <w:sz w:val="18"/>
          <w:szCs w:val="18"/>
        </w:rPr>
        <w:t>元（不含交易费用），</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2"/>
          <w:sz w:val="18"/>
          <w:szCs w:val="18"/>
        </w:rPr>
        <w:t>公司本次股份回购计划已经实施完毕，详情请见公司于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日在巨潮资讯网上公告的《关于回购公司股份实施完毕</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4"/>
          <w:sz w:val="18"/>
          <w:szCs w:val="18"/>
        </w:rPr>
        <w:t>的公告》（公告编号：</w:t>
      </w:r>
      <w:r>
        <w:rPr>
          <w:rFonts w:ascii="宋体" w:hAnsi="宋体" w:cs="宋体" w:eastAsia="宋体" w:hint="default"/>
          <w:spacing w:val="-14"/>
          <w:sz w:val="18"/>
          <w:szCs w:val="18"/>
        </w:rPr>
        <w:t>2019-141</w:t>
      </w:r>
      <w:r>
        <w:rPr>
          <w:rFonts w:ascii="宋体" w:hAnsi="宋体" w:cs="宋体" w:eastAsia="宋体" w:hint="default"/>
          <w:spacing w:val="-14"/>
          <w:sz w:val="18"/>
          <w:szCs w:val="18"/>
        </w:rPr>
        <w:t>）。</w:t>
      </w:r>
      <w:r>
        <w:rPr>
          <w:rFonts w:ascii="宋体" w:hAnsi="宋体" w:cs="宋体" w:eastAsia="宋体" w:hint="default"/>
          <w:sz w:val="18"/>
          <w:szCs w:val="18"/>
        </w:rPr>
      </w:r>
    </w:p>
    <w:p>
      <w:pPr>
        <w:spacing w:before="59"/>
        <w:ind w:left="112" w:right="1133"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38" w:lineRule="auto" w:before="115"/>
        <w:ind w:left="112" w:right="113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公司于</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20</w:t>
      </w:r>
      <w:r>
        <w:rPr>
          <w:rFonts w:ascii="宋体" w:hAnsi="宋体" w:cs="宋体" w:eastAsia="宋体" w:hint="default"/>
          <w:spacing w:val="-2"/>
          <w:sz w:val="18"/>
          <w:szCs w:val="18"/>
        </w:rPr>
        <w:t>日召开第四届董事会第十九次会议审议通过了《关于回购公司股份的议案》，该议案已经</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17</w:t>
      </w:r>
      <w:r>
        <w:rPr>
          <w:rFonts w:ascii="宋体" w:hAnsi="宋体" w:cs="宋体" w:eastAsia="宋体" w:hint="default"/>
          <w:spacing w:val="-59"/>
          <w:sz w:val="18"/>
          <w:szCs w:val="18"/>
        </w:rPr>
        <w:t> </w:t>
      </w:r>
      <w:r>
        <w:rPr>
          <w:rFonts w:ascii="宋体" w:hAnsi="宋体" w:cs="宋体" w:eastAsia="宋体" w:hint="default"/>
          <w:sz w:val="18"/>
          <w:szCs w:val="18"/>
        </w:rPr>
        <w:t>日召开的公司</w:t>
      </w:r>
      <w:r>
        <w:rPr>
          <w:rFonts w:ascii="宋体" w:hAnsi="宋体" w:cs="宋体" w:eastAsia="宋体" w:hint="default"/>
          <w:sz w:val="18"/>
          <w:szCs w:val="18"/>
        </w:rPr>
        <w:t>2018</w:t>
      </w:r>
      <w:r>
        <w:rPr>
          <w:rFonts w:ascii="宋体" w:hAnsi="宋体" w:cs="宋体" w:eastAsia="宋体" w:hint="default"/>
          <w:sz w:val="18"/>
          <w:szCs w:val="18"/>
        </w:rPr>
        <w:t>年第六次临时股东大会审议通过。公司回购股份资金总额为人民币</w:t>
      </w:r>
      <w:r>
        <w:rPr>
          <w:rFonts w:ascii="宋体" w:hAnsi="宋体" w:cs="宋体" w:eastAsia="宋体" w:hint="default"/>
          <w:sz w:val="18"/>
          <w:szCs w:val="18"/>
        </w:rPr>
        <w:t>2,000</w:t>
      </w:r>
      <w:r>
        <w:rPr>
          <w:rFonts w:ascii="宋体" w:hAnsi="宋体" w:cs="宋体" w:eastAsia="宋体" w:hint="default"/>
          <w:sz w:val="18"/>
          <w:szCs w:val="18"/>
        </w:rPr>
        <w:t>万元</w:t>
      </w:r>
      <w:r>
        <w:rPr>
          <w:rFonts w:ascii="宋体" w:hAnsi="宋体" w:cs="宋体" w:eastAsia="宋体" w:hint="default"/>
          <w:sz w:val="18"/>
          <w:szCs w:val="18"/>
        </w:rPr>
        <w:t>-3,000</w:t>
      </w:r>
      <w:r>
        <w:rPr>
          <w:rFonts w:ascii="宋体" w:hAnsi="宋体" w:cs="宋体" w:eastAsia="宋体" w:hint="default"/>
          <w:sz w:val="18"/>
          <w:szCs w:val="18"/>
        </w:rPr>
        <w:t>万元，价格不超过</w:t>
      </w:r>
      <w:r>
        <w:rPr>
          <w:rFonts w:ascii="宋体" w:hAnsi="宋体" w:cs="宋体" w:eastAsia="宋体" w:hint="default"/>
          <w:sz w:val="18"/>
          <w:szCs w:val="18"/>
        </w:rPr>
        <w:t>30</w:t>
      </w:r>
    </w:p>
    <w:p>
      <w:pPr>
        <w:spacing w:line="319" w:lineRule="auto" w:before="2"/>
        <w:ind w:left="112" w:right="1128" w:firstLine="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股，回购股份方式为深圳证券交易所集中竞价交易方式或其他法律法规允许的方式，回购期限自股东大会审议通过回购 </w:t>
      </w:r>
      <w:r>
        <w:rPr>
          <w:rFonts w:ascii="宋体" w:hAnsi="宋体" w:cs="宋体" w:eastAsia="宋体" w:hint="default"/>
          <w:spacing w:val="-2"/>
          <w:sz w:val="18"/>
          <w:szCs w:val="18"/>
        </w:rPr>
        <w:t>股份方案之日起不超过</w:t>
      </w:r>
      <w:r>
        <w:rPr>
          <w:rFonts w:ascii="宋体" w:hAnsi="宋体" w:cs="宋体" w:eastAsia="宋体" w:hint="default"/>
          <w:spacing w:val="-2"/>
          <w:sz w:val="18"/>
          <w:szCs w:val="18"/>
        </w:rPr>
        <w:t>12</w:t>
      </w:r>
      <w:r>
        <w:rPr>
          <w:rFonts w:ascii="宋体" w:hAnsi="宋体" w:cs="宋体" w:eastAsia="宋体" w:hint="default"/>
          <w:spacing w:val="-2"/>
          <w:sz w:val="18"/>
          <w:szCs w:val="18"/>
        </w:rPr>
        <w:t>个月。详情请见公司于</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日在巨潮资讯网上公告的《关于回购公司股份的报告书》（公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告编号：</w:t>
      </w:r>
      <w:r>
        <w:rPr>
          <w:rFonts w:ascii="宋体" w:hAnsi="宋体" w:cs="宋体" w:eastAsia="宋体" w:hint="default"/>
          <w:spacing w:val="-3"/>
          <w:sz w:val="18"/>
          <w:szCs w:val="18"/>
        </w:rPr>
        <w:t>2018-115</w:t>
      </w:r>
      <w:r>
        <w:rPr>
          <w:rFonts w:ascii="宋体" w:hAnsi="宋体" w:cs="宋体" w:eastAsia="宋体" w:hint="default"/>
          <w:spacing w:val="-3"/>
          <w:sz w:val="18"/>
          <w:szCs w:val="18"/>
        </w:rPr>
        <w:t>）。截至</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11</w:t>
      </w:r>
      <w:r>
        <w:rPr>
          <w:rFonts w:ascii="宋体" w:hAnsi="宋体" w:cs="宋体" w:eastAsia="宋体" w:hint="default"/>
          <w:spacing w:val="-3"/>
          <w:sz w:val="18"/>
          <w:szCs w:val="18"/>
        </w:rPr>
        <w:t>月</w:t>
      </w:r>
      <w:r>
        <w:rPr>
          <w:rFonts w:ascii="宋体" w:hAnsi="宋体" w:cs="宋体" w:eastAsia="宋体" w:hint="default"/>
          <w:spacing w:val="-3"/>
          <w:sz w:val="18"/>
          <w:szCs w:val="18"/>
        </w:rPr>
        <w:t>28</w:t>
      </w:r>
      <w:r>
        <w:rPr>
          <w:rFonts w:ascii="宋体" w:hAnsi="宋体" w:cs="宋体" w:eastAsia="宋体" w:hint="default"/>
          <w:spacing w:val="-3"/>
          <w:sz w:val="18"/>
          <w:szCs w:val="18"/>
        </w:rPr>
        <w:t>日，公司通过股份回购专用账户以集中竞价交易方式累计回购股份</w:t>
      </w:r>
      <w:r>
        <w:rPr>
          <w:rFonts w:ascii="宋体" w:hAnsi="宋体" w:cs="宋体" w:eastAsia="宋体" w:hint="default"/>
          <w:spacing w:val="-3"/>
          <w:sz w:val="18"/>
          <w:szCs w:val="18"/>
        </w:rPr>
        <w:t>1,122,200</w:t>
      </w:r>
      <w:r>
        <w:rPr>
          <w:rFonts w:ascii="宋体" w:hAnsi="宋体" w:cs="宋体" w:eastAsia="宋体" w:hint="default"/>
          <w:spacing w:val="-3"/>
          <w:sz w:val="18"/>
          <w:szCs w:val="18"/>
        </w:rPr>
        <w:t>股，占</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公司总股本的</w:t>
      </w:r>
      <w:r>
        <w:rPr>
          <w:rFonts w:ascii="宋体" w:hAnsi="宋体" w:cs="宋体" w:eastAsia="宋体" w:hint="default"/>
          <w:spacing w:val="-2"/>
          <w:sz w:val="18"/>
          <w:szCs w:val="18"/>
        </w:rPr>
        <w:t>0.5471%</w:t>
      </w:r>
      <w:r>
        <w:rPr>
          <w:rFonts w:ascii="宋体" w:hAnsi="宋体" w:cs="宋体" w:eastAsia="宋体" w:hint="default"/>
          <w:spacing w:val="-2"/>
          <w:sz w:val="18"/>
          <w:szCs w:val="18"/>
        </w:rPr>
        <w:t>，最高成交价为</w:t>
      </w:r>
      <w:r>
        <w:rPr>
          <w:rFonts w:ascii="宋体" w:hAnsi="宋体" w:cs="宋体" w:eastAsia="宋体" w:hint="default"/>
          <w:spacing w:val="-2"/>
          <w:sz w:val="18"/>
          <w:szCs w:val="18"/>
        </w:rPr>
        <w:t>19.99</w:t>
      </w:r>
      <w:r>
        <w:rPr>
          <w:rFonts w:ascii="宋体" w:hAnsi="宋体" w:cs="宋体" w:eastAsia="宋体" w:hint="default"/>
          <w:spacing w:val="-2"/>
          <w:sz w:val="18"/>
          <w:szCs w:val="18"/>
        </w:rPr>
        <w:t>元</w:t>
      </w:r>
      <w:r>
        <w:rPr>
          <w:rFonts w:ascii="宋体" w:hAnsi="宋体" w:cs="宋体" w:eastAsia="宋体" w:hint="default"/>
          <w:spacing w:val="-2"/>
          <w:sz w:val="18"/>
          <w:szCs w:val="18"/>
        </w:rPr>
        <w:t>/</w:t>
      </w:r>
      <w:r>
        <w:rPr>
          <w:rFonts w:ascii="宋体" w:hAnsi="宋体" w:cs="宋体" w:eastAsia="宋体" w:hint="default"/>
          <w:spacing w:val="-2"/>
          <w:sz w:val="18"/>
          <w:szCs w:val="18"/>
        </w:rPr>
        <w:t>股，最低成交价为</w:t>
      </w:r>
      <w:r>
        <w:rPr>
          <w:rFonts w:ascii="宋体" w:hAnsi="宋体" w:cs="宋体" w:eastAsia="宋体" w:hint="default"/>
          <w:spacing w:val="-2"/>
          <w:sz w:val="18"/>
          <w:szCs w:val="18"/>
        </w:rPr>
        <w:t>14.81</w:t>
      </w:r>
      <w:r>
        <w:rPr>
          <w:rFonts w:ascii="宋体" w:hAnsi="宋体" w:cs="宋体" w:eastAsia="宋体" w:hint="default"/>
          <w:spacing w:val="-2"/>
          <w:sz w:val="18"/>
          <w:szCs w:val="18"/>
        </w:rPr>
        <w:t>元</w:t>
      </w:r>
      <w:r>
        <w:rPr>
          <w:rFonts w:ascii="宋体" w:hAnsi="宋体" w:cs="宋体" w:eastAsia="宋体" w:hint="default"/>
          <w:spacing w:val="-2"/>
          <w:sz w:val="18"/>
          <w:szCs w:val="18"/>
        </w:rPr>
        <w:t>/</w:t>
      </w:r>
      <w:r>
        <w:rPr>
          <w:rFonts w:ascii="宋体" w:hAnsi="宋体" w:cs="宋体" w:eastAsia="宋体" w:hint="default"/>
          <w:spacing w:val="-2"/>
          <w:sz w:val="18"/>
          <w:szCs w:val="18"/>
        </w:rPr>
        <w:t>股，支付的总金额为</w:t>
      </w:r>
      <w:r>
        <w:rPr>
          <w:rFonts w:ascii="宋体" w:hAnsi="宋体" w:cs="宋体" w:eastAsia="宋体" w:hint="default"/>
          <w:spacing w:val="-2"/>
          <w:sz w:val="18"/>
          <w:szCs w:val="18"/>
        </w:rPr>
        <w:t>20,001,619.42</w:t>
      </w:r>
      <w:r>
        <w:rPr>
          <w:rFonts w:ascii="宋体" w:hAnsi="宋体" w:cs="宋体" w:eastAsia="宋体" w:hint="default"/>
          <w:spacing w:val="-2"/>
          <w:sz w:val="18"/>
          <w:szCs w:val="18"/>
        </w:rPr>
        <w:t>元（不含交易</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费用），公司本次股份回购计划已经实施完毕，详情请见公司于</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w:t>
      </w:r>
      <w:r>
        <w:rPr>
          <w:rFonts w:ascii="宋体" w:hAnsi="宋体" w:cs="宋体" w:eastAsia="宋体" w:hint="default"/>
          <w:spacing w:val="-2"/>
          <w:sz w:val="18"/>
          <w:szCs w:val="18"/>
        </w:rPr>
        <w:t>29</w:t>
      </w:r>
      <w:r>
        <w:rPr>
          <w:rFonts w:ascii="宋体" w:hAnsi="宋体" w:cs="宋体" w:eastAsia="宋体" w:hint="default"/>
          <w:spacing w:val="-2"/>
          <w:sz w:val="18"/>
          <w:szCs w:val="18"/>
        </w:rPr>
        <w:t>日在巨潮资讯网上公告的《关于回购公司股份</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2"/>
          <w:sz w:val="18"/>
          <w:szCs w:val="18"/>
        </w:rPr>
        <w:t>实施完毕的公告》（公告编号：</w:t>
      </w:r>
      <w:r>
        <w:rPr>
          <w:rFonts w:ascii="宋体" w:hAnsi="宋体" w:cs="宋体" w:eastAsia="宋体" w:hint="default"/>
          <w:spacing w:val="-12"/>
          <w:sz w:val="18"/>
          <w:szCs w:val="18"/>
        </w:rPr>
        <w:t>2019-141</w:t>
      </w:r>
      <w:r>
        <w:rPr>
          <w:rFonts w:ascii="宋体" w:hAnsi="宋体" w:cs="宋体" w:eastAsia="宋体" w:hint="default"/>
          <w:spacing w:val="-12"/>
          <w:sz w:val="18"/>
          <w:szCs w:val="18"/>
        </w:rPr>
        <w:t>）。</w:t>
      </w:r>
      <w:r>
        <w:rPr>
          <w:rFonts w:ascii="宋体" w:hAnsi="宋体" w:cs="宋体" w:eastAsia="宋体" w:hint="default"/>
          <w:sz w:val="18"/>
          <w:szCs w:val="18"/>
        </w:rPr>
      </w:r>
    </w:p>
    <w:p>
      <w:pPr>
        <w:spacing w:before="58"/>
        <w:ind w:left="112" w:right="1133"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60" w:lineRule="auto"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日，公司召开了第四届董事会第二十四次会议、第四届监事会第十八次会议，审议通过了《关于调整限制性</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16" w:lineRule="auto" w:before="44"/>
        <w:ind w:left="112" w:right="1118" w:firstLine="0"/>
        <w:jc w:val="left"/>
        <w:rPr>
          <w:rFonts w:ascii="宋体" w:hAnsi="宋体" w:cs="宋体" w:eastAsia="宋体" w:hint="default"/>
          <w:sz w:val="18"/>
          <w:szCs w:val="18"/>
        </w:rPr>
      </w:pPr>
      <w:r>
        <w:rPr>
          <w:rFonts w:ascii="宋体" w:hAnsi="宋体" w:cs="宋体" w:eastAsia="宋体" w:hint="default"/>
          <w:spacing w:val="-3"/>
          <w:sz w:val="18"/>
          <w:szCs w:val="18"/>
        </w:rPr>
        <w:t>股票回购价格及回购注销部分限制性股票》，公司独立董事对相关事项发表了独立意见。</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日，公司召开</w:t>
      </w:r>
      <w:r>
        <w:rPr>
          <w:rFonts w:ascii="宋体" w:hAnsi="宋体" w:cs="宋体" w:eastAsia="宋体" w:hint="default"/>
          <w:spacing w:val="-3"/>
          <w:sz w:val="18"/>
          <w:szCs w:val="18"/>
        </w:rPr>
        <w:t>2018</w:t>
      </w:r>
      <w:r>
        <w:rPr>
          <w:rFonts w:ascii="宋体" w:hAnsi="宋体" w:cs="宋体" w:eastAsia="宋体" w:hint="default"/>
          <w:spacing w:val="-3"/>
          <w:sz w:val="18"/>
          <w:szCs w:val="18"/>
        </w:rPr>
        <w:t>年年 度股东大会审议并通过《关于回购注销部分限制性股票的议案》。后于</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27</w:t>
      </w:r>
      <w:r>
        <w:rPr>
          <w:rFonts w:ascii="宋体" w:hAnsi="宋体" w:cs="宋体" w:eastAsia="宋体" w:hint="default"/>
          <w:spacing w:val="-3"/>
          <w:sz w:val="18"/>
          <w:szCs w:val="18"/>
        </w:rPr>
        <w:t>日披露了《关于部分限制性股票回购注销</w:t>
      </w:r>
      <w:r>
        <w:rPr>
          <w:rFonts w:ascii="宋体" w:hAnsi="宋体" w:cs="宋体" w:eastAsia="宋体" w:hint="default"/>
          <w:sz w:val="18"/>
          <w:szCs w:val="18"/>
        </w:rPr>
        <w:t> </w:t>
      </w:r>
      <w:r>
        <w:rPr>
          <w:rFonts w:ascii="宋体" w:hAnsi="宋体" w:cs="宋体" w:eastAsia="宋体" w:hint="default"/>
          <w:spacing w:val="-4"/>
          <w:sz w:val="18"/>
          <w:szCs w:val="18"/>
        </w:rPr>
        <w:t>完成的公告》。注销已回购的</w:t>
      </w:r>
      <w:r>
        <w:rPr>
          <w:rFonts w:ascii="宋体" w:hAnsi="宋体" w:cs="宋体" w:eastAsia="宋体" w:hint="default"/>
          <w:spacing w:val="-4"/>
          <w:sz w:val="18"/>
          <w:szCs w:val="18"/>
        </w:rPr>
        <w:t>1,002,240</w:t>
      </w:r>
      <w:r>
        <w:rPr>
          <w:rFonts w:ascii="宋体" w:hAnsi="宋体" w:cs="宋体" w:eastAsia="宋体" w:hint="default"/>
          <w:spacing w:val="-4"/>
          <w:sz w:val="18"/>
          <w:szCs w:val="18"/>
        </w:rPr>
        <w:t>股股份。</w:t>
      </w:r>
      <w:r>
        <w:rPr>
          <w:rFonts w:ascii="宋体" w:hAnsi="宋体" w:cs="宋体" w:eastAsia="宋体" w:hint="default"/>
          <w:spacing w:val="-74"/>
          <w:sz w:val="18"/>
          <w:szCs w:val="18"/>
        </w:rPr>
        <w:t> </w:t>
      </w: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日，公司召开</w:t>
      </w:r>
      <w:r>
        <w:rPr>
          <w:rFonts w:ascii="宋体" w:hAnsi="宋体" w:cs="宋体" w:eastAsia="宋体" w:hint="default"/>
          <w:spacing w:val="-2"/>
          <w:sz w:val="18"/>
          <w:szCs w:val="18"/>
        </w:rPr>
        <w:t>2019</w:t>
      </w:r>
      <w:r>
        <w:rPr>
          <w:rFonts w:ascii="宋体" w:hAnsi="宋体" w:cs="宋体" w:eastAsia="宋体" w:hint="default"/>
          <w:spacing w:val="-2"/>
          <w:sz w:val="18"/>
          <w:szCs w:val="18"/>
        </w:rPr>
        <w:t>年年度股东大会审议并通过《关于公司</w:t>
      </w:r>
      <w:r>
        <w:rPr>
          <w:rFonts w:ascii="宋体" w:hAnsi="宋体" w:cs="宋体" w:eastAsia="宋体" w:hint="default"/>
          <w:spacing w:val="-2"/>
          <w:sz w:val="18"/>
          <w:szCs w:val="18"/>
        </w:rPr>
        <w:t>2018</w:t>
      </w:r>
      <w:r>
        <w:rPr>
          <w:rFonts w:ascii="宋体" w:hAnsi="宋体" w:cs="宋体" w:eastAsia="宋体" w:hint="default"/>
          <w:spacing w:val="-2"/>
          <w:sz w:val="18"/>
          <w:szCs w:val="18"/>
        </w:rPr>
        <w:t>年度利润分配方案的议案》，公司以</w:t>
      </w:r>
      <w:r>
        <w:rPr>
          <w:rFonts w:ascii="宋体" w:hAnsi="宋体" w:cs="宋体" w:eastAsia="宋体" w:hint="default"/>
          <w:spacing w:val="-2"/>
          <w:sz w:val="18"/>
          <w:szCs w:val="18"/>
        </w:rPr>
        <w:t>2018</w:t>
      </w:r>
      <w:r>
        <w:rPr>
          <w:rFonts w:ascii="宋体" w:hAnsi="宋体" w:cs="宋体" w:eastAsia="宋体" w:hint="default"/>
          <w:spacing w:val="-2"/>
          <w:sz w:val="18"/>
          <w:szCs w:val="18"/>
        </w:rPr>
        <w:t>年末</w:t>
      </w:r>
      <w:r>
        <w:rPr>
          <w:rFonts w:ascii="宋体" w:hAnsi="宋体" w:cs="宋体" w:eastAsia="宋体" w:hint="default"/>
          <w:spacing w:val="-54"/>
          <w:sz w:val="18"/>
          <w:szCs w:val="18"/>
        </w:rPr>
        <w:t> </w:t>
      </w:r>
      <w:r>
        <w:rPr>
          <w:rFonts w:ascii="宋体" w:hAnsi="宋体" w:cs="宋体" w:eastAsia="宋体" w:hint="default"/>
          <w:sz w:val="18"/>
          <w:szCs w:val="18"/>
        </w:rPr>
        <w:t>总股本</w:t>
      </w:r>
      <w:r>
        <w:rPr>
          <w:rFonts w:ascii="宋体" w:hAnsi="宋体" w:cs="宋体" w:eastAsia="宋体" w:hint="default"/>
          <w:sz w:val="18"/>
          <w:szCs w:val="18"/>
        </w:rPr>
        <w:t>121,993,920</w:t>
      </w:r>
      <w:r>
        <w:rPr>
          <w:rFonts w:ascii="宋体" w:hAnsi="宋体" w:cs="宋体" w:eastAsia="宋体" w:hint="default"/>
          <w:sz w:val="18"/>
          <w:szCs w:val="18"/>
        </w:rPr>
        <w:t>股扣除回购注销的</w:t>
      </w:r>
      <w:r>
        <w:rPr>
          <w:rFonts w:ascii="宋体" w:hAnsi="宋体" w:cs="宋体" w:eastAsia="宋体" w:hint="default"/>
          <w:sz w:val="18"/>
          <w:szCs w:val="18"/>
        </w:rPr>
        <w:t>1,002,240</w:t>
      </w:r>
      <w:r>
        <w:rPr>
          <w:rFonts w:ascii="宋体" w:hAnsi="宋体" w:cs="宋体" w:eastAsia="宋体" w:hint="default"/>
          <w:sz w:val="18"/>
          <w:szCs w:val="18"/>
        </w:rPr>
        <w:t>股及回购专用账户中的</w:t>
      </w:r>
      <w:r>
        <w:rPr>
          <w:rFonts w:ascii="宋体" w:hAnsi="宋体" w:cs="宋体" w:eastAsia="宋体" w:hint="default"/>
          <w:sz w:val="18"/>
          <w:szCs w:val="18"/>
        </w:rPr>
        <w:t>786,400</w:t>
      </w:r>
      <w:r>
        <w:rPr>
          <w:rFonts w:ascii="宋体" w:hAnsi="宋体" w:cs="宋体" w:eastAsia="宋体" w:hint="default"/>
          <w:sz w:val="18"/>
          <w:szCs w:val="18"/>
        </w:rPr>
        <w:t>股后的可参与分配的总股数</w:t>
      </w:r>
      <w:r>
        <w:rPr>
          <w:rFonts w:ascii="宋体" w:hAnsi="宋体" w:cs="宋体" w:eastAsia="宋体" w:hint="default"/>
          <w:sz w:val="18"/>
          <w:szCs w:val="18"/>
        </w:rPr>
        <w:t>120,205,280</w:t>
      </w:r>
      <w:r>
        <w:rPr>
          <w:rFonts w:ascii="宋体" w:hAnsi="宋体" w:cs="宋体" w:eastAsia="宋体" w:hint="default"/>
          <w:sz w:val="18"/>
          <w:szCs w:val="18"/>
        </w:rPr>
        <w:t>股 </w:t>
      </w:r>
      <w:r>
        <w:rPr>
          <w:rFonts w:ascii="宋体" w:hAnsi="宋体" w:cs="宋体" w:eastAsia="宋体" w:hint="default"/>
          <w:spacing w:val="-2"/>
          <w:sz w:val="18"/>
          <w:szCs w:val="18"/>
        </w:rPr>
        <w:t>为基数，以资本公积金向全体股东每</w:t>
      </w:r>
      <w:r>
        <w:rPr>
          <w:rFonts w:ascii="宋体" w:hAnsi="宋体" w:cs="宋体" w:eastAsia="宋体" w:hint="default"/>
          <w:spacing w:val="-2"/>
          <w:sz w:val="18"/>
          <w:szCs w:val="18"/>
        </w:rPr>
        <w:t>10</w:t>
      </w:r>
      <w:r>
        <w:rPr>
          <w:rFonts w:ascii="宋体" w:hAnsi="宋体" w:cs="宋体" w:eastAsia="宋体" w:hint="default"/>
          <w:spacing w:val="-2"/>
          <w:sz w:val="18"/>
          <w:szCs w:val="18"/>
        </w:rPr>
        <w:t>股转增</w:t>
      </w:r>
      <w:r>
        <w:rPr>
          <w:rFonts w:ascii="宋体" w:hAnsi="宋体" w:cs="宋体" w:eastAsia="宋体" w:hint="default"/>
          <w:spacing w:val="-2"/>
          <w:sz w:val="18"/>
          <w:szCs w:val="18"/>
        </w:rPr>
        <w:t>7</w:t>
      </w:r>
      <w:r>
        <w:rPr>
          <w:rFonts w:ascii="宋体" w:hAnsi="宋体" w:cs="宋体" w:eastAsia="宋体" w:hint="default"/>
          <w:spacing w:val="-2"/>
          <w:sz w:val="18"/>
          <w:szCs w:val="18"/>
        </w:rPr>
        <w:t>股。分红前本公司总股本为</w:t>
      </w:r>
      <w:r>
        <w:rPr>
          <w:rFonts w:ascii="宋体" w:hAnsi="宋体" w:cs="宋体" w:eastAsia="宋体" w:hint="default"/>
          <w:spacing w:val="-2"/>
          <w:sz w:val="18"/>
          <w:szCs w:val="18"/>
        </w:rPr>
        <w:t>120,991,680</w:t>
      </w:r>
      <w:r>
        <w:rPr>
          <w:rFonts w:ascii="宋体" w:hAnsi="宋体" w:cs="宋体" w:eastAsia="宋体" w:hint="default"/>
          <w:spacing w:val="-2"/>
          <w:sz w:val="18"/>
          <w:szCs w:val="18"/>
        </w:rPr>
        <w:t>股（含回购股份），实施后总股本增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至</w:t>
      </w:r>
      <w:r>
        <w:rPr>
          <w:rFonts w:ascii="宋体" w:hAnsi="宋体" w:cs="宋体" w:eastAsia="宋体" w:hint="default"/>
          <w:spacing w:val="-5"/>
          <w:sz w:val="18"/>
          <w:szCs w:val="18"/>
        </w:rPr>
        <w:t>205,135,376</w:t>
      </w:r>
      <w:r>
        <w:rPr>
          <w:rFonts w:ascii="宋体" w:hAnsi="宋体" w:cs="宋体" w:eastAsia="宋体" w:hint="default"/>
          <w:spacing w:val="-5"/>
          <w:sz w:val="18"/>
          <w:szCs w:val="18"/>
        </w:rPr>
        <w:t>股（含回购股份）。</w:t>
      </w:r>
    </w:p>
    <w:p>
      <w:pPr>
        <w:spacing w:before="5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line="338" w:lineRule="auto" w:before="115"/>
        <w:ind w:left="112" w:right="112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日，公司召开了第四届董事会第二十四次会议、第四届监事会第十八次会议，审议通过了《关于调整限制性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股票回购价格及回购注销部分限制性股票》，公司独立董事对相关事项发表了独立意见。</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日，公司召开</w:t>
      </w:r>
      <w:r>
        <w:rPr>
          <w:rFonts w:ascii="宋体" w:hAnsi="宋体" w:cs="宋体" w:eastAsia="宋体" w:hint="default"/>
          <w:spacing w:val="-3"/>
          <w:sz w:val="18"/>
          <w:szCs w:val="18"/>
        </w:rPr>
        <w:t>2018</w:t>
      </w:r>
      <w:r>
        <w:rPr>
          <w:rFonts w:ascii="宋体" w:hAnsi="宋体" w:cs="宋体" w:eastAsia="宋体" w:hint="default"/>
          <w:spacing w:val="-3"/>
          <w:sz w:val="18"/>
          <w:szCs w:val="18"/>
        </w:rPr>
        <w:t>年年</w:t>
      </w:r>
      <w:r>
        <w:rPr>
          <w:rFonts w:ascii="宋体" w:hAnsi="宋体" w:cs="宋体" w:eastAsia="宋体" w:hint="default"/>
          <w:sz w:val="18"/>
          <w:szCs w:val="18"/>
        </w:rPr>
      </w:r>
    </w:p>
    <w:p>
      <w:pPr>
        <w:spacing w:line="319" w:lineRule="auto" w:before="2"/>
        <w:ind w:left="112" w:right="1118" w:firstLine="0"/>
        <w:jc w:val="left"/>
        <w:rPr>
          <w:rFonts w:ascii="宋体" w:hAnsi="宋体" w:cs="宋体" w:eastAsia="宋体" w:hint="default"/>
          <w:sz w:val="18"/>
          <w:szCs w:val="18"/>
        </w:rPr>
      </w:pPr>
      <w:r>
        <w:rPr>
          <w:rFonts w:ascii="宋体" w:hAnsi="宋体" w:cs="宋体" w:eastAsia="宋体" w:hint="default"/>
          <w:spacing w:val="-3"/>
          <w:sz w:val="18"/>
          <w:szCs w:val="18"/>
        </w:rPr>
        <w:t>度股东大会审议并通过《关于回购注销部分限制性股票的议案》。后于</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27</w:t>
      </w:r>
      <w:r>
        <w:rPr>
          <w:rFonts w:ascii="宋体" w:hAnsi="宋体" w:cs="宋体" w:eastAsia="宋体" w:hint="default"/>
          <w:spacing w:val="-3"/>
          <w:sz w:val="18"/>
          <w:szCs w:val="18"/>
        </w:rPr>
        <w:t>日披露了《关于部分限制性股票回购注销</w:t>
      </w:r>
      <w:r>
        <w:rPr>
          <w:rFonts w:ascii="宋体" w:hAnsi="宋体" w:cs="宋体" w:eastAsia="宋体" w:hint="default"/>
          <w:sz w:val="18"/>
          <w:szCs w:val="18"/>
        </w:rPr>
        <w:t> </w:t>
      </w:r>
      <w:r>
        <w:rPr>
          <w:rFonts w:ascii="宋体" w:hAnsi="宋体" w:cs="宋体" w:eastAsia="宋体" w:hint="default"/>
          <w:spacing w:val="-4"/>
          <w:sz w:val="18"/>
          <w:szCs w:val="18"/>
        </w:rPr>
        <w:t>完成的公告》。注销已回购的</w:t>
      </w:r>
      <w:r>
        <w:rPr>
          <w:rFonts w:ascii="宋体" w:hAnsi="宋体" w:cs="宋体" w:eastAsia="宋体" w:hint="default"/>
          <w:spacing w:val="-4"/>
          <w:sz w:val="18"/>
          <w:szCs w:val="18"/>
        </w:rPr>
        <w:t>1,002,240</w:t>
      </w:r>
      <w:r>
        <w:rPr>
          <w:rFonts w:ascii="宋体" w:hAnsi="宋体" w:cs="宋体" w:eastAsia="宋体" w:hint="default"/>
          <w:spacing w:val="-4"/>
          <w:sz w:val="18"/>
          <w:szCs w:val="18"/>
        </w:rPr>
        <w:t>股股份。</w:t>
      </w:r>
      <w:r>
        <w:rPr>
          <w:rFonts w:ascii="宋体" w:hAnsi="宋体" w:cs="宋体" w:eastAsia="宋体" w:hint="default"/>
          <w:spacing w:val="-74"/>
          <w:sz w:val="18"/>
          <w:szCs w:val="18"/>
        </w:rPr>
        <w:t> </w:t>
      </w: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日，公司召开</w:t>
      </w:r>
      <w:r>
        <w:rPr>
          <w:rFonts w:ascii="宋体" w:hAnsi="宋体" w:cs="宋体" w:eastAsia="宋体" w:hint="default"/>
          <w:spacing w:val="-2"/>
          <w:sz w:val="18"/>
          <w:szCs w:val="18"/>
        </w:rPr>
        <w:t>2019</w:t>
      </w:r>
      <w:r>
        <w:rPr>
          <w:rFonts w:ascii="宋体" w:hAnsi="宋体" w:cs="宋体" w:eastAsia="宋体" w:hint="default"/>
          <w:spacing w:val="-2"/>
          <w:sz w:val="18"/>
          <w:szCs w:val="18"/>
        </w:rPr>
        <w:t>年年度股东大会审议并通过《关于公司</w:t>
      </w:r>
      <w:r>
        <w:rPr>
          <w:rFonts w:ascii="宋体" w:hAnsi="宋体" w:cs="宋体" w:eastAsia="宋体" w:hint="default"/>
          <w:spacing w:val="-2"/>
          <w:sz w:val="18"/>
          <w:szCs w:val="18"/>
        </w:rPr>
        <w:t>2018</w:t>
      </w:r>
      <w:r>
        <w:rPr>
          <w:rFonts w:ascii="宋体" w:hAnsi="宋体" w:cs="宋体" w:eastAsia="宋体" w:hint="default"/>
          <w:spacing w:val="-2"/>
          <w:sz w:val="18"/>
          <w:szCs w:val="18"/>
        </w:rPr>
        <w:t>年度利润分配方案的议案》，公司以</w:t>
      </w:r>
      <w:r>
        <w:rPr>
          <w:rFonts w:ascii="宋体" w:hAnsi="宋体" w:cs="宋体" w:eastAsia="宋体" w:hint="default"/>
          <w:spacing w:val="-2"/>
          <w:sz w:val="18"/>
          <w:szCs w:val="18"/>
        </w:rPr>
        <w:t>2018</w:t>
      </w:r>
      <w:r>
        <w:rPr>
          <w:rFonts w:ascii="宋体" w:hAnsi="宋体" w:cs="宋体" w:eastAsia="宋体" w:hint="default"/>
          <w:spacing w:val="-2"/>
          <w:sz w:val="18"/>
          <w:szCs w:val="18"/>
        </w:rPr>
        <w:t>年末</w:t>
      </w:r>
      <w:r>
        <w:rPr>
          <w:rFonts w:ascii="宋体" w:hAnsi="宋体" w:cs="宋体" w:eastAsia="宋体" w:hint="default"/>
          <w:spacing w:val="-54"/>
          <w:sz w:val="18"/>
          <w:szCs w:val="18"/>
        </w:rPr>
        <w:t> </w:t>
      </w:r>
      <w:r>
        <w:rPr>
          <w:rFonts w:ascii="宋体" w:hAnsi="宋体" w:cs="宋体" w:eastAsia="宋体" w:hint="default"/>
          <w:sz w:val="18"/>
          <w:szCs w:val="18"/>
        </w:rPr>
        <w:t>总股本</w:t>
      </w:r>
      <w:r>
        <w:rPr>
          <w:rFonts w:ascii="宋体" w:hAnsi="宋体" w:cs="宋体" w:eastAsia="宋体" w:hint="default"/>
          <w:sz w:val="18"/>
          <w:szCs w:val="18"/>
        </w:rPr>
        <w:t>121,993,920</w:t>
      </w:r>
      <w:r>
        <w:rPr>
          <w:rFonts w:ascii="宋体" w:hAnsi="宋体" w:cs="宋体" w:eastAsia="宋体" w:hint="default"/>
          <w:sz w:val="18"/>
          <w:szCs w:val="18"/>
        </w:rPr>
        <w:t>股扣除回购注销的</w:t>
      </w:r>
      <w:r>
        <w:rPr>
          <w:rFonts w:ascii="宋体" w:hAnsi="宋体" w:cs="宋体" w:eastAsia="宋体" w:hint="default"/>
          <w:sz w:val="18"/>
          <w:szCs w:val="18"/>
        </w:rPr>
        <w:t>1,002,240</w:t>
      </w:r>
      <w:r>
        <w:rPr>
          <w:rFonts w:ascii="宋体" w:hAnsi="宋体" w:cs="宋体" w:eastAsia="宋体" w:hint="default"/>
          <w:sz w:val="18"/>
          <w:szCs w:val="18"/>
        </w:rPr>
        <w:t>股及回购专用账户中的</w:t>
      </w:r>
      <w:r>
        <w:rPr>
          <w:rFonts w:ascii="宋体" w:hAnsi="宋体" w:cs="宋体" w:eastAsia="宋体" w:hint="default"/>
          <w:sz w:val="18"/>
          <w:szCs w:val="18"/>
        </w:rPr>
        <w:t>786,400</w:t>
      </w:r>
      <w:r>
        <w:rPr>
          <w:rFonts w:ascii="宋体" w:hAnsi="宋体" w:cs="宋体" w:eastAsia="宋体" w:hint="default"/>
          <w:sz w:val="18"/>
          <w:szCs w:val="18"/>
        </w:rPr>
        <w:t>股后的可参与分配的总股数</w:t>
      </w:r>
      <w:r>
        <w:rPr>
          <w:rFonts w:ascii="宋体" w:hAnsi="宋体" w:cs="宋体" w:eastAsia="宋体" w:hint="default"/>
          <w:sz w:val="18"/>
          <w:szCs w:val="18"/>
        </w:rPr>
        <w:t>120,205,280</w:t>
      </w:r>
      <w:r>
        <w:rPr>
          <w:rFonts w:ascii="宋体" w:hAnsi="宋体" w:cs="宋体" w:eastAsia="宋体" w:hint="default"/>
          <w:sz w:val="18"/>
          <w:szCs w:val="18"/>
        </w:rPr>
        <w:t>股 </w:t>
      </w:r>
      <w:r>
        <w:rPr>
          <w:rFonts w:ascii="宋体" w:hAnsi="宋体" w:cs="宋体" w:eastAsia="宋体" w:hint="default"/>
          <w:spacing w:val="-2"/>
          <w:sz w:val="18"/>
          <w:szCs w:val="18"/>
        </w:rPr>
        <w:t>为基数，以资本公积金向全体股东每</w:t>
      </w:r>
      <w:r>
        <w:rPr>
          <w:rFonts w:ascii="宋体" w:hAnsi="宋体" w:cs="宋体" w:eastAsia="宋体" w:hint="default"/>
          <w:spacing w:val="-2"/>
          <w:sz w:val="18"/>
          <w:szCs w:val="18"/>
        </w:rPr>
        <w:t>10</w:t>
      </w:r>
      <w:r>
        <w:rPr>
          <w:rFonts w:ascii="宋体" w:hAnsi="宋体" w:cs="宋体" w:eastAsia="宋体" w:hint="default"/>
          <w:spacing w:val="-2"/>
          <w:sz w:val="18"/>
          <w:szCs w:val="18"/>
        </w:rPr>
        <w:t>股转增</w:t>
      </w:r>
      <w:r>
        <w:rPr>
          <w:rFonts w:ascii="宋体" w:hAnsi="宋体" w:cs="宋体" w:eastAsia="宋体" w:hint="default"/>
          <w:spacing w:val="-2"/>
          <w:sz w:val="18"/>
          <w:szCs w:val="18"/>
        </w:rPr>
        <w:t>7</w:t>
      </w:r>
      <w:r>
        <w:rPr>
          <w:rFonts w:ascii="宋体" w:hAnsi="宋体" w:cs="宋体" w:eastAsia="宋体" w:hint="default"/>
          <w:spacing w:val="-2"/>
          <w:sz w:val="18"/>
          <w:szCs w:val="18"/>
        </w:rPr>
        <w:t>股。分红前本公司总股本为</w:t>
      </w:r>
      <w:r>
        <w:rPr>
          <w:rFonts w:ascii="宋体" w:hAnsi="宋体" w:cs="宋体" w:eastAsia="宋体" w:hint="default"/>
          <w:spacing w:val="-2"/>
          <w:sz w:val="18"/>
          <w:szCs w:val="18"/>
        </w:rPr>
        <w:t>120,991,680</w:t>
      </w:r>
      <w:r>
        <w:rPr>
          <w:rFonts w:ascii="宋体" w:hAnsi="宋体" w:cs="宋体" w:eastAsia="宋体" w:hint="default"/>
          <w:spacing w:val="-2"/>
          <w:sz w:val="18"/>
          <w:szCs w:val="18"/>
        </w:rPr>
        <w:t>股（含回购股份），实施后总股本增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至</w:t>
      </w:r>
      <w:r>
        <w:rPr>
          <w:rFonts w:ascii="宋体" w:hAnsi="宋体" w:cs="宋体" w:eastAsia="宋体" w:hint="default"/>
          <w:spacing w:val="-5"/>
          <w:sz w:val="18"/>
          <w:szCs w:val="18"/>
        </w:rPr>
        <w:t>205,135,376</w:t>
      </w:r>
      <w:r>
        <w:rPr>
          <w:rFonts w:ascii="宋体" w:hAnsi="宋体" w:cs="宋体" w:eastAsia="宋体" w:hint="default"/>
          <w:spacing w:val="-5"/>
          <w:sz w:val="18"/>
          <w:szCs w:val="18"/>
        </w:rPr>
        <w:t>股（含回购股份）。</w:t>
      </w:r>
    </w:p>
    <w:p>
      <w:pPr>
        <w:spacing w:line="240" w:lineRule="auto" w:before="9"/>
        <w:rPr>
          <w:rFonts w:ascii="宋体" w:hAnsi="宋体" w:cs="宋体" w:eastAsia="宋体" w:hint="default"/>
          <w:sz w:val="22"/>
          <w:szCs w:val="22"/>
        </w:rPr>
      </w:pPr>
    </w:p>
    <w:p>
      <w:pPr>
        <w:pStyle w:val="Heading6"/>
        <w:spacing w:line="240" w:lineRule="auto"/>
        <w:ind w:right="1133"/>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48" w:right="10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47" w:right="10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20" w:right="144" w:hanging="272"/>
              <w:jc w:val="left"/>
              <w:rPr>
                <w:rFonts w:ascii="宋体" w:hAnsi="宋体" w:cs="宋体" w:eastAsia="宋体" w:hint="default"/>
                <w:sz w:val="18"/>
                <w:szCs w:val="18"/>
              </w:rPr>
            </w:pPr>
            <w:r>
              <w:rPr>
                <w:rFonts w:ascii="宋体" w:hAnsi="宋体" w:cs="宋体" w:eastAsia="宋体" w:hint="default"/>
                <w:sz w:val="18"/>
                <w:szCs w:val="18"/>
              </w:rPr>
              <w:t>拟解除限售 日期</w:t>
            </w:r>
          </w:p>
        </w:tc>
      </w:tr>
      <w:tr>
        <w:trPr>
          <w:trHeight w:val="165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20,479,608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13,290,226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33,769,834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5" w:right="170"/>
              <w:jc w:val="both"/>
              <w:rPr>
                <w:rFonts w:ascii="宋体" w:hAnsi="宋体" w:cs="宋体" w:eastAsia="宋体" w:hint="default"/>
                <w:sz w:val="18"/>
                <w:szCs w:val="18"/>
              </w:rPr>
            </w:pPr>
            <w:r>
              <w:rPr>
                <w:rFonts w:ascii="宋体" w:hAnsi="宋体" w:cs="宋体" w:eastAsia="宋体" w:hint="default"/>
                <w:sz w:val="18"/>
                <w:szCs w:val="18"/>
              </w:rPr>
              <w:t>每年的第一 个交易日解 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 高管锁定期 止</w:t>
            </w:r>
          </w:p>
        </w:tc>
      </w:tr>
      <w:tr>
        <w:trPr>
          <w:trHeight w:val="164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1,434,132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1,003,892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2,438,024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0"/>
              <w:jc w:val="both"/>
              <w:rPr>
                <w:rFonts w:ascii="宋体" w:hAnsi="宋体" w:cs="宋体" w:eastAsia="宋体" w:hint="default"/>
                <w:sz w:val="18"/>
                <w:szCs w:val="18"/>
              </w:rPr>
            </w:pPr>
            <w:r>
              <w:rPr>
                <w:rFonts w:ascii="宋体" w:hAnsi="宋体" w:cs="宋体" w:eastAsia="宋体" w:hint="default"/>
                <w:sz w:val="18"/>
                <w:szCs w:val="18"/>
              </w:rPr>
              <w:t>每年的第一 个交易日解 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 高管锁定期 止</w:t>
            </w:r>
          </w:p>
        </w:tc>
      </w:tr>
      <w:tr>
        <w:trPr>
          <w:trHeight w:val="165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1,089,288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762,502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1,851,790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5" w:right="170"/>
              <w:jc w:val="both"/>
              <w:rPr>
                <w:rFonts w:ascii="宋体" w:hAnsi="宋体" w:cs="宋体" w:eastAsia="宋体" w:hint="default"/>
                <w:sz w:val="18"/>
                <w:szCs w:val="18"/>
              </w:rPr>
            </w:pPr>
            <w:r>
              <w:rPr>
                <w:rFonts w:ascii="宋体" w:hAnsi="宋体" w:cs="宋体" w:eastAsia="宋体" w:hint="default"/>
                <w:sz w:val="18"/>
                <w:szCs w:val="18"/>
              </w:rPr>
              <w:t>每年的第一 个交易日解 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 高管锁定期 止</w:t>
            </w:r>
          </w:p>
        </w:tc>
      </w:tr>
      <w:tr>
        <w:trPr>
          <w:trHeight w:val="986"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865,998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422,474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pacing w:val="-1"/>
                <w:sz w:val="18"/>
              </w:rPr>
              <w:t>1,288,472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0"/>
              <w:jc w:val="both"/>
              <w:rPr>
                <w:rFonts w:ascii="宋体" w:hAnsi="宋体" w:cs="宋体" w:eastAsia="宋体" w:hint="default"/>
                <w:sz w:val="18"/>
                <w:szCs w:val="18"/>
              </w:rPr>
            </w:pPr>
            <w:r>
              <w:rPr>
                <w:rFonts w:ascii="宋体" w:hAnsi="宋体" w:cs="宋体" w:eastAsia="宋体" w:hint="default"/>
                <w:sz w:val="18"/>
                <w:szCs w:val="18"/>
              </w:rPr>
              <w:t>每年的第一 个交易日解 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w:t>
            </w:r>
          </w:p>
        </w:tc>
      </w:tr>
    </w:tbl>
    <w:p>
      <w:pPr>
        <w:spacing w:after="0" w:line="316"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675"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5" w:right="187"/>
              <w:jc w:val="left"/>
              <w:rPr>
                <w:rFonts w:ascii="宋体" w:hAnsi="宋体" w:cs="宋体" w:eastAsia="宋体" w:hint="default"/>
                <w:sz w:val="18"/>
                <w:szCs w:val="18"/>
              </w:rPr>
            </w:pPr>
            <w:r>
              <w:rPr>
                <w:rFonts w:ascii="宋体" w:hAnsi="宋体" w:cs="宋体" w:eastAsia="宋体" w:hint="default"/>
                <w:sz w:val="18"/>
                <w:szCs w:val="18"/>
              </w:rPr>
              <w:t>高管锁定期 止</w:t>
            </w:r>
          </w:p>
        </w:tc>
      </w:tr>
      <w:tr>
        <w:trPr>
          <w:trHeight w:val="164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张元利</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0"/>
              <w:jc w:val="both"/>
              <w:rPr>
                <w:rFonts w:ascii="宋体" w:hAnsi="宋体" w:cs="宋体" w:eastAsia="宋体" w:hint="default"/>
                <w:sz w:val="18"/>
                <w:szCs w:val="18"/>
              </w:rPr>
            </w:pPr>
            <w:r>
              <w:rPr>
                <w:rFonts w:ascii="宋体" w:hAnsi="宋体" w:cs="宋体" w:eastAsia="宋体" w:hint="default"/>
                <w:sz w:val="18"/>
                <w:szCs w:val="18"/>
              </w:rPr>
              <w:t>每年的第一 个交易日解 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 高管锁定期 止</w:t>
            </w:r>
          </w:p>
        </w:tc>
      </w:tr>
      <w:tr>
        <w:trPr>
          <w:trHeight w:val="1652"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0"/>
              <w:jc w:val="both"/>
              <w:rPr>
                <w:rFonts w:ascii="宋体" w:hAnsi="宋体" w:cs="宋体" w:eastAsia="宋体" w:hint="default"/>
                <w:sz w:val="18"/>
                <w:szCs w:val="18"/>
              </w:rPr>
            </w:pPr>
            <w:r>
              <w:rPr>
                <w:rFonts w:ascii="宋体" w:hAnsi="宋体" w:cs="宋体" w:eastAsia="宋体" w:hint="default"/>
                <w:sz w:val="18"/>
                <w:szCs w:val="18"/>
              </w:rPr>
              <w:t>每年的第一 个交易日解 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 高管锁定期 止</w:t>
            </w:r>
          </w:p>
        </w:tc>
      </w:tr>
      <w:tr>
        <w:trPr>
          <w:trHeight w:val="1649"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0"/>
              <w:jc w:val="both"/>
              <w:rPr>
                <w:rFonts w:ascii="宋体" w:hAnsi="宋体" w:cs="宋体" w:eastAsia="宋体" w:hint="default"/>
                <w:sz w:val="18"/>
                <w:szCs w:val="18"/>
              </w:rPr>
            </w:pPr>
            <w:r>
              <w:rPr>
                <w:rFonts w:ascii="宋体" w:hAnsi="宋体" w:cs="宋体" w:eastAsia="宋体" w:hint="default"/>
                <w:sz w:val="18"/>
                <w:szCs w:val="18"/>
              </w:rPr>
              <w:t>每年的第一 个交易日解 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直至 高管锁定期 止</w:t>
            </w:r>
          </w:p>
        </w:tc>
      </w:tr>
      <w:tr>
        <w:trPr>
          <w:trHeight w:val="352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李晓炬</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64,008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103" w:right="188"/>
              <w:jc w:val="both"/>
              <w:rPr>
                <w:rFonts w:ascii="宋体" w:hAnsi="宋体" w:cs="宋体" w:eastAsia="宋体" w:hint="default"/>
                <w:sz w:val="18"/>
                <w:szCs w:val="18"/>
              </w:rPr>
            </w:pPr>
            <w:r>
              <w:rPr>
                <w:rFonts w:ascii="宋体" w:hAnsi="宋体" w:cs="宋体" w:eastAsia="宋体" w:hint="default"/>
                <w:sz w:val="18"/>
                <w:szCs w:val="18"/>
              </w:rPr>
              <w:t>授予股权激 励限制性股 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在授予日的</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p>
            <w:pPr>
              <w:pStyle w:val="TableParagraph"/>
              <w:spacing w:line="314" w:lineRule="auto" w:before="63"/>
              <w:ind w:left="105"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 三次解锁， 每次解锁的 限制性股票 比例分别为 授予总量的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352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宋体" w:hAnsi="宋体" w:cs="宋体" w:eastAsia="宋体" w:hint="default"/>
                <w:sz w:val="18"/>
                <w:szCs w:val="18"/>
              </w:rPr>
              <w:t>杨虹</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60,480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60,480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103" w:right="188"/>
              <w:jc w:val="both"/>
              <w:rPr>
                <w:rFonts w:ascii="宋体" w:hAnsi="宋体" w:cs="宋体" w:eastAsia="宋体" w:hint="default"/>
                <w:sz w:val="18"/>
                <w:szCs w:val="18"/>
              </w:rPr>
            </w:pPr>
            <w:r>
              <w:rPr>
                <w:rFonts w:ascii="宋体" w:hAnsi="宋体" w:cs="宋体" w:eastAsia="宋体" w:hint="default"/>
                <w:sz w:val="18"/>
                <w:szCs w:val="18"/>
              </w:rPr>
              <w:t>授予股权激 励限制性股 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在授予日的</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p>
            <w:pPr>
              <w:pStyle w:val="TableParagraph"/>
              <w:spacing w:line="314" w:lineRule="auto" w:before="63"/>
              <w:ind w:left="105"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 三次解锁， 每次解锁的 限制性股票 比例分别为 授予总量的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易江南</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60,120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8"/>
              <w:jc w:val="both"/>
              <w:rPr>
                <w:rFonts w:ascii="宋体" w:hAnsi="宋体" w:cs="宋体" w:eastAsia="宋体" w:hint="default"/>
                <w:sz w:val="18"/>
                <w:szCs w:val="18"/>
              </w:rPr>
            </w:pPr>
            <w:r>
              <w:rPr>
                <w:rFonts w:ascii="宋体" w:hAnsi="宋体" w:cs="宋体" w:eastAsia="宋体" w:hint="default"/>
                <w:sz w:val="18"/>
                <w:szCs w:val="18"/>
              </w:rPr>
              <w:t>授予股权激 励限制性股 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在授予日的</w:t>
            </w:r>
          </w:p>
          <w:p>
            <w:pPr>
              <w:pStyle w:val="TableParagraph"/>
              <w:spacing w:line="240" w:lineRule="auto" w:before="7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2547"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5"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 三次解锁， 每次解锁的 限制性股票 比例分别为 授予总量的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352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3" w:right="192"/>
              <w:jc w:val="left"/>
              <w:rPr>
                <w:rFonts w:ascii="宋体" w:hAnsi="宋体" w:cs="宋体" w:eastAsia="宋体" w:hint="default"/>
                <w:sz w:val="18"/>
                <w:szCs w:val="18"/>
              </w:rPr>
            </w:pPr>
            <w:r>
              <w:rPr>
                <w:rFonts w:ascii="宋体" w:hAnsi="宋体" w:cs="宋体" w:eastAsia="宋体" w:hint="default"/>
                <w:sz w:val="18"/>
                <w:szCs w:val="18"/>
              </w:rPr>
              <w:t>其他限制性 股票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716,832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716,832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3" w:right="188"/>
              <w:jc w:val="both"/>
              <w:rPr>
                <w:rFonts w:ascii="宋体" w:hAnsi="宋体" w:cs="宋体" w:eastAsia="宋体" w:hint="default"/>
                <w:sz w:val="18"/>
                <w:szCs w:val="18"/>
              </w:rPr>
            </w:pPr>
            <w:r>
              <w:rPr>
                <w:rFonts w:ascii="宋体" w:hAnsi="宋体" w:cs="宋体" w:eastAsia="宋体" w:hint="default"/>
                <w:sz w:val="18"/>
                <w:szCs w:val="18"/>
              </w:rPr>
              <w:t>授予股权激 励限制性股 票</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在授予日的</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个月后、</w:t>
            </w:r>
          </w:p>
          <w:p>
            <w:pPr>
              <w:pStyle w:val="TableParagraph"/>
              <w:spacing w:line="314" w:lineRule="auto" w:before="63"/>
              <w:ind w:left="105"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 三次解锁， 每次解锁的 限制性股票 比例分别为 授予总量的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240" w:lineRule="auto" w:before="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24,883,866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15,479,094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961,290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39,401,670</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1133"/>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line="338" w:lineRule="auto" w:before="0"/>
        <w:ind w:left="112" w:right="112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2</w:t>
      </w:r>
      <w:r>
        <w:rPr>
          <w:rFonts w:ascii="宋体" w:hAnsi="宋体" w:cs="宋体" w:eastAsia="宋体" w:hint="default"/>
          <w:spacing w:val="-2"/>
          <w:sz w:val="18"/>
          <w:szCs w:val="18"/>
        </w:rPr>
        <w:t>月</w:t>
      </w:r>
      <w:r>
        <w:rPr>
          <w:rFonts w:ascii="宋体" w:hAnsi="宋体" w:cs="宋体" w:eastAsia="宋体" w:hint="default"/>
          <w:spacing w:val="-2"/>
          <w:sz w:val="18"/>
          <w:szCs w:val="18"/>
        </w:rPr>
        <w:t>27</w:t>
      </w:r>
      <w:r>
        <w:rPr>
          <w:rFonts w:ascii="宋体" w:hAnsi="宋体" w:cs="宋体" w:eastAsia="宋体" w:hint="default"/>
          <w:spacing w:val="-2"/>
          <w:sz w:val="18"/>
          <w:szCs w:val="18"/>
        </w:rPr>
        <w:t>日，公司召开了第四届董事会第二十四次会议、第四届监事会第十八次会议，审议通过了《关于调整限制性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股票回购价格及回购注销部分限制性股票》，公司独立董事对相关事项发表了独立意见。</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5</w:t>
      </w:r>
      <w:r>
        <w:rPr>
          <w:rFonts w:ascii="宋体" w:hAnsi="宋体" w:cs="宋体" w:eastAsia="宋体" w:hint="default"/>
          <w:spacing w:val="-3"/>
          <w:sz w:val="18"/>
          <w:szCs w:val="18"/>
        </w:rPr>
        <w:t>月</w:t>
      </w:r>
      <w:r>
        <w:rPr>
          <w:rFonts w:ascii="宋体" w:hAnsi="宋体" w:cs="宋体" w:eastAsia="宋体" w:hint="default"/>
          <w:spacing w:val="-3"/>
          <w:sz w:val="18"/>
          <w:szCs w:val="18"/>
        </w:rPr>
        <w:t>30</w:t>
      </w:r>
      <w:r>
        <w:rPr>
          <w:rFonts w:ascii="宋体" w:hAnsi="宋体" w:cs="宋体" w:eastAsia="宋体" w:hint="default"/>
          <w:spacing w:val="-3"/>
          <w:sz w:val="18"/>
          <w:szCs w:val="18"/>
        </w:rPr>
        <w:t>日，公司召开</w:t>
      </w:r>
      <w:r>
        <w:rPr>
          <w:rFonts w:ascii="宋体" w:hAnsi="宋体" w:cs="宋体" w:eastAsia="宋体" w:hint="default"/>
          <w:spacing w:val="-3"/>
          <w:sz w:val="18"/>
          <w:szCs w:val="18"/>
        </w:rPr>
        <w:t>2018</w:t>
      </w:r>
      <w:r>
        <w:rPr>
          <w:rFonts w:ascii="宋体" w:hAnsi="宋体" w:cs="宋体" w:eastAsia="宋体" w:hint="default"/>
          <w:spacing w:val="-3"/>
          <w:sz w:val="18"/>
          <w:szCs w:val="18"/>
        </w:rPr>
        <w:t>年年</w:t>
      </w:r>
      <w:r>
        <w:rPr>
          <w:rFonts w:ascii="宋体" w:hAnsi="宋体" w:cs="宋体" w:eastAsia="宋体" w:hint="default"/>
          <w:sz w:val="18"/>
          <w:szCs w:val="18"/>
        </w:rPr>
      </w:r>
    </w:p>
    <w:p>
      <w:pPr>
        <w:spacing w:line="319" w:lineRule="auto" w:before="2"/>
        <w:ind w:left="112" w:right="1118" w:firstLine="0"/>
        <w:jc w:val="left"/>
        <w:rPr>
          <w:rFonts w:ascii="宋体" w:hAnsi="宋体" w:cs="宋体" w:eastAsia="宋体" w:hint="default"/>
          <w:sz w:val="18"/>
          <w:szCs w:val="18"/>
        </w:rPr>
      </w:pPr>
      <w:r>
        <w:rPr>
          <w:rFonts w:ascii="宋体" w:hAnsi="宋体" w:cs="宋体" w:eastAsia="宋体" w:hint="default"/>
          <w:spacing w:val="-3"/>
          <w:sz w:val="18"/>
          <w:szCs w:val="18"/>
        </w:rPr>
        <w:t>度股东大会审议并通过《关于回购注销部分限制性股票的议案》。后于</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6</w:t>
      </w:r>
      <w:r>
        <w:rPr>
          <w:rFonts w:ascii="宋体" w:hAnsi="宋体" w:cs="宋体" w:eastAsia="宋体" w:hint="default"/>
          <w:spacing w:val="-3"/>
          <w:sz w:val="18"/>
          <w:szCs w:val="18"/>
        </w:rPr>
        <w:t>月</w:t>
      </w:r>
      <w:r>
        <w:rPr>
          <w:rFonts w:ascii="宋体" w:hAnsi="宋体" w:cs="宋体" w:eastAsia="宋体" w:hint="default"/>
          <w:spacing w:val="-3"/>
          <w:sz w:val="18"/>
          <w:szCs w:val="18"/>
        </w:rPr>
        <w:t>27</w:t>
      </w:r>
      <w:r>
        <w:rPr>
          <w:rFonts w:ascii="宋体" w:hAnsi="宋体" w:cs="宋体" w:eastAsia="宋体" w:hint="default"/>
          <w:spacing w:val="-3"/>
          <w:sz w:val="18"/>
          <w:szCs w:val="18"/>
        </w:rPr>
        <w:t>日披露了《关于部分限制性股票回购注销</w:t>
      </w:r>
      <w:r>
        <w:rPr>
          <w:rFonts w:ascii="宋体" w:hAnsi="宋体" w:cs="宋体" w:eastAsia="宋体" w:hint="default"/>
          <w:sz w:val="18"/>
          <w:szCs w:val="18"/>
        </w:rPr>
        <w:t> </w:t>
      </w:r>
      <w:r>
        <w:rPr>
          <w:rFonts w:ascii="宋体" w:hAnsi="宋体" w:cs="宋体" w:eastAsia="宋体" w:hint="default"/>
          <w:spacing w:val="-4"/>
          <w:sz w:val="18"/>
          <w:szCs w:val="18"/>
        </w:rPr>
        <w:t>完成的公告》。注销已回购的</w:t>
      </w:r>
      <w:r>
        <w:rPr>
          <w:rFonts w:ascii="宋体" w:hAnsi="宋体" w:cs="宋体" w:eastAsia="宋体" w:hint="default"/>
          <w:spacing w:val="-4"/>
          <w:sz w:val="18"/>
          <w:szCs w:val="18"/>
        </w:rPr>
        <w:t>1,002,240</w:t>
      </w:r>
      <w:r>
        <w:rPr>
          <w:rFonts w:ascii="宋体" w:hAnsi="宋体" w:cs="宋体" w:eastAsia="宋体" w:hint="default"/>
          <w:spacing w:val="-4"/>
          <w:sz w:val="18"/>
          <w:szCs w:val="18"/>
        </w:rPr>
        <w:t>股股份。</w:t>
      </w:r>
      <w:r>
        <w:rPr>
          <w:rFonts w:ascii="宋体" w:hAnsi="宋体" w:cs="宋体" w:eastAsia="宋体" w:hint="default"/>
          <w:spacing w:val="-74"/>
          <w:sz w:val="18"/>
          <w:szCs w:val="18"/>
        </w:rPr>
        <w:t> </w:t>
      </w:r>
      <w:r>
        <w:rPr>
          <w:rFonts w:ascii="宋体" w:hAnsi="宋体" w:cs="宋体" w:eastAsia="宋体" w:hint="default"/>
          <w:spacing w:val="-2"/>
          <w:sz w:val="18"/>
          <w:szCs w:val="18"/>
        </w:rPr>
        <w:t>3</w:t>
      </w:r>
      <w:r>
        <w:rPr>
          <w:rFonts w:ascii="宋体" w:hAnsi="宋体" w:cs="宋体" w:eastAsia="宋体" w:hint="default"/>
          <w:spacing w:val="-2"/>
          <w:sz w:val="18"/>
          <w:szCs w:val="18"/>
        </w:rPr>
        <w:t>、</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5</w:t>
      </w:r>
      <w:r>
        <w:rPr>
          <w:rFonts w:ascii="宋体" w:hAnsi="宋体" w:cs="宋体" w:eastAsia="宋体" w:hint="default"/>
          <w:spacing w:val="-2"/>
          <w:sz w:val="18"/>
          <w:szCs w:val="18"/>
        </w:rPr>
        <w:t>月</w:t>
      </w:r>
      <w:r>
        <w:rPr>
          <w:rFonts w:ascii="宋体" w:hAnsi="宋体" w:cs="宋体" w:eastAsia="宋体" w:hint="default"/>
          <w:spacing w:val="-2"/>
          <w:sz w:val="18"/>
          <w:szCs w:val="18"/>
        </w:rPr>
        <w:t>30</w:t>
      </w:r>
      <w:r>
        <w:rPr>
          <w:rFonts w:ascii="宋体" w:hAnsi="宋体" w:cs="宋体" w:eastAsia="宋体" w:hint="default"/>
          <w:spacing w:val="-2"/>
          <w:sz w:val="18"/>
          <w:szCs w:val="18"/>
        </w:rPr>
        <w:t>日，公司召开</w:t>
      </w:r>
      <w:r>
        <w:rPr>
          <w:rFonts w:ascii="宋体" w:hAnsi="宋体" w:cs="宋体" w:eastAsia="宋体" w:hint="default"/>
          <w:spacing w:val="-2"/>
          <w:sz w:val="18"/>
          <w:szCs w:val="18"/>
        </w:rPr>
        <w:t>2019</w:t>
      </w:r>
      <w:r>
        <w:rPr>
          <w:rFonts w:ascii="宋体" w:hAnsi="宋体" w:cs="宋体" w:eastAsia="宋体" w:hint="default"/>
          <w:spacing w:val="-2"/>
          <w:sz w:val="18"/>
          <w:szCs w:val="18"/>
        </w:rPr>
        <w:t>年年度股东大会审议并通过《关于公司</w:t>
      </w:r>
      <w:r>
        <w:rPr>
          <w:rFonts w:ascii="宋体" w:hAnsi="宋体" w:cs="宋体" w:eastAsia="宋体" w:hint="default"/>
          <w:spacing w:val="-2"/>
          <w:sz w:val="18"/>
          <w:szCs w:val="18"/>
        </w:rPr>
        <w:t>2018</w:t>
      </w:r>
      <w:r>
        <w:rPr>
          <w:rFonts w:ascii="宋体" w:hAnsi="宋体" w:cs="宋体" w:eastAsia="宋体" w:hint="default"/>
          <w:spacing w:val="-2"/>
          <w:sz w:val="18"/>
          <w:szCs w:val="18"/>
        </w:rPr>
        <w:t>年度利润分配方案的议案》，公司以</w:t>
      </w:r>
      <w:r>
        <w:rPr>
          <w:rFonts w:ascii="宋体" w:hAnsi="宋体" w:cs="宋体" w:eastAsia="宋体" w:hint="default"/>
          <w:spacing w:val="-2"/>
          <w:sz w:val="18"/>
          <w:szCs w:val="18"/>
        </w:rPr>
        <w:t>2018</w:t>
      </w:r>
      <w:r>
        <w:rPr>
          <w:rFonts w:ascii="宋体" w:hAnsi="宋体" w:cs="宋体" w:eastAsia="宋体" w:hint="default"/>
          <w:spacing w:val="-2"/>
          <w:sz w:val="18"/>
          <w:szCs w:val="18"/>
        </w:rPr>
        <w:t>年末</w:t>
      </w:r>
      <w:r>
        <w:rPr>
          <w:rFonts w:ascii="宋体" w:hAnsi="宋体" w:cs="宋体" w:eastAsia="宋体" w:hint="default"/>
          <w:spacing w:val="-54"/>
          <w:sz w:val="18"/>
          <w:szCs w:val="18"/>
        </w:rPr>
        <w:t> </w:t>
      </w:r>
      <w:r>
        <w:rPr>
          <w:rFonts w:ascii="宋体" w:hAnsi="宋体" w:cs="宋体" w:eastAsia="宋体" w:hint="default"/>
          <w:sz w:val="18"/>
          <w:szCs w:val="18"/>
        </w:rPr>
        <w:t>总股本</w:t>
      </w:r>
      <w:r>
        <w:rPr>
          <w:rFonts w:ascii="宋体" w:hAnsi="宋体" w:cs="宋体" w:eastAsia="宋体" w:hint="default"/>
          <w:sz w:val="18"/>
          <w:szCs w:val="18"/>
        </w:rPr>
        <w:t>121,993,920</w:t>
      </w:r>
      <w:r>
        <w:rPr>
          <w:rFonts w:ascii="宋体" w:hAnsi="宋体" w:cs="宋体" w:eastAsia="宋体" w:hint="default"/>
          <w:sz w:val="18"/>
          <w:szCs w:val="18"/>
        </w:rPr>
        <w:t>股扣除回购注销的</w:t>
      </w:r>
      <w:r>
        <w:rPr>
          <w:rFonts w:ascii="宋体" w:hAnsi="宋体" w:cs="宋体" w:eastAsia="宋体" w:hint="default"/>
          <w:sz w:val="18"/>
          <w:szCs w:val="18"/>
        </w:rPr>
        <w:t>1,002,240</w:t>
      </w:r>
      <w:r>
        <w:rPr>
          <w:rFonts w:ascii="宋体" w:hAnsi="宋体" w:cs="宋体" w:eastAsia="宋体" w:hint="default"/>
          <w:sz w:val="18"/>
          <w:szCs w:val="18"/>
        </w:rPr>
        <w:t>股及回购专用账户中的</w:t>
      </w:r>
      <w:r>
        <w:rPr>
          <w:rFonts w:ascii="宋体" w:hAnsi="宋体" w:cs="宋体" w:eastAsia="宋体" w:hint="default"/>
          <w:sz w:val="18"/>
          <w:szCs w:val="18"/>
        </w:rPr>
        <w:t>786,400</w:t>
      </w:r>
      <w:r>
        <w:rPr>
          <w:rFonts w:ascii="宋体" w:hAnsi="宋体" w:cs="宋体" w:eastAsia="宋体" w:hint="default"/>
          <w:sz w:val="18"/>
          <w:szCs w:val="18"/>
        </w:rPr>
        <w:t>股后的可参与分配的总股数</w:t>
      </w:r>
      <w:r>
        <w:rPr>
          <w:rFonts w:ascii="宋体" w:hAnsi="宋体" w:cs="宋体" w:eastAsia="宋体" w:hint="default"/>
          <w:sz w:val="18"/>
          <w:szCs w:val="18"/>
        </w:rPr>
        <w:t>120,205,280</w:t>
      </w:r>
      <w:r>
        <w:rPr>
          <w:rFonts w:ascii="宋体" w:hAnsi="宋体" w:cs="宋体" w:eastAsia="宋体" w:hint="default"/>
          <w:sz w:val="18"/>
          <w:szCs w:val="18"/>
        </w:rPr>
        <w:t>股 </w:t>
      </w:r>
      <w:r>
        <w:rPr>
          <w:rFonts w:ascii="宋体" w:hAnsi="宋体" w:cs="宋体" w:eastAsia="宋体" w:hint="default"/>
          <w:spacing w:val="-2"/>
          <w:sz w:val="18"/>
          <w:szCs w:val="18"/>
        </w:rPr>
        <w:t>为基数，以资本公积金向全体股东每</w:t>
      </w:r>
      <w:r>
        <w:rPr>
          <w:rFonts w:ascii="宋体" w:hAnsi="宋体" w:cs="宋体" w:eastAsia="宋体" w:hint="default"/>
          <w:spacing w:val="-2"/>
          <w:sz w:val="18"/>
          <w:szCs w:val="18"/>
        </w:rPr>
        <w:t>10</w:t>
      </w:r>
      <w:r>
        <w:rPr>
          <w:rFonts w:ascii="宋体" w:hAnsi="宋体" w:cs="宋体" w:eastAsia="宋体" w:hint="default"/>
          <w:spacing w:val="-2"/>
          <w:sz w:val="18"/>
          <w:szCs w:val="18"/>
        </w:rPr>
        <w:t>股转增</w:t>
      </w:r>
      <w:r>
        <w:rPr>
          <w:rFonts w:ascii="宋体" w:hAnsi="宋体" w:cs="宋体" w:eastAsia="宋体" w:hint="default"/>
          <w:spacing w:val="-2"/>
          <w:sz w:val="18"/>
          <w:szCs w:val="18"/>
        </w:rPr>
        <w:t>7</w:t>
      </w:r>
      <w:r>
        <w:rPr>
          <w:rFonts w:ascii="宋体" w:hAnsi="宋体" w:cs="宋体" w:eastAsia="宋体" w:hint="default"/>
          <w:spacing w:val="-2"/>
          <w:sz w:val="18"/>
          <w:szCs w:val="18"/>
        </w:rPr>
        <w:t>股。分红前本公司总股本为</w:t>
      </w:r>
      <w:r>
        <w:rPr>
          <w:rFonts w:ascii="宋体" w:hAnsi="宋体" w:cs="宋体" w:eastAsia="宋体" w:hint="default"/>
          <w:spacing w:val="-2"/>
          <w:sz w:val="18"/>
          <w:szCs w:val="18"/>
        </w:rPr>
        <w:t>120,991,680</w:t>
      </w:r>
      <w:r>
        <w:rPr>
          <w:rFonts w:ascii="宋体" w:hAnsi="宋体" w:cs="宋体" w:eastAsia="宋体" w:hint="default"/>
          <w:spacing w:val="-2"/>
          <w:sz w:val="18"/>
          <w:szCs w:val="18"/>
        </w:rPr>
        <w:t>股（含回购股份），实施后总股本增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至</w:t>
      </w:r>
      <w:r>
        <w:rPr>
          <w:rFonts w:ascii="宋体" w:hAnsi="宋体" w:cs="宋体" w:eastAsia="宋体" w:hint="default"/>
          <w:spacing w:val="-5"/>
          <w:sz w:val="18"/>
          <w:szCs w:val="18"/>
        </w:rPr>
        <w:t>205,135,376</w:t>
      </w:r>
      <w:r>
        <w:rPr>
          <w:rFonts w:ascii="宋体" w:hAnsi="宋体" w:cs="宋体" w:eastAsia="宋体" w:hint="default"/>
          <w:spacing w:val="-5"/>
          <w:sz w:val="18"/>
          <w:szCs w:val="18"/>
        </w:rPr>
        <w:t>股（含回购股份）。</w:t>
      </w:r>
    </w:p>
    <w:p>
      <w:pPr>
        <w:spacing w:line="240" w:lineRule="auto" w:before="9"/>
        <w:rPr>
          <w:rFonts w:ascii="宋体" w:hAnsi="宋体" w:cs="宋体" w:eastAsia="宋体" w:hint="default"/>
          <w:sz w:val="22"/>
          <w:szCs w:val="22"/>
        </w:rPr>
      </w:pPr>
    </w:p>
    <w:p>
      <w:pPr>
        <w:pStyle w:val="Heading6"/>
        <w:spacing w:line="240" w:lineRule="auto"/>
        <w:ind w:right="1133"/>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1133"/>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0"/>
        <w:gridCol w:w="1198"/>
        <w:gridCol w:w="929"/>
        <w:gridCol w:w="1064"/>
        <w:gridCol w:w="1063"/>
        <w:gridCol w:w="1064"/>
        <w:gridCol w:w="926"/>
        <w:gridCol w:w="1069"/>
        <w:gridCol w:w="1058"/>
      </w:tblGrid>
      <w:tr>
        <w:trPr>
          <w:trHeight w:val="227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85"/>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16,291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74"/>
              <w:jc w:val="both"/>
              <w:rPr>
                <w:rFonts w:ascii="宋体" w:hAnsi="宋体" w:cs="宋体" w:eastAsia="宋体" w:hint="default"/>
                <w:sz w:val="18"/>
                <w:szCs w:val="18"/>
              </w:rPr>
            </w:pPr>
            <w:r>
              <w:rPr>
                <w:rFonts w:ascii="宋体" w:hAnsi="宋体" w:cs="宋体" w:eastAsia="宋体" w:hint="default"/>
                <w:sz w:val="18"/>
                <w:szCs w:val="18"/>
              </w:rPr>
              <w:t>年度报 告披露 日前上 一月末 普通股 股东总 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13,990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46"/>
              <w:jc w:val="left"/>
              <w:rPr>
                <w:rFonts w:ascii="宋体" w:hAnsi="宋体" w:cs="宋体" w:eastAsia="宋体" w:hint="default"/>
                <w:sz w:val="18"/>
                <w:szCs w:val="18"/>
              </w:rPr>
            </w:pPr>
            <w:r>
              <w:rPr>
                <w:rFonts w:ascii="宋体" w:hAnsi="宋体" w:cs="宋体" w:eastAsia="宋体" w:hint="default"/>
                <w:sz w:val="18"/>
                <w:szCs w:val="18"/>
              </w:rPr>
              <w:t>报告期末 表决权恢 复的优先 股股东总 数（如有）</w:t>
            </w:r>
          </w:p>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（参见注</w:t>
            </w:r>
          </w:p>
          <w:p>
            <w:pPr>
              <w:pStyle w:val="TableParagraph"/>
              <w:spacing w:line="240" w:lineRule="auto" w:before="7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2" w:right="260"/>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70" w:right="188"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7" w:right="16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7" w:right="1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86" w:right="187"/>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5"/>
              <w:jc w:val="both"/>
              <w:rPr>
                <w:rFonts w:ascii="宋体" w:hAnsi="宋体" w:cs="宋体" w:eastAsia="宋体" w:hint="default"/>
                <w:sz w:val="18"/>
                <w:szCs w:val="18"/>
              </w:rPr>
            </w:pPr>
            <w:r>
              <w:rPr>
                <w:rFonts w:ascii="宋体" w:hAnsi="宋体" w:cs="宋体" w:eastAsia="宋体" w:hint="default"/>
                <w:sz w:val="18"/>
                <w:szCs w:val="18"/>
              </w:rPr>
              <w:t>上海中信电 子发展有限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8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26.23%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54,064,744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54,064,7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13,600,000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36,020,479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33,769,834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2,250,64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33,598,000</w:t>
            </w:r>
          </w:p>
        </w:tc>
      </w:tr>
      <w:tr>
        <w:trPr>
          <w:trHeight w:val="258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5"/>
              <w:jc w:val="both"/>
              <w:rPr>
                <w:rFonts w:ascii="宋体" w:hAnsi="宋体" w:cs="宋体" w:eastAsia="宋体" w:hint="default"/>
                <w:sz w:val="18"/>
                <w:szCs w:val="18"/>
              </w:rPr>
            </w:pPr>
            <w:r>
              <w:rPr>
                <w:rFonts w:ascii="宋体" w:hAnsi="宋体" w:cs="宋体" w:eastAsia="宋体" w:hint="default"/>
                <w:sz w:val="18"/>
                <w:szCs w:val="18"/>
              </w:rPr>
              <w:t>上海国盛资 本管理有限 公司－上海 国盛海通股 权投资基金 合伙企业</w:t>
            </w:r>
          </w:p>
          <w:p>
            <w:pPr>
              <w:pStyle w:val="TableParagraph"/>
              <w:spacing w:line="316" w:lineRule="auto" w:before="19"/>
              <w:ind w:left="103" w:right="365"/>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5" w:right="18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5"/>
              <w:jc w:val="both"/>
              <w:rPr>
                <w:rFonts w:ascii="宋体" w:hAnsi="宋体" w:cs="宋体" w:eastAsia="宋体" w:hint="default"/>
                <w:sz w:val="18"/>
                <w:szCs w:val="18"/>
              </w:rPr>
            </w:pPr>
            <w:r>
              <w:rPr>
                <w:rFonts w:ascii="宋体" w:hAnsi="宋体" w:cs="宋体" w:eastAsia="宋体" w:hint="default"/>
                <w:sz w:val="18"/>
                <w:szCs w:val="18"/>
              </w:rPr>
              <w:t>中央汇金资 产管理有限 责任公司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3,389,256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3,389,25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2,450,789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2,438,024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12,765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1,909,885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1,851,790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58,095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1,568,313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1,288,472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279,841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詹际旺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1,010,105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1,010,10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李小芳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许蕾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7" w:right="0"/>
              <w:jc w:val="left"/>
              <w:rPr>
                <w:rFonts w:ascii="Times New Roman" w:hAnsi="Times New Roman" w:cs="Times New Roman" w:eastAsia="Times New Roman" w:hint="default"/>
                <w:sz w:val="18"/>
                <w:szCs w:val="18"/>
              </w:rPr>
            </w:pPr>
            <w:r>
              <w:rPr>
                <w:rFonts w:ascii="Times New Roman"/>
                <w:sz w:val="18"/>
              </w:rPr>
              <w:t>940,000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940,000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 </w:t>
            </w:r>
            <w:r>
              <w:rPr>
                <w:rFonts w:ascii="宋体" w:hAnsi="宋体" w:cs="宋体" w:eastAsia="宋体" w:hint="default"/>
                <w:spacing w:val="-10"/>
                <w:sz w:val="18"/>
                <w:szCs w:val="18"/>
              </w:rPr>
              <w:t>情况（如有）（参见注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除上海中信电子发展有限公司和张曙华属一致行动人，公司未曾知悉其他股东间是否存在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关联关系或属于《上市公司股东持股变动信息披露管理办法》规定的一致行动人。</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3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6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398" w:type="dxa"/>
            <w:gridSpan w:val="2"/>
            <w:vMerge/>
            <w:tcBorders>
              <w:left w:val="single" w:sz="4" w:space="0" w:color="000000"/>
              <w:bottom w:val="single" w:sz="4" w:space="0" w:color="000000"/>
              <w:right w:val="single" w:sz="4" w:space="0" w:color="000000"/>
            </w:tcBorders>
            <w:shd w:val="clear" w:color="auto" w:fill="D2D2D2"/>
          </w:tcPr>
          <w:p>
            <w:pPr/>
          </w:p>
        </w:tc>
        <w:tc>
          <w:tcPr>
            <w:tcW w:w="5046" w:type="dxa"/>
            <w:gridSpan w:val="5"/>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上海中信电子发展有限公司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54,064,744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54,064,744</w:t>
            </w: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上海国盛资本管理有限公司</w:t>
            </w:r>
          </w:p>
          <w:p>
            <w:pPr>
              <w:pStyle w:val="TableParagraph"/>
              <w:spacing w:line="316" w:lineRule="auto" w:before="74"/>
              <w:ind w:left="103" w:right="123"/>
              <w:jc w:val="left"/>
              <w:rPr>
                <w:rFonts w:ascii="宋体" w:hAnsi="宋体" w:cs="宋体" w:eastAsia="宋体" w:hint="default"/>
                <w:sz w:val="18"/>
                <w:szCs w:val="18"/>
              </w:rPr>
            </w:pPr>
            <w:r>
              <w:rPr>
                <w:rFonts w:ascii="宋体" w:hAnsi="宋体" w:cs="宋体" w:eastAsia="宋体" w:hint="default"/>
                <w:sz w:val="18"/>
                <w:szCs w:val="18"/>
              </w:rPr>
              <w:t>－上海国盛海通股权投资基 金合伙企业（有限合伙）</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12,200,000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3"/>
              <w:jc w:val="left"/>
              <w:rPr>
                <w:rFonts w:ascii="宋体" w:hAnsi="宋体" w:cs="宋体" w:eastAsia="宋体" w:hint="default"/>
                <w:sz w:val="18"/>
                <w:szCs w:val="18"/>
              </w:rPr>
            </w:pPr>
            <w:r>
              <w:rPr>
                <w:rFonts w:ascii="宋体" w:hAnsi="宋体" w:cs="宋体" w:eastAsia="宋体" w:hint="default"/>
                <w:sz w:val="18"/>
                <w:szCs w:val="18"/>
              </w:rPr>
              <w:t>中央汇金资产管理有限责任 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3,389,256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3,389,256</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2,250,645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2,250,645</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詹际旺</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1,010,105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1,010,105</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李小芳</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许蕾</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940,000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谢宝瑞</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848,700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848,700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陈惠芬</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847,514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847,514</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曲小芹</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816,416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816,416</w:t>
            </w:r>
          </w:p>
        </w:tc>
      </w:tr>
      <w:tr>
        <w:trPr>
          <w:trHeight w:val="1649"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12"/>
                <w:sz w:val="18"/>
                <w:szCs w:val="18"/>
              </w:rPr>
              <w:t>之间，以及前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名无限售流</w:t>
            </w:r>
          </w:p>
          <w:p>
            <w:pPr>
              <w:pStyle w:val="TableParagraph"/>
              <w:spacing w:line="309" w:lineRule="auto" w:before="63"/>
              <w:ind w:left="103" w:right="123"/>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 明</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pacing w:val="-3"/>
                <w:sz w:val="18"/>
                <w:szCs w:val="18"/>
              </w:rPr>
              <w:t>除上海中信电子发展有限公司和张曙华属一致行动人，公司未曾知悉前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名无限售流通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股股东之间，以及前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名股东之间存在关联关系或属于</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《上市公司股东持股变动信息披露管理办法》规定的一致行动人。</w:t>
            </w:r>
          </w:p>
        </w:tc>
      </w:tr>
      <w:tr>
        <w:trPr>
          <w:trHeight w:val="1418"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03" w:right="123"/>
              <w:jc w:val="left"/>
              <w:rPr>
                <w:rFonts w:ascii="宋体" w:hAnsi="宋体" w:cs="宋体" w:eastAsia="宋体" w:hint="default"/>
                <w:sz w:val="18"/>
                <w:szCs w:val="18"/>
              </w:rPr>
            </w:pPr>
            <w:r>
              <w:rPr>
                <w:rFonts w:ascii="宋体" w:hAnsi="宋体" w:cs="宋体" w:eastAsia="宋体" w:hint="default"/>
                <w:sz w:val="18"/>
                <w:szCs w:val="18"/>
              </w:rPr>
              <w:t>参与融资融券业务股东情况 </w:t>
            </w:r>
            <w:r>
              <w:rPr>
                <w:rFonts w:ascii="宋体" w:hAnsi="宋体" w:cs="宋体" w:eastAsia="宋体" w:hint="default"/>
                <w:spacing w:val="-10"/>
                <w:sz w:val="18"/>
                <w:szCs w:val="18"/>
              </w:rPr>
              <w:t>说明（如有）（参见注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控股股东上海中信电子发展有限公司通过普通证券账户持有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34,394,744</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股，通过东证券股</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19,670,000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54,064,744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许蕾通过投资者信用证券账户持有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陈惠芬通过投资者信用证券账户持有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847,514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8"/>
        <w:rPr>
          <w:rFonts w:ascii="Times New Roman" w:hAnsi="Times New Roman" w:cs="Times New Roman" w:eastAsia="Times New Roman" w:hint="default"/>
          <w:sz w:val="28"/>
          <w:szCs w:val="28"/>
        </w:rPr>
      </w:pPr>
    </w:p>
    <w:p>
      <w:pPr>
        <w:spacing w:line="734"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79.05pt;height:36.75pt;mso-position-horizontal-relative:char;mso-position-vertical-relative:line" coordorigin="0,0" coordsize="9581,735">
            <v:group style="position:absolute;left:12;top:14;width:2386;height:704" coordorigin="12,14" coordsize="2386,704">
              <v:shape style="position:absolute;left:12;top:14;width:2386;height:704" coordorigin="12,14" coordsize="2386,704" path="m12,718l2398,718,2398,14,12,14,12,718xe" filled="true" fillcolor="#d2d2d2" stroked="false">
                <v:path arrowok="t"/>
                <v:fill type="solid"/>
              </v:shape>
            </v:group>
            <v:group style="position:absolute;left:10;top:10;width:2389;height:2" coordorigin="10,10" coordsize="2389,2">
              <v:shape style="position:absolute;left:10;top:10;width:2389;height:2" coordorigin="10,10" coordsize="2389,0" path="m10,10l2398,10e" filled="false" stroked="true" strokeweight=".48pt" strokecolor="#000000">
                <v:path arrowok="t"/>
              </v:shape>
            </v:group>
            <v:group style="position:absolute;left:2408;top:10;width:7163;height:2" coordorigin="2408,10" coordsize="7163,2">
              <v:shape style="position:absolute;left:2408;top:10;width:7163;height:2" coordorigin="2408,10" coordsize="7163,0" path="m2408,10l9571,10e" filled="false" stroked="true" strokeweight=".48pt" strokecolor="#000000">
                <v:path arrowok="t"/>
              </v:shape>
            </v:group>
            <v:group style="position:absolute;left:5;top:5;width:2;height:726" coordorigin="5,5" coordsize="2,726">
              <v:shape style="position:absolute;left:5;top:5;width:2;height:726" coordorigin="5,5" coordsize="0,726" path="m5,5l5,730e" filled="false" stroked="true" strokeweight=".48pt" strokecolor="#000000">
                <v:path arrowok="t"/>
              </v:shape>
            </v:group>
            <v:group style="position:absolute;left:10;top:725;width:2389;height:2" coordorigin="10,725" coordsize="2389,2">
              <v:shape style="position:absolute;left:10;top:725;width:2389;height:2" coordorigin="10,725" coordsize="2389,0" path="m10,725l2398,725e" filled="false" stroked="true" strokeweight=".48pt" strokecolor="#000000">
                <v:path arrowok="t"/>
              </v:shape>
            </v:group>
            <v:group style="position:absolute;left:2403;top:5;width:2;height:726" coordorigin="2403,5" coordsize="2,726">
              <v:shape style="position:absolute;left:2403;top:5;width:2;height:726" coordorigin="2403,5" coordsize="0,726" path="m2403,5l2403,730e" filled="false" stroked="true" strokeweight=".48pt" strokecolor="#000000">
                <v:path arrowok="t"/>
              </v:shape>
            </v:group>
            <v:group style="position:absolute;left:2408;top:725;width:7163;height:2" coordorigin="2408,725" coordsize="7163,2">
              <v:shape style="position:absolute;left:2408;top:725;width:7163;height:2" coordorigin="2408,725" coordsize="7163,0" path="m2408,725l9571,725e" filled="false" stroked="true" strokeweight=".48pt" strokecolor="#000000">
                <v:path arrowok="t"/>
              </v:shape>
            </v:group>
            <v:group style="position:absolute;left:9576;top:5;width:2;height:726" coordorigin="9576,5" coordsize="2,726">
              <v:shape style="position:absolute;left:9576;top:5;width:2;height:726" coordorigin="9576,5" coordsize="0,726" path="m9576,5l9576,730e" filled="false" stroked="true" strokeweight=".47998pt" strokecolor="#000000">
                <v:path arrowok="t"/>
              </v:shape>
              <v:shape style="position:absolute;left:2403;top:10;width:7173;height:716" type="#_x0000_t202" filled="false" stroked="false">
                <v:textbox inset="0,0,0,0">
                  <w:txbxContent>
                    <w:p>
                      <w:pPr>
                        <w:spacing w:before="13"/>
                        <w:ind w:left="107" w:right="0" w:firstLine="0"/>
                        <w:jc w:val="left"/>
                        <w:rPr>
                          <w:rFonts w:ascii="宋体" w:hAnsi="宋体" w:cs="宋体" w:eastAsia="宋体" w:hint="default"/>
                          <w:sz w:val="18"/>
                          <w:szCs w:val="18"/>
                        </w:rPr>
                      </w:pPr>
                      <w:r>
                        <w:rPr>
                          <w:rFonts w:ascii="宋体" w:hAnsi="宋体" w:cs="宋体" w:eastAsia="宋体" w:hint="default"/>
                          <w:sz w:val="18"/>
                          <w:szCs w:val="18"/>
                        </w:rPr>
                        <w:t>曲小芹通过投资者信用证券账户持有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816,416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before="104"/>
                        <w:ind w:left="107" w:right="0" w:firstLine="0"/>
                        <w:jc w:val="left"/>
                        <w:rPr>
                          <w:rFonts w:ascii="宋体" w:hAnsi="宋体" w:cs="宋体" w:eastAsia="宋体" w:hint="default"/>
                          <w:sz w:val="18"/>
                          <w:szCs w:val="18"/>
                        </w:rPr>
                      </w:pPr>
                      <w:r>
                        <w:rPr>
                          <w:rFonts w:ascii="宋体" w:hAnsi="宋体" w:cs="宋体" w:eastAsia="宋体" w:hint="default"/>
                          <w:sz w:val="18"/>
                          <w:szCs w:val="18"/>
                        </w:rPr>
                        <w:t>刘青通过投资者信用证券账户持有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866,572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14"/>
          <w:sz w:val="20"/>
          <w:szCs w:val="20"/>
        </w:rPr>
      </w:r>
    </w:p>
    <w:p>
      <w:pPr>
        <w:spacing w:before="45"/>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0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13" w:right="143" w:hanging="56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5"/>
              <w:jc w:val="left"/>
              <w:rPr>
                <w:rFonts w:ascii="宋体" w:hAnsi="宋体" w:cs="宋体" w:eastAsia="宋体" w:hint="default"/>
                <w:sz w:val="18"/>
                <w:szCs w:val="18"/>
              </w:rPr>
            </w:pPr>
            <w:r>
              <w:rPr>
                <w:rFonts w:ascii="宋体" w:hAnsi="宋体" w:cs="宋体" w:eastAsia="宋体" w:hint="default"/>
                <w:sz w:val="18"/>
                <w:szCs w:val="18"/>
              </w:rPr>
              <w:t>上海中信电子发展有限公 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06000000201411240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073</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35"/>
              <w:jc w:val="left"/>
              <w:rPr>
                <w:rFonts w:ascii="宋体" w:hAnsi="宋体" w:cs="宋体" w:eastAsia="宋体" w:hint="default"/>
                <w:sz w:val="18"/>
                <w:szCs w:val="18"/>
              </w:rPr>
            </w:pPr>
            <w:r>
              <w:rPr>
                <w:rFonts w:ascii="宋体" w:hAnsi="宋体" w:cs="宋体" w:eastAsia="宋体" w:hint="default"/>
                <w:sz w:val="18"/>
                <w:szCs w:val="18"/>
              </w:rPr>
              <w:t>持有信息发展股权，无具 体实际经营业务</w:t>
            </w:r>
          </w:p>
        </w:tc>
      </w:tr>
      <w:tr>
        <w:trPr>
          <w:trHeight w:val="1025"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2" w:right="1133"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公司报告期控股股东未发生变更。</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5"/>
        <w:rPr>
          <w:rFonts w:ascii="宋体" w:hAnsi="宋体" w:cs="宋体" w:eastAsia="宋体" w:hint="default"/>
          <w:b/>
          <w:bCs/>
          <w:sz w:val="26"/>
          <w:szCs w:val="26"/>
        </w:rPr>
      </w:pPr>
    </w:p>
    <w:p>
      <w:pPr>
        <w:spacing w:line="357"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16"/>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70"/>
        <w:ind w:left="112" w:right="1133"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7" w:lineRule="auto" w:before="117"/>
        <w:ind w:left="112" w:right="67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公司报告期实际控制人未发生变更。 公司与实际控制人之间的产权及控制关系的方框图</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7"/>
          <w:szCs w:val="27"/>
        </w:rPr>
      </w:pPr>
    </w:p>
    <w:p>
      <w:pPr>
        <w:spacing w:line="3075" w:lineRule="exact"/>
        <w:ind w:left="2522"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3076003" cy="195281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2" cstate="print"/>
                    <a:stretch>
                      <a:fillRect/>
                    </a:stretch>
                  </pic:blipFill>
                  <pic:spPr>
                    <a:xfrm>
                      <a:off x="0" y="0"/>
                      <a:ext cx="3076003" cy="1952815"/>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8"/>
        <w:rPr>
          <w:rFonts w:ascii="宋体" w:hAnsi="宋体" w:cs="宋体" w:eastAsia="宋体" w:hint="default"/>
          <w:sz w:val="11"/>
          <w:szCs w:val="11"/>
        </w:rPr>
      </w:pPr>
    </w:p>
    <w:p>
      <w:pPr>
        <w:pStyle w:val="Heading5"/>
        <w:spacing w:line="240" w:lineRule="auto" w:before="26"/>
        <w:ind w:right="1133"/>
        <w:jc w:val="left"/>
      </w:pPr>
      <w:r>
        <w:rPr/>
        <w:t>实际控制人通过信托或其他资产管理方式控制公司</w:t>
      </w:r>
    </w:p>
    <w:p>
      <w:pPr>
        <w:spacing w:line="240" w:lineRule="auto" w:before="11"/>
        <w:rPr>
          <w:rFonts w:ascii="宋体" w:hAnsi="宋体" w:cs="宋体" w:eastAsia="宋体" w:hint="default"/>
          <w:sz w:val="18"/>
          <w:szCs w:val="18"/>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325" w:right="1133"/>
        <w:jc w:val="left"/>
        <w:rPr>
          <w:b w:val="0"/>
          <w:bCs w:val="0"/>
        </w:rPr>
      </w:pPr>
      <w:bookmarkStart w:name="第七节优先股相关情况" w:id="119"/>
      <w:bookmarkEnd w:id="119"/>
      <w:r>
        <w:rPr>
          <w:b w:val="0"/>
          <w:bCs w:val="0"/>
        </w:rPr>
      </w:r>
      <w:bookmarkStart w:name="_bookmark5" w:id="120"/>
      <w:bookmarkEnd w:id="120"/>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57" w:lineRule="auto" w:before="44"/>
        <w:ind w:left="112" w:right="859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报告期公司不存在优先股。</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83" w:right="1133"/>
        <w:jc w:val="left"/>
        <w:rPr>
          <w:b w:val="0"/>
          <w:bCs w:val="0"/>
        </w:rPr>
      </w:pPr>
      <w:bookmarkStart w:name="第八节可转换公司债券相关情况" w:id="121"/>
      <w:bookmarkEnd w:id="121"/>
      <w:r>
        <w:rPr>
          <w:b w:val="0"/>
          <w:bCs w:val="0"/>
        </w:rPr>
      </w:r>
      <w:bookmarkStart w:name="_bookmark6" w:id="122"/>
      <w:bookmarkEnd w:id="122"/>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1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报告期公司不存在可转换公司债券。</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718" w:right="1133"/>
        <w:jc w:val="left"/>
        <w:rPr>
          <w:b w:val="0"/>
          <w:bCs w:val="0"/>
        </w:rPr>
      </w:pPr>
      <w:bookmarkStart w:name="第九节董事、监事、高级管理人员和员工情况" w:id="123"/>
      <w:bookmarkEnd w:id="123"/>
      <w:r>
        <w:rPr>
          <w:b w:val="0"/>
          <w:bCs w:val="0"/>
        </w:rPr>
      </w:r>
      <w:bookmarkStart w:name="_bookmark7" w:id="124"/>
      <w:bookmarkEnd w:id="124"/>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4"/>
        <w:spacing w:line="240" w:lineRule="auto"/>
        <w:ind w:right="1133"/>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4" w:right="120"/>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3"/>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26,486,</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144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8,179,9</w:t>
            </w:r>
          </w:p>
          <w:p>
            <w:pPr>
              <w:pStyle w:val="TableParagraph"/>
              <w:spacing w:line="240" w:lineRule="auto" w:before="103"/>
              <w:ind w:left="506" w:right="0"/>
              <w:jc w:val="lef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17,714,</w:t>
            </w:r>
          </w:p>
          <w:p>
            <w:pPr>
              <w:pStyle w:val="TableParagraph"/>
              <w:spacing w:line="240" w:lineRule="auto" w:before="103"/>
              <w:ind w:left="417" w:right="0"/>
              <w:jc w:val="left"/>
              <w:rPr>
                <w:rFonts w:ascii="Times New Roman" w:hAnsi="Times New Roman" w:cs="Times New Roman" w:eastAsia="Times New Roman" w:hint="default"/>
                <w:sz w:val="18"/>
                <w:szCs w:val="18"/>
              </w:rPr>
            </w:pPr>
            <w:r>
              <w:rPr>
                <w:rFonts w:ascii="Times New Roman"/>
                <w:sz w:val="18"/>
              </w:rPr>
              <w:t>315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36,020,</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479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1,912,1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799,91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1,338,5</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2,450,7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89</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1,452,3</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433,14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890,64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1,909,8</w:t>
            </w:r>
          </w:p>
          <w:p>
            <w:pPr>
              <w:pStyle w:val="TableParagraph"/>
              <w:spacing w:line="240" w:lineRule="auto" w:before="102"/>
              <w:ind w:left="506" w:right="0"/>
              <w:jc w:val="left"/>
              <w:rPr>
                <w:rFonts w:ascii="Times New Roman" w:hAnsi="Times New Roman" w:cs="Times New Roman" w:eastAsia="Times New Roman" w:hint="default"/>
                <w:sz w:val="18"/>
                <w:szCs w:val="18"/>
              </w:rPr>
            </w:pPr>
            <w:r>
              <w:rPr>
                <w:rFonts w:ascii="Times New Roman"/>
                <w:sz w:val="18"/>
              </w:rPr>
              <w:t>85</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1,004,6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139,65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703,27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1,568,3</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13</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张元利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50,400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-13,680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36,720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王越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祝小兵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陈若初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黄元俊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-44,860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30,940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董事会 秘书、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8,360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黄海清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时泂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7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31,031,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9,587,6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20,581,</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42,025,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486</w:t>
            </w:r>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黄海清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辞去董事仍担任公司财务总监</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时泂</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黄元俊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聘任</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1133"/>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1128"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张曙华先生，中国国籍，无境外永久居留权，</w:t>
      </w:r>
      <w:r>
        <w:rPr>
          <w:rFonts w:ascii="宋体" w:hAnsi="宋体" w:cs="宋体" w:eastAsia="宋体" w:hint="default"/>
          <w:sz w:val="18"/>
          <w:szCs w:val="18"/>
        </w:rPr>
        <w:t>1967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月出生，本科学历。</w:t>
      </w:r>
      <w:r>
        <w:rPr>
          <w:rFonts w:ascii="宋体" w:hAnsi="宋体" w:cs="宋体" w:eastAsia="宋体" w:hint="default"/>
          <w:sz w:val="18"/>
          <w:szCs w:val="18"/>
        </w:rPr>
        <w:t>1993</w:t>
      </w:r>
      <w:r>
        <w:rPr>
          <w:rFonts w:ascii="宋体" w:hAnsi="宋体" w:cs="宋体" w:eastAsia="宋体" w:hint="default"/>
          <w:sz w:val="18"/>
          <w:szCs w:val="18"/>
        </w:rPr>
        <w:t>年至</w:t>
      </w:r>
      <w:r>
        <w:rPr>
          <w:rFonts w:ascii="宋体" w:hAnsi="宋体" w:cs="宋体" w:eastAsia="宋体" w:hint="default"/>
          <w:sz w:val="18"/>
          <w:szCs w:val="18"/>
        </w:rPr>
        <w:t>1997</w:t>
      </w:r>
      <w:r>
        <w:rPr>
          <w:rFonts w:ascii="宋体" w:hAnsi="宋体" w:cs="宋体" w:eastAsia="宋体" w:hint="default"/>
          <w:spacing w:val="-4"/>
          <w:sz w:val="18"/>
          <w:szCs w:val="18"/>
        </w:rPr>
        <w:t> </w:t>
      </w:r>
      <w:r>
        <w:rPr>
          <w:rFonts w:ascii="宋体" w:hAnsi="宋体" w:cs="宋体" w:eastAsia="宋体" w:hint="default"/>
          <w:sz w:val="18"/>
          <w:szCs w:val="18"/>
        </w:rPr>
        <w:t>年任上海中信电子发展公司副总 </w:t>
      </w:r>
      <w:r>
        <w:rPr>
          <w:rFonts w:ascii="宋体" w:hAnsi="宋体" w:cs="宋体" w:eastAsia="宋体" w:hint="default"/>
          <w:spacing w:val="-2"/>
          <w:sz w:val="18"/>
          <w:szCs w:val="18"/>
        </w:rPr>
        <w:t>经理；</w:t>
      </w:r>
      <w:r>
        <w:rPr>
          <w:rFonts w:ascii="宋体" w:hAnsi="宋体" w:cs="宋体" w:eastAsia="宋体" w:hint="default"/>
          <w:spacing w:val="-2"/>
          <w:sz w:val="18"/>
          <w:szCs w:val="18"/>
        </w:rPr>
        <w:t>1997</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月创办本公司，现任公司董事长、总裁、董事会战略委员会主任委员。张曙华先生曾荣获</w:t>
      </w:r>
      <w:r>
        <w:rPr>
          <w:rFonts w:ascii="宋体" w:hAnsi="宋体" w:cs="宋体" w:eastAsia="宋体" w:hint="default"/>
          <w:spacing w:val="-2"/>
          <w:sz w:val="18"/>
          <w:szCs w:val="18"/>
        </w:rPr>
        <w:t>2015</w:t>
      </w:r>
      <w:r>
        <w:rPr>
          <w:rFonts w:ascii="宋体" w:hAnsi="宋体" w:cs="宋体" w:eastAsia="宋体" w:hint="default"/>
          <w:spacing w:val="-2"/>
          <w:sz w:val="18"/>
          <w:szCs w:val="18"/>
        </w:rPr>
        <w:t>年静安区杰出</w:t>
      </w:r>
    </w:p>
    <w:p>
      <w:pPr>
        <w:spacing w:line="316" w:lineRule="auto" w:before="2"/>
        <w:ind w:left="112" w:right="1040" w:firstLine="0"/>
        <w:jc w:val="left"/>
        <w:rPr>
          <w:rFonts w:ascii="宋体" w:hAnsi="宋体" w:cs="宋体" w:eastAsia="宋体" w:hint="default"/>
          <w:sz w:val="18"/>
          <w:szCs w:val="18"/>
        </w:rPr>
      </w:pPr>
      <w:r>
        <w:rPr>
          <w:rFonts w:ascii="宋体" w:hAnsi="宋体" w:cs="宋体" w:eastAsia="宋体" w:hint="default"/>
          <w:spacing w:val="-2"/>
          <w:sz w:val="18"/>
          <w:szCs w:val="18"/>
        </w:rPr>
        <w:t>人才奖；</w:t>
      </w:r>
      <w:r>
        <w:rPr>
          <w:rFonts w:ascii="宋体" w:hAnsi="宋体" w:cs="宋体" w:eastAsia="宋体" w:hint="default"/>
          <w:spacing w:val="-2"/>
          <w:sz w:val="18"/>
          <w:szCs w:val="18"/>
        </w:rPr>
        <w:t>2003</w:t>
      </w:r>
      <w:r>
        <w:rPr>
          <w:rFonts w:ascii="宋体" w:hAnsi="宋体" w:cs="宋体" w:eastAsia="宋体" w:hint="default"/>
          <w:spacing w:val="-2"/>
          <w:sz w:val="18"/>
          <w:szCs w:val="18"/>
        </w:rPr>
        <w:t>年荣获“上海市科学技术进步二等奖”以及“上海市科学技术进步三等奖”；</w:t>
      </w:r>
      <w:r>
        <w:rPr>
          <w:rFonts w:ascii="宋体" w:hAnsi="宋体" w:cs="宋体" w:eastAsia="宋体" w:hint="default"/>
          <w:spacing w:val="-2"/>
          <w:sz w:val="18"/>
          <w:szCs w:val="18"/>
        </w:rPr>
        <w:t>2007</w:t>
      </w:r>
      <w:r>
        <w:rPr>
          <w:rFonts w:ascii="宋体" w:hAnsi="宋体" w:cs="宋体" w:eastAsia="宋体" w:hint="default"/>
          <w:spacing w:val="-2"/>
          <w:sz w:val="18"/>
          <w:szCs w:val="18"/>
        </w:rPr>
        <w:t>年荣获“上海市科学技术成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果证书”、“上海实施发明成果优秀企业家”称号；</w:t>
      </w:r>
      <w:r>
        <w:rPr>
          <w:rFonts w:ascii="宋体" w:hAnsi="宋体" w:cs="宋体" w:eastAsia="宋体" w:hint="default"/>
          <w:spacing w:val="-5"/>
          <w:sz w:val="18"/>
          <w:szCs w:val="18"/>
        </w:rPr>
        <w:t>2009</w:t>
      </w:r>
      <w:r>
        <w:rPr>
          <w:rFonts w:ascii="宋体" w:hAnsi="宋体" w:cs="宋体" w:eastAsia="宋体" w:hint="default"/>
          <w:spacing w:val="-5"/>
          <w:sz w:val="18"/>
          <w:szCs w:val="18"/>
        </w:rPr>
        <w:t>年荣获“上海市科学技术进步三等奖”；</w:t>
      </w:r>
      <w:r>
        <w:rPr>
          <w:rFonts w:ascii="宋体" w:hAnsi="宋体" w:cs="宋体" w:eastAsia="宋体" w:hint="default"/>
          <w:spacing w:val="-5"/>
          <w:sz w:val="18"/>
          <w:szCs w:val="18"/>
        </w:rPr>
        <w:t>2010</w:t>
      </w:r>
      <w:r>
        <w:rPr>
          <w:rFonts w:ascii="宋体" w:hAnsi="宋体" w:cs="宋体" w:eastAsia="宋体" w:hint="default"/>
          <w:spacing w:val="-5"/>
          <w:sz w:val="18"/>
          <w:szCs w:val="18"/>
        </w:rPr>
        <w:t>年荣获“上海市软件行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8"/>
          <w:sz w:val="18"/>
          <w:szCs w:val="18"/>
        </w:rPr>
        <w:t>业标兵”、“静安区优秀中国特色社会主义事业建设者”；</w:t>
      </w:r>
      <w:r>
        <w:rPr>
          <w:rFonts w:ascii="宋体" w:hAnsi="宋体" w:cs="宋体" w:eastAsia="宋体" w:hint="default"/>
          <w:spacing w:val="-8"/>
          <w:sz w:val="18"/>
          <w:szCs w:val="18"/>
        </w:rPr>
        <w:t>2011</w:t>
      </w:r>
      <w:r>
        <w:rPr>
          <w:rFonts w:ascii="宋体" w:hAnsi="宋体" w:cs="宋体" w:eastAsia="宋体" w:hint="default"/>
          <w:spacing w:val="-8"/>
          <w:sz w:val="18"/>
          <w:szCs w:val="18"/>
        </w:rPr>
        <w:t>年荣获国家档案局颁发的“档案科研</w:t>
      </w:r>
      <w:r>
        <w:rPr>
          <w:rFonts w:ascii="宋体" w:hAnsi="宋体" w:cs="宋体" w:eastAsia="宋体" w:hint="default"/>
          <w:sz w:val="18"/>
          <w:szCs w:val="18"/>
        </w:rPr>
        <w:t> 上海中信信息发展股份有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限公司</w:t>
      </w:r>
      <w:r>
        <w:rPr>
          <w:rFonts w:ascii="宋体" w:hAnsi="宋体" w:cs="宋体" w:eastAsia="宋体" w:hint="default"/>
          <w:spacing w:val="5"/>
          <w:sz w:val="18"/>
          <w:szCs w:val="18"/>
        </w:rPr>
        <w:t> </w:t>
      </w:r>
      <w:r>
        <w:rPr>
          <w:rFonts w:ascii="宋体" w:hAnsi="宋体" w:cs="宋体" w:eastAsia="宋体" w:hint="default"/>
          <w:sz w:val="18"/>
          <w:szCs w:val="18"/>
        </w:rPr>
        <w:t>2018</w:t>
      </w:r>
      <w:r>
        <w:rPr>
          <w:rFonts w:ascii="宋体" w:hAnsi="宋体" w:cs="宋体" w:eastAsia="宋体" w:hint="default"/>
          <w:spacing w:val="4"/>
          <w:sz w:val="18"/>
          <w:szCs w:val="18"/>
        </w:rPr>
        <w:t> </w:t>
      </w:r>
      <w:r>
        <w:rPr>
          <w:rFonts w:ascii="宋体" w:hAnsi="宋体" w:cs="宋体" w:eastAsia="宋体" w:hint="default"/>
          <w:sz w:val="18"/>
          <w:szCs w:val="18"/>
        </w:rPr>
        <w:t>年年度报告全文</w:t>
      </w:r>
      <w:r>
        <w:rPr>
          <w:rFonts w:ascii="宋体" w:hAnsi="宋体" w:cs="宋体" w:eastAsia="宋体" w:hint="default"/>
          <w:spacing w:val="2"/>
          <w:sz w:val="18"/>
          <w:szCs w:val="18"/>
        </w:rPr>
        <w:t> </w:t>
      </w:r>
      <w:r>
        <w:rPr>
          <w:rFonts w:ascii="宋体" w:hAnsi="宋体" w:cs="宋体" w:eastAsia="宋体" w:hint="default"/>
          <w:sz w:val="18"/>
          <w:szCs w:val="18"/>
        </w:rPr>
        <w:t>107</w:t>
      </w:r>
      <w:r>
        <w:rPr>
          <w:rFonts w:ascii="宋体" w:hAnsi="宋体" w:cs="宋体" w:eastAsia="宋体" w:hint="default"/>
          <w:spacing w:val="4"/>
          <w:sz w:val="18"/>
          <w:szCs w:val="18"/>
        </w:rPr>
        <w:t> </w:t>
      </w:r>
      <w:r>
        <w:rPr>
          <w:rFonts w:ascii="宋体" w:hAnsi="宋体" w:cs="宋体" w:eastAsia="宋体" w:hint="default"/>
          <w:spacing w:val="-9"/>
          <w:sz w:val="18"/>
          <w:szCs w:val="18"/>
        </w:rPr>
        <w:t>成果三等奖”；“上海市企业管理现代化创新成果三等奖”；</w:t>
      </w:r>
      <w:r>
        <w:rPr>
          <w:rFonts w:ascii="宋体" w:hAnsi="宋体" w:cs="宋体" w:eastAsia="宋体" w:hint="default"/>
          <w:spacing w:val="-9"/>
          <w:sz w:val="18"/>
          <w:szCs w:val="18"/>
        </w:rPr>
        <w:t>2012</w:t>
      </w:r>
      <w:r>
        <w:rPr>
          <w:rFonts w:ascii="宋体" w:hAnsi="宋体" w:cs="宋体" w:eastAsia="宋体" w:hint="default"/>
          <w:spacing w:val="-9"/>
          <w:sz w:val="18"/>
          <w:szCs w:val="18"/>
        </w:rPr>
        <w:t>年荣获上海市静安区“第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三批领军人才”称号；</w:t>
      </w:r>
      <w:r>
        <w:rPr>
          <w:rFonts w:ascii="宋体" w:hAnsi="宋体" w:cs="宋体" w:eastAsia="宋体" w:hint="default"/>
          <w:spacing w:val="-2"/>
          <w:sz w:val="18"/>
          <w:szCs w:val="18"/>
        </w:rPr>
        <w:t>2013</w:t>
      </w:r>
      <w:r>
        <w:rPr>
          <w:rFonts w:ascii="宋体" w:hAnsi="宋体" w:cs="宋体" w:eastAsia="宋体" w:hint="default"/>
          <w:spacing w:val="-2"/>
          <w:sz w:val="18"/>
          <w:szCs w:val="18"/>
        </w:rPr>
        <w:t>年荣获“上海市软件行业标兵”；</w:t>
      </w:r>
      <w:r>
        <w:rPr>
          <w:rFonts w:ascii="宋体" w:hAnsi="宋体" w:cs="宋体" w:eastAsia="宋体" w:hint="default"/>
          <w:spacing w:val="-2"/>
          <w:sz w:val="18"/>
          <w:szCs w:val="18"/>
        </w:rPr>
        <w:t>2015</w:t>
      </w:r>
      <w:r>
        <w:rPr>
          <w:rFonts w:ascii="宋体" w:hAnsi="宋体" w:cs="宋体" w:eastAsia="宋体" w:hint="default"/>
          <w:spacing w:val="-2"/>
          <w:sz w:val="18"/>
          <w:szCs w:val="18"/>
        </w:rPr>
        <w:t>年荣获第二届“静安区杰出人才”</w:t>
      </w:r>
      <w:r>
        <w:rPr>
          <w:rFonts w:ascii="宋体" w:hAnsi="宋体" w:cs="宋体" w:eastAsia="宋体" w:hint="default"/>
          <w:sz w:val="18"/>
          <w:szCs w:val="18"/>
        </w:rPr>
        <w:t> </w:t>
      </w:r>
      <w:r>
        <w:rPr>
          <w:rFonts w:ascii="宋体" w:hAnsi="宋体" w:cs="宋体" w:eastAsia="宋体" w:hint="default"/>
          <w:spacing w:val="-10"/>
          <w:sz w:val="18"/>
          <w:szCs w:val="18"/>
        </w:rPr>
        <w:t>提名奖、“上海市科学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1"/>
          <w:sz w:val="18"/>
          <w:szCs w:val="18"/>
        </w:rPr>
        <w:t>技术进步三等奖”；</w:t>
      </w:r>
      <w:r>
        <w:rPr>
          <w:rFonts w:ascii="宋体" w:hAnsi="宋体" w:cs="宋体" w:eastAsia="宋体" w:hint="default"/>
          <w:spacing w:val="-11"/>
          <w:sz w:val="18"/>
          <w:szCs w:val="18"/>
        </w:rPr>
        <w:t>2016</w:t>
      </w:r>
      <w:r>
        <w:rPr>
          <w:rFonts w:ascii="宋体" w:hAnsi="宋体" w:cs="宋体" w:eastAsia="宋体" w:hint="default"/>
          <w:spacing w:val="-11"/>
          <w:sz w:val="18"/>
          <w:szCs w:val="18"/>
        </w:rPr>
        <w:t>年荣获上海市计算机行业“创新人物”、“上海市科学技术进步二等奖”、“首届静安质量奖”。张曙华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曾担任上海市静安区政协委员，上海市静安区工商业联合会（商会）副会长，现任长三角重要产品追溯联盟暨长三角区块链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追溯联盟理事长。 杨安荣先生，中国国籍，无境外永久居留权，</w:t>
      </w:r>
      <w:r>
        <w:rPr>
          <w:rFonts w:ascii="宋体" w:hAnsi="宋体" w:cs="宋体" w:eastAsia="宋体" w:hint="default"/>
          <w:sz w:val="18"/>
          <w:szCs w:val="18"/>
        </w:rPr>
        <w:t>1975</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月出生，工学博士，教授级高级工程师。</w:t>
      </w:r>
      <w:r>
        <w:rPr>
          <w:rFonts w:ascii="宋体" w:hAnsi="宋体" w:cs="宋体" w:eastAsia="宋体" w:hint="default"/>
          <w:sz w:val="18"/>
          <w:szCs w:val="18"/>
        </w:rPr>
        <w:t>2000</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月起就职于中信有 </w:t>
      </w:r>
      <w:r>
        <w:rPr>
          <w:rFonts w:ascii="宋体" w:hAnsi="宋体" w:cs="宋体" w:eastAsia="宋体" w:hint="default"/>
          <w:spacing w:val="-2"/>
          <w:sz w:val="18"/>
          <w:szCs w:val="18"/>
        </w:rPr>
        <w:t>限，历任公司项目经理、产品部经理、软件部经理、技术总监、副总经理等职，现任公司董事，高级副总裁。杨安荣先生曾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荣获</w:t>
      </w:r>
      <w:r>
        <w:rPr>
          <w:rFonts w:ascii="宋体" w:hAnsi="宋体" w:cs="宋体" w:eastAsia="宋体" w:hint="default"/>
          <w:spacing w:val="-2"/>
          <w:sz w:val="18"/>
          <w:szCs w:val="18"/>
        </w:rPr>
        <w:t>2001-2003</w:t>
      </w:r>
      <w:r>
        <w:rPr>
          <w:rFonts w:ascii="宋体" w:hAnsi="宋体" w:cs="宋体" w:eastAsia="宋体" w:hint="default"/>
          <w:spacing w:val="-2"/>
          <w:sz w:val="18"/>
          <w:szCs w:val="18"/>
        </w:rPr>
        <w:t>年度“静安区先进生产</w:t>
      </w:r>
      <w:r>
        <w:rPr>
          <w:rFonts w:ascii="宋体" w:hAnsi="宋体" w:cs="宋体" w:eastAsia="宋体" w:hint="default"/>
          <w:spacing w:val="-2"/>
          <w:sz w:val="18"/>
          <w:szCs w:val="18"/>
        </w:rPr>
        <w:t>(</w:t>
      </w:r>
      <w:r>
        <w:rPr>
          <w:rFonts w:ascii="宋体" w:hAnsi="宋体" w:cs="宋体" w:eastAsia="宋体" w:hint="default"/>
          <w:spacing w:val="-2"/>
          <w:sz w:val="18"/>
          <w:szCs w:val="18"/>
        </w:rPr>
        <w:t>工作</w:t>
      </w:r>
      <w:r>
        <w:rPr>
          <w:rFonts w:ascii="宋体" w:hAnsi="宋体" w:cs="宋体" w:eastAsia="宋体" w:hint="default"/>
          <w:spacing w:val="-2"/>
          <w:sz w:val="18"/>
          <w:szCs w:val="18"/>
        </w:rPr>
        <w:t>)</w:t>
      </w:r>
      <w:r>
        <w:rPr>
          <w:rFonts w:ascii="宋体" w:hAnsi="宋体" w:cs="宋体" w:eastAsia="宋体" w:hint="default"/>
          <w:spacing w:val="-2"/>
          <w:sz w:val="18"/>
          <w:szCs w:val="18"/>
        </w:rPr>
        <w:t>者”称号，</w:t>
      </w:r>
      <w:r>
        <w:rPr>
          <w:rFonts w:ascii="宋体" w:hAnsi="宋体" w:cs="宋体" w:eastAsia="宋体" w:hint="default"/>
          <w:spacing w:val="-2"/>
          <w:sz w:val="18"/>
          <w:szCs w:val="18"/>
        </w:rPr>
        <w:t>2003</w:t>
      </w:r>
      <w:r>
        <w:rPr>
          <w:rFonts w:ascii="宋体" w:hAnsi="宋体" w:cs="宋体" w:eastAsia="宋体" w:hint="default"/>
          <w:spacing w:val="-2"/>
          <w:sz w:val="18"/>
          <w:szCs w:val="18"/>
        </w:rPr>
        <w:t>年、</w:t>
      </w:r>
      <w:r>
        <w:rPr>
          <w:rFonts w:ascii="宋体" w:hAnsi="宋体" w:cs="宋体" w:eastAsia="宋体" w:hint="default"/>
          <w:spacing w:val="-2"/>
          <w:sz w:val="18"/>
          <w:szCs w:val="18"/>
        </w:rPr>
        <w:t>2009</w:t>
      </w:r>
      <w:r>
        <w:rPr>
          <w:rFonts w:ascii="宋体" w:hAnsi="宋体" w:cs="宋体" w:eastAsia="宋体" w:hint="default"/>
          <w:spacing w:val="-2"/>
          <w:sz w:val="18"/>
          <w:szCs w:val="18"/>
        </w:rPr>
        <w:t>年上海市科技进步奖，</w:t>
      </w:r>
      <w:r>
        <w:rPr>
          <w:rFonts w:ascii="宋体" w:hAnsi="宋体" w:cs="宋体" w:eastAsia="宋体" w:hint="default"/>
          <w:spacing w:val="-2"/>
          <w:sz w:val="18"/>
          <w:szCs w:val="18"/>
        </w:rPr>
        <w:t>2006</w:t>
      </w:r>
      <w:r>
        <w:rPr>
          <w:rFonts w:ascii="宋体" w:hAnsi="宋体" w:cs="宋体" w:eastAsia="宋体" w:hint="default"/>
          <w:spacing w:val="-2"/>
          <w:sz w:val="18"/>
          <w:szCs w:val="18"/>
        </w:rPr>
        <w:t>年“静安区科技创新标兵”</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称号，</w:t>
      </w:r>
      <w:r>
        <w:rPr>
          <w:rFonts w:ascii="宋体" w:hAnsi="宋体" w:cs="宋体" w:eastAsia="宋体" w:hint="default"/>
          <w:spacing w:val="-2"/>
          <w:sz w:val="18"/>
          <w:szCs w:val="18"/>
        </w:rPr>
        <w:t>2009</w:t>
      </w:r>
      <w:r>
        <w:rPr>
          <w:rFonts w:ascii="宋体" w:hAnsi="宋体" w:cs="宋体" w:eastAsia="宋体" w:hint="default"/>
          <w:spacing w:val="-2"/>
          <w:sz w:val="18"/>
          <w:szCs w:val="18"/>
        </w:rPr>
        <w:t>、</w:t>
      </w:r>
      <w:r>
        <w:rPr>
          <w:rFonts w:ascii="宋体" w:hAnsi="宋体" w:cs="宋体" w:eastAsia="宋体" w:hint="default"/>
          <w:spacing w:val="-2"/>
          <w:sz w:val="18"/>
          <w:szCs w:val="18"/>
        </w:rPr>
        <w:t>2013</w:t>
      </w:r>
      <w:r>
        <w:rPr>
          <w:rFonts w:ascii="宋体" w:hAnsi="宋体" w:cs="宋体" w:eastAsia="宋体" w:hint="default"/>
          <w:spacing w:val="-2"/>
          <w:sz w:val="18"/>
          <w:szCs w:val="18"/>
        </w:rPr>
        <w:t>年“上海市软件行业标兵”称号，</w:t>
      </w:r>
      <w:r>
        <w:rPr>
          <w:rFonts w:ascii="宋体" w:hAnsi="宋体" w:cs="宋体" w:eastAsia="宋体" w:hint="default"/>
          <w:spacing w:val="-2"/>
          <w:sz w:val="18"/>
          <w:szCs w:val="18"/>
        </w:rPr>
        <w:t>2011</w:t>
      </w:r>
      <w:r>
        <w:rPr>
          <w:rFonts w:ascii="宋体" w:hAnsi="宋体" w:cs="宋体" w:eastAsia="宋体" w:hint="default"/>
          <w:spacing w:val="-2"/>
          <w:sz w:val="18"/>
          <w:szCs w:val="18"/>
        </w:rPr>
        <w:t>年中国技术市场协会第五届金桥奖先进个人，</w:t>
      </w:r>
      <w:r>
        <w:rPr>
          <w:rFonts w:ascii="宋体" w:hAnsi="宋体" w:cs="宋体" w:eastAsia="宋体" w:hint="default"/>
          <w:spacing w:val="-2"/>
          <w:sz w:val="18"/>
          <w:szCs w:val="18"/>
        </w:rPr>
        <w:t>2012</w:t>
      </w:r>
      <w:r>
        <w:rPr>
          <w:rFonts w:ascii="宋体" w:hAnsi="宋体" w:cs="宋体" w:eastAsia="宋体" w:hint="default"/>
          <w:spacing w:val="-2"/>
          <w:sz w:val="18"/>
          <w:szCs w:val="18"/>
        </w:rPr>
        <w:t>年静安区第七批</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优秀中青年拔尖人才。</w:t>
      </w:r>
      <w:r>
        <w:rPr>
          <w:rFonts w:ascii="宋体" w:hAnsi="宋体" w:cs="宋体" w:eastAsia="宋体" w:hint="default"/>
          <w:spacing w:val="-2"/>
          <w:sz w:val="18"/>
          <w:szCs w:val="18"/>
        </w:rPr>
        <w:t>2009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月起至今被上海市财政局聘为上海市政府采购评审专家；</w:t>
      </w:r>
      <w:r>
        <w:rPr>
          <w:rFonts w:ascii="宋体" w:hAnsi="宋体" w:cs="宋体" w:eastAsia="宋体"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月起至今被上海市经信委聘</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为专项资金评审专家；</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月起至今被上海市区块链技术协会聘为智库专家。 刘理洲先生，中国国籍，无境外永久居留权，</w:t>
      </w:r>
      <w:r>
        <w:rPr>
          <w:rFonts w:ascii="宋体" w:hAnsi="宋体" w:cs="宋体" w:eastAsia="宋体" w:hint="default"/>
          <w:sz w:val="18"/>
          <w:szCs w:val="18"/>
        </w:rPr>
        <w:t>1977</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月出生，同济大学</w:t>
      </w:r>
      <w:r>
        <w:rPr>
          <w:rFonts w:ascii="宋体" w:hAnsi="宋体" w:cs="宋体" w:eastAsia="宋体" w:hint="default"/>
          <w:sz w:val="18"/>
          <w:szCs w:val="18"/>
        </w:rPr>
        <w:t>EMBA</w:t>
      </w:r>
      <w:r>
        <w:rPr>
          <w:rFonts w:ascii="宋体" w:hAnsi="宋体" w:cs="宋体" w:eastAsia="宋体" w:hint="default"/>
          <w:sz w:val="18"/>
          <w:szCs w:val="18"/>
        </w:rPr>
        <w:t>，中级工程师。</w:t>
      </w:r>
      <w:r>
        <w:rPr>
          <w:rFonts w:ascii="宋体" w:hAnsi="宋体" w:cs="宋体" w:eastAsia="宋体" w:hint="default"/>
          <w:sz w:val="18"/>
          <w:szCs w:val="18"/>
        </w:rPr>
        <w:t>1998</w:t>
      </w:r>
      <w:r>
        <w:rPr>
          <w:rFonts w:ascii="宋体" w:hAnsi="宋体" w:cs="宋体" w:eastAsia="宋体" w:hint="default"/>
          <w:sz w:val="18"/>
          <w:szCs w:val="18"/>
        </w:rPr>
        <w:t>年起就职于中信有限，历 任公司技术部经理、销售部经理、</w:t>
      </w:r>
      <w:r>
        <w:rPr>
          <w:rFonts w:ascii="宋体" w:hAnsi="宋体" w:cs="宋体" w:eastAsia="宋体" w:hint="default"/>
          <w:sz w:val="18"/>
          <w:szCs w:val="18"/>
        </w:rPr>
        <w:t>S1</w:t>
      </w:r>
      <w:r>
        <w:rPr>
          <w:rFonts w:ascii="宋体" w:hAnsi="宋体" w:cs="宋体" w:eastAsia="宋体" w:hint="default"/>
          <w:sz w:val="18"/>
          <w:szCs w:val="18"/>
        </w:rPr>
        <w:t>集成事业部总经理、流通追溯事业部总经理、副总裁等职。</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月起任公司监事、 </w:t>
      </w:r>
      <w:r>
        <w:rPr>
          <w:rFonts w:ascii="宋体" w:hAnsi="宋体" w:cs="宋体" w:eastAsia="宋体" w:hint="default"/>
          <w:spacing w:val="-5"/>
          <w:sz w:val="18"/>
          <w:szCs w:val="18"/>
        </w:rPr>
        <w:t>现任公司董事、食安事业群总裁。刘理洲先生曾荣获</w:t>
      </w:r>
      <w:r>
        <w:rPr>
          <w:rFonts w:ascii="宋体" w:hAnsi="宋体" w:cs="宋体" w:eastAsia="宋体" w:hint="default"/>
          <w:spacing w:val="-5"/>
          <w:sz w:val="18"/>
          <w:szCs w:val="18"/>
        </w:rPr>
        <w:t>2009</w:t>
      </w:r>
      <w:r>
        <w:rPr>
          <w:rFonts w:ascii="宋体" w:hAnsi="宋体" w:cs="宋体" w:eastAsia="宋体" w:hint="default"/>
          <w:spacing w:val="-5"/>
          <w:sz w:val="18"/>
          <w:szCs w:val="18"/>
        </w:rPr>
        <w:t>年度上海市科技进步奖，</w:t>
      </w:r>
      <w:r>
        <w:rPr>
          <w:rFonts w:ascii="宋体" w:hAnsi="宋体" w:cs="宋体" w:eastAsia="宋体" w:hint="default"/>
          <w:spacing w:val="-5"/>
          <w:sz w:val="18"/>
          <w:szCs w:val="18"/>
        </w:rPr>
        <w:t>2010</w:t>
      </w:r>
      <w:r>
        <w:rPr>
          <w:rFonts w:ascii="宋体" w:hAnsi="宋体" w:cs="宋体" w:eastAsia="宋体" w:hint="default"/>
          <w:spacing w:val="-5"/>
          <w:sz w:val="18"/>
          <w:szCs w:val="18"/>
        </w:rPr>
        <w:t>年度被评为上海市软件行业标兵。</w:t>
      </w:r>
      <w:r>
        <w:rPr>
          <w:rFonts w:ascii="宋体" w:hAnsi="宋体" w:cs="宋体" w:eastAsia="宋体" w:hint="default"/>
          <w:spacing w:val="-5"/>
          <w:sz w:val="18"/>
          <w:szCs w:val="18"/>
        </w:rPr>
        <w:t>2017</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年获得静安区诚实守信道德模范奖。 </w:t>
      </w:r>
      <w:r>
        <w:rPr>
          <w:rFonts w:ascii="宋体" w:hAnsi="宋体" w:cs="宋体" w:eastAsia="宋体" w:hint="default"/>
          <w:spacing w:val="-6"/>
          <w:sz w:val="18"/>
          <w:szCs w:val="18"/>
        </w:rPr>
        <w:t>李志卿先生，中国国籍，无境外永久居留权，</w:t>
      </w:r>
      <w:r>
        <w:rPr>
          <w:rFonts w:ascii="宋体" w:hAnsi="宋体" w:cs="宋体" w:eastAsia="宋体" w:hint="default"/>
          <w:spacing w:val="-6"/>
          <w:sz w:val="18"/>
          <w:szCs w:val="18"/>
        </w:rPr>
        <w:t>1973</w:t>
      </w:r>
      <w:r>
        <w:rPr>
          <w:rFonts w:ascii="宋体" w:hAnsi="宋体" w:cs="宋体" w:eastAsia="宋体" w:hint="default"/>
          <w:spacing w:val="-6"/>
          <w:sz w:val="18"/>
          <w:szCs w:val="18"/>
        </w:rPr>
        <w:t>年</w:t>
      </w:r>
      <w:r>
        <w:rPr>
          <w:rFonts w:ascii="宋体" w:hAnsi="宋体" w:cs="宋体" w:eastAsia="宋体" w:hint="default"/>
          <w:spacing w:val="-6"/>
          <w:sz w:val="18"/>
          <w:szCs w:val="18"/>
        </w:rPr>
        <w:t>4</w:t>
      </w:r>
      <w:r>
        <w:rPr>
          <w:rFonts w:ascii="宋体" w:hAnsi="宋体" w:cs="宋体" w:eastAsia="宋体" w:hint="default"/>
          <w:spacing w:val="-6"/>
          <w:sz w:val="18"/>
          <w:szCs w:val="18"/>
        </w:rPr>
        <w:t>月出生，本科学历，高级项目经理，信息系统项目管理师（高级）。</w:t>
      </w:r>
      <w:r>
        <w:rPr>
          <w:rFonts w:ascii="宋体" w:hAnsi="宋体" w:cs="宋体" w:eastAsia="宋体" w:hint="default"/>
          <w:spacing w:val="-6"/>
          <w:sz w:val="18"/>
          <w:szCs w:val="18"/>
        </w:rPr>
        <w:t>1998</w:t>
      </w:r>
      <w:r>
        <w:rPr>
          <w:rFonts w:ascii="宋体" w:hAnsi="宋体" w:cs="宋体" w:eastAsia="宋体" w:hint="default"/>
          <w:spacing w:val="-84"/>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月至</w:t>
      </w:r>
      <w:r>
        <w:rPr>
          <w:rFonts w:ascii="宋体" w:hAnsi="宋体" w:cs="宋体" w:eastAsia="宋体" w:hint="default"/>
          <w:spacing w:val="-3"/>
          <w:sz w:val="18"/>
          <w:szCs w:val="18"/>
        </w:rPr>
        <w:t>2001</w:t>
      </w:r>
      <w:r>
        <w:rPr>
          <w:rFonts w:ascii="宋体" w:hAnsi="宋体" w:cs="宋体" w:eastAsia="宋体" w:hint="default"/>
          <w:spacing w:val="-3"/>
          <w:sz w:val="18"/>
          <w:szCs w:val="18"/>
        </w:rPr>
        <w:t>年</w:t>
      </w:r>
      <w:r>
        <w:rPr>
          <w:rFonts w:ascii="宋体" w:hAnsi="宋体" w:cs="宋体" w:eastAsia="宋体" w:hint="default"/>
          <w:spacing w:val="-3"/>
          <w:sz w:val="18"/>
          <w:szCs w:val="18"/>
        </w:rPr>
        <w:t>2</w:t>
      </w:r>
      <w:r>
        <w:rPr>
          <w:rFonts w:ascii="宋体" w:hAnsi="宋体" w:cs="宋体" w:eastAsia="宋体" w:hint="default"/>
          <w:spacing w:val="-3"/>
          <w:sz w:val="18"/>
          <w:szCs w:val="18"/>
        </w:rPr>
        <w:t>月任江苏兰德软件有限公司产品经理；</w:t>
      </w:r>
      <w:r>
        <w:rPr>
          <w:rFonts w:ascii="宋体" w:hAnsi="宋体" w:cs="宋体" w:eastAsia="宋体" w:hint="default"/>
          <w:spacing w:val="-3"/>
          <w:sz w:val="18"/>
          <w:szCs w:val="18"/>
        </w:rPr>
        <w:t>2001</w:t>
      </w:r>
      <w:r>
        <w:rPr>
          <w:rFonts w:ascii="宋体" w:hAnsi="宋体" w:cs="宋体" w:eastAsia="宋体" w:hint="default"/>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3</w:t>
      </w:r>
      <w:r>
        <w:rPr>
          <w:rFonts w:ascii="宋体" w:hAnsi="宋体" w:cs="宋体" w:eastAsia="宋体" w:hint="default"/>
          <w:spacing w:val="-3"/>
          <w:sz w:val="18"/>
          <w:szCs w:val="18"/>
        </w:rPr>
        <w:t>月至</w:t>
      </w:r>
      <w:r>
        <w:rPr>
          <w:rFonts w:ascii="宋体" w:hAnsi="宋体" w:cs="宋体" w:eastAsia="宋体" w:hint="default"/>
          <w:spacing w:val="-3"/>
          <w:sz w:val="18"/>
          <w:szCs w:val="18"/>
        </w:rPr>
        <w:t>2004</w:t>
      </w:r>
      <w:r>
        <w:rPr>
          <w:rFonts w:ascii="宋体" w:hAnsi="宋体" w:cs="宋体" w:eastAsia="宋体" w:hint="default"/>
          <w:spacing w:val="-3"/>
          <w:sz w:val="18"/>
          <w:szCs w:val="18"/>
        </w:rPr>
        <w:t>年</w:t>
      </w:r>
      <w:r>
        <w:rPr>
          <w:rFonts w:ascii="宋体" w:hAnsi="宋体" w:cs="宋体" w:eastAsia="宋体" w:hint="default"/>
          <w:spacing w:val="-3"/>
          <w:sz w:val="18"/>
          <w:szCs w:val="18"/>
        </w:rPr>
        <w:t>9</w:t>
      </w:r>
      <w:r>
        <w:rPr>
          <w:rFonts w:ascii="宋体" w:hAnsi="宋体" w:cs="宋体" w:eastAsia="宋体" w:hint="default"/>
          <w:spacing w:val="-3"/>
          <w:sz w:val="18"/>
          <w:szCs w:val="18"/>
        </w:rPr>
        <w:t>月任上海启明软件股份有限公司产品经理；</w:t>
      </w:r>
      <w:r>
        <w:rPr>
          <w:rFonts w:ascii="宋体" w:hAnsi="宋体" w:cs="宋体" w:eastAsia="宋体" w:hint="default"/>
          <w:spacing w:val="-3"/>
          <w:sz w:val="18"/>
          <w:szCs w:val="18"/>
        </w:rPr>
        <w:t>2004</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月至</w:t>
      </w:r>
      <w:r>
        <w:rPr>
          <w:rFonts w:ascii="宋体" w:hAnsi="宋体" w:cs="宋体" w:eastAsia="宋体" w:hint="default"/>
          <w:sz w:val="18"/>
          <w:szCs w:val="18"/>
        </w:rPr>
        <w:t>2005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月任上海仲尼软件有限公司技术总监；</w:t>
      </w:r>
      <w:r>
        <w:rPr>
          <w:rFonts w:ascii="宋体" w:hAnsi="宋体" w:cs="宋体" w:eastAsia="宋体" w:hint="default"/>
          <w:sz w:val="18"/>
          <w:szCs w:val="18"/>
        </w:rPr>
        <w:t>2005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月起就职于中信有限，历任技术总监、档案事业部总经理、 </w:t>
      </w:r>
      <w:r>
        <w:rPr>
          <w:rFonts w:ascii="宋体" w:hAnsi="宋体" w:cs="宋体" w:eastAsia="宋体" w:hint="default"/>
          <w:spacing w:val="-2"/>
          <w:sz w:val="18"/>
          <w:szCs w:val="18"/>
        </w:rPr>
        <w:t>产品技术中心副总经理，现任公司董事、档案事业群总裁。李志卿先生曾荣获“</w:t>
      </w:r>
      <w:r>
        <w:rPr>
          <w:rFonts w:ascii="宋体" w:hAnsi="宋体" w:cs="宋体" w:eastAsia="宋体" w:hint="default"/>
          <w:spacing w:val="-2"/>
          <w:sz w:val="18"/>
          <w:szCs w:val="18"/>
        </w:rPr>
        <w:t>2009</w:t>
      </w:r>
      <w:r>
        <w:rPr>
          <w:rFonts w:ascii="宋体" w:hAnsi="宋体" w:cs="宋体" w:eastAsia="宋体" w:hint="default"/>
          <w:spacing w:val="-2"/>
          <w:sz w:val="18"/>
          <w:szCs w:val="18"/>
        </w:rPr>
        <w:t>年度上海市软件行业标兵”称号，</w:t>
      </w:r>
      <w:r>
        <w:rPr>
          <w:rFonts w:ascii="宋体" w:hAnsi="宋体" w:cs="宋体" w:eastAsia="宋体" w:hint="default"/>
          <w:spacing w:val="-2"/>
          <w:sz w:val="18"/>
          <w:szCs w:val="18"/>
        </w:rPr>
        <w:t>2009</w:t>
      </w:r>
      <w:r>
        <w:rPr>
          <w:rFonts w:ascii="宋体" w:hAnsi="宋体" w:cs="宋体" w:eastAsia="宋体" w:hint="default"/>
          <w:spacing w:val="-58"/>
          <w:sz w:val="18"/>
          <w:szCs w:val="18"/>
        </w:rPr>
        <w:t> </w:t>
      </w:r>
      <w:r>
        <w:rPr>
          <w:rFonts w:ascii="宋体" w:hAnsi="宋体" w:cs="宋体" w:eastAsia="宋体" w:hint="default"/>
          <w:sz w:val="18"/>
          <w:szCs w:val="18"/>
        </w:rPr>
        <w:t>年度上海市科技进步奖，</w:t>
      </w:r>
      <w:r>
        <w:rPr>
          <w:rFonts w:ascii="宋体" w:hAnsi="宋体" w:cs="宋体" w:eastAsia="宋体" w:hint="default"/>
          <w:sz w:val="18"/>
          <w:szCs w:val="18"/>
        </w:rPr>
        <w:t>2011</w:t>
      </w:r>
      <w:r>
        <w:rPr>
          <w:rFonts w:ascii="宋体" w:hAnsi="宋体" w:cs="宋体" w:eastAsia="宋体" w:hint="default"/>
          <w:sz w:val="18"/>
          <w:szCs w:val="18"/>
        </w:rPr>
        <w:t>年度上海市档案科技研究成果奖三等奖。 张元利先生，中国国籍，无境外永久居留权，</w:t>
      </w:r>
      <w:r>
        <w:rPr>
          <w:rFonts w:ascii="宋体" w:hAnsi="宋体" w:cs="宋体" w:eastAsia="宋体" w:hint="default"/>
          <w:sz w:val="18"/>
          <w:szCs w:val="18"/>
        </w:rPr>
        <w:t>1973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月出生，研究生学历。</w:t>
      </w:r>
      <w:r>
        <w:rPr>
          <w:rFonts w:ascii="宋体" w:hAnsi="宋体" w:cs="宋体" w:eastAsia="宋体" w:hint="default"/>
          <w:sz w:val="18"/>
          <w:szCs w:val="18"/>
        </w:rPr>
        <w:t>1996</w:t>
      </w:r>
      <w:r>
        <w:rPr>
          <w:rFonts w:ascii="宋体" w:hAnsi="宋体" w:cs="宋体" w:eastAsia="宋体" w:hint="default"/>
          <w:sz w:val="18"/>
          <w:szCs w:val="18"/>
        </w:rPr>
        <w:t>年至</w:t>
      </w:r>
      <w:r>
        <w:rPr>
          <w:rFonts w:ascii="宋体" w:hAnsi="宋体" w:cs="宋体" w:eastAsia="宋体" w:hint="default"/>
          <w:spacing w:val="-4"/>
          <w:sz w:val="18"/>
          <w:szCs w:val="18"/>
        </w:rPr>
        <w:t> </w:t>
      </w:r>
      <w:r>
        <w:rPr>
          <w:rFonts w:ascii="宋体" w:hAnsi="宋体" w:cs="宋体" w:eastAsia="宋体" w:hint="default"/>
          <w:sz w:val="18"/>
          <w:szCs w:val="18"/>
        </w:rPr>
        <w:t>2003</w:t>
      </w:r>
      <w:r>
        <w:rPr>
          <w:rFonts w:ascii="宋体" w:hAnsi="宋体" w:cs="宋体" w:eastAsia="宋体" w:hint="default"/>
          <w:sz w:val="18"/>
          <w:szCs w:val="18"/>
        </w:rPr>
        <w:t>年任泰安市卫生局医学仪器研 究所（医疗器械维修管理站）副主任；</w:t>
      </w:r>
      <w:r>
        <w:rPr>
          <w:rFonts w:ascii="宋体" w:hAnsi="宋体" w:cs="宋体" w:eastAsia="宋体" w:hint="default"/>
          <w:sz w:val="18"/>
          <w:szCs w:val="18"/>
        </w:rPr>
        <w:t>2003</w:t>
      </w:r>
      <w:r>
        <w:rPr>
          <w:rFonts w:ascii="宋体" w:hAnsi="宋体" w:cs="宋体" w:eastAsia="宋体" w:hint="default"/>
          <w:sz w:val="18"/>
          <w:szCs w:val="18"/>
        </w:rPr>
        <w:t>年至</w:t>
      </w:r>
      <w:r>
        <w:rPr>
          <w:rFonts w:ascii="宋体" w:hAnsi="宋体" w:cs="宋体" w:eastAsia="宋体" w:hint="default"/>
          <w:sz w:val="18"/>
          <w:szCs w:val="18"/>
        </w:rPr>
        <w:t>2005</w:t>
      </w:r>
      <w:r>
        <w:rPr>
          <w:rFonts w:ascii="宋体" w:hAnsi="宋体" w:cs="宋体" w:eastAsia="宋体" w:hint="default"/>
          <w:sz w:val="18"/>
          <w:szCs w:val="18"/>
        </w:rPr>
        <w:t>年就职于联合软件，先后任部门经理、项目技术总监；</w:t>
      </w:r>
      <w:r>
        <w:rPr>
          <w:rFonts w:ascii="宋体" w:hAnsi="宋体" w:cs="宋体" w:eastAsia="宋体" w:hint="default"/>
          <w:sz w:val="18"/>
          <w:szCs w:val="18"/>
        </w:rPr>
        <w:t>2005</w:t>
      </w:r>
      <w:r>
        <w:rPr>
          <w:rFonts w:ascii="宋体" w:hAnsi="宋体" w:cs="宋体" w:eastAsia="宋体" w:hint="default"/>
          <w:sz w:val="18"/>
          <w:szCs w:val="18"/>
        </w:rPr>
        <w:t>年至</w:t>
      </w:r>
      <w:r>
        <w:rPr>
          <w:rFonts w:ascii="宋体" w:hAnsi="宋体" w:cs="宋体" w:eastAsia="宋体" w:hint="default"/>
          <w:sz w:val="18"/>
          <w:szCs w:val="18"/>
        </w:rPr>
        <w:t>2008 </w:t>
      </w:r>
      <w:r>
        <w:rPr>
          <w:rFonts w:ascii="宋体" w:hAnsi="宋体" w:cs="宋体" w:eastAsia="宋体" w:hint="default"/>
          <w:sz w:val="18"/>
          <w:szCs w:val="18"/>
        </w:rPr>
        <w:t>年任山大鲁能易通信息科技有限公司部门经理。</w:t>
      </w:r>
      <w:r>
        <w:rPr>
          <w:rFonts w:ascii="宋体" w:hAnsi="宋体" w:cs="宋体" w:eastAsia="宋体"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月起就职于中信有限，现任公司董事，项目总监。 </w:t>
      </w:r>
      <w:r>
        <w:rPr>
          <w:rFonts w:ascii="宋体" w:hAnsi="宋体" w:cs="宋体" w:eastAsia="宋体" w:hint="default"/>
          <w:spacing w:val="-3"/>
          <w:sz w:val="18"/>
          <w:szCs w:val="18"/>
        </w:rPr>
        <w:t>王越，男，中国国籍，中共党员，无境外永久居留权。</w:t>
      </w:r>
      <w:r>
        <w:rPr>
          <w:rFonts w:ascii="宋体" w:hAnsi="宋体" w:cs="宋体" w:eastAsia="宋体" w:hint="default"/>
          <w:spacing w:val="-3"/>
          <w:sz w:val="18"/>
          <w:szCs w:val="18"/>
        </w:rPr>
        <w:t>1988 </w:t>
      </w:r>
      <w:r>
        <w:rPr>
          <w:rFonts w:ascii="宋体" w:hAnsi="宋体" w:cs="宋体" w:eastAsia="宋体" w:hint="default"/>
          <w:sz w:val="18"/>
          <w:szCs w:val="18"/>
        </w:rPr>
        <w:t>年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月出生，毕业于约翰斯霍普金斯大学国际经济方向硕士， </w:t>
      </w:r>
      <w:r>
        <w:rPr>
          <w:rFonts w:ascii="宋体" w:hAnsi="宋体" w:cs="宋体" w:eastAsia="宋体" w:hint="default"/>
          <w:spacing w:val="-2"/>
          <w:sz w:val="18"/>
          <w:szCs w:val="18"/>
        </w:rPr>
        <w:t>南京大学材料物理专业学士。现任上海国盛资本管理有限公司投资部执行董事。王越先生曾先后在海通证券投资银行部、自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贸试验区分公司、办公室工作。</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月起担任信息发展非独立董事。 </w:t>
      </w:r>
      <w:r>
        <w:rPr>
          <w:rFonts w:ascii="宋体" w:hAnsi="宋体" w:cs="宋体" w:eastAsia="宋体" w:hint="default"/>
          <w:spacing w:val="-2"/>
          <w:sz w:val="18"/>
          <w:szCs w:val="18"/>
        </w:rPr>
        <w:t>刘红梅女士，中国国籍，无境外永久居留权，</w:t>
      </w:r>
      <w:r>
        <w:rPr>
          <w:rFonts w:ascii="宋体" w:hAnsi="宋体" w:cs="宋体" w:eastAsia="宋体" w:hint="default"/>
          <w:spacing w:val="-2"/>
          <w:sz w:val="18"/>
          <w:szCs w:val="18"/>
        </w:rPr>
        <w:t>1970</w:t>
      </w:r>
      <w:r>
        <w:rPr>
          <w:rFonts w:ascii="宋体" w:hAnsi="宋体" w:cs="宋体" w:eastAsia="宋体" w:hint="default"/>
          <w:spacing w:val="-2"/>
          <w:sz w:val="18"/>
          <w:szCs w:val="18"/>
        </w:rPr>
        <w:t>年</w:t>
      </w:r>
      <w:r>
        <w:rPr>
          <w:rFonts w:ascii="宋体" w:hAnsi="宋体" w:cs="宋体" w:eastAsia="宋体" w:hint="default"/>
          <w:spacing w:val="-2"/>
          <w:sz w:val="18"/>
          <w:szCs w:val="18"/>
        </w:rPr>
        <w:t>11</w:t>
      </w:r>
      <w:r>
        <w:rPr>
          <w:rFonts w:ascii="宋体" w:hAnsi="宋体" w:cs="宋体" w:eastAsia="宋体" w:hint="default"/>
          <w:spacing w:val="-2"/>
          <w:sz w:val="18"/>
          <w:szCs w:val="18"/>
        </w:rPr>
        <w:t>月出生，博士学历，教授。历任上海交通大学安泰管理学院会计学教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研室讲师，上海师范大学商学院财务管理系副教授等职。现任上海师范大学商学院财务管理系教授，并担任公司独立董事。 刘红梅女士为上海市政府采购评审专家，并获得上海市曙光学者，上海市教育系统三八红旗手荣誉称号。 </w:t>
      </w:r>
      <w:r>
        <w:rPr>
          <w:rFonts w:ascii="宋体" w:hAnsi="宋体" w:cs="宋体" w:eastAsia="宋体" w:hint="default"/>
          <w:spacing w:val="-2"/>
          <w:sz w:val="18"/>
          <w:szCs w:val="18"/>
        </w:rPr>
        <w:t>乐嘉锦先生，男，中国国籍，</w:t>
      </w:r>
      <w:r>
        <w:rPr>
          <w:rFonts w:ascii="宋体" w:hAnsi="宋体" w:cs="宋体" w:eastAsia="宋体" w:hint="default"/>
          <w:spacing w:val="-2"/>
          <w:sz w:val="18"/>
          <w:szCs w:val="18"/>
        </w:rPr>
        <w:t>1951</w:t>
      </w:r>
      <w:r>
        <w:rPr>
          <w:rFonts w:ascii="宋体" w:hAnsi="宋体" w:cs="宋体" w:eastAsia="宋体" w:hint="default"/>
          <w:spacing w:val="-2"/>
          <w:sz w:val="18"/>
          <w:szCs w:val="18"/>
        </w:rPr>
        <w:t>年出生，无永久境外居留权，</w:t>
      </w:r>
      <w:r>
        <w:rPr>
          <w:rFonts w:ascii="宋体" w:hAnsi="宋体" w:cs="宋体" w:eastAsia="宋体" w:hint="default"/>
          <w:spacing w:val="-2"/>
          <w:sz w:val="18"/>
          <w:szCs w:val="18"/>
        </w:rPr>
        <w:t>1984</w:t>
      </w:r>
      <w:r>
        <w:rPr>
          <w:rFonts w:ascii="宋体" w:hAnsi="宋体" w:cs="宋体" w:eastAsia="宋体" w:hint="default"/>
          <w:spacing w:val="-2"/>
          <w:sz w:val="18"/>
          <w:szCs w:val="18"/>
        </w:rPr>
        <w:t>年获复旦大学计算机理学硕士，中共党员，东华大学计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算机科学与技术学院教授，博士生导师。任中国计算机学会数据库专委会委员、上海计算机开放系统协会常务副理事长兼秘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书长。受聘于上海市公安局、档案局、民政局、上海市科委、上海市经信委、上海市卫计委等委办局信息化专家。 </w:t>
      </w:r>
      <w:r>
        <w:rPr>
          <w:rFonts w:ascii="宋体" w:hAnsi="宋体" w:cs="宋体" w:eastAsia="宋体" w:hint="default"/>
          <w:spacing w:val="-2"/>
          <w:sz w:val="18"/>
          <w:szCs w:val="18"/>
        </w:rPr>
        <w:t>祝小兵，男，中国国籍</w:t>
      </w:r>
      <w:r>
        <w:rPr>
          <w:rFonts w:ascii="宋体" w:hAnsi="宋体" w:cs="宋体" w:eastAsia="宋体" w:hint="default"/>
          <w:spacing w:val="-2"/>
          <w:sz w:val="18"/>
          <w:szCs w:val="18"/>
        </w:rPr>
        <w:t>,1966</w:t>
      </w:r>
      <w:r>
        <w:rPr>
          <w:rFonts w:ascii="宋体" w:hAnsi="宋体" w:cs="宋体" w:eastAsia="宋体" w:hint="default"/>
          <w:spacing w:val="-2"/>
          <w:sz w:val="18"/>
          <w:szCs w:val="18"/>
        </w:rPr>
        <w:t>年</w:t>
      </w:r>
      <w:r>
        <w:rPr>
          <w:rFonts w:ascii="宋体" w:hAnsi="宋体" w:cs="宋体" w:eastAsia="宋体" w:hint="default"/>
          <w:spacing w:val="-2"/>
          <w:sz w:val="18"/>
          <w:szCs w:val="18"/>
        </w:rPr>
        <w:t>8</w:t>
      </w:r>
      <w:r>
        <w:rPr>
          <w:rFonts w:ascii="宋体" w:hAnsi="宋体" w:cs="宋体" w:eastAsia="宋体" w:hint="default"/>
          <w:spacing w:val="-2"/>
          <w:sz w:val="18"/>
          <w:szCs w:val="18"/>
        </w:rPr>
        <w:t>月出生，无境外永久居留权，博士学历，教授。历任上海财经大学金融学院硕士生导师，现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任上海开放大学经济管理学院教授、中国数量经济学会远程教育专业委员会副理事长、上海市杨浦区第十二、十三、十四届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政协委员、中国黄金协会顾问专家、国际金融理财标准委员会</w:t>
      </w:r>
      <w:r>
        <w:rPr>
          <w:rFonts w:ascii="宋体" w:hAnsi="宋体" w:cs="宋体" w:eastAsia="宋体" w:hint="default"/>
          <w:sz w:val="18"/>
          <w:szCs w:val="18"/>
        </w:rPr>
        <w:t>CFP</w:t>
      </w:r>
      <w:r>
        <w:rPr>
          <w:rFonts w:ascii="宋体" w:hAnsi="宋体" w:cs="宋体" w:eastAsia="宋体" w:hint="default"/>
          <w:sz w:val="18"/>
          <w:szCs w:val="18"/>
        </w:rPr>
        <w:t>上海项目中心特聘讲师。曾获得“宝钢”优秀教师奖，上 海市教学成果奖一等奖。</w:t>
      </w:r>
    </w:p>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line="316" w:lineRule="auto" w:before="44"/>
        <w:ind w:left="112" w:right="1034" w:firstLine="0"/>
        <w:jc w:val="left"/>
        <w:rPr>
          <w:rFonts w:ascii="宋体" w:hAnsi="宋体" w:cs="宋体" w:eastAsia="宋体" w:hint="default"/>
          <w:sz w:val="18"/>
          <w:szCs w:val="18"/>
        </w:rPr>
      </w:pPr>
      <w:r>
        <w:rPr>
          <w:rFonts w:ascii="宋体" w:hAnsi="宋体" w:cs="宋体" w:eastAsia="宋体" w:hint="default"/>
          <w:sz w:val="18"/>
          <w:szCs w:val="18"/>
        </w:rPr>
        <w:t>陈若初先生，中国国籍，无境外永久居留权，</w:t>
      </w:r>
      <w:r>
        <w:rPr>
          <w:rFonts w:ascii="宋体" w:hAnsi="宋体" w:cs="宋体" w:eastAsia="宋体" w:hint="default"/>
          <w:sz w:val="18"/>
          <w:szCs w:val="18"/>
        </w:rPr>
        <w:t>1960</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月出生，中专学历。</w:t>
      </w:r>
      <w:r>
        <w:rPr>
          <w:rFonts w:ascii="宋体" w:hAnsi="宋体" w:cs="宋体" w:eastAsia="宋体" w:hint="default"/>
          <w:sz w:val="18"/>
          <w:szCs w:val="18"/>
        </w:rPr>
        <w:t>1981</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宋体" w:hAnsi="宋体" w:cs="宋体" w:eastAsia="宋体" w:hint="default"/>
          <w:sz w:val="18"/>
          <w:szCs w:val="18"/>
        </w:rPr>
        <w:t>2000</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月任上海彭浦化工厂助理工 程师、科员；</w:t>
      </w:r>
      <w:r>
        <w:rPr>
          <w:rFonts w:ascii="宋体" w:hAnsi="宋体" w:cs="宋体" w:eastAsia="宋体" w:hint="default"/>
          <w:sz w:val="18"/>
          <w:szCs w:val="18"/>
        </w:rPr>
        <w:t>2000</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月起就职于信息发展，历任公司项目部经理、商务部经理、金档信息副总经理、总经理等职。现任公 司监事会主席。 </w:t>
      </w:r>
      <w:r>
        <w:rPr>
          <w:rFonts w:ascii="宋体" w:hAnsi="宋体" w:cs="宋体" w:eastAsia="宋体" w:hint="default"/>
          <w:spacing w:val="-3"/>
          <w:sz w:val="18"/>
          <w:szCs w:val="18"/>
        </w:rPr>
        <w:t>尹於舜先生，中国国籍，无境外永久居留权，</w:t>
      </w:r>
      <w:r>
        <w:rPr>
          <w:rFonts w:ascii="宋体" w:hAnsi="宋体" w:cs="宋体" w:eastAsia="宋体" w:hint="default"/>
          <w:spacing w:val="-3"/>
          <w:sz w:val="18"/>
          <w:szCs w:val="18"/>
        </w:rPr>
        <w:t>1964</w:t>
      </w:r>
      <w:r>
        <w:rPr>
          <w:rFonts w:ascii="宋体" w:hAnsi="宋体" w:cs="宋体" w:eastAsia="宋体" w:hint="default"/>
          <w:spacing w:val="-3"/>
          <w:sz w:val="18"/>
          <w:szCs w:val="18"/>
        </w:rPr>
        <w:t>年</w:t>
      </w:r>
      <w:r>
        <w:rPr>
          <w:rFonts w:ascii="宋体" w:hAnsi="宋体" w:cs="宋体" w:eastAsia="宋体" w:hint="default"/>
          <w:spacing w:val="-3"/>
          <w:sz w:val="18"/>
          <w:szCs w:val="18"/>
        </w:rPr>
        <w:t>4</w:t>
      </w:r>
      <w:r>
        <w:rPr>
          <w:rFonts w:ascii="宋体" w:hAnsi="宋体" w:cs="宋体" w:eastAsia="宋体" w:hint="default"/>
          <w:spacing w:val="-3"/>
          <w:sz w:val="18"/>
          <w:szCs w:val="18"/>
        </w:rPr>
        <w:t>月出生，博士学历。</w:t>
      </w:r>
      <w:r>
        <w:rPr>
          <w:rFonts w:ascii="宋体" w:hAnsi="宋体" w:cs="宋体" w:eastAsia="宋体" w:hint="default"/>
          <w:spacing w:val="-3"/>
          <w:sz w:val="18"/>
          <w:szCs w:val="18"/>
        </w:rPr>
        <w:t>1988</w:t>
      </w:r>
      <w:r>
        <w:rPr>
          <w:rFonts w:ascii="宋体" w:hAnsi="宋体" w:cs="宋体" w:eastAsia="宋体" w:hint="default"/>
          <w:spacing w:val="-3"/>
          <w:sz w:val="18"/>
          <w:szCs w:val="18"/>
        </w:rPr>
        <w:t>年至</w:t>
      </w:r>
      <w:r>
        <w:rPr>
          <w:rFonts w:ascii="宋体" w:hAnsi="宋体" w:cs="宋体" w:eastAsia="宋体" w:hint="default"/>
          <w:spacing w:val="-3"/>
          <w:sz w:val="18"/>
          <w:szCs w:val="18"/>
        </w:rPr>
        <w:t>1990</w:t>
      </w:r>
      <w:r>
        <w:rPr>
          <w:rFonts w:ascii="宋体" w:hAnsi="宋体" w:cs="宋体" w:eastAsia="宋体" w:hint="default"/>
          <w:spacing w:val="-3"/>
          <w:sz w:val="18"/>
          <w:szCs w:val="18"/>
        </w:rPr>
        <w:t>年任中央财经大学金融系讲师，</w:t>
      </w:r>
      <w:r>
        <w:rPr>
          <w:rFonts w:ascii="宋体" w:hAnsi="宋体" w:cs="宋体" w:eastAsia="宋体" w:hint="default"/>
          <w:spacing w:val="-3"/>
          <w:sz w:val="18"/>
          <w:szCs w:val="18"/>
        </w:rPr>
        <w:t>1990</w:t>
      </w:r>
      <w:r>
        <w:rPr>
          <w:rFonts w:ascii="宋体" w:hAnsi="宋体" w:cs="宋体" w:eastAsia="宋体" w:hint="default"/>
          <w:spacing w:val="-76"/>
          <w:sz w:val="18"/>
          <w:szCs w:val="18"/>
        </w:rPr>
        <w:t> </w:t>
      </w:r>
      <w:r>
        <w:rPr>
          <w:rFonts w:ascii="宋体" w:hAnsi="宋体" w:cs="宋体" w:eastAsia="宋体" w:hint="default"/>
          <w:sz w:val="18"/>
          <w:szCs w:val="18"/>
        </w:rPr>
        <w:t>年至</w:t>
      </w:r>
      <w:r>
        <w:rPr>
          <w:rFonts w:ascii="宋体" w:hAnsi="宋体" w:cs="宋体" w:eastAsia="宋体" w:hint="default"/>
          <w:sz w:val="18"/>
          <w:szCs w:val="18"/>
        </w:rPr>
        <w:t>1992</w:t>
      </w:r>
      <w:r>
        <w:rPr>
          <w:rFonts w:ascii="宋体" w:hAnsi="宋体" w:cs="宋体" w:eastAsia="宋体" w:hint="default"/>
          <w:sz w:val="18"/>
          <w:szCs w:val="18"/>
        </w:rPr>
        <w:t>年任中国京安公司金融部经理，</w:t>
      </w:r>
      <w:r>
        <w:rPr>
          <w:rFonts w:ascii="宋体" w:hAnsi="宋体" w:cs="宋体" w:eastAsia="宋体" w:hint="default"/>
          <w:sz w:val="18"/>
          <w:szCs w:val="18"/>
        </w:rPr>
        <w:t>1993</w:t>
      </w:r>
      <w:r>
        <w:rPr>
          <w:rFonts w:ascii="宋体" w:hAnsi="宋体" w:cs="宋体" w:eastAsia="宋体" w:hint="default"/>
          <w:sz w:val="18"/>
          <w:szCs w:val="18"/>
        </w:rPr>
        <w:t>年至</w:t>
      </w:r>
      <w:r>
        <w:rPr>
          <w:rFonts w:ascii="宋体" w:hAnsi="宋体" w:cs="宋体" w:eastAsia="宋体" w:hint="default"/>
          <w:sz w:val="18"/>
          <w:szCs w:val="18"/>
        </w:rPr>
        <w:t>1999</w:t>
      </w:r>
      <w:r>
        <w:rPr>
          <w:rFonts w:ascii="宋体" w:hAnsi="宋体" w:cs="宋体" w:eastAsia="宋体" w:hint="default"/>
          <w:sz w:val="18"/>
          <w:szCs w:val="18"/>
        </w:rPr>
        <w:t>年任珠海经济特区金图实业公司董事长兼总经理。</w:t>
      </w:r>
      <w:r>
        <w:rPr>
          <w:rFonts w:ascii="宋体" w:hAnsi="宋体" w:cs="宋体" w:eastAsia="宋体" w:hint="default"/>
          <w:sz w:val="18"/>
          <w:szCs w:val="18"/>
        </w:rPr>
        <w:t>2002</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月起就职 </w:t>
      </w:r>
      <w:r>
        <w:rPr>
          <w:rFonts w:ascii="宋体" w:hAnsi="宋体" w:cs="宋体" w:eastAsia="宋体" w:hint="default"/>
          <w:spacing w:val="-2"/>
          <w:sz w:val="18"/>
          <w:szCs w:val="18"/>
        </w:rPr>
        <w:t>于深圳市创新投资集团有限公司，现任深创投集团执行总经理、投资决策委员会专职委员，并兼任上海创新投资管理有限公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司总经理，上海红土创业投资有限公司董事，浙江红土创业投资有限公司董事、总经理，杭州红土创业投资有限公司董事、 </w:t>
      </w:r>
      <w:r>
        <w:rPr>
          <w:rFonts w:ascii="宋体" w:hAnsi="宋体" w:cs="宋体" w:eastAsia="宋体" w:hint="default"/>
          <w:spacing w:val="-2"/>
          <w:sz w:val="18"/>
          <w:szCs w:val="18"/>
        </w:rPr>
        <w:t>总经理，米粒影业董事，杭州米趣董事，福建圣元环保监事，云南丽都花卉发展有限公司副董事长，浙江爱侣科技有限公司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董事。</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月任公司董事，</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月至今任公司监事。</w:t>
      </w:r>
    </w:p>
    <w:p>
      <w:pPr>
        <w:spacing w:line="316" w:lineRule="auto" w:before="19"/>
        <w:ind w:left="112" w:right="1034" w:firstLine="0"/>
        <w:jc w:val="left"/>
        <w:rPr>
          <w:rFonts w:ascii="宋体" w:hAnsi="宋体" w:cs="宋体" w:eastAsia="宋体" w:hint="default"/>
          <w:sz w:val="18"/>
          <w:szCs w:val="18"/>
        </w:rPr>
      </w:pPr>
      <w:r>
        <w:rPr>
          <w:rFonts w:ascii="宋体" w:hAnsi="宋体" w:cs="宋体" w:eastAsia="宋体" w:hint="default"/>
          <w:spacing w:val="-3"/>
          <w:sz w:val="18"/>
          <w:szCs w:val="18"/>
        </w:rPr>
        <w:t>黄元俊，男，中国国籍，无境外永久居留权。</w:t>
      </w:r>
      <w:r>
        <w:rPr>
          <w:rFonts w:ascii="宋体" w:hAnsi="宋体" w:cs="宋体" w:eastAsia="宋体" w:hint="default"/>
          <w:spacing w:val="-3"/>
          <w:sz w:val="18"/>
          <w:szCs w:val="18"/>
        </w:rPr>
        <w:t>1976</w:t>
      </w:r>
      <w:r>
        <w:rPr>
          <w:rFonts w:ascii="宋体" w:hAnsi="宋体" w:cs="宋体" w:eastAsia="宋体"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3</w:t>
      </w:r>
      <w:r>
        <w:rPr>
          <w:rFonts w:ascii="宋体" w:hAnsi="宋体" w:cs="宋体" w:eastAsia="宋体" w:hint="default"/>
          <w:spacing w:val="4"/>
          <w:sz w:val="18"/>
          <w:szCs w:val="18"/>
        </w:rPr>
        <w:t> </w:t>
      </w:r>
      <w:r>
        <w:rPr>
          <w:rFonts w:ascii="宋体" w:hAnsi="宋体" w:cs="宋体" w:eastAsia="宋体" w:hint="default"/>
          <w:spacing w:val="-3"/>
          <w:sz w:val="18"/>
          <w:szCs w:val="18"/>
        </w:rPr>
        <w:t>月出生，本科学历，项目经理。</w:t>
      </w:r>
      <w:r>
        <w:rPr>
          <w:rFonts w:ascii="宋体" w:hAnsi="宋体" w:cs="宋体" w:eastAsia="宋体" w:hint="default"/>
          <w:spacing w:val="-3"/>
          <w:sz w:val="18"/>
          <w:szCs w:val="18"/>
        </w:rPr>
        <w:t>1998</w:t>
      </w:r>
      <w:r>
        <w:rPr>
          <w:rFonts w:ascii="宋体" w:hAnsi="宋体" w:cs="宋体" w:eastAsia="宋体"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宋体" w:hAnsi="宋体" w:cs="宋体" w:eastAsia="宋体" w:hint="default"/>
          <w:sz w:val="18"/>
          <w:szCs w:val="18"/>
        </w:rPr>
        <w:t>8</w:t>
      </w:r>
      <w:r>
        <w:rPr>
          <w:rFonts w:ascii="宋体" w:hAnsi="宋体" w:cs="宋体" w:eastAsia="宋体" w:hint="default"/>
          <w:spacing w:val="8"/>
          <w:sz w:val="18"/>
          <w:szCs w:val="18"/>
        </w:rPr>
        <w:t> </w:t>
      </w:r>
      <w:r>
        <w:rPr>
          <w:rFonts w:ascii="宋体" w:hAnsi="宋体" w:cs="宋体" w:eastAsia="宋体" w:hint="default"/>
          <w:sz w:val="18"/>
          <w:szCs w:val="18"/>
        </w:rPr>
        <w:t>月起就职于上海中信信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息发展股份有限公司。历任公司技术部技术工程师、技术部经理、</w:t>
      </w:r>
      <w:r>
        <w:rPr>
          <w:rFonts w:ascii="宋体" w:hAnsi="宋体" w:cs="宋体" w:eastAsia="宋体" w:hint="default"/>
          <w:sz w:val="18"/>
          <w:szCs w:val="18"/>
        </w:rPr>
        <w:t>S1 </w:t>
      </w:r>
      <w:r>
        <w:rPr>
          <w:rFonts w:ascii="宋体" w:hAnsi="宋体" w:cs="宋体" w:eastAsia="宋体" w:hint="default"/>
          <w:sz w:val="18"/>
          <w:szCs w:val="18"/>
        </w:rPr>
        <w:t>服务部技术总监、</w:t>
      </w:r>
      <w:r>
        <w:rPr>
          <w:rFonts w:ascii="宋体" w:hAnsi="宋体" w:cs="宋体" w:eastAsia="宋体" w:hint="default"/>
          <w:sz w:val="18"/>
          <w:szCs w:val="18"/>
        </w:rPr>
        <w:t>S1</w:t>
      </w:r>
      <w:r>
        <w:rPr>
          <w:rFonts w:ascii="宋体" w:hAnsi="宋体" w:cs="宋体" w:eastAsia="宋体" w:hint="default"/>
          <w:spacing w:val="-54"/>
          <w:sz w:val="18"/>
          <w:szCs w:val="18"/>
        </w:rPr>
        <w:t> </w:t>
      </w:r>
      <w:r>
        <w:rPr>
          <w:rFonts w:ascii="宋体" w:hAnsi="宋体" w:cs="宋体" w:eastAsia="宋体" w:hint="default"/>
          <w:sz w:val="18"/>
          <w:szCs w:val="18"/>
        </w:rPr>
        <w:t>集成部副总经理、流通追溯事业 部副总经理等职。现任公司智慧食安事业群副总裁。</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月起担任公司非职工代表监事。 </w:t>
      </w:r>
      <w:r>
        <w:rPr>
          <w:rFonts w:ascii="宋体" w:hAnsi="宋体" w:cs="宋体" w:eastAsia="宋体" w:hint="default"/>
          <w:spacing w:val="-3"/>
          <w:sz w:val="18"/>
          <w:szCs w:val="18"/>
        </w:rPr>
        <w:t>张颖女士，中国国籍，无境外永久居留权，</w:t>
      </w:r>
      <w:r>
        <w:rPr>
          <w:rFonts w:ascii="宋体" w:hAnsi="宋体" w:cs="宋体" w:eastAsia="宋体" w:hint="default"/>
          <w:spacing w:val="-3"/>
          <w:sz w:val="18"/>
          <w:szCs w:val="18"/>
        </w:rPr>
        <w:t>1978</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月出生，研究生学历，高级国际财务管理师。</w:t>
      </w:r>
      <w:r>
        <w:rPr>
          <w:rFonts w:ascii="宋体" w:hAnsi="宋体" w:cs="宋体" w:eastAsia="宋体" w:hint="default"/>
          <w:spacing w:val="-3"/>
          <w:sz w:val="18"/>
          <w:szCs w:val="18"/>
        </w:rPr>
        <w:t>2006</w:t>
      </w:r>
      <w:r>
        <w:rPr>
          <w:rFonts w:ascii="宋体" w:hAnsi="宋体" w:cs="宋体" w:eastAsia="宋体" w:hint="default"/>
          <w:spacing w:val="-3"/>
          <w:sz w:val="18"/>
          <w:szCs w:val="18"/>
        </w:rPr>
        <w:t>年起就职于中信有限，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任公司财务部经理。现任公司财务总监。</w:t>
      </w:r>
      <w:r>
        <w:rPr>
          <w:rFonts w:ascii="宋体" w:hAnsi="宋体" w:cs="宋体" w:eastAsia="宋体" w:hint="default"/>
          <w:spacing w:val="-2"/>
          <w:sz w:val="18"/>
          <w:szCs w:val="18"/>
        </w:rPr>
        <w:t>2011</w:t>
      </w:r>
      <w:r>
        <w:rPr>
          <w:rFonts w:ascii="宋体" w:hAnsi="宋体" w:cs="宋体" w:eastAsia="宋体" w:hint="default"/>
          <w:spacing w:val="-2"/>
          <w:sz w:val="18"/>
          <w:szCs w:val="18"/>
        </w:rPr>
        <w:t>年至</w:t>
      </w:r>
      <w:r>
        <w:rPr>
          <w:rFonts w:ascii="宋体" w:hAnsi="宋体" w:cs="宋体" w:eastAsia="宋体" w:hint="default"/>
          <w:spacing w:val="-2"/>
          <w:sz w:val="18"/>
          <w:szCs w:val="18"/>
        </w:rPr>
        <w:t>2016</w:t>
      </w:r>
      <w:r>
        <w:rPr>
          <w:rFonts w:ascii="宋体" w:hAnsi="宋体" w:cs="宋体" w:eastAsia="宋体" w:hint="default"/>
          <w:spacing w:val="-2"/>
          <w:sz w:val="18"/>
          <w:szCs w:val="18"/>
        </w:rPr>
        <w:t>年上海市普陀区长征镇人大代表，</w:t>
      </w:r>
      <w:r>
        <w:rPr>
          <w:rFonts w:ascii="宋体" w:hAnsi="宋体" w:cs="宋体" w:eastAsia="宋体" w:hint="default"/>
          <w:spacing w:val="-2"/>
          <w:sz w:val="18"/>
          <w:szCs w:val="18"/>
        </w:rPr>
        <w:t>2011</w:t>
      </w:r>
      <w:r>
        <w:rPr>
          <w:rFonts w:ascii="宋体" w:hAnsi="宋体" w:cs="宋体" w:eastAsia="宋体" w:hint="default"/>
          <w:spacing w:val="-2"/>
          <w:sz w:val="18"/>
          <w:szCs w:val="18"/>
        </w:rPr>
        <w:t>年荣获软件企业一体化管理实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践个人三等奖，</w:t>
      </w:r>
      <w:r>
        <w:rPr>
          <w:rFonts w:ascii="宋体" w:hAnsi="宋体" w:cs="宋体" w:eastAsia="宋体" w:hint="default"/>
          <w:spacing w:val="-3"/>
          <w:sz w:val="18"/>
          <w:szCs w:val="18"/>
        </w:rPr>
        <w:t>2014</w:t>
      </w:r>
      <w:r>
        <w:rPr>
          <w:rFonts w:ascii="宋体" w:hAnsi="宋体" w:cs="宋体" w:eastAsia="宋体" w:hint="default"/>
          <w:spacing w:val="-3"/>
          <w:sz w:val="18"/>
          <w:szCs w:val="18"/>
        </w:rPr>
        <w:t>年荣获软件行业标兵称号，</w:t>
      </w:r>
      <w:r>
        <w:rPr>
          <w:rFonts w:ascii="宋体" w:hAnsi="宋体" w:cs="宋体" w:eastAsia="宋体" w:hint="default"/>
          <w:spacing w:val="-3"/>
          <w:sz w:val="18"/>
          <w:szCs w:val="18"/>
        </w:rPr>
        <w:t>2017</w:t>
      </w:r>
      <w:r>
        <w:rPr>
          <w:rFonts w:ascii="宋体" w:hAnsi="宋体" w:cs="宋体" w:eastAsia="宋体" w:hint="default"/>
          <w:spacing w:val="-3"/>
          <w:sz w:val="18"/>
          <w:szCs w:val="18"/>
        </w:rPr>
        <w:t>年中国上海国际财务管理师（</w:t>
      </w:r>
      <w:r>
        <w:rPr>
          <w:rFonts w:ascii="宋体" w:hAnsi="宋体" w:cs="宋体" w:eastAsia="宋体" w:hint="default"/>
          <w:spacing w:val="-3"/>
          <w:sz w:val="18"/>
          <w:szCs w:val="18"/>
        </w:rPr>
        <w:t>IFM</w:t>
      </w:r>
      <w:r>
        <w:rPr>
          <w:rFonts w:ascii="宋体" w:hAnsi="宋体" w:cs="宋体" w:eastAsia="宋体" w:hint="default"/>
          <w:spacing w:val="-3"/>
          <w:sz w:val="18"/>
          <w:szCs w:val="18"/>
        </w:rPr>
        <w:t>）“十大年度人物”，</w:t>
      </w:r>
      <w:r>
        <w:rPr>
          <w:rFonts w:ascii="宋体" w:hAnsi="宋体" w:cs="宋体" w:eastAsia="宋体" w:hint="default"/>
          <w:spacing w:val="-3"/>
          <w:sz w:val="18"/>
          <w:szCs w:val="18"/>
        </w:rPr>
        <w:t>2018</w:t>
      </w:r>
      <w:r>
        <w:rPr>
          <w:rFonts w:ascii="宋体" w:hAnsi="宋体" w:cs="宋体" w:eastAsia="宋体" w:hint="default"/>
          <w:spacing w:val="-3"/>
          <w:sz w:val="18"/>
          <w:szCs w:val="18"/>
        </w:rPr>
        <w:t>年中国上海</w:t>
      </w:r>
      <w:r>
        <w:rPr>
          <w:rFonts w:ascii="宋体" w:hAnsi="宋体" w:cs="宋体" w:eastAsia="宋体" w:hint="default"/>
          <w:sz w:val="18"/>
          <w:szCs w:val="18"/>
        </w:rPr>
        <w:t> </w:t>
      </w:r>
      <w:r>
        <w:rPr>
          <w:rFonts w:ascii="宋体" w:hAnsi="宋体" w:cs="宋体" w:eastAsia="宋体" w:hint="default"/>
          <w:spacing w:val="-9"/>
          <w:sz w:val="18"/>
          <w:szCs w:val="18"/>
        </w:rPr>
        <w:t>国际财务管理师（</w:t>
      </w:r>
      <w:r>
        <w:rPr>
          <w:rFonts w:ascii="宋体" w:hAnsi="宋体" w:cs="宋体" w:eastAsia="宋体" w:hint="default"/>
          <w:spacing w:val="-9"/>
          <w:sz w:val="18"/>
          <w:szCs w:val="18"/>
        </w:rPr>
        <w:t>IFM</w:t>
      </w:r>
      <w:r>
        <w:rPr>
          <w:rFonts w:ascii="宋体" w:hAnsi="宋体" w:cs="宋体" w:eastAsia="宋体" w:hint="default"/>
          <w:spacing w:val="-9"/>
          <w:sz w:val="18"/>
          <w:szCs w:val="18"/>
        </w:rPr>
        <w:t>）“十大领军人物”。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徐云蔚先生，中国国籍，无境外永久居留权，</w:t>
      </w:r>
      <w:r>
        <w:rPr>
          <w:rFonts w:ascii="宋体" w:hAnsi="宋体" w:cs="宋体" w:eastAsia="宋体" w:hint="default"/>
          <w:spacing w:val="-2"/>
          <w:sz w:val="18"/>
          <w:szCs w:val="18"/>
        </w:rPr>
        <w:t>1972</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月出生，毕业于西安交通大学，硕士研究生学历。</w:t>
      </w:r>
      <w:r>
        <w:rPr>
          <w:rFonts w:ascii="宋体" w:hAnsi="宋体" w:cs="宋体" w:eastAsia="宋体" w:hint="default"/>
          <w:spacing w:val="-2"/>
          <w:sz w:val="18"/>
          <w:szCs w:val="18"/>
        </w:rPr>
        <w:t>1994</w:t>
      </w:r>
      <w:r>
        <w:rPr>
          <w:rFonts w:ascii="宋体" w:hAnsi="宋体" w:cs="宋体" w:eastAsia="宋体" w:hint="default"/>
          <w:spacing w:val="-2"/>
          <w:sz w:val="18"/>
          <w:szCs w:val="18"/>
        </w:rPr>
        <w:t>年至</w:t>
      </w:r>
      <w:r>
        <w:rPr>
          <w:rFonts w:ascii="宋体" w:hAnsi="宋体" w:cs="宋体" w:eastAsia="宋体" w:hint="default"/>
          <w:spacing w:val="-2"/>
          <w:sz w:val="18"/>
          <w:szCs w:val="18"/>
        </w:rPr>
        <w:t>1998</w:t>
      </w:r>
      <w:r>
        <w:rPr>
          <w:rFonts w:ascii="宋体" w:hAnsi="宋体" w:cs="宋体" w:eastAsia="宋体" w:hint="default"/>
          <w:spacing w:val="-2"/>
          <w:sz w:val="18"/>
          <w:szCs w:val="18"/>
        </w:rPr>
        <w:t>年任</w:t>
      </w:r>
      <w:r>
        <w:rPr>
          <w:rFonts w:ascii="宋体" w:hAnsi="宋体" w:cs="宋体" w:eastAsia="宋体" w:hint="default"/>
          <w:spacing w:val="-58"/>
          <w:sz w:val="18"/>
          <w:szCs w:val="18"/>
        </w:rPr>
        <w:t> </w:t>
      </w:r>
      <w:r>
        <w:rPr>
          <w:rFonts w:ascii="宋体" w:hAnsi="宋体" w:cs="宋体" w:eastAsia="宋体" w:hint="default"/>
          <w:spacing w:val="-2"/>
          <w:sz w:val="18"/>
          <w:szCs w:val="18"/>
        </w:rPr>
        <w:t>百事顺期货经纪有限公司期货交易员；</w:t>
      </w:r>
      <w:r>
        <w:rPr>
          <w:rFonts w:ascii="宋体" w:hAnsi="宋体" w:cs="宋体" w:eastAsia="宋体" w:hint="default"/>
          <w:spacing w:val="-2"/>
          <w:sz w:val="18"/>
          <w:szCs w:val="18"/>
        </w:rPr>
        <w:t>1999</w:t>
      </w:r>
      <w:r>
        <w:rPr>
          <w:rFonts w:ascii="宋体" w:hAnsi="宋体" w:cs="宋体" w:eastAsia="宋体" w:hint="default"/>
          <w:spacing w:val="-2"/>
          <w:sz w:val="18"/>
          <w:szCs w:val="18"/>
        </w:rPr>
        <w:t>年至</w:t>
      </w:r>
      <w:r>
        <w:rPr>
          <w:rFonts w:ascii="宋体" w:hAnsi="宋体" w:cs="宋体" w:eastAsia="宋体" w:hint="default"/>
          <w:spacing w:val="-2"/>
          <w:sz w:val="18"/>
          <w:szCs w:val="18"/>
        </w:rPr>
        <w:t>2001</w:t>
      </w:r>
      <w:r>
        <w:rPr>
          <w:rFonts w:ascii="宋体" w:hAnsi="宋体" w:cs="宋体" w:eastAsia="宋体" w:hint="default"/>
          <w:spacing w:val="-2"/>
          <w:sz w:val="18"/>
          <w:szCs w:val="18"/>
        </w:rPr>
        <w:t>年任环球资源销售代表；</w:t>
      </w:r>
      <w:r>
        <w:rPr>
          <w:rFonts w:ascii="宋体" w:hAnsi="宋体" w:cs="宋体" w:eastAsia="宋体" w:hint="default"/>
          <w:spacing w:val="-2"/>
          <w:sz w:val="18"/>
          <w:szCs w:val="18"/>
        </w:rPr>
        <w:t>2001</w:t>
      </w:r>
      <w:r>
        <w:rPr>
          <w:rFonts w:ascii="宋体" w:hAnsi="宋体" w:cs="宋体" w:eastAsia="宋体" w:hint="default"/>
          <w:spacing w:val="-2"/>
          <w:sz w:val="18"/>
          <w:szCs w:val="18"/>
        </w:rPr>
        <w:t>年至</w:t>
      </w:r>
      <w:r>
        <w:rPr>
          <w:rFonts w:ascii="宋体" w:hAnsi="宋体" w:cs="宋体" w:eastAsia="宋体" w:hint="default"/>
          <w:spacing w:val="-2"/>
          <w:sz w:val="18"/>
          <w:szCs w:val="18"/>
        </w:rPr>
        <w:t>2004</w:t>
      </w:r>
      <w:r>
        <w:rPr>
          <w:rFonts w:ascii="宋体" w:hAnsi="宋体" w:cs="宋体" w:eastAsia="宋体" w:hint="default"/>
          <w:spacing w:val="-2"/>
          <w:sz w:val="18"/>
          <w:szCs w:val="18"/>
        </w:rPr>
        <w:t>年任新加坡利全信息（上海）有</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限公司负责人。</w:t>
      </w:r>
      <w:r>
        <w:rPr>
          <w:rFonts w:ascii="宋体" w:hAnsi="宋体" w:cs="宋体" w:eastAsia="宋体" w:hint="default"/>
          <w:spacing w:val="-2"/>
          <w:sz w:val="18"/>
          <w:szCs w:val="18"/>
        </w:rPr>
        <w:t>2004</w:t>
      </w:r>
      <w:r>
        <w:rPr>
          <w:rFonts w:ascii="宋体" w:hAnsi="宋体" w:cs="宋体" w:eastAsia="宋体" w:hint="default"/>
          <w:spacing w:val="-2"/>
          <w:sz w:val="18"/>
          <w:szCs w:val="18"/>
        </w:rPr>
        <w:t>年</w:t>
      </w:r>
      <w:r>
        <w:rPr>
          <w:rFonts w:ascii="宋体" w:hAnsi="宋体" w:cs="宋体" w:eastAsia="宋体" w:hint="default"/>
          <w:spacing w:val="-2"/>
          <w:sz w:val="18"/>
          <w:szCs w:val="18"/>
        </w:rPr>
        <w:t>10</w:t>
      </w:r>
      <w:r>
        <w:rPr>
          <w:rFonts w:ascii="宋体" w:hAnsi="宋体" w:cs="宋体" w:eastAsia="宋体" w:hint="default"/>
          <w:spacing w:val="-2"/>
          <w:sz w:val="18"/>
          <w:szCs w:val="18"/>
        </w:rPr>
        <w:t>月起就职于中信有限，历任公司高级销售经理、市场部经理、总经理助理、华北区总经理、总裁助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理、副总裁、董事会秘书。</w:t>
      </w:r>
    </w:p>
    <w:p>
      <w:pPr>
        <w:spacing w:before="59"/>
        <w:ind w:left="112" w:right="1133"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4"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8" w:right="166"/>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1"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9" w:right="158"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上海中信电子发展有限公司执行董事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上海国盛资本管理有限公司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28"/>
              <w:jc w:val="left"/>
              <w:rPr>
                <w:rFonts w:ascii="宋体" w:hAnsi="宋体" w:cs="宋体" w:eastAsia="宋体" w:hint="default"/>
                <w:sz w:val="18"/>
                <w:szCs w:val="18"/>
              </w:rPr>
            </w:pPr>
            <w:r>
              <w:rPr>
                <w:rFonts w:ascii="宋体" w:hAnsi="宋体" w:cs="宋体" w:eastAsia="宋体" w:hint="default"/>
                <w:sz w:val="18"/>
                <w:szCs w:val="18"/>
              </w:rPr>
              <w:t>投资部执 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4"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01"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2" w:right="161"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上海师范大学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东华大学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祝小兵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上海开放大学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光典信息发展有限公司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信发资产管理有限责任公司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上海追索信息科技有限公司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追溯云（上海）信用科技有限公司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智秾信息发展股份有限公司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易批生鲜信息发展股份有限公司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淘菜猫信息发展股份有限公司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95"/>
              <w:jc w:val="left"/>
              <w:rPr>
                <w:rFonts w:ascii="宋体" w:hAnsi="宋体" w:cs="宋体" w:eastAsia="宋体" w:hint="default"/>
                <w:sz w:val="18"/>
                <w:szCs w:val="18"/>
              </w:rPr>
            </w:pPr>
            <w:r>
              <w:rPr>
                <w:rFonts w:ascii="宋体" w:hAnsi="宋体" w:cs="宋体" w:eastAsia="宋体" w:hint="default"/>
                <w:sz w:val="18"/>
                <w:szCs w:val="18"/>
              </w:rPr>
              <w:t>上海天佑铁道新技术研究所股份有限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智秾信息发展股份有限公司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智秾信息发展股份有限公司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光典信息发展有限公司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黄元俊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智秾信息发展股份有限公司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智秾信息发展股份有限公司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执行总经 </w:t>
            </w:r>
            <w:r>
              <w:rPr>
                <w:rFonts w:ascii="宋体" w:hAnsi="宋体" w:cs="宋体" w:eastAsia="宋体" w:hint="default"/>
                <w:spacing w:val="-11"/>
                <w:sz w:val="18"/>
                <w:szCs w:val="18"/>
              </w:rPr>
              <w:t>理、投资决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策委员会 专职委员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上海创新投资管理有限公司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上海红土创业投资有限公司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浙江红土创业投资有限公司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杭州红土创业投资有限公司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杭州米趣网络科技有限公司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云南丽都花卉发展有限公司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爱侣健康科技股份有限公司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苏州米粒影视文化传播有限公司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圣元环保股份有限公司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5"/>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12" w:right="1129"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公司董事、监事、高级管理人员报酬由基本薪酬、绩效奖励两部分组成。基本薪酬主要考虑职位、责任、能力、市场薪资行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情等因素确定，按月发放，公司董事、监事及高级管理人员基本薪酬由薪酬与考核委员会拟订，董事和监事的薪酬由股东大</w:t>
      </w:r>
    </w:p>
    <w:p>
      <w:pPr>
        <w:spacing w:line="316" w:lineRule="auto" w:before="2"/>
        <w:ind w:left="112" w:right="986" w:firstLine="0"/>
        <w:jc w:val="left"/>
        <w:rPr>
          <w:rFonts w:ascii="宋体" w:hAnsi="宋体" w:cs="宋体" w:eastAsia="宋体" w:hint="default"/>
          <w:sz w:val="18"/>
          <w:szCs w:val="18"/>
        </w:rPr>
      </w:pPr>
      <w:r>
        <w:rPr>
          <w:rFonts w:ascii="宋体" w:hAnsi="宋体" w:cs="宋体" w:eastAsia="宋体" w:hint="default"/>
          <w:spacing w:val="-2"/>
          <w:sz w:val="18"/>
          <w:szCs w:val="18"/>
        </w:rPr>
        <w:t>会审议批准，独立董事薪酬由股东大会审议批准，高级管理人员薪酬由董事会审议批准。绩效奖励以年度经营目标为考核基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础，根据董事、监事及高级管理人员完成年度经营指标核定年度奖励总额，并根据董事、监事及高级管理人员的绩效奖励总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7"/>
          <w:sz w:val="18"/>
          <w:szCs w:val="18"/>
        </w:rPr>
        <w:t>额、等级、系数、计算和发放办法等由薪酬考核委员会确定。</w:t>
      </w:r>
      <w:r>
        <w:rPr>
          <w:rFonts w:ascii="宋体" w:hAnsi="宋体" w:cs="宋体" w:eastAsia="宋体" w:hint="default"/>
          <w:spacing w:val="-7"/>
          <w:sz w:val="18"/>
          <w:szCs w:val="18"/>
        </w:rPr>
        <w:t>2019</w:t>
      </w:r>
      <w:r>
        <w:rPr>
          <w:rFonts w:ascii="宋体" w:hAnsi="宋体" w:cs="宋体" w:eastAsia="宋体" w:hint="default"/>
          <w:spacing w:val="-7"/>
          <w:sz w:val="18"/>
          <w:szCs w:val="18"/>
        </w:rPr>
        <w:t>年度公司董事、监事及高级管理人员共</w:t>
      </w:r>
      <w:r>
        <w:rPr>
          <w:rFonts w:ascii="宋体" w:hAnsi="宋体" w:cs="宋体" w:eastAsia="宋体" w:hint="default"/>
          <w:spacing w:val="-7"/>
          <w:sz w:val="18"/>
          <w:szCs w:val="18"/>
        </w:rPr>
        <w:t>16</w:t>
      </w:r>
      <w:r>
        <w:rPr>
          <w:rFonts w:ascii="宋体" w:hAnsi="宋体" w:cs="宋体" w:eastAsia="宋体" w:hint="default"/>
          <w:spacing w:val="-7"/>
          <w:sz w:val="18"/>
          <w:szCs w:val="18"/>
        </w:rPr>
        <w:t>人（含离任人员），</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2019</w:t>
      </w:r>
      <w:r>
        <w:rPr>
          <w:rFonts w:ascii="宋体" w:hAnsi="宋体" w:cs="宋体" w:eastAsia="宋体" w:hint="default"/>
          <w:sz w:val="18"/>
          <w:szCs w:val="18"/>
        </w:rPr>
        <w:t>年度实际支付</w:t>
      </w:r>
      <w:r>
        <w:rPr>
          <w:rFonts w:ascii="宋体" w:hAnsi="宋体" w:cs="宋体" w:eastAsia="宋体" w:hint="default"/>
          <w:sz w:val="18"/>
          <w:szCs w:val="18"/>
        </w:rPr>
        <w:t>501.61</w:t>
      </w:r>
      <w:r>
        <w:rPr>
          <w:rFonts w:ascii="宋体" w:hAnsi="宋体" w:cs="宋体" w:eastAsia="宋体" w:hint="default"/>
          <w:sz w:val="18"/>
          <w:szCs w:val="18"/>
        </w:rPr>
        <w:t>万元</w:t>
      </w:r>
    </w:p>
    <w:p>
      <w:pPr>
        <w:spacing w:line="240" w:lineRule="auto" w:before="1"/>
        <w:rPr>
          <w:rFonts w:ascii="宋体" w:hAnsi="宋体" w:cs="宋体" w:eastAsia="宋体" w:hint="default"/>
          <w:sz w:val="25"/>
          <w:szCs w:val="25"/>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杨安荣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2"/>
                <w:sz w:val="18"/>
              </w:rPr>
              <w:t>48.11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刘理洲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54.14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李志卿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张元利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祝小兵</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陈若初</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尹於舜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黄元俊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45.64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徐云蔚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董事会秘书、 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黄海清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时泂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501.61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五、公司员工情况" w:id="129"/>
      <w:bookmarkEnd w:id="129"/>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693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587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1,280</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1,280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686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527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1,280</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spacing w:line="319" w:lineRule="auto" w:before="0"/>
        <w:ind w:left="112" w:right="1034" w:firstLine="0"/>
        <w:jc w:val="left"/>
        <w:rPr>
          <w:rFonts w:ascii="宋体" w:hAnsi="宋体" w:cs="宋体" w:eastAsia="宋体" w:hint="default"/>
          <w:sz w:val="18"/>
          <w:szCs w:val="18"/>
        </w:rPr>
      </w:pPr>
      <w:r>
        <w:rPr>
          <w:rFonts w:ascii="宋体" w:hAnsi="宋体" w:cs="宋体" w:eastAsia="宋体" w:hint="default"/>
          <w:spacing w:val="-2"/>
          <w:sz w:val="18"/>
          <w:szCs w:val="18"/>
        </w:rPr>
        <w:t>公司高度重视人力资源建设工作，根据发展战略，结合人力资源现状和未来需求预测，建立和实施了薪酬管理制度，制度是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根据岗位职级与岗位类别进行制定，并切实做到岗位薪资与业绩挂钩，以提高员工的满意度，鼓励员工长期稳定的在企业发</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展，同时为企业的发展做出应有的贡献。在本公司领取薪酬的人员，按国家及地方的有关规定享受本公司提供的社会保障。 根据公司薪酬管理制度，公司员工薪酬由基本工资和绩效薪酬所组成。其中，基本工资系根据工作岗位的主要范围、职责、 重要性以及其他相关企业相关岗位的薪酬水平制定，绩效薪酬则根据绩效考核结果确定。</w:t>
      </w:r>
    </w:p>
    <w:p>
      <w:pPr>
        <w:spacing w:line="240" w:lineRule="auto" w:before="9"/>
        <w:rPr>
          <w:rFonts w:ascii="宋体" w:hAnsi="宋体" w:cs="宋体" w:eastAsia="宋体" w:hint="default"/>
          <w:sz w:val="22"/>
          <w:szCs w:val="22"/>
        </w:rPr>
      </w:pPr>
    </w:p>
    <w:p>
      <w:pPr>
        <w:pStyle w:val="Heading6"/>
        <w:spacing w:line="240" w:lineRule="auto"/>
        <w:ind w:right="1133"/>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034" w:firstLine="0"/>
        <w:jc w:val="left"/>
        <w:rPr>
          <w:rFonts w:ascii="宋体" w:hAnsi="宋体" w:cs="宋体" w:eastAsia="宋体" w:hint="default"/>
          <w:sz w:val="18"/>
          <w:szCs w:val="18"/>
        </w:rPr>
      </w:pPr>
      <w:r>
        <w:rPr>
          <w:rFonts w:ascii="宋体" w:hAnsi="宋体" w:cs="宋体" w:eastAsia="宋体" w:hint="default"/>
          <w:spacing w:val="-2"/>
          <w:sz w:val="18"/>
          <w:szCs w:val="18"/>
        </w:rPr>
        <w:t>人才是企业发展的重要战略，人才战略也是信息发展实现业绩增长的加速器，信息发展在多年的经营发展中一直牢记并努力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践行这一人才战略理念，在积累了稳定且结构合理的高素质人才队伍同时，信息发展更注重高标准人才的选用机制建设工作，</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并同步引进了许多高端人才、领军人才来助力企业快速发展，各类人才在管理经营、新产品研发、重大项目建设、科技公关、</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前沿技术探索、云计算、人工智能、大数据研究等方面发挥了重要作用，形成了人尽其才，才尽其用的良好人才发展环境。 </w:t>
      </w:r>
      <w:r>
        <w:rPr>
          <w:rFonts w:ascii="宋体" w:hAnsi="宋体" w:cs="宋体" w:eastAsia="宋体" w:hint="default"/>
          <w:spacing w:val="-2"/>
          <w:sz w:val="18"/>
          <w:szCs w:val="18"/>
        </w:rPr>
        <w:t>未来，信息发展将在创新发展过程中，积极做好人力资源战略规划，构建人才战略版图，让人才成为企业未来发展聚力赋能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的重要保障。 </w:t>
      </w:r>
      <w:r>
        <w:rPr>
          <w:rFonts w:ascii="宋体" w:hAnsi="宋体" w:cs="宋体" w:eastAsia="宋体" w:hint="default"/>
          <w:spacing w:val="-2"/>
          <w:sz w:val="18"/>
          <w:szCs w:val="18"/>
        </w:rPr>
        <w:t>在注重人才引进的同时，信息发展非常重视人才培训、培养机制建设工作，信息发展鹰学院是承担这一重要任务的专业内部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机构。学院自成立以来，每年都以企业的战略业务发展为导向，凭借行业资源知识的储备、严谨的管理制度、多元化的课程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体系、专业的内外部精英讲师团队、注重成果导向的教学模式，为企业持续不断的培养符合企业核心价值观的复合型优秀人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才，并以“鹰”的成长为主线，将人才划分为“雄鹰、精鹰、飞鹰、雏鹰”，通过“历练”成长，最终成为企业未来发展需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7"/>
          <w:sz w:val="18"/>
          <w:szCs w:val="18"/>
        </w:rPr>
        <w:t>要的“鹰人才”和“鹰团队”。</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103,488</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1,924,536.74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399"/>
        <w:jc w:val="center"/>
        <w:rPr>
          <w:b w:val="0"/>
          <w:bCs w:val="0"/>
        </w:rPr>
      </w:pPr>
      <w:bookmarkStart w:name="第十节公司治理" w:id="134"/>
      <w:bookmarkEnd w:id="134"/>
      <w:r>
        <w:rPr>
          <w:b w:val="0"/>
          <w:bCs w:val="0"/>
        </w:rPr>
      </w:r>
      <w:bookmarkStart w:name="_bookmark8" w:id="135"/>
      <w:bookmarkEnd w:id="135"/>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33"/>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1034" w:firstLine="0"/>
        <w:jc w:val="left"/>
        <w:rPr>
          <w:rFonts w:ascii="宋体" w:hAnsi="宋体" w:cs="宋体" w:eastAsia="宋体" w:hint="default"/>
          <w:sz w:val="18"/>
          <w:szCs w:val="18"/>
        </w:rPr>
      </w:pPr>
      <w:r>
        <w:rPr>
          <w:rFonts w:ascii="宋体" w:hAnsi="宋体" w:cs="宋体" w:eastAsia="宋体" w:hint="default"/>
          <w:spacing w:val="-14"/>
          <w:sz w:val="18"/>
          <w:szCs w:val="18"/>
        </w:rPr>
        <w:t>报告期内，公司严格按照《公司法》、《证券法》、《上市公司治理准则》、《深圳证券交易所创业板股票上市规则》、《深圳证券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交易所创业板上市公司规范运作指引》等法律、法规和中国证监会有关法律法规等的要求，不断完善公司的法人治理结构， </w:t>
      </w:r>
      <w:r>
        <w:rPr>
          <w:rFonts w:ascii="宋体" w:hAnsi="宋体" w:cs="宋体" w:eastAsia="宋体" w:hint="default"/>
          <w:spacing w:val="-2"/>
          <w:sz w:val="18"/>
          <w:szCs w:val="18"/>
        </w:rPr>
        <w:t>建立健全公司内部管理和控制制度，持续深入开展公司治理活动，促进了公司规范运作，提高了公司治理水平。截至报告期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末，公司治理的实际状况符合《上市公司治理准则》和《深圳证券交易所创业板上市公司规范运作指引》等要求，在企业管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理各个流程、重大事项、重大风险等方面发挥了较好的控制和防范作用。</w:t>
      </w:r>
    </w:p>
    <w:p>
      <w:pPr>
        <w:spacing w:line="319" w:lineRule="auto" w:before="19"/>
        <w:ind w:left="112" w:right="1121" w:firstLine="0"/>
        <w:jc w:val="left"/>
        <w:rPr>
          <w:rFonts w:ascii="宋体" w:hAnsi="宋体" w:cs="宋体" w:eastAsia="宋体" w:hint="default"/>
          <w:sz w:val="18"/>
          <w:szCs w:val="18"/>
        </w:rPr>
      </w:pPr>
      <w:r>
        <w:rPr>
          <w:rFonts w:ascii="宋体" w:hAnsi="宋体" w:cs="宋体" w:eastAsia="宋体" w:hint="default"/>
          <w:sz w:val="18"/>
          <w:szCs w:val="18"/>
        </w:rPr>
        <w:t>一、关于股东与股东大会 </w:t>
      </w:r>
      <w:r>
        <w:rPr>
          <w:rFonts w:ascii="宋体" w:hAnsi="宋体" w:cs="宋体" w:eastAsia="宋体" w:hint="default"/>
          <w:spacing w:val="-11"/>
          <w:sz w:val="18"/>
          <w:szCs w:val="18"/>
        </w:rPr>
        <w:t>公司严格按照《公司法》、《上市公司股东大会规则》、《深圳证券交易所创业板上市公司规范运作指引》、《公司章程》和公司</w:t>
      </w:r>
    </w:p>
    <w:p>
      <w:pPr>
        <w:spacing w:line="316" w:lineRule="auto" w:before="17"/>
        <w:ind w:left="112" w:right="1131" w:firstLine="0"/>
        <w:jc w:val="both"/>
        <w:rPr>
          <w:rFonts w:ascii="宋体" w:hAnsi="宋体" w:cs="宋体" w:eastAsia="宋体" w:hint="default"/>
          <w:sz w:val="18"/>
          <w:szCs w:val="18"/>
        </w:rPr>
      </w:pPr>
      <w:r>
        <w:rPr>
          <w:rFonts w:ascii="宋体" w:hAnsi="宋体" w:cs="宋体" w:eastAsia="宋体" w:hint="default"/>
          <w:spacing w:val="-2"/>
          <w:sz w:val="18"/>
          <w:szCs w:val="18"/>
        </w:rPr>
        <w:t>《股东大会议事规则》等的规定和要求召集、召开股东大会，能够确保全体股东特别是中小股东享有平等地位，充分行使自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己的权力。同时，公司聘请专业律师见证股东大会，确保会议召集召开以及表决程序符合相关法律规定，维护股东的合法权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益。报告期内公司共召开了</w:t>
      </w:r>
      <w:r>
        <w:rPr>
          <w:rFonts w:ascii="宋体" w:hAnsi="宋体" w:cs="宋体" w:eastAsia="宋体" w:hint="default"/>
          <w:sz w:val="18"/>
          <w:szCs w:val="18"/>
        </w:rPr>
        <w:t>1</w:t>
      </w:r>
      <w:r>
        <w:rPr>
          <w:rFonts w:ascii="宋体" w:hAnsi="宋体" w:cs="宋体" w:eastAsia="宋体" w:hint="default"/>
          <w:sz w:val="18"/>
          <w:szCs w:val="18"/>
        </w:rPr>
        <w:t>次年度股东大会，</w:t>
      </w:r>
      <w:r>
        <w:rPr>
          <w:rFonts w:ascii="宋体" w:hAnsi="宋体" w:cs="宋体" w:eastAsia="宋体" w:hint="default"/>
          <w:sz w:val="18"/>
          <w:szCs w:val="18"/>
        </w:rPr>
        <w:t>5</w:t>
      </w:r>
      <w:r>
        <w:rPr>
          <w:rFonts w:ascii="宋体" w:hAnsi="宋体" w:cs="宋体" w:eastAsia="宋体" w:hint="default"/>
          <w:sz w:val="18"/>
          <w:szCs w:val="18"/>
        </w:rPr>
        <w:t>次临时股东大会，会议均由董事会召集召开。</w:t>
      </w:r>
    </w:p>
    <w:p>
      <w:pPr>
        <w:spacing w:line="316" w:lineRule="auto" w:before="19"/>
        <w:ind w:left="112" w:right="1129" w:firstLine="0"/>
        <w:jc w:val="left"/>
        <w:rPr>
          <w:rFonts w:ascii="宋体" w:hAnsi="宋体" w:cs="宋体" w:eastAsia="宋体" w:hint="default"/>
          <w:sz w:val="18"/>
          <w:szCs w:val="18"/>
        </w:rPr>
      </w:pPr>
      <w:r>
        <w:rPr>
          <w:rFonts w:ascii="宋体" w:hAnsi="宋体" w:cs="宋体" w:eastAsia="宋体" w:hint="default"/>
          <w:sz w:val="18"/>
          <w:szCs w:val="18"/>
        </w:rPr>
        <w:t>二、关于公司与控股股东 </w:t>
      </w:r>
      <w:r>
        <w:rPr>
          <w:rFonts w:ascii="宋体" w:hAnsi="宋体" w:cs="宋体" w:eastAsia="宋体" w:hint="default"/>
          <w:spacing w:val="-2"/>
          <w:sz w:val="18"/>
          <w:szCs w:val="18"/>
        </w:rPr>
        <w:t>公司控股股东能严格规范自己的行为，通过股东大会依法行使其权利并承担义务，没有超越股东大会直接或间接干预公司经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营活动。报告期内，公司没有为控股股东提供担保，亦不存在控股股东非经营性占用公司资金的行为。公司拥有独立完整的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业务和自主经营能力，在业务、人员、资产、机构、财务上独立于控股股东。</w:t>
      </w:r>
    </w:p>
    <w:p>
      <w:pPr>
        <w:spacing w:line="319" w:lineRule="auto" w:before="19"/>
        <w:ind w:left="112" w:right="986" w:firstLine="0"/>
        <w:jc w:val="left"/>
        <w:rPr>
          <w:rFonts w:ascii="宋体" w:hAnsi="宋体" w:cs="宋体" w:eastAsia="宋体" w:hint="default"/>
          <w:sz w:val="18"/>
          <w:szCs w:val="18"/>
        </w:rPr>
      </w:pPr>
      <w:r>
        <w:rPr>
          <w:rFonts w:ascii="宋体" w:hAnsi="宋体" w:cs="宋体" w:eastAsia="宋体" w:hint="default"/>
          <w:sz w:val="18"/>
          <w:szCs w:val="18"/>
        </w:rPr>
        <w:t>三、关于董事和董事会 </w:t>
      </w:r>
      <w:r>
        <w:rPr>
          <w:rFonts w:ascii="宋体" w:hAnsi="宋体" w:cs="宋体" w:eastAsia="宋体" w:hint="default"/>
          <w:spacing w:val="-5"/>
          <w:sz w:val="18"/>
          <w:szCs w:val="18"/>
        </w:rPr>
        <w:t>公司已制定《董事会议事规则》、《独立董事制度》等制度确保董事会规范、高效运作和审慎、科学决策。公司董事会由九名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成员组成，其中独立董事三名，董事会成员具有履行职务所必需的知识、技能和素质，按规定出席董事会和股东大会，勤勉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尽责的履行职责和义务，同时积极参加相关培训，熟悉相关法律法规。报告期共召开董事会会议</w:t>
      </w:r>
      <w:r>
        <w:rPr>
          <w:rFonts w:ascii="宋体" w:hAnsi="宋体" w:cs="宋体" w:eastAsia="宋体" w:hint="default"/>
          <w:spacing w:val="-2"/>
          <w:sz w:val="18"/>
          <w:szCs w:val="18"/>
        </w:rPr>
        <w:t>14</w:t>
      </w:r>
      <w:r>
        <w:rPr>
          <w:rFonts w:ascii="宋体" w:hAnsi="宋体" w:cs="宋体" w:eastAsia="宋体" w:hint="default"/>
          <w:spacing w:val="-2"/>
          <w:sz w:val="18"/>
          <w:szCs w:val="18"/>
        </w:rPr>
        <w:t>次。公司董事会会议能够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按照有关规定召集、召开，记录完整、准确，并妥善保存。</w:t>
      </w:r>
    </w:p>
    <w:p>
      <w:pPr>
        <w:spacing w:line="316" w:lineRule="auto" w:before="17"/>
        <w:ind w:left="112" w:right="986" w:firstLine="0"/>
        <w:jc w:val="left"/>
        <w:rPr>
          <w:rFonts w:ascii="宋体" w:hAnsi="宋体" w:cs="宋体" w:eastAsia="宋体" w:hint="default"/>
          <w:sz w:val="18"/>
          <w:szCs w:val="18"/>
        </w:rPr>
      </w:pPr>
      <w:r>
        <w:rPr>
          <w:rFonts w:ascii="宋体" w:hAnsi="宋体" w:cs="宋体" w:eastAsia="宋体" w:hint="default"/>
          <w:sz w:val="18"/>
          <w:szCs w:val="18"/>
        </w:rPr>
        <w:t>四、关于监事与监事会 </w:t>
      </w:r>
      <w:r>
        <w:rPr>
          <w:rFonts w:ascii="宋体" w:hAnsi="宋体" w:cs="宋体" w:eastAsia="宋体" w:hint="default"/>
          <w:spacing w:val="-5"/>
          <w:sz w:val="18"/>
          <w:szCs w:val="18"/>
        </w:rPr>
        <w:t>公司监事会设监事</w:t>
      </w:r>
      <w:r>
        <w:rPr>
          <w:rFonts w:ascii="宋体" w:hAnsi="宋体" w:cs="宋体" w:eastAsia="宋体" w:hint="default"/>
          <w:spacing w:val="-5"/>
          <w:sz w:val="18"/>
          <w:szCs w:val="18"/>
        </w:rPr>
        <w:t>3</w:t>
      </w:r>
      <w:r>
        <w:rPr>
          <w:rFonts w:ascii="宋体" w:hAnsi="宋体" w:cs="宋体" w:eastAsia="宋体" w:hint="default"/>
          <w:spacing w:val="-5"/>
          <w:sz w:val="18"/>
          <w:szCs w:val="18"/>
        </w:rPr>
        <w:t>名，其中职工监事</w:t>
      </w:r>
      <w:r>
        <w:rPr>
          <w:rFonts w:ascii="宋体" w:hAnsi="宋体" w:cs="宋体" w:eastAsia="宋体" w:hint="default"/>
          <w:spacing w:val="-5"/>
          <w:sz w:val="18"/>
          <w:szCs w:val="18"/>
        </w:rPr>
        <w:t>1</w:t>
      </w:r>
      <w:r>
        <w:rPr>
          <w:rFonts w:ascii="宋体" w:hAnsi="宋体" w:cs="宋体" w:eastAsia="宋体" w:hint="default"/>
          <w:spacing w:val="-5"/>
          <w:sz w:val="18"/>
          <w:szCs w:val="18"/>
        </w:rPr>
        <w:t>名，监事会的人数和构成符合法律、法规的要求。各位监事严格按照《公司法》、《公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司章程》和《监事会议事规则》的有关规定认真履行职责，对公司财务状况、重大事项以及公司董事及高级管理人员履行职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责的合法合规性等进行监督，维护公司及股东的合法权益。报告期内，公司共召开</w:t>
      </w:r>
      <w:r>
        <w:rPr>
          <w:rFonts w:ascii="宋体" w:hAnsi="宋体" w:cs="宋体" w:eastAsia="宋体" w:hint="default"/>
          <w:spacing w:val="-2"/>
          <w:sz w:val="18"/>
          <w:szCs w:val="18"/>
        </w:rPr>
        <w:t>12</w:t>
      </w:r>
      <w:r>
        <w:rPr>
          <w:rFonts w:ascii="宋体" w:hAnsi="宋体" w:cs="宋体" w:eastAsia="宋体" w:hint="default"/>
          <w:spacing w:val="-2"/>
          <w:sz w:val="18"/>
          <w:szCs w:val="18"/>
        </w:rPr>
        <w:t>次监事会，会议均由监事会主席召集召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开。</w:t>
      </w:r>
    </w:p>
    <w:p>
      <w:pPr>
        <w:spacing w:line="316" w:lineRule="auto" w:before="19"/>
        <w:ind w:left="112" w:right="1124" w:firstLine="0"/>
        <w:jc w:val="left"/>
        <w:rPr>
          <w:rFonts w:ascii="宋体" w:hAnsi="宋体" w:cs="宋体" w:eastAsia="宋体" w:hint="default"/>
          <w:sz w:val="18"/>
          <w:szCs w:val="18"/>
        </w:rPr>
      </w:pPr>
      <w:r>
        <w:rPr>
          <w:rFonts w:ascii="宋体" w:hAnsi="宋体" w:cs="宋体" w:eastAsia="宋体" w:hint="default"/>
          <w:sz w:val="18"/>
          <w:szCs w:val="18"/>
        </w:rPr>
        <w:t>五、关于信息披露与透明度 </w:t>
      </w:r>
      <w:r>
        <w:rPr>
          <w:rFonts w:ascii="宋体" w:hAnsi="宋体" w:cs="宋体" w:eastAsia="宋体" w:hint="default"/>
          <w:spacing w:val="-2"/>
          <w:sz w:val="18"/>
          <w:szCs w:val="18"/>
        </w:rPr>
        <w:t>公司严格按照有关法律法规和公司《信息披露管理制度》的规定，加强信息披露事务管理，履行信息披露义务，并指定《证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1"/>
          <w:sz w:val="18"/>
          <w:szCs w:val="18"/>
        </w:rPr>
        <w:t>券时报》、《中国证券报》、《上海证券报》、《证券日报》和中国证监会指定的创业板信息披露网站（巨潮资讯网</w:t>
      </w:r>
      <w:r>
        <w:rPr>
          <w:rFonts w:ascii="宋体" w:hAnsi="宋体" w:cs="宋体" w:eastAsia="宋体" w:hint="default"/>
          <w:spacing w:val="-75"/>
          <w:sz w:val="18"/>
          <w:szCs w:val="18"/>
        </w:rPr>
        <w:t> </w:t>
      </w:r>
      <w:r>
        <w:rPr>
          <w:rFonts w:ascii="宋体" w:hAnsi="宋体" w:cs="宋体" w:eastAsia="宋体" w:hint="default"/>
          <w:spacing w:val="-75"/>
          <w:sz w:val="18"/>
          <w:szCs w:val="18"/>
        </w:rPr>
      </w:r>
      <w:hyperlink r:id="rId11">
        <w:r>
          <w:rPr>
            <w:rFonts w:ascii="宋体" w:hAnsi="宋体" w:cs="宋体" w:eastAsia="宋体" w:hint="default"/>
            <w:sz w:val="18"/>
            <w:szCs w:val="18"/>
          </w:rPr>
          <w:t>www.cninfo.com.cn</w:t>
        </w:r>
      </w:hyperlink>
      <w:r>
        <w:rPr>
          <w:rFonts w:ascii="宋体" w:hAnsi="宋体" w:cs="宋体" w:eastAsia="宋体" w:hint="default"/>
          <w:sz w:val="18"/>
          <w:szCs w:val="18"/>
        </w:rPr>
        <w:t>）为公司信息披露报纸和网站，真实、准确、及时、完整的披露信息，确保所有投资者公平获取公司信 息。</w:t>
      </w:r>
    </w:p>
    <w:p>
      <w:pPr>
        <w:spacing w:line="316" w:lineRule="auto" w:before="19"/>
        <w:ind w:left="112" w:right="1129" w:firstLine="0"/>
        <w:jc w:val="left"/>
        <w:rPr>
          <w:rFonts w:ascii="宋体" w:hAnsi="宋体" w:cs="宋体" w:eastAsia="宋体" w:hint="default"/>
          <w:sz w:val="18"/>
          <w:szCs w:val="18"/>
        </w:rPr>
      </w:pPr>
      <w:r>
        <w:rPr>
          <w:rFonts w:ascii="宋体" w:hAnsi="宋体" w:cs="宋体" w:eastAsia="宋体" w:hint="default"/>
          <w:sz w:val="18"/>
          <w:szCs w:val="18"/>
        </w:rPr>
        <w:t>六、关于绩效评价与激励约束机制 </w:t>
      </w:r>
      <w:r>
        <w:rPr>
          <w:rFonts w:ascii="宋体" w:hAnsi="宋体" w:cs="宋体" w:eastAsia="宋体" w:hint="default"/>
          <w:spacing w:val="-2"/>
          <w:sz w:val="18"/>
          <w:szCs w:val="18"/>
        </w:rPr>
        <w:t>公司已建立了有效的绩效评价和激励约束机制，公司实行高管人员薪酬与企业经营目标和个人绩效挂钩的薪酬福利，公司现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有的考核及激励约束机制符合公司的发展现状。</w:t>
      </w:r>
    </w:p>
    <w:p>
      <w:pPr>
        <w:spacing w:line="316" w:lineRule="auto" w:before="19"/>
        <w:ind w:left="112" w:right="1133" w:firstLine="0"/>
        <w:jc w:val="left"/>
        <w:rPr>
          <w:rFonts w:ascii="宋体" w:hAnsi="宋体" w:cs="宋体" w:eastAsia="宋体" w:hint="default"/>
          <w:sz w:val="18"/>
          <w:szCs w:val="18"/>
        </w:rPr>
      </w:pPr>
      <w:r>
        <w:rPr>
          <w:rFonts w:ascii="宋体" w:hAnsi="宋体" w:cs="宋体" w:eastAsia="宋体" w:hint="default"/>
          <w:sz w:val="18"/>
          <w:szCs w:val="18"/>
        </w:rPr>
        <w:t>七、关于相关利益者 </w:t>
      </w:r>
      <w:r>
        <w:rPr>
          <w:rFonts w:ascii="宋体" w:hAnsi="宋体" w:cs="宋体" w:eastAsia="宋体" w:hint="default"/>
          <w:spacing w:val="-2"/>
          <w:sz w:val="18"/>
          <w:szCs w:val="18"/>
        </w:rPr>
        <w:t>公司充分尊重和维护相关利益者的合法权益，实现股东、员工、社会等各方利益的协调平衡，诚信对待供应商和客户，坚持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与相关利益者互利共赢的原则，共同推动公司持续、稳健发展。</w:t>
      </w:r>
    </w:p>
    <w:p>
      <w:pPr>
        <w:spacing w:before="59"/>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0" w:lineRule="auto" w:before="114"/>
        <w:ind w:left="112" w:right="355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公司治理的实际状况与中国证监会发布的有关上市公司治理的规范性文件不存在重大差异。</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1133"/>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986" w:firstLine="0"/>
        <w:jc w:val="left"/>
        <w:rPr>
          <w:rFonts w:ascii="宋体" w:hAnsi="宋体" w:cs="宋体" w:eastAsia="宋体" w:hint="default"/>
          <w:sz w:val="18"/>
          <w:szCs w:val="18"/>
        </w:rPr>
      </w:pPr>
      <w:r>
        <w:rPr>
          <w:rFonts w:ascii="宋体" w:hAnsi="宋体" w:cs="宋体" w:eastAsia="宋体" w:hint="default"/>
          <w:spacing w:val="-4"/>
          <w:sz w:val="18"/>
          <w:szCs w:val="18"/>
        </w:rPr>
        <w:t>公司严格按照《公司法》、《证券法》等有关法律、法规和《公司章程》的要求规范运作，与控股股东在业务、人员、资产、</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机构、财务等方面完全独立，具有独立完整的业务及自主经营能力。 </w:t>
      </w:r>
      <w:r>
        <w:rPr>
          <w:rFonts w:ascii="宋体" w:hAnsi="宋体" w:cs="宋体" w:eastAsia="宋体" w:hint="default"/>
          <w:sz w:val="18"/>
          <w:szCs w:val="18"/>
        </w:rPr>
        <w:t>1</w:t>
      </w:r>
      <w:r>
        <w:rPr>
          <w:rFonts w:ascii="宋体" w:hAnsi="宋体" w:cs="宋体" w:eastAsia="宋体" w:hint="default"/>
          <w:sz w:val="18"/>
          <w:szCs w:val="18"/>
        </w:rPr>
        <w:t>、公司的人员独立：公司的董事、监事以及高级管理人员均严格按照法定程序产生。本公司已建立独立的劳动、人事、社 </w:t>
      </w:r>
      <w:r>
        <w:rPr>
          <w:rFonts w:ascii="宋体" w:hAnsi="宋体" w:cs="宋体" w:eastAsia="宋体" w:hint="default"/>
          <w:spacing w:val="-2"/>
          <w:sz w:val="18"/>
          <w:szCs w:val="18"/>
        </w:rPr>
        <w:t>会保障体系及工资管理体系，与员工签订了劳动合同，并按国家规定办理了社会保险。除本公司的总裁兼任公司控股股东的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执行董事外，公司副总裁、财务总监和董事会秘书均未在本公司的控股股东、实际控制人及其控制的其他企业中担任除董事、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监事以外的其他职务，且均未在本公司的控股股东、实际控制人及其控制的其他企业领薪。本公司的财务人员也未在本公司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的控股股东、实际控制人及其控制的其他企业中兼职。 </w:t>
      </w:r>
      <w:r>
        <w:rPr>
          <w:rFonts w:ascii="宋体" w:hAnsi="宋体" w:cs="宋体" w:eastAsia="宋体" w:hint="default"/>
          <w:sz w:val="18"/>
          <w:szCs w:val="18"/>
        </w:rPr>
        <w:t>2</w:t>
      </w:r>
      <w:r>
        <w:rPr>
          <w:rFonts w:ascii="宋体" w:hAnsi="宋体" w:cs="宋体" w:eastAsia="宋体" w:hint="default"/>
          <w:sz w:val="18"/>
          <w:szCs w:val="18"/>
        </w:rPr>
        <w:t>、公司的资产独立完整、权属清晰：公司拥有独立的经营和办公场所，拥有经营所需的设备和其他资产，合法拥有与生产 </w:t>
      </w:r>
      <w:r>
        <w:rPr>
          <w:rFonts w:ascii="宋体" w:hAnsi="宋体" w:cs="宋体" w:eastAsia="宋体" w:hint="default"/>
          <w:spacing w:val="-2"/>
          <w:sz w:val="18"/>
          <w:szCs w:val="18"/>
        </w:rPr>
        <w:t>经营有关的注册商标、专利、非专利技术、著作权的所有权或使用权，与公司股东及实际控制人的资产完全分离，产权关系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清晰，公司的资产独立完整。 </w:t>
      </w:r>
      <w:r>
        <w:rPr>
          <w:rFonts w:ascii="宋体" w:hAnsi="宋体" w:cs="宋体" w:eastAsia="宋体" w:hint="default"/>
          <w:sz w:val="18"/>
          <w:szCs w:val="18"/>
        </w:rPr>
        <w:t>3</w:t>
      </w:r>
      <w:r>
        <w:rPr>
          <w:rFonts w:ascii="宋体" w:hAnsi="宋体" w:cs="宋体" w:eastAsia="宋体" w:hint="default"/>
          <w:sz w:val="18"/>
          <w:szCs w:val="18"/>
        </w:rPr>
        <w:t>、公司财务独立：公司建立了独立的财务部门以及独立的财务核算体系，能够独立作出财务决策，具有规范、独立的财务 </w:t>
      </w:r>
      <w:r>
        <w:rPr>
          <w:rFonts w:ascii="宋体" w:hAnsi="宋体" w:cs="宋体" w:eastAsia="宋体" w:hint="default"/>
          <w:spacing w:val="-2"/>
          <w:sz w:val="18"/>
          <w:szCs w:val="18"/>
        </w:rPr>
        <w:t>会计制度和对分支机构的财务管理制度，并拥有独立的财务会计账簿。公司拥有独立的银行帐户，未与其股东或关联企业共</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用银行帐户。 </w:t>
      </w:r>
      <w:r>
        <w:rPr>
          <w:rFonts w:ascii="宋体" w:hAnsi="宋体" w:cs="宋体" w:eastAsia="宋体" w:hint="default"/>
          <w:spacing w:val="-4"/>
          <w:sz w:val="18"/>
          <w:szCs w:val="18"/>
        </w:rPr>
        <w:t>4</w:t>
      </w:r>
      <w:r>
        <w:rPr>
          <w:rFonts w:ascii="宋体" w:hAnsi="宋体" w:cs="宋体" w:eastAsia="宋体" w:hint="default"/>
          <w:spacing w:val="-4"/>
          <w:sz w:val="18"/>
          <w:szCs w:val="18"/>
        </w:rPr>
        <w:t>、公司机构独立：公司按照有关法律、法规、《公司章程》设立的董事会、监事会，均分别对公司股东大会负责。公司的机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构独立于股东的机构，不存在与股东合署办公的情况。公司已建立健全内部经营管理机构，独立行使经营管理职权，不存在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与股东机构混同的情形。 </w:t>
      </w:r>
      <w:r>
        <w:rPr>
          <w:rFonts w:ascii="宋体" w:hAnsi="宋体" w:cs="宋体" w:eastAsia="宋体" w:hint="default"/>
          <w:sz w:val="18"/>
          <w:szCs w:val="18"/>
        </w:rPr>
        <w:t>5</w:t>
      </w:r>
      <w:r>
        <w:rPr>
          <w:rFonts w:ascii="宋体" w:hAnsi="宋体" w:cs="宋体" w:eastAsia="宋体" w:hint="default"/>
          <w:sz w:val="18"/>
          <w:szCs w:val="18"/>
        </w:rPr>
        <w:t>、公司业务独立：公司通过自身和下属子公司开展生产、销售业务，拥有完整的业务体系。公司独立开展业务，具备直接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面向市场独立经营的能力。公司的业务独立于控股股东、实际控制人，与控股股东、实际控制人不存在同业竞争或者显失公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平的关联交易。</w:t>
      </w:r>
    </w:p>
    <w:p>
      <w:pPr>
        <w:spacing w:line="240" w:lineRule="auto" w:before="11"/>
        <w:rPr>
          <w:rFonts w:ascii="宋体" w:hAnsi="宋体" w:cs="宋体" w:eastAsia="宋体" w:hint="default"/>
          <w:sz w:val="20"/>
          <w:szCs w:val="20"/>
        </w:rPr>
      </w:pPr>
    </w:p>
    <w:p>
      <w:pPr>
        <w:pStyle w:val="Heading4"/>
        <w:spacing w:line="240" w:lineRule="auto"/>
        <w:ind w:right="1133"/>
        <w:jc w:val="left"/>
        <w:rPr>
          <w:b w:val="0"/>
          <w:bCs w:val="0"/>
        </w:rPr>
      </w:pPr>
      <w:bookmarkStart w:name="三、同业竞争情况" w:id="138"/>
      <w:bookmarkEnd w:id="138"/>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0"/>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97"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103" w:right="98"/>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 临时股东大会决 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2019-011</w:t>
            </w:r>
            <w:r>
              <w:rPr>
                <w:rFonts w:ascii="宋体" w:hAnsi="宋体" w:cs="宋体" w:eastAsia="宋体" w:hint="default"/>
                <w:sz w:val="18"/>
                <w:szCs w:val="18"/>
              </w:rPr>
              <w:t>）</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54.74%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103" w:right="38"/>
              <w:jc w:val="both"/>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w:t>
            </w:r>
            <w:r>
              <w:rPr>
                <w:rFonts w:ascii="宋体" w:hAnsi="宋体" w:cs="宋体" w:eastAsia="宋体" w:hint="default"/>
                <w:spacing w:val="-87"/>
                <w:sz w:val="18"/>
                <w:szCs w:val="18"/>
              </w:rPr>
              <w:t> </w:t>
            </w:r>
            <w:r>
              <w:rPr>
                <w:rFonts w:ascii="宋体" w:hAnsi="宋体" w:cs="宋体" w:eastAsia="宋体" w:hint="default"/>
                <w:sz w:val="18"/>
                <w:szCs w:val="18"/>
              </w:rPr>
              <w:t>东大会决议公告》</w:t>
            </w:r>
          </w:p>
          <w:p>
            <w:pPr>
              <w:pStyle w:val="TableParagraph"/>
              <w:spacing w:line="240" w:lineRule="auto" w:before="26"/>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2019-053</w:t>
            </w:r>
            <w:r>
              <w:rPr>
                <w:rFonts w:ascii="宋体" w:hAnsi="宋体" w:cs="宋体" w:eastAsia="宋体" w:hint="default"/>
                <w:sz w:val="18"/>
                <w:szCs w:val="18"/>
              </w:rPr>
              <w:t>）</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300"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399"/>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right="95"/>
              <w:jc w:val="right"/>
              <w:rPr>
                <w:rFonts w:ascii="Times New Roman" w:hAnsi="Times New Roman" w:cs="Times New Roman" w:eastAsia="Times New Roman" w:hint="default"/>
                <w:sz w:val="18"/>
                <w:szCs w:val="18"/>
              </w:rPr>
            </w:pPr>
            <w:r>
              <w:rPr>
                <w:rFonts w:ascii="Times New Roman"/>
                <w:sz w:val="18"/>
              </w:rPr>
              <w:t>54.83%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91"/>
              <w:ind w:left="103" w:right="98"/>
              <w:jc w:val="both"/>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 临时股东大会决</w:t>
            </w:r>
          </w:p>
        </w:tc>
      </w:tr>
    </w:tbl>
    <w:p>
      <w:pPr>
        <w:spacing w:after="0" w:line="304"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议公告》</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2019-073</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103" w:right="98"/>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年第三次 临时股东大会决 议公告》</w:t>
            </w:r>
          </w:p>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2019-087</w:t>
            </w:r>
            <w:r>
              <w:rPr>
                <w:rFonts w:ascii="宋体" w:hAnsi="宋体" w:cs="宋体" w:eastAsia="宋体" w:hint="default"/>
                <w:sz w:val="18"/>
                <w:szCs w:val="18"/>
              </w:rPr>
              <w:t>）</w:t>
            </w:r>
          </w:p>
        </w:tc>
      </w:tr>
      <w:tr>
        <w:trPr>
          <w:trHeight w:val="16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52.24%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103" w:right="98"/>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年第四次 临时股东大会决 议公告》</w:t>
            </w:r>
          </w:p>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2019-117</w:t>
            </w:r>
            <w:r>
              <w:rPr>
                <w:rFonts w:ascii="宋体" w:hAnsi="宋体" w:cs="宋体" w:eastAsia="宋体" w:hint="default"/>
                <w:sz w:val="18"/>
                <w:szCs w:val="18"/>
              </w:rPr>
              <w:t>）</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 时股东大会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103" w:right="98"/>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n</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年第五次 临时股东大会决 议公告》</w:t>
            </w:r>
          </w:p>
          <w:p>
            <w:pPr>
              <w:pStyle w:val="TableParagraph"/>
              <w:spacing w:line="240" w:lineRule="auto" w:before="2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2019-142</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4"/>
        <w:spacing w:line="240" w:lineRule="auto"/>
        <w:ind w:right="1133"/>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16" w:right="125"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2"/>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18" w:right="123"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95" w:right="122"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123"/>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307"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刘红梅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乐嘉锦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祝小兵</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12" w:right="69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报告期内独立董事对公司有关事项未提出异议。</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5"/>
        <w:ind w:left="112" w:right="67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独立董事对公司有关建议被采纳或未被采纳的说明</w:t>
      </w:r>
    </w:p>
    <w:p>
      <w:pPr>
        <w:spacing w:line="316" w:lineRule="auto" w:before="27"/>
        <w:ind w:left="112" w:right="1034" w:firstLine="0"/>
        <w:jc w:val="left"/>
        <w:rPr>
          <w:rFonts w:ascii="宋体" w:hAnsi="宋体" w:cs="宋体" w:eastAsia="宋体" w:hint="default"/>
          <w:sz w:val="18"/>
          <w:szCs w:val="18"/>
        </w:rPr>
      </w:pPr>
      <w:r>
        <w:rPr>
          <w:rFonts w:ascii="宋体" w:hAnsi="宋体" w:cs="宋体" w:eastAsia="宋体" w:hint="default"/>
          <w:spacing w:val="-4"/>
          <w:sz w:val="18"/>
          <w:szCs w:val="18"/>
        </w:rPr>
        <w:t>公司独立董事勤勉尽责，严格按照证监会、深交所的相关规定及《公司章程》、《董事会议事规则》和《独立董事工作细则》</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等相关规定开展工作，本着对公司及中小股东负责的态度，独立公正地履行职责，主动向管理层了解公司经营情况，包括关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联交易、内部控制、聘请审计机构、员工激励等事项，关注外部环境变化对公司的影响，充分发挥了各自在电子行业、金融、</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财务、法律、管理等方面的专业特长，结合公司实际情况，适时提出了建设性意见，对公司生产经营活动进行了有效监督， 提高了公司决策的科学性，为完善公司监督机制，维护公司和全体股东的合法权益发挥了应有的作用。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4"/>
        <w:spacing w:line="240" w:lineRule="auto"/>
        <w:ind w:right="1133"/>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12" w:right="1128" w:firstLine="0"/>
        <w:jc w:val="both"/>
        <w:rPr>
          <w:rFonts w:ascii="宋体" w:hAnsi="宋体" w:cs="宋体" w:eastAsia="宋体" w:hint="default"/>
          <w:sz w:val="18"/>
          <w:szCs w:val="18"/>
        </w:rPr>
      </w:pPr>
      <w:r>
        <w:rPr>
          <w:rFonts w:ascii="宋体" w:hAnsi="宋体" w:cs="宋体" w:eastAsia="宋体" w:hint="default"/>
          <w:spacing w:val="-2"/>
          <w:sz w:val="18"/>
          <w:szCs w:val="18"/>
        </w:rPr>
        <w:t>公司董事会下设审计委员会、战略委员会和薪酬与考核委员会三个专门委员会。报告期内，公司董事会下设的三个专门委员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会严格按照《公司章程》、《董事会议事规则》及各专门委员会的工作细则等相关规定履行各项职责。现将</w:t>
      </w:r>
      <w:r>
        <w:rPr>
          <w:rFonts w:ascii="宋体" w:hAnsi="宋体" w:cs="宋体" w:eastAsia="宋体" w:hint="default"/>
          <w:spacing w:val="-5"/>
          <w:sz w:val="18"/>
          <w:szCs w:val="18"/>
        </w:rPr>
        <w:t>2018</w:t>
      </w:r>
      <w:r>
        <w:rPr>
          <w:rFonts w:ascii="宋体" w:hAnsi="宋体" w:cs="宋体" w:eastAsia="宋体" w:hint="default"/>
          <w:spacing w:val="-5"/>
          <w:sz w:val="18"/>
          <w:szCs w:val="18"/>
        </w:rPr>
        <w:t>年度公司董事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会专门委员会履职情况报告如下：</w:t>
      </w:r>
    </w:p>
    <w:p>
      <w:pPr>
        <w:spacing w:line="316" w:lineRule="auto" w:before="19"/>
        <w:ind w:left="112" w:right="1034" w:firstLine="0"/>
        <w:jc w:val="left"/>
        <w:rPr>
          <w:rFonts w:ascii="宋体" w:hAnsi="宋体" w:cs="宋体" w:eastAsia="宋体" w:hint="default"/>
          <w:sz w:val="18"/>
          <w:szCs w:val="18"/>
        </w:rPr>
      </w:pPr>
      <w:r>
        <w:rPr>
          <w:rFonts w:ascii="宋体" w:hAnsi="宋体" w:cs="宋体" w:eastAsia="宋体" w:hint="default"/>
          <w:spacing w:val="-11"/>
          <w:sz w:val="18"/>
          <w:szCs w:val="18"/>
        </w:rPr>
        <w:t>（一）、审计委员会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由刘红梅女士、乐嘉锦先生、祝小兵先生组成，其中独立董事刘红梅女士为召集人，为会计专业人士。审计委员会负责提议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聘请或更换外部审计机构；监督公司的内部审计制度及其实施；负责内部审计与外部审计之间的沟通；审核公司的财务信息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及其披露；审查公司的内部控制制度，对重大关联交易进行审计；公司董事会授予的其他职权。审计委员会对董事会负责， 委员会的提案提交董事会审议决定。审计委员会应配合监事会的监事审计活动。本报告期内共召开</w:t>
      </w:r>
      <w:r>
        <w:rPr>
          <w:rFonts w:ascii="宋体" w:hAnsi="宋体" w:cs="宋体" w:eastAsia="宋体" w:hint="default"/>
          <w:sz w:val="18"/>
          <w:szCs w:val="18"/>
        </w:rPr>
        <w:t>4</w:t>
      </w:r>
      <w:r>
        <w:rPr>
          <w:rFonts w:ascii="宋体" w:hAnsi="宋体" w:cs="宋体" w:eastAsia="宋体" w:hint="default"/>
          <w:sz w:val="18"/>
          <w:szCs w:val="18"/>
        </w:rPr>
        <w:t>次会议，分别对公司定</w:t>
      </w:r>
      <w:r>
        <w:rPr>
          <w:rFonts w:ascii="宋体" w:hAnsi="宋体" w:cs="宋体" w:eastAsia="宋体" w:hint="default"/>
          <w:spacing w:val="-87"/>
          <w:sz w:val="18"/>
          <w:szCs w:val="18"/>
        </w:rPr>
        <w:t> </w:t>
      </w:r>
      <w:r>
        <w:rPr>
          <w:rFonts w:ascii="宋体" w:hAnsi="宋体" w:cs="宋体" w:eastAsia="宋体" w:hint="default"/>
          <w:sz w:val="18"/>
          <w:szCs w:val="18"/>
        </w:rPr>
        <w:t>期报告、内部审计报告等事项进行审议。</w:t>
      </w:r>
    </w:p>
    <w:p>
      <w:pPr>
        <w:spacing w:line="316" w:lineRule="auto" w:before="19"/>
        <w:ind w:left="112" w:right="986" w:firstLine="0"/>
        <w:jc w:val="left"/>
        <w:rPr>
          <w:rFonts w:ascii="宋体" w:hAnsi="宋体" w:cs="宋体" w:eastAsia="宋体" w:hint="default"/>
          <w:sz w:val="18"/>
          <w:szCs w:val="18"/>
        </w:rPr>
      </w:pPr>
      <w:r>
        <w:rPr>
          <w:rFonts w:ascii="宋体" w:hAnsi="宋体" w:cs="宋体" w:eastAsia="宋体" w:hint="default"/>
          <w:spacing w:val="-8"/>
          <w:sz w:val="18"/>
          <w:szCs w:val="18"/>
        </w:rPr>
        <w:t>（二）、薪酬与考核委员会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由杨安荣先生、乐嘉锦先生、祝小兵先生组成，其中独立董事乐嘉锦先生为召集人。薪酬与考核委员会负责根据董事及高级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管理人员管理岗位的主要范围、职责、重要性以及其他相关企业相关岗位的薪酬水平制定薪酬计划或方案；审查公司董事（非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独立董事）及高级管理人员的履行职责情况并对其进行年度绩效考评；负责对公司薪酬制度执行情况进行监督；董事会授权</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的其他事宜。董事会有权否决损害股东利益的薪酬计划或方案。薪酬与考核委员会提出的公司董事的薪酬计划，须报经董事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会同意后，提交股东大会审议通过后方可实施；公司经理人员的薪酬分配方案须报董事会批准。本报告期内共召开</w:t>
      </w:r>
      <w:r>
        <w:rPr>
          <w:rFonts w:ascii="宋体" w:hAnsi="宋体" w:cs="宋体" w:eastAsia="宋体" w:hint="default"/>
          <w:spacing w:val="-2"/>
          <w:sz w:val="18"/>
          <w:szCs w:val="18"/>
        </w:rPr>
        <w:t>1</w:t>
      </w:r>
      <w:r>
        <w:rPr>
          <w:rFonts w:ascii="宋体" w:hAnsi="宋体" w:cs="宋体" w:eastAsia="宋体" w:hint="default"/>
          <w:spacing w:val="-2"/>
          <w:sz w:val="18"/>
          <w:szCs w:val="18"/>
        </w:rPr>
        <w:t>次会议，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分别对公司独立董事津贴、高管薪酬事宜进行审议。</w:t>
      </w:r>
    </w:p>
    <w:p>
      <w:pPr>
        <w:spacing w:line="319" w:lineRule="auto" w:before="19"/>
        <w:ind w:left="112" w:right="1129" w:firstLine="0"/>
        <w:jc w:val="left"/>
        <w:rPr>
          <w:rFonts w:ascii="宋体" w:hAnsi="宋体" w:cs="宋体" w:eastAsia="宋体" w:hint="default"/>
          <w:sz w:val="18"/>
          <w:szCs w:val="18"/>
        </w:rPr>
      </w:pPr>
      <w:r>
        <w:rPr>
          <w:rFonts w:ascii="宋体" w:hAnsi="宋体" w:cs="宋体" w:eastAsia="宋体" w:hint="default"/>
          <w:spacing w:val="-11"/>
          <w:sz w:val="18"/>
          <w:szCs w:val="18"/>
        </w:rPr>
        <w:t>（三）、战略委员会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由张曙华先生、刘理洲先生、李志卿先生组成，其中张曙华先生为召集人。战略委员会负责对公司长期发展战略规划进行研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究并提出建议；对《公司章程》规定须经董事会批准的重大投资融资方案进行研究并提出建议；对《公司章程》规定须经董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事会批准的重大资本运作、资产经营项目进行研究并提出建议；对其他影响公司发展的重大事项进行研究并提出建议；对以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上事项的实施进行检查；董事会授权的其他事宜。战略委员会对董事会负责，委员会的提案提交董事会审议决定。本报告期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内共召开</w:t>
      </w:r>
      <w:r>
        <w:rPr>
          <w:rFonts w:ascii="宋体" w:hAnsi="宋体" w:cs="宋体" w:eastAsia="宋体" w:hint="default"/>
          <w:sz w:val="18"/>
          <w:szCs w:val="18"/>
        </w:rPr>
        <w:t>1</w:t>
      </w:r>
      <w:r>
        <w:rPr>
          <w:rFonts w:ascii="宋体" w:hAnsi="宋体" w:cs="宋体" w:eastAsia="宋体" w:hint="default"/>
          <w:sz w:val="18"/>
          <w:szCs w:val="18"/>
        </w:rPr>
        <w:t>次会议，分别对</w:t>
      </w:r>
      <w:r>
        <w:rPr>
          <w:rFonts w:ascii="宋体" w:hAnsi="宋体" w:cs="宋体" w:eastAsia="宋体" w:hint="default"/>
          <w:sz w:val="18"/>
          <w:szCs w:val="18"/>
        </w:rPr>
        <w:t>2018</w:t>
      </w:r>
      <w:r>
        <w:rPr>
          <w:rFonts w:ascii="宋体" w:hAnsi="宋体" w:cs="宋体" w:eastAsia="宋体" w:hint="default"/>
          <w:sz w:val="18"/>
          <w:szCs w:val="18"/>
        </w:rPr>
        <w:t>年度董事会工作、总经理工作事宜进行审议。</w:t>
      </w:r>
    </w:p>
    <w:p>
      <w:pPr>
        <w:spacing w:line="240" w:lineRule="auto" w:before="9"/>
        <w:rPr>
          <w:rFonts w:ascii="宋体" w:hAnsi="宋体" w:cs="宋体" w:eastAsia="宋体" w:hint="default"/>
          <w:sz w:val="20"/>
          <w:szCs w:val="20"/>
        </w:rPr>
      </w:pPr>
    </w:p>
    <w:p>
      <w:pPr>
        <w:pStyle w:val="Heading4"/>
        <w:spacing w:line="240" w:lineRule="auto"/>
        <w:ind w:right="1133"/>
        <w:jc w:val="left"/>
        <w:rPr>
          <w:b w:val="0"/>
          <w:bCs w:val="0"/>
        </w:rPr>
      </w:pPr>
      <w:bookmarkStart w:name="七、监事会工作情况" w:id="147"/>
      <w:bookmarkEnd w:id="147"/>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60" w:lineRule="auto" w:before="115"/>
        <w:ind w:left="112" w:right="73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公司监事会对报告期内的监督事项无异议。</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4"/>
        <w:spacing w:line="240" w:lineRule="auto" w:before="26"/>
        <w:ind w:right="1133"/>
        <w:jc w:val="left"/>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12" w:right="986" w:firstLine="0"/>
        <w:jc w:val="left"/>
        <w:rPr>
          <w:rFonts w:ascii="宋体" w:hAnsi="宋体" w:cs="宋体" w:eastAsia="宋体" w:hint="default"/>
          <w:sz w:val="18"/>
          <w:szCs w:val="18"/>
        </w:rPr>
      </w:pPr>
      <w:r>
        <w:rPr>
          <w:rFonts w:ascii="宋体" w:hAnsi="宋体" w:cs="宋体" w:eastAsia="宋体" w:hint="default"/>
          <w:spacing w:val="-4"/>
          <w:sz w:val="18"/>
          <w:szCs w:val="18"/>
        </w:rPr>
        <w:t>公司建立了完善的薪酬管理制度和绩效考核管理制度，设立董事会薪酬和考核委员会，负责公司高级管理人员绩效考核制度、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流程的制定，以及考核标准及关键指标的确立。薪酬和考核委员会负责对公司高级管理人员进行绩效考核，公司根据绩效考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核结果实施相应的奖惩。报告期内，公司高级管理人员的薪酬由基本工资和绩效薪酬所组成。其中，基本工资系根据高级管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理人员工作岗位的主要范围、职责、重要性以及其他相关企业相关岗位的薪酬水平制定，绩效薪酬则根据绩效考核结果确定。</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公司董事会薪酬和考核委员会根据实际情况对公司高级管理人员进行考核后，一致认为：</w:t>
      </w:r>
      <w:r>
        <w:rPr>
          <w:rFonts w:ascii="宋体" w:hAnsi="宋体" w:cs="宋体" w:eastAsia="宋体" w:hint="default"/>
          <w:spacing w:val="-2"/>
          <w:sz w:val="18"/>
          <w:szCs w:val="18"/>
        </w:rPr>
        <w:t>2019</w:t>
      </w:r>
      <w:r>
        <w:rPr>
          <w:rFonts w:ascii="宋体" w:hAnsi="宋体" w:cs="宋体" w:eastAsia="宋体" w:hint="default"/>
          <w:spacing w:val="-2"/>
          <w:sz w:val="18"/>
          <w:szCs w:val="18"/>
        </w:rPr>
        <w:t>年度公司高级管理人员薪酬方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案严格执行了公司薪酬管理制度，绩效考核和薪酬发放的程序符合有关法律、法规、公司章程、规章制度等规定。</w:t>
      </w:r>
    </w:p>
    <w:p>
      <w:pPr>
        <w:spacing w:line="240" w:lineRule="auto" w:before="11"/>
        <w:rPr>
          <w:rFonts w:ascii="宋体" w:hAnsi="宋体" w:cs="宋体" w:eastAsia="宋体" w:hint="default"/>
          <w:sz w:val="20"/>
          <w:szCs w:val="20"/>
        </w:rPr>
      </w:pPr>
    </w:p>
    <w:p>
      <w:pPr>
        <w:pStyle w:val="Heading4"/>
        <w:spacing w:line="240" w:lineRule="auto"/>
        <w:ind w:right="1133"/>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2"/>
        <w:gridCol w:w="3053"/>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 告》</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08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9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、重大缺陷：公司董事、监事和高级管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理人员的舞弊行为；公司更正已公布的 财务报告；注册会计师发现的却未被公 司内部控制识别的当期财务报告中的重 大报错；审计委员会和内审部对公司的 对外财务报告和财务报告内部控制监督 </w:t>
            </w:r>
            <w:r>
              <w:rPr>
                <w:rFonts w:ascii="宋体" w:hAnsi="宋体" w:cs="宋体" w:eastAsia="宋体" w:hint="default"/>
                <w:spacing w:val="-3"/>
                <w:sz w:val="18"/>
                <w:szCs w:val="18"/>
              </w:rPr>
              <w:t>无效。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、重要缺陷：未依照公认会计准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则选择和应用会计政策；未建立反舞弊 程序和控制措施；对于非常规或特殊交 易的账务处理没有建立相应的控制机制 或没有实施且没有相应的补偿性控制； 对于期末财务报告过程的控制存在一项 或多项缺陷且不能合理保证编制的财务 </w:t>
            </w:r>
            <w:r>
              <w:rPr>
                <w:rFonts w:ascii="宋体" w:hAnsi="宋体" w:cs="宋体" w:eastAsia="宋体" w:hint="default"/>
                <w:spacing w:val="-3"/>
                <w:sz w:val="18"/>
                <w:szCs w:val="18"/>
              </w:rPr>
              <w:t>报表达到真实、准确的目标。</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陷：指除上述重大缺陷和重要缺陷之外 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9" w:lineRule="auto"/>
              <w:ind w:left="105" w:right="55"/>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 </w:t>
            </w:r>
            <w:r>
              <w:rPr>
                <w:rFonts w:ascii="宋体" w:hAnsi="宋体" w:cs="宋体" w:eastAsia="宋体" w:hint="default"/>
                <w:spacing w:val="-3"/>
                <w:sz w:val="18"/>
                <w:szCs w:val="18"/>
              </w:rPr>
              <w:t>陷评价的定性标准如下，出现以下情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形的，可认定为重大缺陷，其他情形</w:t>
            </w:r>
            <w:r>
              <w:rPr>
                <w:rFonts w:ascii="宋体" w:hAnsi="宋体" w:cs="宋体" w:eastAsia="宋体" w:hint="default"/>
                <w:sz w:val="18"/>
                <w:szCs w:val="18"/>
              </w:rPr>
              <w:t> 按影响程度分别确定为重要缺陷或 </w:t>
            </w:r>
            <w:r>
              <w:rPr>
                <w:rFonts w:ascii="宋体" w:hAnsi="宋体" w:cs="宋体" w:eastAsia="宋体" w:hint="default"/>
                <w:spacing w:val="-3"/>
                <w:sz w:val="18"/>
                <w:szCs w:val="18"/>
              </w:rPr>
              <w:t>一般缺陷：⑴违反国家法律法规或规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范性文件；⑵重大决策程序不科学；</w:t>
            </w:r>
          </w:p>
          <w:p>
            <w:pPr>
              <w:pStyle w:val="TableParagraph"/>
              <w:spacing w:line="316" w:lineRule="auto" w:before="17"/>
              <w:ind w:left="105" w:right="101"/>
              <w:jc w:val="both"/>
              <w:rPr>
                <w:rFonts w:ascii="宋体" w:hAnsi="宋体" w:cs="宋体" w:eastAsia="宋体" w:hint="default"/>
                <w:sz w:val="18"/>
                <w:szCs w:val="18"/>
              </w:rPr>
            </w:pPr>
            <w:r>
              <w:rPr>
                <w:rFonts w:ascii="宋体" w:hAnsi="宋体" w:cs="宋体" w:eastAsia="宋体" w:hint="default"/>
                <w:spacing w:val="-3"/>
                <w:sz w:val="18"/>
                <w:szCs w:val="18"/>
              </w:rPr>
              <w:t>⑶制度缺失可能导致系统性失效；⑷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重大或重要缺陷不能得到整改；⑸其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他对公司负面影响重大的情形。</w:t>
            </w:r>
          </w:p>
        </w:tc>
      </w:tr>
    </w:tbl>
    <w:p>
      <w:pPr>
        <w:spacing w:after="0" w:line="316" w:lineRule="auto"/>
        <w:jc w:val="both"/>
        <w:rPr>
          <w:rFonts w:ascii="宋体" w:hAnsi="宋体" w:cs="宋体" w:eastAsia="宋体" w:hint="default"/>
          <w:sz w:val="18"/>
          <w:szCs w:val="18"/>
        </w:rPr>
        <w:sectPr>
          <w:headerReference w:type="default" r:id="rId14"/>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2"/>
        <w:gridCol w:w="3053"/>
      </w:tblGrid>
      <w:tr>
        <w:trPr>
          <w:trHeight w:val="320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9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、重大缺陷：考虑补偿性控制措施和实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际偏差率后，该缺陷总体影响水平高于 </w:t>
            </w:r>
            <w:r>
              <w:rPr>
                <w:rFonts w:ascii="宋体" w:hAnsi="宋体" w:cs="宋体" w:eastAsia="宋体" w:hint="default"/>
                <w:spacing w:val="-1"/>
                <w:sz w:val="18"/>
                <w:szCs w:val="18"/>
              </w:rPr>
              <w:t>重要性水平（营业收入的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12"/>
                <w:sz w:val="18"/>
                <w:szCs w:val="18"/>
              </w:rPr>
              <w:t>0.5%</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w:t>
            </w:r>
            <w:r>
              <w:rPr>
                <w:rFonts w:ascii="宋体" w:hAnsi="宋体" w:cs="宋体" w:eastAsia="宋体" w:hint="default"/>
                <w:spacing w:val="-88"/>
                <w:sz w:val="18"/>
                <w:szCs w:val="18"/>
              </w:rPr>
              <w:t> </w:t>
            </w:r>
            <w:r>
              <w:rPr>
                <w:rFonts w:ascii="宋体" w:hAnsi="宋体" w:cs="宋体" w:eastAsia="宋体" w:hint="default"/>
                <w:sz w:val="18"/>
                <w:szCs w:val="18"/>
              </w:rPr>
              <w:t>要缺陷：考虑补偿性控制措施和实际偏</w:t>
            </w:r>
            <w:r>
              <w:rPr>
                <w:rFonts w:ascii="宋体" w:hAnsi="宋体" w:cs="宋体" w:eastAsia="宋体" w:hint="default"/>
                <w:sz w:val="18"/>
                <w:szCs w:val="18"/>
              </w:rPr>
              <w:t> 差率后，该缺陷总体影响水平低于重要 性水平（营业收入的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0.5%</w:t>
            </w:r>
            <w:r>
              <w:rPr>
                <w:rFonts w:ascii="宋体" w:hAnsi="宋体" w:cs="宋体" w:eastAsia="宋体" w:hint="default"/>
                <w:spacing w:val="-10"/>
                <w:sz w:val="18"/>
                <w:szCs w:val="18"/>
              </w:rPr>
              <w:t>），但高于一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般性水平（营业收入的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0.1%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w:t>
            </w:r>
            <w:r>
              <w:rPr>
                <w:rFonts w:ascii="宋体" w:hAnsi="宋体" w:cs="宋体" w:eastAsia="宋体" w:hint="default"/>
                <w:sz w:val="18"/>
                <w:szCs w:val="18"/>
              </w:rPr>
              <w:t> 缺陷：考虑补偿性控制措施和实际偏差 率后，该缺陷总体影响水平低于一般性 水平（营业收入的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31"/>
                <w:sz w:val="18"/>
                <w:szCs w:val="18"/>
              </w:rPr>
              <w:t>0.1%</w:t>
            </w:r>
            <w:r>
              <w:rPr>
                <w:rFonts w:ascii="宋体" w:hAnsi="宋体" w:cs="宋体" w:eastAsia="宋体" w:hint="default"/>
                <w:spacing w:val="-31"/>
                <w:sz w:val="18"/>
                <w:szCs w:val="18"/>
              </w:rPr>
              <w:t>）。</w:t>
            </w:r>
            <w:r>
              <w:rPr>
                <w:rFonts w:ascii="宋体" w:hAnsi="宋体" w:cs="宋体" w:eastAsia="宋体" w:hint="default"/>
                <w:sz w:val="18"/>
                <w:szCs w:val="18"/>
              </w:rPr>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7" w:lineRule="auto"/>
              <w:ind w:left="105"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 缺陷导致的直接财产损失金额≥</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万元≤非财 务报告内部控制缺陷导致的直接财 </w:t>
            </w:r>
            <w:r>
              <w:rPr>
                <w:rFonts w:ascii="宋体" w:hAnsi="宋体" w:cs="宋体" w:eastAsia="宋体" w:hint="default"/>
                <w:spacing w:val="-1"/>
                <w:sz w:val="18"/>
                <w:szCs w:val="18"/>
              </w:rPr>
              <w:t>产损失金额＜</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spacing w:val="-19"/>
                <w:sz w:val="18"/>
                <w:szCs w:val="18"/>
              </w:rPr>
              <w:t>万元。</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非财务报告内部控制缺陷导致的直 接财产损失金额＜</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4"/>
        <w:spacing w:line="240" w:lineRule="auto" w:before="26"/>
        <w:ind w:right="1133"/>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05" w:right="1133"/>
        <w:jc w:val="left"/>
        <w:rPr>
          <w:b w:val="0"/>
          <w:bCs w:val="0"/>
        </w:rPr>
      </w:pPr>
      <w:bookmarkStart w:name="第十一节公司债券相关情况" w:id="153"/>
      <w:bookmarkEnd w:id="153"/>
      <w:r>
        <w:rPr>
          <w:b w:val="0"/>
          <w:bCs w:val="0"/>
        </w:rPr>
      </w:r>
      <w:bookmarkStart w:name="_bookmark9" w:id="154"/>
      <w:bookmarkEnd w:id="154"/>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1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405"/>
        <w:jc w:val="center"/>
        <w:rPr>
          <w:b w:val="0"/>
          <w:bCs w:val="0"/>
        </w:rPr>
      </w:pPr>
      <w:bookmarkStart w:name="第十二节财务报告" w:id="155"/>
      <w:bookmarkEnd w:id="155"/>
      <w:r>
        <w:rPr>
          <w:b w:val="0"/>
          <w:bCs w:val="0"/>
        </w:rPr>
      </w:r>
      <w:bookmarkStart w:name="_bookmark10" w:id="156"/>
      <w:bookmarkEnd w:id="156"/>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4"/>
        <w:spacing w:line="240" w:lineRule="auto" w:before="26"/>
        <w:ind w:right="1133"/>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ZA11917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庄继宁、吴海燕</w:t>
            </w:r>
          </w:p>
        </w:tc>
      </w:tr>
    </w:tbl>
    <w:p>
      <w:pPr>
        <w:spacing w:before="49"/>
        <w:ind w:left="2381" w:right="339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9"/>
        <w:rPr>
          <w:rFonts w:ascii="宋体" w:hAnsi="宋体" w:cs="宋体" w:eastAsia="宋体" w:hint="default"/>
          <w:sz w:val="14"/>
          <w:szCs w:val="14"/>
        </w:rPr>
      </w:pPr>
    </w:p>
    <w:p>
      <w:pPr>
        <w:pStyle w:val="Heading2"/>
        <w:spacing w:line="240" w:lineRule="auto"/>
        <w:ind w:right="1133"/>
        <w:jc w:val="left"/>
        <w:rPr>
          <w:b w:val="0"/>
          <w:bCs w:val="0"/>
        </w:rPr>
      </w:pPr>
      <w:r>
        <w:rPr/>
        <w:t>上海中信信息发展股份有限公司全体股东：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2"/>
        <w:spacing w:line="240" w:lineRule="auto"/>
        <w:ind w:left="1099" w:right="1133"/>
        <w:jc w:val="left"/>
        <w:rPr>
          <w:b w:val="0"/>
          <w:bCs w:val="0"/>
        </w:rPr>
      </w:pPr>
      <w:r>
        <w:rPr/>
        <w:t>审计意见</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0" w:lineRule="auto"/>
        <w:ind w:left="473" w:right="1129"/>
        <w:jc w:val="both"/>
      </w:pPr>
      <w:r>
        <w:rPr/>
        <w:t>我们审计了上海中信信息发展股份有限公司（以下简称信息发展公司）</w:t>
      </w:r>
      <w:r>
        <w:rPr>
          <w:w w:val="100"/>
        </w:rPr>
        <w:t> </w:t>
      </w:r>
      <w:r>
        <w:rPr/>
        <w:t>财务报表，包括</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2019</w:t>
      </w:r>
      <w:r>
        <w:rPr/>
        <w:t>年度的合</w:t>
      </w:r>
      <w:r>
        <w:rPr>
          <w:spacing w:val="-109"/>
        </w:rPr>
        <w:t> </w:t>
      </w:r>
      <w:r>
        <w:rPr>
          <w:spacing w:val="-109"/>
        </w:rPr>
      </w:r>
      <w:r>
        <w:rPr/>
        <w:t>并及母公司利润表、合并及母公司现金流量表、合并及母公司所有者权益变</w:t>
      </w:r>
      <w:r>
        <w:rPr>
          <w:spacing w:val="-106"/>
        </w:rPr>
        <w:t> </w:t>
      </w:r>
      <w:r>
        <w:rPr>
          <w:spacing w:val="-106"/>
        </w:rPr>
      </w:r>
      <w:r>
        <w:rPr/>
        <w:t>动表以及相关财务报表附注。</w:t>
      </w:r>
    </w:p>
    <w:p>
      <w:pPr>
        <w:pStyle w:val="Heading3"/>
        <w:spacing w:line="398" w:lineRule="auto" w:before="70"/>
        <w:ind w:left="473" w:right="1132"/>
        <w:jc w:val="both"/>
      </w:pPr>
      <w:r>
        <w:rPr/>
        <w:t>我们认为，后附的财务报表在所有重大方面按照企业会计准则的规定编</w:t>
      </w:r>
      <w:r>
        <w:rPr>
          <w:w w:val="100"/>
        </w:rPr>
        <w:t> </w:t>
      </w:r>
      <w:r>
        <w:rPr/>
        <w:t>制，公允反映了信息发展公司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spacing w:val="-109"/>
        </w:rPr>
        <w:t> </w:t>
      </w:r>
      <w:r>
        <w:rPr>
          <w:spacing w:val="-109"/>
        </w:rPr>
      </w:r>
      <w:r>
        <w:rPr>
          <w:rFonts w:ascii="Times New Roman" w:hAnsi="Times New Roman" w:cs="Times New Roman" w:eastAsia="Times New Roman" w:hint="default"/>
        </w:rPr>
        <w:t>2019</w:t>
      </w:r>
      <w:r>
        <w:rPr/>
        <w:t>年度的合并及母公司经营成果和现金流量。</w:t>
      </w:r>
    </w:p>
    <w:p>
      <w:pPr>
        <w:spacing w:line="240" w:lineRule="auto" w:before="0"/>
        <w:rPr>
          <w:rFonts w:ascii="宋体" w:hAnsi="宋体" w:cs="宋体" w:eastAsia="宋体" w:hint="default"/>
          <w:sz w:val="30"/>
          <w:szCs w:val="30"/>
        </w:rPr>
      </w:pPr>
    </w:p>
    <w:p>
      <w:pPr>
        <w:pStyle w:val="Heading2"/>
        <w:spacing w:line="240" w:lineRule="auto" w:before="263"/>
        <w:ind w:left="1099" w:right="1133"/>
        <w:jc w:val="left"/>
        <w:rPr>
          <w:b w:val="0"/>
          <w:bCs w:val="0"/>
        </w:rPr>
      </w:pPr>
      <w:r>
        <w:rPr/>
        <w:t>形成审计意见的基础</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240" w:lineRule="auto"/>
        <w:ind w:left="1039" w:right="986" w:firstLine="0"/>
        <w:jc w:val="left"/>
      </w:pPr>
      <w:r>
        <w:rPr/>
        <w:t>我们按照中国注册会计师审计准则的规定执行了审计工作。审计报告的</w:t>
      </w:r>
    </w:p>
    <w:p>
      <w:pPr>
        <w:spacing w:after="0" w:line="240" w:lineRule="auto"/>
        <w:jc w:val="left"/>
        <w:sectPr>
          <w:footerReference w:type="default" r:id="rId15"/>
          <w:pgSz w:w="11910" w:h="16840"/>
          <w:pgMar w:footer="1021" w:header="906" w:top="1100" w:bottom="1220" w:left="1020" w:right="0"/>
        </w:sectPr>
      </w:pPr>
    </w:p>
    <w:p>
      <w:pPr>
        <w:spacing w:line="240" w:lineRule="auto" w:before="0"/>
        <w:rPr>
          <w:rFonts w:ascii="宋体" w:hAnsi="宋体" w:cs="宋体" w:eastAsia="宋体" w:hint="default"/>
          <w:sz w:val="20"/>
          <w:szCs w:val="20"/>
        </w:rPr>
      </w:pPr>
    </w:p>
    <w:p>
      <w:pPr>
        <w:pStyle w:val="Heading3"/>
        <w:spacing w:line="400" w:lineRule="auto" w:before="159"/>
        <w:ind w:left="473" w:right="1131" w:firstLine="0"/>
        <w:jc w:val="both"/>
      </w:pP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部分进一步阐述了我们在这些准则下的</w:t>
      </w:r>
      <w:r>
        <w:rPr>
          <w:spacing w:val="-75"/>
        </w:rPr>
        <w:t> </w:t>
      </w:r>
      <w:r>
        <w:rPr>
          <w:spacing w:val="-75"/>
        </w:rPr>
      </w:r>
      <w:r>
        <w:rPr/>
        <w:t>责任。按照中国注册会计师职业道德守则，我们独立于信息发展公司，并履</w:t>
      </w:r>
      <w:r>
        <w:rPr>
          <w:spacing w:val="-106"/>
        </w:rPr>
        <w:t> </w:t>
      </w:r>
      <w:r>
        <w:rPr>
          <w:spacing w:val="-106"/>
        </w:rPr>
      </w:r>
      <w:r>
        <w:rPr/>
        <w:t>行了职业道德方面的其他责任。我们相信，我们获取的审计证据是充分、适</w:t>
      </w:r>
      <w:r>
        <w:rPr>
          <w:spacing w:val="-106"/>
        </w:rPr>
        <w:t> </w:t>
      </w:r>
      <w:r>
        <w:rPr>
          <w:spacing w:val="-106"/>
        </w:rPr>
      </w:r>
      <w:r>
        <w:rPr/>
        <w:t>当的，为发表审计意见提供了基础。</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5"/>
          <w:szCs w:val="25"/>
        </w:rPr>
      </w:pPr>
    </w:p>
    <w:p>
      <w:pPr>
        <w:pStyle w:val="Heading2"/>
        <w:spacing w:line="240" w:lineRule="auto"/>
        <w:ind w:left="739" w:right="1133"/>
        <w:jc w:val="left"/>
        <w:rPr>
          <w:b w:val="0"/>
          <w:bCs w:val="0"/>
        </w:rPr>
      </w:pPr>
      <w:r>
        <w:rPr/>
        <w:t>关键审计事项</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133"/>
        <w:jc w:val="both"/>
      </w:pPr>
      <w:r>
        <w:rPr>
          <w:spacing w:val="2"/>
        </w:rPr>
        <w:t>关键审计事项是我们根据职业判断，认为对本期财务报表审计最为重要的</w:t>
      </w:r>
      <w:r>
        <w:rPr>
          <w:spacing w:val="2"/>
          <w:w w:val="100"/>
        </w:rPr>
        <w:t> </w:t>
      </w:r>
      <w:r>
        <w:rPr>
          <w:spacing w:val="2"/>
        </w:rPr>
        <w:t>事项。这些事项的应对以对财务报表整体进行审计并形成审计意见为背景，我</w:t>
      </w:r>
      <w:r>
        <w:rPr>
          <w:spacing w:val="-106"/>
        </w:rPr>
        <w:t> </w:t>
      </w:r>
      <w:r>
        <w:rPr>
          <w:spacing w:val="-106"/>
        </w:rPr>
      </w:r>
      <w:r>
        <w:rPr>
          <w:spacing w:val="2"/>
        </w:rPr>
        <w:t>们不对这些事项单独发表意见。我们确定下列事项是需要在审计报告中沟通的</w:t>
      </w:r>
      <w:r>
        <w:rPr>
          <w:spacing w:val="-108"/>
        </w:rPr>
        <w:t> </w:t>
      </w:r>
      <w:r>
        <w:rPr>
          <w:spacing w:val="-108"/>
        </w:rPr>
      </w:r>
      <w:r>
        <w:rPr/>
        <w:t>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54"/>
        <w:ind w:left="0" w:right="2390" w:firstLine="0"/>
        <w:jc w:val="right"/>
        <w:rPr>
          <w:rFonts w:ascii="宋体" w:hAnsi="宋体" w:cs="宋体" w:eastAsia="宋体" w:hint="default"/>
          <w:sz w:val="15"/>
          <w:szCs w:val="15"/>
        </w:rPr>
      </w:pPr>
      <w:r>
        <w:rPr/>
        <w:pict>
          <v:shape style="position:absolute;margin-left:56.279999pt;margin-top:-191.490234pt;width:416.9pt;height:319.2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5"/>
                    <w:gridCol w:w="4340"/>
                  </w:tblGrid>
                  <w:tr>
                    <w:trPr>
                      <w:trHeight w:val="355" w:hRule="exact"/>
                    </w:trPr>
                    <w:tc>
                      <w:tcPr>
                        <w:tcW w:w="3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5"/>
                            <w:szCs w:val="15"/>
                          </w:rPr>
                        </w:pPr>
                        <w:r>
                          <w:rPr>
                            <w:rFonts w:ascii="宋体" w:hAnsi="宋体" w:cs="宋体" w:eastAsia="宋体" w:hint="default"/>
                            <w:b/>
                            <w:bCs/>
                            <w:sz w:val="15"/>
                            <w:szCs w:val="15"/>
                          </w:rPr>
                          <w:t>关键审计事项</w:t>
                        </w:r>
                        <w:r>
                          <w:rPr>
                            <w:rFonts w:ascii="宋体" w:hAnsi="宋体" w:cs="宋体" w:eastAsia="宋体" w:hint="default"/>
                            <w:sz w:val="15"/>
                            <w:szCs w:val="15"/>
                          </w:rPr>
                        </w:r>
                      </w:p>
                    </w:tc>
                    <w:tc>
                      <w:tcPr>
                        <w:tcW w:w="43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left="1183" w:right="0"/>
                          <w:jc w:val="left"/>
                          <w:rPr>
                            <w:rFonts w:ascii="宋体" w:hAnsi="宋体" w:cs="宋体" w:eastAsia="宋体" w:hint="default"/>
                            <w:sz w:val="15"/>
                            <w:szCs w:val="15"/>
                          </w:rPr>
                        </w:pPr>
                        <w:r>
                          <w:rPr>
                            <w:rFonts w:ascii="宋体" w:hAnsi="宋体" w:cs="宋体" w:eastAsia="宋体" w:hint="default"/>
                            <w:b/>
                            <w:bCs/>
                            <w:sz w:val="15"/>
                            <w:szCs w:val="15"/>
                          </w:rPr>
                          <w:t>该事项在审计中是如何应对的</w:t>
                        </w:r>
                        <w:r>
                          <w:rPr>
                            <w:rFonts w:ascii="宋体" w:hAnsi="宋体" w:cs="宋体" w:eastAsia="宋体" w:hint="default"/>
                            <w:sz w:val="15"/>
                            <w:szCs w:val="15"/>
                          </w:rPr>
                        </w:r>
                      </w:p>
                    </w:tc>
                  </w:tr>
                  <w:tr>
                    <w:trPr>
                      <w:trHeight w:val="350" w:hRule="exact"/>
                    </w:trPr>
                    <w:tc>
                      <w:tcPr>
                        <w:tcW w:w="8316"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b/>
                            <w:bCs/>
                            <w:sz w:val="15"/>
                            <w:szCs w:val="15"/>
                          </w:rPr>
                          <w:t>（一）收入确认</w:t>
                        </w:r>
                        <w:r>
                          <w:rPr>
                            <w:rFonts w:ascii="宋体" w:hAnsi="宋体" w:cs="宋体" w:eastAsia="宋体" w:hint="default"/>
                            <w:sz w:val="15"/>
                            <w:szCs w:val="15"/>
                          </w:rPr>
                        </w:r>
                      </w:p>
                    </w:tc>
                  </w:tr>
                  <w:tr>
                    <w:trPr>
                      <w:trHeight w:val="5657" w:hRule="exact"/>
                    </w:trPr>
                    <w:tc>
                      <w:tcPr>
                        <w:tcW w:w="3975" w:type="dxa"/>
                        <w:tcBorders>
                          <w:top w:val="single" w:sz="12" w:space="0" w:color="000000"/>
                          <w:left w:val="single" w:sz="6" w:space="0" w:color="000000"/>
                          <w:bottom w:val="single" w:sz="12" w:space="0" w:color="000000"/>
                          <w:right w:val="single" w:sz="6" w:space="0" w:color="000000"/>
                        </w:tcBorders>
                      </w:tcPr>
                      <w:p>
                        <w:pPr>
                          <w:pStyle w:val="TableParagraph"/>
                          <w:spacing w:line="379"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收入确认的会计政策详情及收入的分析请参阅合并财务报表</w:t>
                        </w:r>
                        <w:r>
                          <w:rPr>
                            <w:rFonts w:ascii="宋体" w:hAnsi="宋体" w:cs="宋体" w:eastAsia="宋体" w:hint="default"/>
                            <w:w w:val="100"/>
                            <w:sz w:val="15"/>
                            <w:szCs w:val="15"/>
                          </w:rPr>
                          <w:t> </w:t>
                        </w:r>
                        <w:r>
                          <w:rPr>
                            <w:rFonts w:ascii="宋体" w:hAnsi="宋体" w:cs="宋体" w:eastAsia="宋体" w:hint="default"/>
                            <w:sz w:val="15"/>
                            <w:szCs w:val="15"/>
                          </w:rPr>
                          <w:t>附注“三、重要会计政策和会计估计”注释（二十四）所述</w:t>
                        </w:r>
                        <w:r>
                          <w:rPr>
                            <w:rFonts w:ascii="宋体" w:hAnsi="宋体" w:cs="宋体" w:eastAsia="宋体" w:hint="default"/>
                            <w:w w:val="100"/>
                            <w:sz w:val="15"/>
                            <w:szCs w:val="15"/>
                          </w:rPr>
                          <w:t> </w:t>
                        </w:r>
                        <w:r>
                          <w:rPr>
                            <w:rFonts w:ascii="宋体" w:hAnsi="宋体" w:cs="宋体" w:eastAsia="宋体" w:hint="default"/>
                            <w:spacing w:val="-1"/>
                            <w:w w:val="100"/>
                            <w:sz w:val="15"/>
                            <w:szCs w:val="15"/>
                          </w:rPr>
                          <w:t>的会计政策及</w:t>
                        </w:r>
                        <w:r>
                          <w:rPr>
                            <w:rFonts w:ascii="宋体" w:hAnsi="宋体" w:cs="宋体" w:eastAsia="宋体" w:hint="default"/>
                            <w:spacing w:val="-17"/>
                            <w:w w:val="100"/>
                            <w:sz w:val="15"/>
                            <w:szCs w:val="15"/>
                          </w:rPr>
                          <w:t> </w:t>
                        </w:r>
                        <w:r>
                          <w:rPr>
                            <w:rFonts w:ascii="Times New Roman" w:hAnsi="Times New Roman" w:cs="Times New Roman" w:eastAsia="Times New Roman" w:hint="default"/>
                            <w:spacing w:val="-5"/>
                            <w:w w:val="100"/>
                            <w:sz w:val="15"/>
                            <w:szCs w:val="15"/>
                          </w:rPr>
                          <w:t>“</w:t>
                        </w:r>
                        <w:r>
                          <w:rPr>
                            <w:rFonts w:ascii="宋体" w:hAnsi="宋体" w:cs="宋体" w:eastAsia="宋体" w:hint="default"/>
                            <w:spacing w:val="-5"/>
                            <w:w w:val="100"/>
                            <w:sz w:val="15"/>
                            <w:szCs w:val="15"/>
                          </w:rPr>
                          <w:t>五、合并财务报表项目附注”注释（三十）。</w:t>
                        </w:r>
                        <w:r>
                          <w:rPr>
                            <w:rFonts w:ascii="宋体" w:hAnsi="宋体" w:cs="宋体" w:eastAsia="宋体" w:hint="default"/>
                            <w:w w:val="100"/>
                            <w:sz w:val="15"/>
                            <w:szCs w:val="15"/>
                          </w:rPr>
                          <w:t> </w:t>
                        </w:r>
                        <w:r>
                          <w:rPr>
                            <w:rFonts w:ascii="宋体" w:hAnsi="宋体" w:cs="宋体" w:eastAsia="宋体" w:hint="default"/>
                            <w:sz w:val="15"/>
                            <w:szCs w:val="15"/>
                          </w:rPr>
                          <w:t>信息发展公司已确认</w:t>
                        </w:r>
                        <w:r>
                          <w:rPr>
                            <w:rFonts w:ascii="Times New Roman" w:hAnsi="Times New Roman" w:cs="Times New Roman" w:eastAsia="Times New Roman" w:hint="default"/>
                            <w:sz w:val="15"/>
                            <w:szCs w:val="15"/>
                          </w:rPr>
                          <w:t>2019</w:t>
                        </w:r>
                        <w:r>
                          <w:rPr>
                            <w:rFonts w:ascii="宋体" w:hAnsi="宋体" w:cs="宋体" w:eastAsia="宋体" w:hint="default"/>
                            <w:sz w:val="15"/>
                            <w:szCs w:val="15"/>
                          </w:rPr>
                          <w:t>年度的收入为人民币</w:t>
                        </w:r>
                        <w:r>
                          <w:rPr>
                            <w:rFonts w:ascii="Times New Roman" w:hAnsi="Times New Roman" w:cs="Times New Roman" w:eastAsia="Times New Roman" w:hint="default"/>
                            <w:sz w:val="15"/>
                            <w:szCs w:val="15"/>
                          </w:rPr>
                          <w:t>64,019.83</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元，主要包括系统集成、技术支持与服务及应用软件开发与</w:t>
                        </w:r>
                        <w:r>
                          <w:rPr>
                            <w:rFonts w:ascii="宋体" w:hAnsi="宋体" w:cs="宋体" w:eastAsia="宋体" w:hint="default"/>
                            <w:w w:val="100"/>
                            <w:sz w:val="15"/>
                            <w:szCs w:val="15"/>
                          </w:rPr>
                          <w:t> </w:t>
                        </w:r>
                        <w:r>
                          <w:rPr>
                            <w:rFonts w:ascii="宋体" w:hAnsi="宋体" w:cs="宋体" w:eastAsia="宋体" w:hint="default"/>
                            <w:sz w:val="15"/>
                            <w:szCs w:val="15"/>
                          </w:rPr>
                          <w:t>销售收入。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系统集成业务，是根据合同的约定，在系统集成项目中的软</w:t>
                        </w:r>
                        <w:r>
                          <w:rPr>
                            <w:rFonts w:ascii="宋体" w:hAnsi="宋体" w:cs="宋体" w:eastAsia="宋体" w:hint="default"/>
                            <w:w w:val="100"/>
                            <w:sz w:val="15"/>
                            <w:szCs w:val="15"/>
                          </w:rPr>
                          <w:t> </w:t>
                        </w:r>
                        <w:r>
                          <w:rPr>
                            <w:rFonts w:ascii="宋体" w:hAnsi="宋体" w:cs="宋体" w:eastAsia="宋体" w:hint="default"/>
                            <w:sz w:val="15"/>
                            <w:szCs w:val="15"/>
                          </w:rPr>
                          <w:t>件产品和外购硬件（原材料、设备等）已交付给客户，系统</w:t>
                        </w:r>
                        <w:r>
                          <w:rPr>
                            <w:rFonts w:ascii="宋体" w:hAnsi="宋体" w:cs="宋体" w:eastAsia="宋体" w:hint="default"/>
                            <w:w w:val="100"/>
                            <w:sz w:val="15"/>
                            <w:szCs w:val="15"/>
                          </w:rPr>
                          <w:t> </w:t>
                        </w:r>
                        <w:r>
                          <w:rPr>
                            <w:rFonts w:ascii="宋体" w:hAnsi="宋体" w:cs="宋体" w:eastAsia="宋体" w:hint="default"/>
                            <w:sz w:val="15"/>
                            <w:szCs w:val="15"/>
                          </w:rPr>
                          <w:t>已按合同约定的条件完成安装调试，通过客户验收完成后确</w:t>
                        </w:r>
                        <w:r>
                          <w:rPr>
                            <w:rFonts w:ascii="宋体" w:hAnsi="宋体" w:cs="宋体" w:eastAsia="宋体" w:hint="default"/>
                            <w:w w:val="100"/>
                            <w:sz w:val="15"/>
                            <w:szCs w:val="15"/>
                          </w:rPr>
                          <w:t> </w:t>
                        </w:r>
                        <w:r>
                          <w:rPr>
                            <w:rFonts w:ascii="宋体" w:hAnsi="宋体" w:cs="宋体" w:eastAsia="宋体" w:hint="default"/>
                            <w:sz w:val="15"/>
                            <w:szCs w:val="15"/>
                          </w:rPr>
                          <w:t>认收入的实现。技术支持与服务，是按合同约定的服务期限</w:t>
                        </w:r>
                        <w:r>
                          <w:rPr>
                            <w:rFonts w:ascii="宋体" w:hAnsi="宋体" w:cs="宋体" w:eastAsia="宋体" w:hint="default"/>
                            <w:w w:val="100"/>
                            <w:sz w:val="15"/>
                            <w:szCs w:val="15"/>
                          </w:rPr>
                          <w:t> </w:t>
                        </w:r>
                        <w:r>
                          <w:rPr>
                            <w:rFonts w:ascii="宋体" w:hAnsi="宋体" w:cs="宋体" w:eastAsia="宋体" w:hint="default"/>
                            <w:sz w:val="15"/>
                            <w:szCs w:val="15"/>
                          </w:rPr>
                          <w:t>或经用户确认后确认收入的实现。应用软件开发与销售，是</w:t>
                        </w:r>
                        <w:r>
                          <w:rPr>
                            <w:rFonts w:ascii="宋体" w:hAnsi="宋体" w:cs="宋体" w:eastAsia="宋体" w:hint="default"/>
                            <w:w w:val="100"/>
                            <w:sz w:val="15"/>
                            <w:szCs w:val="15"/>
                          </w:rPr>
                          <w:t> </w:t>
                        </w:r>
                        <w:r>
                          <w:rPr>
                            <w:rFonts w:ascii="宋体" w:hAnsi="宋体" w:cs="宋体" w:eastAsia="宋体" w:hint="default"/>
                            <w:sz w:val="15"/>
                            <w:szCs w:val="15"/>
                          </w:rPr>
                          <w:t>按照合同约定、在项目实施完成并经对方验收合格后确认收</w:t>
                        </w:r>
                        <w:r>
                          <w:rPr>
                            <w:rFonts w:ascii="宋体" w:hAnsi="宋体" w:cs="宋体" w:eastAsia="宋体" w:hint="default"/>
                            <w:w w:val="100"/>
                            <w:sz w:val="15"/>
                            <w:szCs w:val="15"/>
                          </w:rPr>
                          <w:t> </w:t>
                        </w:r>
                        <w:r>
                          <w:rPr>
                            <w:rFonts w:ascii="宋体" w:hAnsi="宋体" w:cs="宋体" w:eastAsia="宋体" w:hint="default"/>
                            <w:sz w:val="15"/>
                            <w:szCs w:val="15"/>
                          </w:rPr>
                          <w:t>入的实现。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因为收入是信息发展公司的主要业绩指标之一，且涉及管理</w:t>
                        </w:r>
                        <w:r>
                          <w:rPr>
                            <w:rFonts w:ascii="宋体" w:hAnsi="宋体" w:cs="宋体" w:eastAsia="宋体" w:hint="default"/>
                            <w:w w:val="100"/>
                            <w:sz w:val="15"/>
                            <w:szCs w:val="15"/>
                          </w:rPr>
                          <w:t> </w:t>
                        </w:r>
                        <w:r>
                          <w:rPr>
                            <w:rFonts w:ascii="宋体" w:hAnsi="宋体" w:cs="宋体" w:eastAsia="宋体" w:hint="default"/>
                            <w:sz w:val="15"/>
                            <w:szCs w:val="15"/>
                          </w:rPr>
                          <w:t>层判断，我们将收入确认识别为关键审计事项。</w:t>
                        </w:r>
                      </w:p>
                    </w:tc>
                    <w:tc>
                      <w:tcPr>
                        <w:tcW w:w="4340" w:type="dxa"/>
                        <w:tcBorders>
                          <w:top w:val="single" w:sz="12" w:space="0" w:color="000000"/>
                          <w:left w:val="single" w:sz="6" w:space="0" w:color="000000"/>
                          <w:bottom w:val="single" w:sz="12" w:space="0" w:color="000000"/>
                          <w:right w:val="nil" w:sz="6" w:space="0" w:color="auto"/>
                        </w:tcBorders>
                      </w:tcPr>
                      <w:p>
                        <w:pPr>
                          <w:pStyle w:val="TableParagraph"/>
                          <w:spacing w:line="374" w:lineRule="auto" w:before="36"/>
                          <w:ind w:left="2" w:right="6"/>
                          <w:jc w:val="left"/>
                          <w:rPr>
                            <w:rFonts w:ascii="宋体" w:hAnsi="宋体" w:cs="宋体" w:eastAsia="宋体" w:hint="default"/>
                            <w:sz w:val="15"/>
                            <w:szCs w:val="15"/>
                          </w:rPr>
                        </w:pPr>
                        <w:r>
                          <w:rPr>
                            <w:rFonts w:ascii="宋体" w:hAnsi="宋体" w:cs="宋体" w:eastAsia="宋体" w:hint="default"/>
                            <w:sz w:val="15"/>
                            <w:szCs w:val="15"/>
                          </w:rPr>
                          <w:t>与评价收入确认相关的审计程序包括以下程序：</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w:t>
                        </w:r>
                        <w:r>
                          <w:rPr>
                            <w:rFonts w:ascii="宋体" w:hAnsi="宋体" w:cs="宋体" w:eastAsia="宋体" w:hint="default"/>
                            <w:sz w:val="15"/>
                            <w:szCs w:val="15"/>
                          </w:rPr>
                          <w:t>、了解和评价管理层与收入确认相关的关键内部控制的设计和运</w:t>
                        </w:r>
                        <w:r>
                          <w:rPr>
                            <w:rFonts w:ascii="宋体" w:hAnsi="宋体" w:cs="宋体" w:eastAsia="宋体" w:hint="default"/>
                            <w:w w:val="100"/>
                            <w:sz w:val="15"/>
                            <w:szCs w:val="15"/>
                          </w:rPr>
                          <w:t> </w:t>
                        </w:r>
                        <w:r>
                          <w:rPr>
                            <w:rFonts w:ascii="宋体" w:hAnsi="宋体" w:cs="宋体" w:eastAsia="宋体" w:hint="default"/>
                            <w:sz w:val="15"/>
                            <w:szCs w:val="15"/>
                          </w:rPr>
                          <w:t>行有效性，确定其可依赖；</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、根据不同收入类别，选取样本检查销售合同，识别与商品所有</w:t>
                        </w:r>
                        <w:r>
                          <w:rPr>
                            <w:rFonts w:ascii="宋体" w:hAnsi="宋体" w:cs="宋体" w:eastAsia="宋体" w:hint="default"/>
                            <w:w w:val="100"/>
                            <w:sz w:val="15"/>
                            <w:szCs w:val="15"/>
                          </w:rPr>
                          <w:t> </w:t>
                        </w:r>
                        <w:r>
                          <w:rPr>
                            <w:rFonts w:ascii="宋体" w:hAnsi="宋体" w:cs="宋体" w:eastAsia="宋体" w:hint="default"/>
                            <w:spacing w:val="-3"/>
                            <w:sz w:val="15"/>
                            <w:szCs w:val="15"/>
                          </w:rPr>
                          <w:t>权上的风险和报酬转移相关的合同条款与条件，评价收入确认时点</w:t>
                        </w:r>
                        <w:r>
                          <w:rPr>
                            <w:rFonts w:ascii="宋体" w:hAnsi="宋体" w:cs="宋体" w:eastAsia="宋体" w:hint="default"/>
                            <w:spacing w:val="-24"/>
                            <w:sz w:val="15"/>
                            <w:szCs w:val="15"/>
                          </w:rPr>
                          <w:t> </w:t>
                        </w:r>
                        <w:r>
                          <w:rPr>
                            <w:rFonts w:ascii="宋体" w:hAnsi="宋体" w:cs="宋体" w:eastAsia="宋体" w:hint="default"/>
                            <w:spacing w:val="-24"/>
                            <w:sz w:val="15"/>
                            <w:szCs w:val="15"/>
                          </w:rPr>
                        </w:r>
                        <w:r>
                          <w:rPr>
                            <w:rFonts w:ascii="宋体" w:hAnsi="宋体" w:cs="宋体" w:eastAsia="宋体" w:hint="default"/>
                            <w:sz w:val="15"/>
                            <w:szCs w:val="15"/>
                          </w:rPr>
                          <w:t>是否符合企业会计准则的要求；</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、按项目类别对收入和成本执行分析程序，包括：本期收入、成</w:t>
                        </w:r>
                        <w:r>
                          <w:rPr>
                            <w:rFonts w:ascii="宋体" w:hAnsi="宋体" w:cs="宋体" w:eastAsia="宋体" w:hint="default"/>
                            <w:w w:val="100"/>
                            <w:sz w:val="15"/>
                            <w:szCs w:val="15"/>
                          </w:rPr>
                          <w:t> </w:t>
                        </w:r>
                        <w:r>
                          <w:rPr>
                            <w:rFonts w:ascii="宋体" w:hAnsi="宋体" w:cs="宋体" w:eastAsia="宋体" w:hint="default"/>
                            <w:spacing w:val="-3"/>
                            <w:sz w:val="15"/>
                            <w:szCs w:val="15"/>
                          </w:rPr>
                          <w:t>本、毛利波动分析，以及与上期比较分析；主要项目本期收入、成</w:t>
                        </w:r>
                        <w:r>
                          <w:rPr>
                            <w:rFonts w:ascii="宋体" w:hAnsi="宋体" w:cs="宋体" w:eastAsia="宋体" w:hint="default"/>
                            <w:spacing w:val="-26"/>
                            <w:sz w:val="15"/>
                            <w:szCs w:val="15"/>
                          </w:rPr>
                          <w:t> </w:t>
                        </w:r>
                        <w:r>
                          <w:rPr>
                            <w:rFonts w:ascii="宋体" w:hAnsi="宋体" w:cs="宋体" w:eastAsia="宋体" w:hint="default"/>
                            <w:spacing w:val="-26"/>
                            <w:sz w:val="15"/>
                            <w:szCs w:val="15"/>
                          </w:rPr>
                        </w:r>
                        <w:r>
                          <w:rPr>
                            <w:rFonts w:ascii="宋体" w:hAnsi="宋体" w:cs="宋体" w:eastAsia="宋体" w:hint="default"/>
                            <w:sz w:val="15"/>
                            <w:szCs w:val="15"/>
                          </w:rPr>
                          <w:t>本、毛利率的具体分析等，判断是否出现异常波动的情况；</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、对本年记录的收入交易选取样本，核对销售合同、审批单、验</w:t>
                        </w:r>
                        <w:r>
                          <w:rPr>
                            <w:rFonts w:ascii="宋体" w:hAnsi="宋体" w:cs="宋体" w:eastAsia="宋体" w:hint="default"/>
                            <w:w w:val="100"/>
                            <w:sz w:val="15"/>
                            <w:szCs w:val="15"/>
                          </w:rPr>
                          <w:t> </w:t>
                        </w:r>
                        <w:r>
                          <w:rPr>
                            <w:rFonts w:ascii="宋体" w:hAnsi="宋体" w:cs="宋体" w:eastAsia="宋体" w:hint="default"/>
                            <w:spacing w:val="-5"/>
                            <w:sz w:val="15"/>
                            <w:szCs w:val="15"/>
                          </w:rPr>
                          <w:t>收单、项目进度状态、回款凭证等资料，检查已确认收入的真实性</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评价相关收入确认是否符合公司收入确认的会计政策；</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、结合应收账款函证，一并执行收入的函证程序，检查已确认的</w:t>
                        </w:r>
                        <w:r>
                          <w:rPr>
                            <w:rFonts w:ascii="宋体" w:hAnsi="宋体" w:cs="宋体" w:eastAsia="宋体" w:hint="default"/>
                            <w:w w:val="100"/>
                            <w:sz w:val="15"/>
                            <w:szCs w:val="15"/>
                          </w:rPr>
                          <w:t> </w:t>
                        </w:r>
                        <w:r>
                          <w:rPr>
                            <w:rFonts w:ascii="宋体" w:hAnsi="宋体" w:cs="宋体" w:eastAsia="宋体" w:hint="default"/>
                            <w:sz w:val="15"/>
                            <w:szCs w:val="15"/>
                          </w:rPr>
                          <w:t>收入的真实性和准确性；</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6</w:t>
                        </w:r>
                        <w:r>
                          <w:rPr>
                            <w:rFonts w:ascii="宋体" w:hAnsi="宋体" w:cs="宋体" w:eastAsia="宋体" w:hint="default"/>
                            <w:sz w:val="15"/>
                            <w:szCs w:val="15"/>
                          </w:rPr>
                          <w:t>、针对可能出现的完整性风险，我们实施了具有针对性的审计程</w:t>
                        </w:r>
                        <w:r>
                          <w:rPr>
                            <w:rFonts w:ascii="宋体" w:hAnsi="宋体" w:cs="宋体" w:eastAsia="宋体" w:hint="default"/>
                            <w:w w:val="100"/>
                            <w:sz w:val="15"/>
                            <w:szCs w:val="15"/>
                          </w:rPr>
                          <w:t> </w:t>
                        </w:r>
                        <w:r>
                          <w:rPr>
                            <w:rFonts w:ascii="宋体" w:hAnsi="宋体" w:cs="宋体" w:eastAsia="宋体" w:hint="default"/>
                            <w:spacing w:val="-3"/>
                            <w:sz w:val="15"/>
                            <w:szCs w:val="15"/>
                          </w:rPr>
                          <w:t>序，包括但不限于：在增加收入完整性测试样本的基础上，针对资</w:t>
                        </w:r>
                        <w:r>
                          <w:rPr>
                            <w:rFonts w:ascii="宋体" w:hAnsi="宋体" w:cs="宋体" w:eastAsia="宋体" w:hint="default"/>
                            <w:spacing w:val="-26"/>
                            <w:sz w:val="15"/>
                            <w:szCs w:val="15"/>
                          </w:rPr>
                          <w:t> </w:t>
                        </w:r>
                        <w:r>
                          <w:rPr>
                            <w:rFonts w:ascii="宋体" w:hAnsi="宋体" w:cs="宋体" w:eastAsia="宋体" w:hint="default"/>
                            <w:spacing w:val="-26"/>
                            <w:sz w:val="15"/>
                            <w:szCs w:val="15"/>
                          </w:rPr>
                        </w:r>
                        <w:r>
                          <w:rPr>
                            <w:rFonts w:ascii="宋体" w:hAnsi="宋体" w:cs="宋体" w:eastAsia="宋体" w:hint="default"/>
                            <w:spacing w:val="-3"/>
                            <w:sz w:val="15"/>
                            <w:szCs w:val="15"/>
                          </w:rPr>
                          <w:t>产负债表日前后确认的销售收入执行截止性测试，以评估销售收入</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宋体" w:hAnsi="宋体" w:cs="宋体" w:eastAsia="宋体" w:hint="default"/>
                            <w:sz w:val="15"/>
                            <w:szCs w:val="15"/>
                          </w:rPr>
                          <w:t>是否在恰当的会计期间确认。</w:t>
                        </w:r>
                      </w:p>
                    </w:tc>
                  </w:tr>
                </w:tbl>
                <w:p>
                  <w:pPr/>
                </w:p>
              </w:txbxContent>
            </v:textbox>
            <w10:wrap type="none"/>
          </v:shape>
        </w:pict>
      </w:r>
      <w:r>
        <w:rPr>
          <w:rFonts w:ascii="宋体" w:hAnsi="宋体" w:cs="宋体" w:eastAsia="宋体" w:hint="default"/>
          <w:w w:val="100"/>
          <w:sz w:val="15"/>
          <w:szCs w:val="15"/>
        </w:rPr>
        <w:t>，</w:t>
      </w:r>
    </w:p>
    <w:p>
      <w:pPr>
        <w:spacing w:after="0"/>
        <w:jc w:val="right"/>
        <w:rPr>
          <w:rFonts w:ascii="宋体" w:hAnsi="宋体" w:cs="宋体" w:eastAsia="宋体" w:hint="default"/>
          <w:sz w:val="15"/>
          <w:szCs w:val="15"/>
        </w:rPr>
        <w:sectPr>
          <w:footerReference w:type="default" r:id="rId16"/>
          <w:pgSz w:w="11910" w:h="16840"/>
          <w:pgMar w:footer="1021" w:header="906" w:top="1100" w:bottom="1220" w:left="1020" w:right="0"/>
          <w:pgNumType w:start="101"/>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3975"/>
        <w:gridCol w:w="4340"/>
      </w:tblGrid>
      <w:tr>
        <w:trPr>
          <w:trHeight w:val="356" w:hRule="exact"/>
        </w:trPr>
        <w:tc>
          <w:tcPr>
            <w:tcW w:w="831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left="4" w:right="0"/>
              <w:jc w:val="left"/>
              <w:rPr>
                <w:rFonts w:ascii="宋体" w:hAnsi="宋体" w:cs="宋体" w:eastAsia="宋体" w:hint="default"/>
                <w:sz w:val="15"/>
                <w:szCs w:val="15"/>
              </w:rPr>
            </w:pPr>
            <w:r>
              <w:rPr>
                <w:rFonts w:ascii="宋体" w:hAnsi="宋体" w:cs="宋体" w:eastAsia="宋体" w:hint="default"/>
                <w:b/>
                <w:bCs/>
                <w:sz w:val="15"/>
                <w:szCs w:val="15"/>
              </w:rPr>
              <w:t>（二）存货存在性及完整性</w:t>
            </w:r>
            <w:r>
              <w:rPr>
                <w:rFonts w:ascii="宋体" w:hAnsi="宋体" w:cs="宋体" w:eastAsia="宋体" w:hint="default"/>
                <w:sz w:val="15"/>
                <w:szCs w:val="15"/>
              </w:rPr>
            </w:r>
          </w:p>
        </w:tc>
      </w:tr>
      <w:tr>
        <w:trPr>
          <w:trHeight w:val="3470" w:hRule="exact"/>
        </w:trPr>
        <w:tc>
          <w:tcPr>
            <w:tcW w:w="3975" w:type="dxa"/>
            <w:tcBorders>
              <w:top w:val="single" w:sz="12" w:space="0" w:color="000000"/>
              <w:left w:val="single" w:sz="6" w:space="0" w:color="000000"/>
              <w:bottom w:val="single" w:sz="12" w:space="0" w:color="000000"/>
              <w:right w:val="single" w:sz="6" w:space="0" w:color="000000"/>
            </w:tcBorders>
          </w:tcPr>
          <w:p>
            <w:pPr>
              <w:pStyle w:val="TableParagraph"/>
              <w:spacing w:line="372" w:lineRule="auto" w:before="33"/>
              <w:ind w:left="4" w:right="-17"/>
              <w:jc w:val="left"/>
              <w:rPr>
                <w:rFonts w:ascii="宋体" w:hAnsi="宋体" w:cs="宋体" w:eastAsia="宋体" w:hint="default"/>
                <w:sz w:val="15"/>
                <w:szCs w:val="15"/>
              </w:rPr>
            </w:pPr>
            <w:r>
              <w:rPr>
                <w:rFonts w:ascii="宋体" w:hAnsi="宋体" w:cs="宋体" w:eastAsia="宋体" w:hint="default"/>
                <w:spacing w:val="-15"/>
                <w:w w:val="100"/>
                <w:sz w:val="15"/>
                <w:szCs w:val="15"/>
              </w:rPr>
              <w:t>请参阅财务报表“附注五、合并财务报表项目附注”注释（五）。</w:t>
            </w:r>
            <w:r>
              <w:rPr>
                <w:rFonts w:ascii="宋体" w:hAnsi="宋体" w:cs="宋体" w:eastAsia="宋体" w:hint="default"/>
                <w:spacing w:val="-61"/>
                <w:w w:val="100"/>
                <w:sz w:val="15"/>
                <w:szCs w:val="15"/>
              </w:rPr>
              <w:t> </w:t>
            </w:r>
            <w:r>
              <w:rPr>
                <w:rFonts w:ascii="宋体" w:hAnsi="宋体" w:cs="宋体" w:eastAsia="宋体" w:hint="default"/>
                <w:spacing w:val="-61"/>
                <w:w w:val="100"/>
                <w:sz w:val="15"/>
                <w:szCs w:val="15"/>
              </w:rPr>
            </w:r>
            <w:r>
              <w:rPr>
                <w:rFonts w:ascii="宋体" w:hAnsi="宋体" w:cs="宋体" w:eastAsia="宋体" w:hint="default"/>
                <w:sz w:val="15"/>
                <w:szCs w:val="15"/>
              </w:rPr>
              <w:t>于</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日，信息发展公司存货账面价值为人民币</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17,509.95</w:t>
            </w:r>
            <w:r>
              <w:rPr>
                <w:rFonts w:ascii="宋体" w:hAnsi="宋体" w:cs="宋体" w:eastAsia="宋体" w:hint="default"/>
                <w:sz w:val="15"/>
                <w:szCs w:val="15"/>
              </w:rPr>
              <w:t>万元，占报表总资产的</w:t>
            </w:r>
            <w:r>
              <w:rPr>
                <w:rFonts w:ascii="Times New Roman" w:hAnsi="Times New Roman" w:cs="Times New Roman" w:eastAsia="Times New Roman" w:hint="default"/>
                <w:sz w:val="15"/>
                <w:szCs w:val="15"/>
              </w:rPr>
              <w:t>13.35%</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信息发展公司的存货主要是未完工系统集成项目等，其存在</w:t>
            </w:r>
            <w:r>
              <w:rPr>
                <w:rFonts w:ascii="宋体" w:hAnsi="宋体" w:cs="宋体" w:eastAsia="宋体" w:hint="default"/>
                <w:w w:val="100"/>
                <w:sz w:val="15"/>
                <w:szCs w:val="15"/>
              </w:rPr>
              <w:t> </w:t>
            </w:r>
            <w:r>
              <w:rPr>
                <w:rFonts w:ascii="宋体" w:hAnsi="宋体" w:cs="宋体" w:eastAsia="宋体" w:hint="default"/>
                <w:sz w:val="15"/>
                <w:szCs w:val="15"/>
              </w:rPr>
              <w:t>性和完整性存在重大错报风险，我们将信息发展公司存货的</w:t>
            </w:r>
            <w:r>
              <w:rPr>
                <w:rFonts w:ascii="宋体" w:hAnsi="宋体" w:cs="宋体" w:eastAsia="宋体" w:hint="default"/>
                <w:w w:val="100"/>
                <w:sz w:val="15"/>
                <w:szCs w:val="15"/>
              </w:rPr>
              <w:t> </w:t>
            </w:r>
            <w:r>
              <w:rPr>
                <w:rFonts w:ascii="宋体" w:hAnsi="宋体" w:cs="宋体" w:eastAsia="宋体" w:hint="default"/>
                <w:sz w:val="15"/>
                <w:szCs w:val="15"/>
              </w:rPr>
              <w:t>存在性和完整性识别为关键审计事项。</w:t>
            </w:r>
          </w:p>
        </w:tc>
        <w:tc>
          <w:tcPr>
            <w:tcW w:w="4340" w:type="dxa"/>
            <w:tcBorders>
              <w:top w:val="single" w:sz="12" w:space="0" w:color="000000"/>
              <w:left w:val="single" w:sz="6" w:space="0" w:color="000000"/>
              <w:bottom w:val="single" w:sz="12" w:space="0" w:color="000000"/>
              <w:right w:val="nil" w:sz="6" w:space="0" w:color="auto"/>
            </w:tcBorders>
          </w:tcPr>
          <w:p>
            <w:pPr>
              <w:pStyle w:val="TableParagraph"/>
              <w:spacing w:line="372" w:lineRule="auto" w:before="33"/>
              <w:ind w:left="2" w:right="49"/>
              <w:jc w:val="left"/>
              <w:rPr>
                <w:rFonts w:ascii="宋体" w:hAnsi="宋体" w:cs="宋体" w:eastAsia="宋体" w:hint="default"/>
                <w:sz w:val="15"/>
                <w:szCs w:val="15"/>
              </w:rPr>
            </w:pPr>
            <w:r>
              <w:rPr>
                <w:rFonts w:ascii="宋体" w:hAnsi="宋体" w:cs="宋体" w:eastAsia="宋体" w:hint="default"/>
                <w:sz w:val="15"/>
                <w:szCs w:val="15"/>
              </w:rPr>
              <w:t>我们就存货的存在性和完整性实施的审计程序包括：</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、了解并测试信息发展公司存货管理的内部控制，包括采购和销</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售等；</w:t>
            </w:r>
            <w:r>
              <w:rPr>
                <w:rFonts w:ascii="宋体" w:hAnsi="宋体" w:cs="宋体" w:eastAsia="宋体" w:hint="default"/>
                <w:spacing w:val="-72"/>
                <w:sz w:val="15"/>
                <w:szCs w:val="15"/>
              </w:rPr>
              <w:t> </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、询问被审计单位除管理层和财务部门以外的其他人员，如营销</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人员、项目负责人等以了解有关存货的情况；</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、对存货实施发函确认等方法，评价存货的存在性；</w:t>
            </w:r>
          </w:p>
          <w:p>
            <w:pPr>
              <w:pStyle w:val="TableParagraph"/>
              <w:spacing w:line="367" w:lineRule="auto" w:before="13"/>
              <w:ind w:left="2" w:right="49"/>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、分析存货的构成内容，并与相关项目合同勾稽，判断已执行和</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正在执行的项目成本是否已正确归集；</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5</w:t>
            </w:r>
            <w:r>
              <w:rPr>
                <w:rFonts w:ascii="宋体" w:hAnsi="宋体" w:cs="宋体" w:eastAsia="宋体" w:hint="default"/>
                <w:spacing w:val="-2"/>
                <w:sz w:val="15"/>
                <w:szCs w:val="15"/>
              </w:rPr>
              <w:t>、对期末按项目归集的存货成本，比较相关的已签约但尚未达到</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收入确认条件的合同金额，以判断存货的存在性和完整性。</w:t>
            </w:r>
          </w:p>
        </w:tc>
      </w:tr>
      <w:tr>
        <w:trPr>
          <w:trHeight w:val="353" w:hRule="exact"/>
        </w:trPr>
        <w:tc>
          <w:tcPr>
            <w:tcW w:w="8316" w:type="dxa"/>
            <w:gridSpan w:val="2"/>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b/>
                <w:bCs/>
                <w:sz w:val="15"/>
                <w:szCs w:val="15"/>
              </w:rPr>
              <w:t>（三）应收账款的可收回性</w:t>
            </w:r>
            <w:r>
              <w:rPr>
                <w:rFonts w:ascii="宋体" w:hAnsi="宋体" w:cs="宋体" w:eastAsia="宋体" w:hint="default"/>
                <w:sz w:val="15"/>
                <w:szCs w:val="15"/>
              </w:rPr>
            </w:r>
          </w:p>
        </w:tc>
      </w:tr>
      <w:tr>
        <w:trPr>
          <w:trHeight w:val="2849" w:hRule="exact"/>
        </w:trPr>
        <w:tc>
          <w:tcPr>
            <w:tcW w:w="3975" w:type="dxa"/>
            <w:tcBorders>
              <w:top w:val="single" w:sz="12" w:space="0" w:color="000000"/>
              <w:left w:val="single" w:sz="6" w:space="0" w:color="000000"/>
              <w:bottom w:val="single" w:sz="12" w:space="0" w:color="000000"/>
              <w:right w:val="single" w:sz="6" w:space="0" w:color="000000"/>
            </w:tcBorders>
          </w:tcPr>
          <w:p>
            <w:pPr>
              <w:pStyle w:val="TableParagraph"/>
              <w:spacing w:line="374" w:lineRule="auto" w:before="33"/>
              <w:ind w:left="4" w:right="-17"/>
              <w:jc w:val="left"/>
              <w:rPr>
                <w:rFonts w:ascii="宋体" w:hAnsi="宋体" w:cs="宋体" w:eastAsia="宋体" w:hint="default"/>
                <w:sz w:val="15"/>
                <w:szCs w:val="15"/>
              </w:rPr>
            </w:pPr>
            <w:r>
              <w:rPr>
                <w:rFonts w:ascii="宋体" w:hAnsi="宋体" w:cs="宋体" w:eastAsia="宋体" w:hint="default"/>
                <w:sz w:val="15"/>
                <w:szCs w:val="15"/>
              </w:rPr>
              <w:t>请参阅财务报表附注“三、公司重要会计政策、会计估计”</w:t>
            </w:r>
            <w:r>
              <w:rPr>
                <w:rFonts w:ascii="宋体" w:hAnsi="宋体" w:cs="宋体" w:eastAsia="宋体" w:hint="default"/>
                <w:w w:val="100"/>
                <w:sz w:val="15"/>
                <w:szCs w:val="15"/>
              </w:rPr>
              <w:t> </w:t>
            </w:r>
            <w:r>
              <w:rPr>
                <w:rFonts w:ascii="宋体" w:hAnsi="宋体" w:cs="宋体" w:eastAsia="宋体" w:hint="default"/>
                <w:spacing w:val="-5"/>
                <w:sz w:val="15"/>
                <w:szCs w:val="15"/>
              </w:rPr>
              <w:t>注释（九）所述的会计政策及“五、合并财务报表项目附注”</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pacing w:val="-14"/>
                <w:w w:val="100"/>
                <w:sz w:val="15"/>
                <w:szCs w:val="15"/>
              </w:rPr>
              <w:t>注释（二）。</w:t>
            </w:r>
            <w:r>
              <w:rPr>
                <w:rFonts w:ascii="宋体" w:hAnsi="宋体" w:cs="宋体" w:eastAsia="宋体" w:hint="default"/>
                <w:spacing w:val="-73"/>
                <w:w w:val="100"/>
                <w:sz w:val="15"/>
                <w:szCs w:val="15"/>
              </w:rPr>
              <w:t> </w:t>
            </w:r>
            <w:r>
              <w:rPr>
                <w:rFonts w:ascii="宋体" w:hAnsi="宋体" w:cs="宋体" w:eastAsia="宋体" w:hint="default"/>
                <w:spacing w:val="-73"/>
                <w:w w:val="100"/>
                <w:sz w:val="15"/>
                <w:szCs w:val="15"/>
              </w:rPr>
            </w:r>
            <w:r>
              <w:rPr>
                <w:rFonts w:ascii="宋体" w:hAnsi="宋体" w:cs="宋体" w:eastAsia="宋体" w:hint="default"/>
                <w:sz w:val="15"/>
                <w:szCs w:val="15"/>
              </w:rPr>
              <w:t>于</w:t>
            </w:r>
            <w:r>
              <w:rPr>
                <w:rFonts w:ascii="Times New Roman" w:hAnsi="Times New Roman" w:cs="Times New Roman" w:eastAsia="Times New Roman" w:hint="default"/>
                <w:sz w:val="15"/>
                <w:szCs w:val="15"/>
              </w:rPr>
              <w:t>2019</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日，信息发展公司合并财务报表中应收账款</w:t>
            </w:r>
            <w:r>
              <w:rPr>
                <w:rFonts w:ascii="宋体" w:hAnsi="宋体" w:cs="宋体" w:eastAsia="宋体" w:hint="default"/>
                <w:w w:val="100"/>
                <w:sz w:val="15"/>
                <w:szCs w:val="15"/>
              </w:rPr>
              <w:t> </w:t>
            </w:r>
            <w:r>
              <w:rPr>
                <w:rFonts w:ascii="宋体" w:hAnsi="宋体" w:cs="宋体" w:eastAsia="宋体" w:hint="default"/>
                <w:sz w:val="15"/>
                <w:szCs w:val="15"/>
              </w:rPr>
              <w:t>的原值为</w:t>
            </w:r>
            <w:r>
              <w:rPr>
                <w:rFonts w:ascii="Times New Roman" w:hAnsi="Times New Roman" w:cs="Times New Roman" w:eastAsia="Times New Roman" w:hint="default"/>
                <w:sz w:val="15"/>
                <w:szCs w:val="15"/>
              </w:rPr>
              <w:t>41,693.81</w:t>
            </w:r>
            <w:r>
              <w:rPr>
                <w:rFonts w:ascii="宋体" w:hAnsi="宋体" w:cs="宋体" w:eastAsia="宋体" w:hint="default"/>
                <w:sz w:val="15"/>
                <w:szCs w:val="15"/>
              </w:rPr>
              <w:t>万元，坏账准备为</w:t>
            </w:r>
            <w:r>
              <w:rPr>
                <w:rFonts w:ascii="Times New Roman" w:hAnsi="Times New Roman" w:cs="Times New Roman" w:eastAsia="Times New Roman" w:hint="default"/>
                <w:sz w:val="15"/>
                <w:szCs w:val="15"/>
              </w:rPr>
              <w:t>7,360.50</w:t>
            </w:r>
            <w:r>
              <w:rPr>
                <w:rFonts w:ascii="宋体" w:hAnsi="宋体" w:cs="宋体" w:eastAsia="宋体" w:hint="default"/>
                <w:sz w:val="15"/>
                <w:szCs w:val="15"/>
              </w:rPr>
              <w:t>万元。</w:t>
            </w:r>
            <w:r>
              <w:rPr>
                <w:rFonts w:ascii="宋体" w:hAnsi="宋体" w:cs="宋体" w:eastAsia="宋体" w:hint="default"/>
                <w:w w:val="100"/>
                <w:sz w:val="15"/>
                <w:szCs w:val="15"/>
              </w:rPr>
              <w:t> </w:t>
            </w:r>
            <w:r>
              <w:rPr>
                <w:rFonts w:ascii="宋体" w:hAnsi="宋体" w:cs="宋体" w:eastAsia="宋体" w:hint="default"/>
                <w:sz w:val="15"/>
                <w:szCs w:val="15"/>
              </w:rPr>
              <w:t>由于信息发展公司管理层在确定应收账款预计可收回金额时</w:t>
            </w:r>
            <w:r>
              <w:rPr>
                <w:rFonts w:ascii="宋体" w:hAnsi="宋体" w:cs="宋体" w:eastAsia="宋体" w:hint="default"/>
                <w:w w:val="100"/>
                <w:sz w:val="15"/>
                <w:szCs w:val="15"/>
              </w:rPr>
              <w:t> </w:t>
            </w:r>
            <w:r>
              <w:rPr>
                <w:rFonts w:ascii="宋体" w:hAnsi="宋体" w:cs="宋体" w:eastAsia="宋体" w:hint="default"/>
                <w:sz w:val="15"/>
                <w:szCs w:val="15"/>
              </w:rPr>
              <w:t>需要运用重大会计估计和判断，且影响金额重大，为此我们</w:t>
            </w:r>
            <w:r>
              <w:rPr>
                <w:rFonts w:ascii="宋体" w:hAnsi="宋体" w:cs="宋体" w:eastAsia="宋体" w:hint="default"/>
                <w:w w:val="100"/>
                <w:sz w:val="15"/>
                <w:szCs w:val="15"/>
              </w:rPr>
              <w:t> </w:t>
            </w:r>
            <w:r>
              <w:rPr>
                <w:rFonts w:ascii="宋体" w:hAnsi="宋体" w:cs="宋体" w:eastAsia="宋体" w:hint="default"/>
                <w:sz w:val="15"/>
                <w:szCs w:val="15"/>
              </w:rPr>
              <w:t>确定应收账款的可收回性为关键审计事项。</w:t>
            </w:r>
          </w:p>
        </w:tc>
        <w:tc>
          <w:tcPr>
            <w:tcW w:w="4340" w:type="dxa"/>
            <w:tcBorders>
              <w:top w:val="single" w:sz="12" w:space="0" w:color="000000"/>
              <w:left w:val="single" w:sz="6" w:space="0" w:color="000000"/>
              <w:bottom w:val="single" w:sz="12" w:space="0" w:color="000000"/>
              <w:right w:val="nil" w:sz="6" w:space="0" w:color="auto"/>
            </w:tcBorders>
          </w:tcPr>
          <w:p>
            <w:pPr>
              <w:pStyle w:val="TableParagraph"/>
              <w:spacing w:line="372" w:lineRule="auto" w:before="33"/>
              <w:ind w:left="2" w:right="49"/>
              <w:jc w:val="left"/>
              <w:rPr>
                <w:rFonts w:ascii="宋体" w:hAnsi="宋体" w:cs="宋体" w:eastAsia="宋体" w:hint="default"/>
                <w:sz w:val="15"/>
                <w:szCs w:val="15"/>
              </w:rPr>
            </w:pPr>
            <w:r>
              <w:rPr>
                <w:rFonts w:ascii="宋体" w:hAnsi="宋体" w:cs="宋体" w:eastAsia="宋体" w:hint="default"/>
                <w:sz w:val="15"/>
                <w:szCs w:val="15"/>
              </w:rPr>
              <w:t>我们就应收账款的可收回性实施的审计程序包括：</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、了解、评估并测试管理层对应收账款账龄分析以及确定应收账</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款坏账准备相关的内部控制；</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、复核管理层对应收账款进行减值测试的相关考虑及客观证据，</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关注管理层是否充分识别已发生减值的项目；</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3</w:t>
            </w:r>
            <w:r>
              <w:rPr>
                <w:rFonts w:ascii="宋体" w:hAnsi="宋体" w:cs="宋体" w:eastAsia="宋体" w:hint="default"/>
                <w:spacing w:val="-2"/>
                <w:sz w:val="15"/>
                <w:szCs w:val="15"/>
              </w:rPr>
              <w:t>、对于管理层按照信用风险特征组合计提坏账准备的应收账款，</w:t>
            </w:r>
            <w:r>
              <w:rPr>
                <w:rFonts w:ascii="宋体" w:hAnsi="宋体" w:cs="宋体" w:eastAsia="宋体" w:hint="default"/>
                <w:spacing w:val="-21"/>
                <w:sz w:val="15"/>
                <w:szCs w:val="15"/>
              </w:rPr>
              <w:t> </w:t>
            </w:r>
            <w:r>
              <w:rPr>
                <w:rFonts w:ascii="宋体" w:hAnsi="宋体" w:cs="宋体" w:eastAsia="宋体" w:hint="default"/>
                <w:spacing w:val="-21"/>
                <w:sz w:val="15"/>
                <w:szCs w:val="15"/>
              </w:rPr>
            </w:r>
            <w:r>
              <w:rPr>
                <w:rFonts w:ascii="宋体" w:hAnsi="宋体" w:cs="宋体" w:eastAsia="宋体" w:hint="default"/>
                <w:sz w:val="15"/>
                <w:szCs w:val="15"/>
              </w:rPr>
              <w:t>评价管理层确定的坏账准备计提比例是否合理；</w:t>
            </w:r>
            <w:r>
              <w:rPr>
                <w:rFonts w:ascii="宋体" w:hAnsi="宋体" w:cs="宋体" w:eastAsia="宋体" w:hint="default"/>
                <w:w w:val="100"/>
                <w:sz w:val="15"/>
                <w:szCs w:val="15"/>
              </w:rPr>
              <w:t> </w:t>
            </w: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、实施函证程序，并将函证结果与管理层记录的金额进行核对；</w:t>
            </w:r>
          </w:p>
          <w:p>
            <w:pPr>
              <w:pStyle w:val="TableParagraph"/>
              <w:spacing w:line="240" w:lineRule="auto" w:before="13"/>
              <w:ind w:left="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、结合期后回款情况检查，评价管理层坏账准备计提的合理性。</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6"/>
        <w:ind w:left="1099" w:right="1133"/>
        <w:jc w:val="left"/>
        <w:rPr>
          <w:b w:val="0"/>
          <w:bCs w:val="0"/>
        </w:rPr>
      </w:pPr>
      <w:r>
        <w:rPr/>
        <w:t>其他信息</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398" w:lineRule="auto"/>
        <w:ind w:left="473" w:right="1132"/>
        <w:jc w:val="both"/>
      </w:pPr>
      <w:r>
        <w:rPr/>
        <w:t>信息发展公司管理层（以下简称管理层）对其他信息负责。其他信息包</w:t>
      </w:r>
      <w:r>
        <w:rPr>
          <w:w w:val="100"/>
        </w:rPr>
        <w:t> </w:t>
      </w:r>
      <w:r>
        <w:rPr/>
        <w:t>括信息发展公司</w:t>
      </w:r>
      <w:r>
        <w:rPr>
          <w:rFonts w:ascii="Times New Roman" w:hAnsi="Times New Roman" w:cs="Times New Roman" w:eastAsia="Times New Roman" w:hint="default"/>
        </w:rPr>
        <w:t>2019</w:t>
      </w:r>
      <w:r>
        <w:rPr/>
        <w:t>年年度报告中涵盖的信息，但不包括财务报表和我们的</w:t>
      </w:r>
      <w:r>
        <w:rPr>
          <w:spacing w:val="-107"/>
        </w:rPr>
        <w:t> </w:t>
      </w:r>
      <w:r>
        <w:rPr>
          <w:spacing w:val="-107"/>
        </w:rPr>
      </w:r>
      <w:r>
        <w:rPr/>
        <w:t>审计报告。</w:t>
      </w:r>
    </w:p>
    <w:p>
      <w:pPr>
        <w:pStyle w:val="Heading3"/>
        <w:spacing w:line="408" w:lineRule="auto" w:before="73"/>
        <w:ind w:left="473" w:right="1129"/>
        <w:jc w:val="left"/>
      </w:pPr>
      <w:r>
        <w:rPr/>
        <w:t>我们对财务报表发表的审计意见不涵盖其他信息，我们也不对其他信息</w:t>
      </w:r>
      <w:r>
        <w:rPr>
          <w:w w:val="100"/>
        </w:rPr>
        <w:t> </w:t>
      </w:r>
      <w:r>
        <w:rPr/>
        <w:t>发表任何形式的鉴证结论。</w:t>
      </w:r>
    </w:p>
    <w:p>
      <w:pPr>
        <w:pStyle w:val="Heading3"/>
        <w:spacing w:line="408" w:lineRule="auto" w:before="61"/>
        <w:ind w:left="473" w:right="986"/>
        <w:jc w:val="left"/>
      </w:pPr>
      <w:r>
        <w:rPr>
          <w:spacing w:val="-5"/>
        </w:rPr>
        <w:t>结合我们对财务报表的审计，我们的责任是阅读其他信息，在此过程中，</w:t>
      </w:r>
      <w:r>
        <w:rPr>
          <w:w w:val="100"/>
        </w:rPr>
        <w:t> </w:t>
      </w:r>
      <w:r>
        <w:rPr/>
        <w:t>考虑其他信息是否与财务报表或我们在审计过程中了解到的情况存在重大不</w:t>
      </w:r>
      <w:r>
        <w:rPr>
          <w:spacing w:val="-106"/>
        </w:rPr>
        <w:t> </w:t>
      </w:r>
      <w:r>
        <w:rPr>
          <w:spacing w:val="-106"/>
        </w:rPr>
      </w:r>
      <w:r>
        <w:rPr/>
        <w:t>一致或者似乎存在重大错报。</w:t>
      </w:r>
    </w:p>
    <w:p>
      <w:pPr>
        <w:spacing w:after="0" w:line="408"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pStyle w:val="Heading3"/>
        <w:spacing w:line="408" w:lineRule="auto" w:before="159"/>
        <w:ind w:left="473" w:right="1129"/>
        <w:jc w:val="left"/>
      </w:pPr>
      <w:r>
        <w:rPr/>
        <w:t>基于我们已执行的工作，如果我们确定其他信息存在重大错报，我们应</w:t>
      </w:r>
      <w:r>
        <w:rPr>
          <w:w w:val="100"/>
        </w:rPr>
        <w:t> </w:t>
      </w:r>
      <w:r>
        <w:rPr/>
        <w:t>当报告该事实。在这方面，我们无任何事项需要报告。</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4"/>
          <w:szCs w:val="24"/>
        </w:rPr>
      </w:pPr>
    </w:p>
    <w:p>
      <w:pPr>
        <w:pStyle w:val="Heading2"/>
        <w:spacing w:line="240" w:lineRule="auto"/>
        <w:ind w:left="1099" w:right="1133"/>
        <w:jc w:val="left"/>
        <w:rPr>
          <w:b w:val="0"/>
          <w:bCs w:val="0"/>
        </w:rPr>
      </w:pPr>
      <w:r>
        <w:rPr/>
        <w:t>管理层和治理层对财务报表的责任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left="473" w:right="986"/>
        <w:jc w:val="left"/>
      </w:pPr>
      <w:r>
        <w:rPr>
          <w:spacing w:val="-5"/>
        </w:rPr>
        <w:t>管理层负责按照企业会计准则的规定编制财务报表，使其实现公允反映，</w:t>
      </w:r>
      <w:r>
        <w:rPr>
          <w:w w:val="100"/>
        </w:rPr>
        <w:t> </w:t>
      </w:r>
      <w:r>
        <w:rPr/>
        <w:t>并设计、执行和维护必要的内部控制，以使财务报表不存在由于舞弊或错误</w:t>
      </w:r>
      <w:r>
        <w:rPr>
          <w:spacing w:val="-106"/>
        </w:rPr>
        <w:t> </w:t>
      </w:r>
      <w:r>
        <w:rPr>
          <w:spacing w:val="-106"/>
        </w:rPr>
      </w:r>
      <w:r>
        <w:rPr/>
        <w:t>导致的重大错报。</w:t>
      </w:r>
    </w:p>
    <w:p>
      <w:pPr>
        <w:pStyle w:val="Heading3"/>
        <w:spacing w:line="408" w:lineRule="auto" w:before="61"/>
        <w:ind w:left="473" w:right="1133"/>
        <w:jc w:val="both"/>
      </w:pPr>
      <w:r>
        <w:rPr/>
        <w:t>在编制财务报表时，管理层负责评估信息发展公司的持续经营能力，披</w:t>
      </w:r>
      <w:r>
        <w:rPr>
          <w:w w:val="100"/>
        </w:rPr>
        <w:t> </w:t>
      </w:r>
      <w:r>
        <w:rPr>
          <w:spacing w:val="-9"/>
          <w:w w:val="100"/>
        </w:rPr>
        <w:t>露与持续经营相关的事项（如适用），并运用持续经营假设，除非计划进行清</w:t>
      </w:r>
      <w:r>
        <w:rPr>
          <w:spacing w:val="-114"/>
          <w:w w:val="100"/>
        </w:rPr>
        <w:t> </w:t>
      </w:r>
      <w:r>
        <w:rPr>
          <w:spacing w:val="-114"/>
          <w:w w:val="100"/>
        </w:rPr>
      </w:r>
      <w:r>
        <w:rPr/>
        <w:t>算、终止运营或别无其他现实的选择。</w:t>
      </w:r>
    </w:p>
    <w:p>
      <w:pPr>
        <w:pStyle w:val="Heading3"/>
        <w:spacing w:line="240" w:lineRule="auto" w:before="61"/>
        <w:ind w:left="1039" w:right="1133" w:firstLine="0"/>
        <w:jc w:val="left"/>
      </w:pPr>
      <w:r>
        <w:rPr/>
        <w:t>治理层负责监督信息发展公司的财务报告过程。</w:t>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9"/>
          <w:szCs w:val="39"/>
        </w:rPr>
      </w:pPr>
    </w:p>
    <w:p>
      <w:pPr>
        <w:pStyle w:val="Heading2"/>
        <w:spacing w:line="240" w:lineRule="auto"/>
        <w:ind w:left="739" w:right="1133"/>
        <w:jc w:val="left"/>
        <w:rPr>
          <w:b w:val="0"/>
          <w:bCs w:val="0"/>
        </w:rPr>
      </w:pPr>
      <w:r>
        <w:rPr/>
        <w:t>注册会计师对财务报表审计的责任</w:t>
      </w:r>
      <w:r>
        <w:rPr>
          <w:b w:val="0"/>
          <w:bCs w:val="0"/>
        </w:rPr>
      </w: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9"/>
          <w:szCs w:val="39"/>
        </w:rPr>
      </w:pPr>
    </w:p>
    <w:p>
      <w:pPr>
        <w:pStyle w:val="Heading3"/>
        <w:spacing w:line="408" w:lineRule="auto"/>
        <w:ind w:right="1133"/>
        <w:jc w:val="both"/>
      </w:pPr>
      <w:r>
        <w:rPr>
          <w:spacing w:val="2"/>
        </w:rPr>
        <w:t>我们的目标是对财务报表整体是否不存在由于舞弊或错误导致的重大错报</w:t>
      </w:r>
      <w:r>
        <w:rPr>
          <w:spacing w:val="2"/>
          <w:w w:val="100"/>
        </w:rPr>
        <w:t> </w:t>
      </w:r>
      <w:r>
        <w:rPr>
          <w:spacing w:val="2"/>
        </w:rPr>
        <w:t>获取合理保证，并出具包含审计意见的审计报告。合理保证是高水平的保证，</w:t>
      </w:r>
      <w:r>
        <w:rPr>
          <w:spacing w:val="-106"/>
        </w:rPr>
        <w:t> </w:t>
      </w:r>
      <w:r>
        <w:rPr>
          <w:spacing w:val="-106"/>
        </w:rPr>
      </w:r>
      <w:r>
        <w:rPr>
          <w:spacing w:val="2"/>
        </w:rPr>
        <w:t>但并不能保证按照审计准则执行的审计在某一重大错报存在时总能发现。错报</w:t>
      </w:r>
      <w:r>
        <w:rPr>
          <w:spacing w:val="-106"/>
        </w:rPr>
        <w:t> </w:t>
      </w:r>
      <w:r>
        <w:rPr>
          <w:spacing w:val="-106"/>
        </w:rPr>
      </w:r>
      <w:r>
        <w:rPr>
          <w:spacing w:val="2"/>
        </w:rPr>
        <w:t>可能由于舞弊或错误导致，如果合理预期错报单独或汇总起来可能影响财务报</w:t>
      </w:r>
      <w:r>
        <w:rPr>
          <w:spacing w:val="-108"/>
        </w:rPr>
        <w:t> </w:t>
      </w:r>
      <w:r>
        <w:rPr>
          <w:spacing w:val="-108"/>
        </w:rPr>
      </w:r>
      <w:r>
        <w:rPr/>
        <w:t>表使用者依据财务报表作出的经济决策，则通常认为错报是重大的。</w:t>
      </w:r>
    </w:p>
    <w:p>
      <w:pPr>
        <w:pStyle w:val="Heading3"/>
        <w:spacing w:line="408" w:lineRule="auto" w:before="61"/>
        <w:ind w:right="1135"/>
        <w:jc w:val="both"/>
      </w:pPr>
      <w:r>
        <w:rPr>
          <w:spacing w:val="2"/>
        </w:rPr>
        <w:t>在按照审计准则执行审计工作的过程中，我们运用职业判断，并保持职业</w:t>
      </w:r>
      <w:r>
        <w:rPr>
          <w:spacing w:val="2"/>
          <w:w w:val="100"/>
        </w:rPr>
        <w:t> </w:t>
      </w:r>
      <w:r>
        <w:rPr/>
        <w:t>怀疑。同时，我们也执行以下工作：</w:t>
      </w:r>
    </w:p>
    <w:p>
      <w:pPr>
        <w:spacing w:after="0" w:line="408" w:lineRule="auto"/>
        <w:jc w:val="both"/>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pStyle w:val="Heading3"/>
        <w:spacing w:line="403" w:lineRule="auto" w:before="159"/>
        <w:ind w:right="1133"/>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w:t>
      </w:r>
      <w:r>
        <w:rPr>
          <w:w w:val="100"/>
        </w:rPr>
        <w:t> </w:t>
      </w:r>
      <w:r>
        <w:rPr>
          <w:spacing w:val="2"/>
        </w:rPr>
        <w:t>施审计程序以应对这些风险，并获取充分、适当的审计证据，作为发表审计意</w:t>
      </w:r>
      <w:r>
        <w:rPr>
          <w:spacing w:val="-106"/>
        </w:rPr>
        <w:t> </w:t>
      </w:r>
      <w:r>
        <w:rPr>
          <w:spacing w:val="-106"/>
        </w:rPr>
      </w:r>
      <w:r>
        <w:rPr>
          <w:spacing w:val="2"/>
        </w:rPr>
        <w:t>见的基础。由于舞弊可能涉及串通、伪造、故意遗漏、虚假陈述或凌驾于内部</w:t>
      </w:r>
      <w:r>
        <w:rPr>
          <w:spacing w:val="-106"/>
        </w:rPr>
        <w:t> </w:t>
      </w:r>
      <w:r>
        <w:rPr>
          <w:spacing w:val="-106"/>
        </w:rPr>
      </w:r>
      <w:r>
        <w:rPr>
          <w:spacing w:val="2"/>
        </w:rPr>
        <w:t>控制之上，未能发现由于舞弊导致的重大错报的风险高于未能发现由于错误导</w:t>
      </w:r>
      <w:r>
        <w:rPr>
          <w:spacing w:val="-106"/>
        </w:rPr>
        <w:t> </w:t>
      </w:r>
      <w:r>
        <w:rPr>
          <w:spacing w:val="-106"/>
        </w:rPr>
      </w:r>
      <w:r>
        <w:rPr/>
        <w:t>致的重大错报的风险。</w:t>
      </w:r>
    </w:p>
    <w:p>
      <w:pPr>
        <w:pStyle w:val="Heading3"/>
        <w:spacing w:line="386" w:lineRule="auto" w:before="67"/>
        <w:ind w:right="1134"/>
        <w:jc w:val="both"/>
      </w:pPr>
      <w:r>
        <w:rPr>
          <w:spacing w:val="-2"/>
        </w:rPr>
        <w:t>（</w:t>
      </w:r>
      <w:r>
        <w:rPr>
          <w:rFonts w:ascii="Times New Roman" w:hAnsi="Times New Roman" w:cs="Times New Roman" w:eastAsia="Times New Roman" w:hint="default"/>
          <w:spacing w:val="-2"/>
        </w:rPr>
        <w:t>2</w:t>
      </w:r>
      <w:r>
        <w:rPr>
          <w:spacing w:val="-2"/>
        </w:rPr>
        <w:t>）了解与审计相关的内部控制，以设计恰当的审计程序，但目的并非对</w:t>
      </w:r>
      <w:r>
        <w:rPr>
          <w:w w:val="100"/>
        </w:rPr>
        <w:t> </w:t>
      </w:r>
      <w:r>
        <w:rPr/>
        <w:t>内部控制的有效性发表意见。</w:t>
      </w:r>
    </w:p>
    <w:p>
      <w:pPr>
        <w:pStyle w:val="Heading3"/>
        <w:spacing w:line="240" w:lineRule="auto" w:before="86"/>
        <w:ind w:left="679" w:right="986" w:firstLine="0"/>
        <w:jc w:val="left"/>
      </w:pPr>
      <w:r>
        <w:rPr/>
        <w:t>（</w:t>
      </w:r>
      <w:r>
        <w:rPr>
          <w:rFonts w:ascii="Times New Roman" w:hAnsi="Times New Roman" w:cs="Times New Roman" w:eastAsia="Times New Roman" w:hint="default"/>
        </w:rPr>
        <w:t>3</w:t>
      </w:r>
      <w:r>
        <w:rPr/>
        <w:t>）评价管理层选用会计政策的恰当性和作出会计估计及相关披露的合理</w:t>
      </w:r>
    </w:p>
    <w:p>
      <w:pPr>
        <w:pStyle w:val="Heading3"/>
        <w:spacing w:line="240" w:lineRule="auto" w:before="236"/>
        <w:ind w:right="1133" w:firstLine="0"/>
        <w:jc w:val="left"/>
      </w:pPr>
      <w:r>
        <w:rPr/>
        <w:t>性。</w:t>
      </w:r>
    </w:p>
    <w:p>
      <w:pPr>
        <w:spacing w:line="240" w:lineRule="auto" w:before="9"/>
        <w:rPr>
          <w:rFonts w:ascii="宋体" w:hAnsi="宋体" w:cs="宋体" w:eastAsia="宋体" w:hint="default"/>
          <w:sz w:val="19"/>
          <w:szCs w:val="19"/>
        </w:rPr>
      </w:pPr>
    </w:p>
    <w:p>
      <w:pPr>
        <w:pStyle w:val="Heading3"/>
        <w:spacing w:line="405" w:lineRule="auto"/>
        <w:ind w:right="1133"/>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w:t>
      </w:r>
      <w:r>
        <w:rPr>
          <w:w w:val="100"/>
        </w:rPr>
        <w:t> </w:t>
      </w:r>
      <w:r>
        <w:rPr>
          <w:spacing w:val="2"/>
        </w:rPr>
        <w:t>计证据，就可能导致对信息发展公司持续经营能力产生重大疑虑的事项或情况</w:t>
      </w:r>
      <w:r>
        <w:rPr>
          <w:spacing w:val="-106"/>
        </w:rPr>
        <w:t> </w:t>
      </w:r>
      <w:r>
        <w:rPr>
          <w:spacing w:val="-106"/>
        </w:rPr>
      </w:r>
      <w:r>
        <w:rPr>
          <w:spacing w:val="2"/>
        </w:rPr>
        <w:t>是否存在重大不确定性得出结论。如果我们得出结论认为存在重大不确定性，</w:t>
      </w:r>
      <w:r>
        <w:rPr>
          <w:spacing w:val="-106"/>
        </w:rPr>
        <w:t> </w:t>
      </w:r>
      <w:r>
        <w:rPr>
          <w:spacing w:val="-106"/>
        </w:rPr>
      </w:r>
      <w:r>
        <w:rPr>
          <w:spacing w:val="2"/>
        </w:rPr>
        <w:t>审计准则要求我们在审计报告中提请报表使用者注意财务报表中的相关披露；</w:t>
      </w:r>
      <w:r>
        <w:rPr>
          <w:spacing w:val="-106"/>
        </w:rPr>
        <w:t> </w:t>
      </w:r>
      <w:r>
        <w:rPr>
          <w:spacing w:val="-106"/>
        </w:rPr>
      </w:r>
      <w:r>
        <w:rPr>
          <w:spacing w:val="2"/>
        </w:rPr>
        <w:t>如果披露不充分，我们应当发表非无保留意见。我们的结论基于截至审计报告</w:t>
      </w:r>
      <w:r>
        <w:rPr>
          <w:spacing w:val="-106"/>
        </w:rPr>
        <w:t> </w:t>
      </w:r>
      <w:r>
        <w:rPr>
          <w:spacing w:val="-106"/>
        </w:rPr>
      </w:r>
      <w:r>
        <w:rPr>
          <w:spacing w:val="2"/>
        </w:rPr>
        <w:t>日可获得的信息。然而，未来的事项或情况可能导致信息发展公司不能持续经</w:t>
      </w:r>
      <w:r>
        <w:rPr>
          <w:spacing w:val="-108"/>
        </w:rPr>
        <w:t> </w:t>
      </w:r>
      <w:r>
        <w:rPr>
          <w:spacing w:val="-108"/>
        </w:rPr>
      </w:r>
      <w:r>
        <w:rPr/>
        <w:t>营。</w:t>
      </w:r>
    </w:p>
    <w:p>
      <w:pPr>
        <w:pStyle w:val="Heading3"/>
        <w:spacing w:line="386" w:lineRule="auto" w:before="64"/>
        <w:ind w:right="1137"/>
        <w:jc w:val="both"/>
      </w:pPr>
      <w:r>
        <w:rPr>
          <w:spacing w:val="-3"/>
          <w:w w:val="100"/>
        </w:rPr>
        <w:t>（</w:t>
      </w:r>
      <w:r>
        <w:rPr>
          <w:rFonts w:ascii="Times New Roman" w:hAnsi="Times New Roman" w:cs="Times New Roman" w:eastAsia="Times New Roman" w:hint="default"/>
          <w:spacing w:val="-3"/>
          <w:w w:val="100"/>
        </w:rPr>
        <w:t>5</w:t>
      </w:r>
      <w:r>
        <w:rPr>
          <w:spacing w:val="-3"/>
          <w:w w:val="100"/>
        </w:rPr>
        <w:t>）评价财务报表的总体列报（包括披露）、结构和内容，并评价财务报</w:t>
      </w:r>
      <w:r>
        <w:rPr>
          <w:w w:val="100"/>
        </w:rPr>
        <w:t> </w:t>
      </w:r>
      <w:r>
        <w:rPr/>
        <w:t>表是否公允反映相关交易和事项。</w:t>
      </w:r>
    </w:p>
    <w:p>
      <w:pPr>
        <w:pStyle w:val="Heading3"/>
        <w:spacing w:line="398" w:lineRule="auto" w:before="87"/>
        <w:ind w:right="1133"/>
        <w:jc w:val="both"/>
      </w:pPr>
      <w:r>
        <w:rPr>
          <w:spacing w:val="-2"/>
        </w:rPr>
        <w:t>（</w:t>
      </w:r>
      <w:r>
        <w:rPr>
          <w:rFonts w:ascii="Times New Roman" w:hAnsi="Times New Roman" w:cs="Times New Roman" w:eastAsia="Times New Roman" w:hint="default"/>
          <w:spacing w:val="-2"/>
        </w:rPr>
        <w:t>6</w:t>
      </w:r>
      <w:r>
        <w:rPr>
          <w:spacing w:val="-2"/>
        </w:rPr>
        <w:t>）就信息发展公司中实体或业务活动的财务信息获取充分、适当的审计</w:t>
      </w:r>
      <w:r>
        <w:rPr>
          <w:w w:val="100"/>
        </w:rPr>
        <w:t> </w:t>
      </w:r>
      <w:r>
        <w:rPr>
          <w:spacing w:val="2"/>
        </w:rPr>
        <w:t>证据，以对财务报表发表审计意见。我们负责指导、监督和执行集团审计，并</w:t>
      </w:r>
      <w:r>
        <w:rPr>
          <w:spacing w:val="-106"/>
        </w:rPr>
        <w:t> </w:t>
      </w:r>
      <w:r>
        <w:rPr>
          <w:spacing w:val="-106"/>
        </w:rPr>
      </w:r>
      <w:r>
        <w:rPr/>
        <w:t>对审计意见承担全部责任。</w:t>
      </w:r>
    </w:p>
    <w:p>
      <w:pPr>
        <w:pStyle w:val="Heading3"/>
        <w:spacing w:line="240" w:lineRule="auto" w:before="72"/>
        <w:ind w:left="679" w:right="1133" w:firstLine="0"/>
        <w:jc w:val="left"/>
      </w:pPr>
      <w:r>
        <w:rPr>
          <w:spacing w:val="2"/>
        </w:rPr>
        <w:t>我们与治理层就计划的审计范围、时间安排和重大审计发现等事项进行沟</w:t>
      </w:r>
      <w:r>
        <w:rPr/>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pStyle w:val="Heading3"/>
        <w:spacing w:line="408" w:lineRule="auto" w:before="159"/>
        <w:ind w:left="679" w:right="1133" w:hanging="567"/>
        <w:jc w:val="left"/>
      </w:pPr>
      <w:r>
        <w:rPr/>
        <w:t>通，包括沟通我们在审计中识别出的值得关注的内部控制缺陷。</w:t>
      </w:r>
      <w:r>
        <w:rPr>
          <w:w w:val="100"/>
        </w:rPr>
        <w:t> </w:t>
      </w:r>
      <w:r>
        <w:rPr>
          <w:spacing w:val="2"/>
        </w:rPr>
        <w:t>我们还就已遵守与独立性相关的职业道德要求向治理层提供声明，并与治</w:t>
      </w:r>
      <w:r>
        <w:rPr/>
      </w:r>
    </w:p>
    <w:p>
      <w:pPr>
        <w:pStyle w:val="Heading3"/>
        <w:spacing w:line="408" w:lineRule="auto" w:before="61"/>
        <w:ind w:right="1133" w:firstLine="0"/>
        <w:jc w:val="left"/>
      </w:pPr>
      <w:r>
        <w:rPr>
          <w:spacing w:val="2"/>
        </w:rPr>
        <w:t>理层沟通可能被合理认为影响我们独立性的所有关系和其他事项，以及相关的</w:t>
      </w:r>
      <w:r>
        <w:rPr>
          <w:spacing w:val="-108"/>
        </w:rPr>
        <w:t> </w:t>
      </w:r>
      <w:r>
        <w:rPr>
          <w:spacing w:val="-108"/>
        </w:rPr>
      </w:r>
      <w:r>
        <w:rPr>
          <w:spacing w:val="-15"/>
          <w:w w:val="100"/>
        </w:rPr>
        <w:t>防范措施（如适用）。</w:t>
      </w:r>
    </w:p>
    <w:p>
      <w:pPr>
        <w:pStyle w:val="Heading3"/>
        <w:spacing w:line="408" w:lineRule="auto" w:before="61"/>
        <w:ind w:right="1133"/>
        <w:jc w:val="both"/>
      </w:pPr>
      <w:r>
        <w:rPr>
          <w:spacing w:val="2"/>
        </w:rPr>
        <w:t>从与治理层沟通过的事项中，我们确定哪些事项对本期财务报表审计最为</w:t>
      </w:r>
      <w:r>
        <w:rPr>
          <w:spacing w:val="2"/>
          <w:w w:val="100"/>
        </w:rPr>
        <w:t> </w:t>
      </w:r>
      <w:r>
        <w:rPr>
          <w:spacing w:val="2"/>
        </w:rPr>
        <w:t>重要，因而构成关键审计事项。我们在审计报告中描述这些事项，除非法律法</w:t>
      </w:r>
      <w:r>
        <w:rPr>
          <w:spacing w:val="-106"/>
        </w:rPr>
        <w:t> </w:t>
      </w:r>
      <w:r>
        <w:rPr>
          <w:spacing w:val="-106"/>
        </w:rPr>
      </w:r>
      <w:r>
        <w:rPr>
          <w:spacing w:val="2"/>
        </w:rPr>
        <w:t>规禁止公开披露这些事项，或在极少数情形下，如果合理预期在审计报告中沟</w:t>
      </w:r>
      <w:r>
        <w:rPr>
          <w:spacing w:val="-106"/>
        </w:rPr>
        <w:t> </w:t>
      </w:r>
      <w:r>
        <w:rPr>
          <w:spacing w:val="-106"/>
        </w:rPr>
      </w:r>
      <w:r>
        <w:rPr>
          <w:spacing w:val="2"/>
        </w:rPr>
        <w:t>通某事项造成的负面后果超过在公众利益方面产生的益处，我们确定不应在审</w:t>
      </w:r>
      <w:r>
        <w:rPr>
          <w:spacing w:val="-106"/>
        </w:rPr>
        <w:t> </w:t>
      </w:r>
      <w:r>
        <w:rPr>
          <w:spacing w:val="-106"/>
        </w:rPr>
      </w:r>
      <w:r>
        <w:rPr/>
        <w:t>计报告中沟通该事项。</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5"/>
          <w:szCs w:val="35"/>
        </w:rPr>
      </w:pPr>
    </w:p>
    <w:p>
      <w:pPr>
        <w:pStyle w:val="Heading2"/>
        <w:tabs>
          <w:tab w:pos="3293" w:val="left" w:leader="none"/>
        </w:tabs>
        <w:spacing w:line="240" w:lineRule="auto"/>
        <w:ind w:left="389" w:right="1133"/>
        <w:jc w:val="left"/>
        <w:rPr>
          <w:b w:val="0"/>
          <w:bCs w:val="0"/>
        </w:rPr>
      </w:pPr>
      <w:r>
        <w:rPr>
          <w:w w:val="95"/>
        </w:rPr>
        <w:t>立信会计师事务所</w:t>
        <w:tab/>
      </w:r>
      <w:r>
        <w:rPr/>
        <w:t>中国注册会计师：庄继宁（项目合伙人）</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389" w:right="1133"/>
        <w:jc w:val="left"/>
        <w:rPr>
          <w:b w:val="0"/>
          <w:bCs w:val="0"/>
        </w:rPr>
      </w:pPr>
      <w:r>
        <w:rPr/>
        <w:t>（特殊普通合伙）</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spacing w:line="240" w:lineRule="auto"/>
        <w:ind w:left="4784" w:right="1133"/>
        <w:jc w:val="left"/>
        <w:rPr>
          <w:b w:val="0"/>
          <w:bCs w:val="0"/>
        </w:rPr>
      </w:pPr>
      <w:r>
        <w:rPr/>
        <w:t>中国注册会计师：吴海燕</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pStyle w:val="Heading2"/>
        <w:tabs>
          <w:tab w:pos="2453" w:val="left" w:leader="none"/>
        </w:tabs>
        <w:spacing w:line="240" w:lineRule="auto"/>
        <w:ind w:right="1133"/>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r>
      <w:r>
        <w:rPr/>
        <w:t>二○二○年四月二十七日</w:t>
      </w:r>
      <w:r>
        <w:rPr>
          <w:b w:val="0"/>
          <w:bCs w:val="0"/>
        </w:rPr>
      </w:r>
    </w:p>
    <w:p>
      <w:pPr>
        <w:spacing w:after="0" w:line="240" w:lineRule="auto"/>
        <w:jc w:val="left"/>
        <w:sectPr>
          <w:pgSz w:w="11910" w:h="16840"/>
          <w:pgMar w:header="906" w:footer="1021" w:top="1100" w:bottom="1220" w:left="1020" w:right="0"/>
        </w:sectPr>
      </w:pPr>
    </w:p>
    <w:p>
      <w:pPr>
        <w:spacing w:line="240" w:lineRule="auto" w:before="9"/>
        <w:rPr>
          <w:rFonts w:ascii="宋体" w:hAnsi="宋体" w:cs="宋体" w:eastAsia="宋体" w:hint="default"/>
          <w:b/>
          <w:bCs/>
          <w:sz w:val="20"/>
          <w:szCs w:val="20"/>
        </w:rPr>
      </w:pPr>
    </w:p>
    <w:p>
      <w:pPr>
        <w:pStyle w:val="Heading4"/>
        <w:spacing w:line="240" w:lineRule="auto" w:before="26"/>
        <w:ind w:right="1133"/>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编制单位：上海中信信息发展股份有限公司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3" w:equalWidth="0">
            <w:col w:w="3533" w:space="543"/>
            <w:col w:w="1602" w:space="3242"/>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214,207,424.80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213,633,815.74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343,333,080.08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354,806,506.77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46,430,185.46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12,179,590.36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116,481,115.31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52,280,954.83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3,643,181.71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175,099,504.32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348,998,005.46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7,318,399.87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6,986,539.26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902,869,709.84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988,885,412.42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7,666,023.87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14,984,423.74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13,027,637.13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11,550,824.02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16,417,086.39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289,907,584.02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274,414,892.58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34,441,660.94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30,798,905.11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10,737,367.68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10,737,367.68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41,277,389.25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15,804,938.19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408,608,486.91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386,157,613.69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1,311,478,196.75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1,375,043,026.11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244,351,205.48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52,460,101.11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49,375,341.80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179,812,013.20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178,913,005.63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175,965,575.44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139,240,861.02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11,154,603.28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23,398,600.12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46,195,866.71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58,170,839.43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28,700,202.12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39,257,223.57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516,104.23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42,198,584.61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780,838,151.95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713,855,871.57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47,667,500.00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17,312,000.00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122,845.59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95,000.02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167,790,345.59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179,407,000.02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948,628,497.54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893,262,871.59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205,135,376.00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121,993,920.00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46,810,718.94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140,065,907.86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20,005,180.20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37,410,991.66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21,201,618.43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21,158,362.78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52,672,175.13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206,776,284.56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305,814,708.30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452,583,483.54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57,034,990.91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29,196,670.98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362,849,699.21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481,780,154.52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1,311,478,196.75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1,375,043,026.11</w:t>
            </w:r>
          </w:p>
        </w:tc>
      </w:tr>
    </w:tbl>
    <w:p>
      <w:pPr>
        <w:spacing w:line="240" w:lineRule="auto" w:before="11"/>
        <w:rPr>
          <w:rFonts w:ascii="Times New Roman" w:hAnsi="Times New Roman" w:cs="Times New Roman" w:eastAsia="Times New Roman" w:hint="default"/>
          <w:sz w:val="22"/>
          <w:szCs w:val="22"/>
        </w:rPr>
      </w:pPr>
    </w:p>
    <w:p>
      <w:pPr>
        <w:tabs>
          <w:tab w:pos="3514" w:val="left" w:leader="none"/>
          <w:tab w:pos="7566" w:val="left" w:leader="none"/>
        </w:tabs>
        <w:spacing w:before="44"/>
        <w:ind w:left="0" w:right="1225" w:firstLine="0"/>
        <w:jc w:val="right"/>
        <w:rPr>
          <w:rFonts w:ascii="宋体" w:hAnsi="宋体" w:cs="宋体" w:eastAsia="宋体" w:hint="default"/>
          <w:sz w:val="18"/>
          <w:szCs w:val="18"/>
        </w:rPr>
      </w:pPr>
      <w:r>
        <w:rPr>
          <w:rFonts w:ascii="宋体" w:hAnsi="宋体" w:cs="宋体" w:eastAsia="宋体" w:hint="default"/>
          <w:sz w:val="18"/>
          <w:szCs w:val="18"/>
        </w:rPr>
        <w:t>法定代表人：张曙华</w:t>
        <w:tab/>
      </w:r>
      <w:r>
        <w:rPr>
          <w:rFonts w:ascii="宋体" w:hAnsi="宋体" w:cs="宋体" w:eastAsia="宋体" w:hint="default"/>
          <w:spacing w:val="-1"/>
          <w:sz w:val="18"/>
          <w:szCs w:val="18"/>
        </w:rPr>
        <w:t>主管会计工作负责人：张颖</w:t>
        <w:tab/>
      </w:r>
      <w:r>
        <w:rPr>
          <w:rFonts w:ascii="宋体" w:hAnsi="宋体" w:cs="宋体" w:eastAsia="宋体" w:hint="default"/>
          <w:sz w:val="18"/>
          <w:szCs w:val="18"/>
        </w:rPr>
        <w:t>会计机构负责人：范燕青</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176,026,862.04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115,391,728.89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331,839,273.48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345,340,462.61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45,595,190.70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64,654,672.58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151,933,729.37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95,687,524.76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2"/>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3,643,181.71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2"/>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158,100,525.56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226,031,599.28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7,318,399.87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6,986,539.26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870,813,981.02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854,092,527.38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7,666,023.87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14,984,423.74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102,810,000.00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106,100,000.00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3,375,637.13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6,562,143.86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7,475,417.68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11,836,065.18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10,150,343.70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7,262,202.57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1,897,025.37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34,960,178.55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12,819,513.01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174,472,251.16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156,426,723.50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1,045,286,232.18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1,010,519,250.88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229,843,955.48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212,500,000.00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61,960,101.11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59,375,341.80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160,252,007.35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139,156,560.17</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1021" w:header="906" w:top="1100" w:bottom="1220" w:left="1020" w:right="0"/>
          <w:pgNumType w:start="11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138,277,190.42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116,948,392.35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6,390,099.81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17,588,754.71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40,437,223.81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53,285,260.10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96,754,932.96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37,509,357.43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298,395.90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733,915,510.94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636,363,666.56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42,862,500.00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14,257,000.00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56,345.57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42,918,845.57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14,257,000.00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776,834,356.51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650,620,666.56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205,135,376.00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121,993,920.00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25,967,146.32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140,055,568.49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20,005,180.20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37,410,991.66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21,201,618.43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21,158,362.78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36,152,915.12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114,101,724.71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268,451,875.67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359,898,584.32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1,045,286,232.18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1,010,519,250.88</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640,198,270.89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706,940,063.53</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640,198,270.89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706,940,063.53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6"/>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787,808,510.32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660,645,457.65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480,746,688.86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450,429,814.58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6"/>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提取保险责任合同准备</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4,207,634.51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1,109,582.63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71,399,333.07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55,571,530.43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86,442,378.34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77,494,036.13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125,120,286.57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65,700,762.42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19,892,188.97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10,339,731.46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6"/>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20,720,911.97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10,583,304.36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6"/>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1,747,838.89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574,450.73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18,006,762.08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25,711,525.00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8,593,340.78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266"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4"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公允价值变动收益（损失以</w:t>
            </w:r>
            <w:r>
              <w:rPr>
                <w:rFonts w:ascii="宋体" w:hAnsi="宋体" w:cs="宋体" w:eastAsia="宋体" w:hint="default"/>
                <w:sz w:val="18"/>
                <w:szCs w:val="18"/>
              </w:rPr>
              <w:t>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226,405.13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-23,180,602.02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-28,964,789.01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-21,581,603.67</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85,868.83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42,373.26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-172,843,253.64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50,466,900.47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2,300.00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779,807.16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91,275.32</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-173,620,760.80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50,375,625.19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-24,335,771.40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-976,108.00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-149,284,989.40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51,351,733.19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-140,942,385.55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51,351,733.19</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3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 “－”号填列）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-8,342,603.85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-150,581,542.58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44,803,214.13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1,296,553.18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6,548,519.06</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w:t>
            </w:r>
            <w:r>
              <w:rPr>
                <w:rFonts w:ascii="宋体" w:hAnsi="宋体" w:cs="宋体" w:eastAsia="宋体" w:hint="default"/>
                <w:sz w:val="18"/>
                <w:szCs w:val="18"/>
              </w:rPr>
              <w:t> 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权益法下不能转损益的</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0"/>
        <w:gridCol w:w="3212"/>
        <w:gridCol w:w="3277"/>
      </w:tblGrid>
      <w:tr>
        <w:trPr>
          <w:trHeight w:val="36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353"/>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w:t>
            </w:r>
            <w:r>
              <w:rPr>
                <w:rFonts w:ascii="宋体" w:hAnsi="宋体" w:cs="宋体" w:eastAsia="宋体" w:hint="default"/>
                <w:sz w:val="18"/>
                <w:szCs w:val="18"/>
              </w:rPr>
              <w:t> 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-149,284,989.40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51,351,733.19</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-150,581,542.58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44,803,214.13</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1,296,553.18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6,548,519.06</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0.22</w:t>
            </w:r>
          </w:p>
        </w:tc>
      </w:tr>
    </w:tbl>
    <w:p>
      <w:pPr>
        <w:tabs>
          <w:tab w:pos="3627" w:val="left" w:leader="none"/>
          <w:tab w:pos="7678" w:val="left" w:leader="none"/>
        </w:tabs>
        <w:spacing w:line="588" w:lineRule="auto" w:before="49"/>
        <w:ind w:left="112" w:right="122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法定代表人：张曙华</w:t>
        <w:tab/>
      </w:r>
      <w:r>
        <w:rPr>
          <w:rFonts w:ascii="宋体" w:hAnsi="宋体" w:cs="宋体" w:eastAsia="宋体" w:hint="default"/>
          <w:spacing w:val="-1"/>
          <w:sz w:val="18"/>
          <w:szCs w:val="18"/>
        </w:rPr>
        <w:t>主管会计工作负责人：张颖</w:t>
        <w:tab/>
      </w:r>
      <w:r>
        <w:rPr>
          <w:rFonts w:ascii="宋体" w:hAnsi="宋体" w:cs="宋体" w:eastAsia="宋体" w:hint="default"/>
          <w:sz w:val="18"/>
          <w:szCs w:val="18"/>
        </w:rPr>
        <w:t>会计机构负责人：范燕青</w:t>
      </w:r>
    </w:p>
    <w:p>
      <w:pPr>
        <w:spacing w:after="0" w:line="588"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572,468,715.25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666,588,254.82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462,318,685.78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502,750,621.43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1,396,425.29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66,624.74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59,028,018.71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50,019,791.50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63,208,646.32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63,220,439.02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90,600,624.75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46,918,758.36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14,172,747.03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10,044,110.05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18,141,034.93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9,989,971.25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4,772,288.63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240,036.14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15,240,316.01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23,629,353.46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91" w:firstLine="1080"/>
              <w:jc w:val="both"/>
              <w:rPr>
                <w:rFonts w:ascii="宋体" w:hAnsi="宋体" w:cs="宋体" w:eastAsia="宋体" w:hint="default"/>
                <w:sz w:val="18"/>
                <w:szCs w:val="18"/>
              </w:rPr>
            </w:pPr>
            <w:r>
              <w:rPr>
                <w:rFonts w:ascii="宋体" w:hAnsi="宋体" w:cs="宋体" w:eastAsia="宋体" w:hint="default"/>
                <w:sz w:val="18"/>
                <w:szCs w:val="18"/>
              </w:rPr>
              <w:t>以摊余成本计量的金 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净敞口套期收益（损失以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-133,252.84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pacing w:val="-8"/>
                <w:sz w:val="18"/>
                <w:szCs w:val="18"/>
              </w:rPr>
              <w:t>信用减值损失（损失以“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-21,759,778.00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资产减值损失（损失以“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-28,716,236.09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-21,302,128.55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85,868.83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42,373.26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-95,039,514.72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-4,062,492.11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779,807.16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-95,817,021.88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-4,092,492.11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-21,085,069.87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-5,226,859.36</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-74,731,952.01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1,134,367.25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-74,731,952.01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1,134,367.25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 其他综合收益的金额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-74,731,952.01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1,134,367.25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2"/>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72"/>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0.01</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749,514,906.77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734,209,421.06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1,437,490.99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96,487,288.92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89,808,474.06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847,439,686.68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824,017,895.12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368,497,854.87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355,674,943.48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345,858,315.21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319,220,885.06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25,647,426.33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23,293,213.83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133,066,765.31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121,816,434.89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873,070,361.72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820,005,477.26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-25,630,675.04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4,012,417.86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11,133,252.84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-133,252.84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140,555.39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26,175,743.62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37,316,299.01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25,803,993.62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58,797,378.86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31,803,993.62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64,297,378.86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5,512,305.39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-64,229,878.86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64,770,000.00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64,770,000.00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947,130.00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399,770,000.00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340,947,130.00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26,526,537.91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26,929,566.03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47,226,960.98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38,729,433.39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381,753,498.89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295,658,999.42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18,016,501.11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45,288,130.58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2"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-2,101,868.54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-14,929,330.42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206,065,056.64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220,994,387.06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203,963,188.10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206,065,056.64</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635,393,491.60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688,174,347.87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1,437,490.99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91,622,582.22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144,031,815.65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728,453,564.81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832,206,163.52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370,259,046.93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474,455,239.05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196,458,162.13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199,330,812.31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12,840,837.36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12,362,079.84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118,749,019.62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169,717,221.84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698,307,066.04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855,865,353.04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30,146,498.77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-23,659,189.52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15,133,252.84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36,366,747.16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140,555.39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51,640,555.39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3"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11,685,746.28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11,410,107.32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51,710,000.00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63,395,746.28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13,410,107.32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-11,755,190.89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-13,342,607.32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947,130.00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285,947,130.00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21,701,633.75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18,856,536.17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47,226,960.98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38,729,433.39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393,928,594.73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287,585,969.56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41,071,405.27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-1,638,839.56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59,462,713.15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-38,640,636.40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109,799,257.79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148,439,894.19</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1021" w:header="906" w:top="1100" w:bottom="1220" w:left="1020" w:right="0"/>
          <w:pgNumType w:start="12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1" w:right="0"/>
              <w:jc w:val="left"/>
              <w:rPr>
                <w:rFonts w:ascii="Times New Roman" w:hAnsi="Times New Roman" w:cs="Times New Roman" w:eastAsia="Times New Roman" w:hint="default"/>
                <w:sz w:val="18"/>
                <w:szCs w:val="18"/>
              </w:rPr>
            </w:pPr>
            <w:r>
              <w:rPr>
                <w:rFonts w:ascii="Times New Roman"/>
                <w:sz w:val="18"/>
              </w:rPr>
              <w:t>169,261,970.94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4" w:right="0"/>
              <w:jc w:val="left"/>
              <w:rPr>
                <w:rFonts w:ascii="Times New Roman" w:hAnsi="Times New Roman" w:cs="Times New Roman" w:eastAsia="Times New Roman" w:hint="default"/>
                <w:sz w:val="18"/>
                <w:szCs w:val="18"/>
              </w:rPr>
            </w:pPr>
            <w:r>
              <w:rPr>
                <w:rFonts w:ascii="Times New Roman"/>
                <w:sz w:val="18"/>
              </w:rPr>
              <w:t>109,799,257.79</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03" w:right="10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53"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7" w:right="10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5"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0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108"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7"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1028"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6" w:right="13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13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41" w:right="134"/>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一、上年期末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21,1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58,3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62.7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2"/>
              <w:ind w:left="56" w:right="0"/>
              <w:jc w:val="center"/>
              <w:rPr>
                <w:rFonts w:ascii="Times New Roman" w:hAnsi="Times New Roman" w:cs="Times New Roman" w:eastAsia="Times New Roman" w:hint="default"/>
                <w:sz w:val="18"/>
                <w:szCs w:val="18"/>
              </w:rPr>
            </w:pPr>
            <w:r>
              <w:rPr>
                <w:rFonts w:ascii="Times New Roman"/>
                <w:sz w:val="18"/>
              </w:rPr>
              <w:t>776,</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583,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96,6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02"/>
              <w:ind w:left="49" w:right="0"/>
              <w:jc w:val="center"/>
              <w:rPr>
                <w:rFonts w:ascii="Times New Roman" w:hAnsi="Times New Roman" w:cs="Times New Roman" w:eastAsia="Times New Roman" w:hint="default"/>
                <w:sz w:val="18"/>
                <w:szCs w:val="18"/>
              </w:rPr>
            </w:pPr>
            <w:r>
              <w:rPr>
                <w:rFonts w:ascii="Times New Roman"/>
                <w:sz w:val="18"/>
              </w:rPr>
              <w:t>780,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52</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43,2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83,5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847.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847.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20</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3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3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二、本年期初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01,6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859,</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876.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710,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330.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96,6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481,</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001.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72</w:t>
            </w:r>
          </w:p>
        </w:tc>
      </w:tr>
      <w:tr>
        <w:trPr>
          <w:trHeight w:val="164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8"/>
                <w:sz w:val="18"/>
                <w:szCs w:val="18"/>
              </w:rPr>
              <w:t>三、本期增减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2"/>
              <w:ind w:left="9" w:right="0"/>
              <w:jc w:val="center"/>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,45</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-93,</w:t>
            </w:r>
          </w:p>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188.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2"/>
              <w:ind w:left="56"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811.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2"/>
              <w:ind w:left="10" w:right="0"/>
              <w:jc w:val="center"/>
              <w:rPr>
                <w:rFonts w:ascii="Times New Roman" w:hAnsi="Times New Roman" w:cs="Times New Roman" w:eastAsia="Times New Roman" w:hint="default"/>
                <w:sz w:val="18"/>
                <w:szCs w:val="18"/>
              </w:rPr>
            </w:pPr>
            <w:r>
              <w:rPr>
                <w:rFonts w:ascii="Times New Roman"/>
                <w:sz w:val="18"/>
              </w:rPr>
              <w:t>,187,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2"/>
              <w:ind w:left="13" w:right="0"/>
              <w:jc w:val="center"/>
              <w:rPr>
                <w:rFonts w:ascii="Times New Roman" w:hAnsi="Times New Roman" w:cs="Times New Roman" w:eastAsia="Times New Roman" w:hint="default"/>
                <w:sz w:val="18"/>
                <w:szCs w:val="18"/>
              </w:rPr>
            </w:pPr>
            <w:r>
              <w:rPr>
                <w:rFonts w:ascii="Times New Roman"/>
                <w:sz w:val="18"/>
              </w:rPr>
              <w:t>,895,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27,8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-119</w:t>
            </w:r>
          </w:p>
          <w:p>
            <w:pPr>
              <w:pStyle w:val="TableParagraph"/>
              <w:spacing w:line="240" w:lineRule="auto" w:before="102"/>
              <w:ind w:left="3" w:right="0"/>
              <w:jc w:val="center"/>
              <w:rPr>
                <w:rFonts w:ascii="Times New Roman" w:hAnsi="Times New Roman" w:cs="Times New Roman" w:eastAsia="Times New Roman" w:hint="default"/>
                <w:sz w:val="18"/>
                <w:szCs w:val="18"/>
              </w:rPr>
            </w:pPr>
            <w:r>
              <w:rPr>
                <w:rFonts w:ascii="Times New Roman"/>
                <w:sz w:val="18"/>
              </w:rPr>
              <w:t>,057,</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51</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（一）综合收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,581,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542.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,581,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542.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6,55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3.18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989.</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2" w:right="0"/>
              <w:jc w:val="left"/>
              <w:rPr>
                <w:rFonts w:ascii="Times New Roman" w:hAnsi="Times New Roman" w:cs="Times New Roman" w:eastAsia="Times New Roman" w:hint="default"/>
                <w:sz w:val="18"/>
                <w:szCs w:val="18"/>
              </w:rPr>
            </w:pPr>
            <w:r>
              <w:rPr>
                <w:rFonts w:ascii="Times New Roman"/>
                <w:sz w:val="18"/>
              </w:rPr>
              <w:t>58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2"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5" w:right="0"/>
              <w:jc w:val="left"/>
              <w:rPr>
                <w:rFonts w:ascii="Times New Roman" w:hAnsi="Times New Roman" w:cs="Times New Roman" w:eastAsia="Times New Roman" w:hint="default"/>
                <w:sz w:val="18"/>
                <w:szCs w:val="18"/>
              </w:rPr>
            </w:pPr>
            <w:r>
              <w:rPr>
                <w:rFonts w:ascii="Times New Roman"/>
                <w:sz w:val="18"/>
              </w:rPr>
              <w:t>40</w:t>
            </w:r>
          </w:p>
        </w:tc>
      </w:tr>
      <w:tr>
        <w:trPr>
          <w:trHeight w:val="164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投入和减少 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002</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-9,11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2.92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811.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8.54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26,5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66.7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64,7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002</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-9,11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2.92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811.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7,29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2,07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8.54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-38,</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228,</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233.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25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936,</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154.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71</w:t>
            </w:r>
          </w:p>
        </w:tc>
      </w:tr>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8"/>
                <w:sz w:val="18"/>
                <w:szCs w:val="18"/>
              </w:rPr>
              <w:t>（三）利润分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06,1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8"/>
                <w:sz w:val="18"/>
                <w:szCs w:val="18"/>
              </w:rPr>
              <w:t>（或股东）的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06,1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58.4</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权益内部结 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8"/>
                <w:sz w:val="18"/>
                <w:szCs w:val="18"/>
              </w:rPr>
              <w:t>转增资本（或</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143</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98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3" w:right="0"/>
              <w:jc w:val="center"/>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53" w:right="0"/>
              <w:jc w:val="center"/>
              <w:rPr>
                <w:rFonts w:ascii="Times New Roman" w:hAnsi="Times New Roman" w:cs="Times New Roman" w:eastAsia="Times New Roman" w:hint="default"/>
                <w:sz w:val="18"/>
                <w:szCs w:val="18"/>
              </w:rPr>
            </w:pPr>
            <w:r>
              <w:rPr>
                <w:rFonts w:ascii="Times New Roman"/>
                <w:sz w:val="18"/>
              </w:rPr>
              <w:t>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（五）专项储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四、本期期末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76.</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18.9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21,2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01,6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52,6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814,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708.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362,</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849,</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699.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21</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7"/>
        <w:gridCol w:w="569"/>
        <w:gridCol w:w="641"/>
        <w:gridCol w:w="653"/>
      </w:tblGrid>
      <w:tr>
        <w:trPr>
          <w:trHeight w:val="402"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9" w:lineRule="auto"/>
              <w:ind w:left="141" w:right="139"/>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8"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7" w:right="188"/>
              <w:jc w:val="center"/>
              <w:rPr>
                <w:rFonts w:ascii="宋体" w:hAnsi="宋体" w:cs="宋体" w:eastAsia="宋体" w:hint="default"/>
                <w:sz w:val="18"/>
                <w:szCs w:val="18"/>
              </w:rPr>
            </w:pPr>
            <w:r>
              <w:rPr>
                <w:rFonts w:ascii="宋体" w:hAnsi="宋体" w:cs="宋体" w:eastAsia="宋体" w:hint="default"/>
                <w:sz w:val="18"/>
                <w:szCs w:val="18"/>
              </w:rPr>
              <w:t>其 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9"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36" w:right="132"/>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3" w:type="dxa"/>
            <w:vMerge/>
            <w:tcBorders>
              <w:left w:val="single" w:sz="4" w:space="0" w:color="000000"/>
              <w:right w:val="single" w:sz="4" w:space="0" w:color="000000"/>
            </w:tcBorders>
            <w:shd w:val="clear" w:color="auto" w:fill="D2D2D2"/>
          </w:tcPr>
          <w:p>
            <w:pPr/>
          </w:p>
        </w:tc>
      </w:tr>
      <w:tr>
        <w:trPr>
          <w:trHeight w:val="1026"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1" w:right="12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1" w:right="12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54" w:right="146"/>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65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一、上年期末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432,</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44,9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947.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422,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12,64</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8,151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435,0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21,02</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8.99</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01" w:firstLine="360"/>
              <w:jc w:val="left"/>
              <w:rPr>
                <w:rFonts w:ascii="宋体" w:hAnsi="宋体" w:cs="宋体" w:eastAsia="宋体" w:hint="default"/>
                <w:sz w:val="18"/>
                <w:szCs w:val="18"/>
              </w:rPr>
            </w:pPr>
            <w:r>
              <w:rPr>
                <w:rFonts w:ascii="宋体" w:hAnsi="宋体" w:cs="宋体" w:eastAsia="宋体" w:hint="default"/>
                <w:spacing w:val="-22"/>
                <w:sz w:val="18"/>
                <w:szCs w:val="18"/>
              </w:rPr>
              <w:t>加：会计</w:t>
            </w:r>
            <w:r>
              <w:rPr>
                <w:rFonts w:ascii="宋体" w:hAnsi="宋体" w:cs="宋体" w:eastAsia="宋体" w:hint="default"/>
                <w:sz w:val="18"/>
                <w:szCs w:val="18"/>
              </w:rPr>
              <w:t>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9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9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4"/>
              <w:ind w:left="10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二、本年期初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432,</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035.</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44,9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863,</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947.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422,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12,64</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8,151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435,0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21,02</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8.99</w:t>
            </w:r>
          </w:p>
        </w:tc>
      </w:tr>
      <w:tr>
        <w:trPr>
          <w:trHeight w:val="165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2" w:right="101"/>
              <w:jc w:val="both"/>
              <w:rPr>
                <w:rFonts w:ascii="宋体" w:hAnsi="宋体" w:cs="宋体" w:eastAsia="宋体" w:hint="default"/>
                <w:sz w:val="18"/>
                <w:szCs w:val="18"/>
              </w:rPr>
            </w:pPr>
            <w:r>
              <w:rPr>
                <w:rFonts w:ascii="宋体" w:hAnsi="宋体" w:cs="宋体" w:eastAsia="宋体" w:hint="default"/>
                <w:spacing w:val="-15"/>
                <w:sz w:val="18"/>
                <w:szCs w:val="18"/>
              </w:rPr>
              <w:t>三、本期增减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少以“－”号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53,</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693</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,92</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-84,</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128.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857,</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040.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34</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06.4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7</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16,54</w:t>
            </w:r>
          </w:p>
          <w:p>
            <w:pPr>
              <w:pStyle w:val="TableParagraph"/>
              <w:spacing w:line="240" w:lineRule="auto" w:before="102"/>
              <w:ind w:left="24" w:right="0"/>
              <w:jc w:val="center"/>
              <w:rPr>
                <w:rFonts w:ascii="Times New Roman" w:hAnsi="Times New Roman" w:cs="Times New Roman" w:eastAsia="Times New Roman" w:hint="default"/>
                <w:sz w:val="18"/>
                <w:szCs w:val="18"/>
              </w:rPr>
            </w:pPr>
            <w:r>
              <w:rPr>
                <w:rFonts w:ascii="Times New Roman"/>
                <w:sz w:val="18"/>
              </w:rPr>
              <w:t>8,519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46,75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9,125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.53</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（一）综合收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8"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03,2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44,8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03,2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14.1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6,548</w:t>
            </w:r>
          </w:p>
          <w:p>
            <w:pPr>
              <w:pStyle w:val="TableParagraph"/>
              <w:spacing w:line="240" w:lineRule="auto" w:before="105"/>
              <w:ind w:left="70" w:right="0"/>
              <w:jc w:val="center"/>
              <w:rPr>
                <w:rFonts w:ascii="Times New Roman" w:hAnsi="Times New Roman" w:cs="Times New Roman" w:eastAsia="Times New Roman" w:hint="default"/>
                <w:sz w:val="18"/>
                <w:szCs w:val="18"/>
              </w:rPr>
            </w:pPr>
            <w:r>
              <w:rPr>
                <w:rFonts w:ascii="Times New Roman"/>
                <w:sz w:val="18"/>
              </w:rPr>
              <w:t>,519.</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06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51,35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1,733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.19</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（二）所有者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投入和减少 资本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146,</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608.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857,</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040.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34</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-7,8</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67.6</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2"/>
              <w:ind w:left="2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2,184</w:t>
            </w:r>
          </w:p>
          <w:p>
            <w:pPr>
              <w:pStyle w:val="TableParagraph"/>
              <w:spacing w:line="240" w:lineRule="auto" w:before="102"/>
              <w:ind w:left="78" w:right="0"/>
              <w:jc w:val="center"/>
              <w:rPr>
                <w:rFonts w:ascii="Times New Roman" w:hAnsi="Times New Roman" w:cs="Times New Roman" w:eastAsia="Times New Roman" w:hint="default"/>
                <w:sz w:val="18"/>
                <w:szCs w:val="18"/>
              </w:rPr>
            </w:pPr>
            <w:r>
              <w:rPr>
                <w:rFonts w:ascii="Times New Roman"/>
                <w:sz w:val="18"/>
              </w:rPr>
              <w:t>,832.</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34</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06,8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06,8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6,800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5,6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739,</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857,</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040.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34</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-6,4</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08,3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67.6</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6</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-6,40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8,367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.66</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（三）利润分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5"/>
              <w:ind w:left="51" w:right="0"/>
              <w:jc w:val="center"/>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90,8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76.7</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77,4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-6,77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7,440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2"/>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-113,</w:t>
            </w:r>
          </w:p>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436.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0"/>
              <w:ind w:left="102" w:right="101"/>
              <w:jc w:val="left"/>
              <w:rPr>
                <w:rFonts w:ascii="宋体" w:hAnsi="宋体" w:cs="宋体" w:eastAsia="宋体" w:hint="default"/>
                <w:sz w:val="18"/>
                <w:szCs w:val="18"/>
              </w:rPr>
            </w:pPr>
            <w:r>
              <w:rPr>
                <w:rFonts w:ascii="宋体" w:hAnsi="宋体" w:cs="宋体" w:eastAsia="宋体" w:hint="default"/>
                <w:spacing w:val="-15"/>
                <w:sz w:val="18"/>
                <w:szCs w:val="18"/>
              </w:rPr>
              <w:t>（或股东）的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3"/>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51" w:right="0"/>
              <w:jc w:val="lef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77,4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-6,7</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77,4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-6,77</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7,440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权益内部结 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4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48" w:right="0"/>
              <w:jc w:val="center"/>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-54,</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（五）专项储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四、本期期末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91.6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21,1</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58,3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62.7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776,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284.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56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452,</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583,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483.</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29,19</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6,670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481,7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80,15</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4.52</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7" w:right="101"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77" w:right="17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9" w:right="17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12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115"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11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1"/>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93,92</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140,05</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5,568.</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49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21,158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,362.7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01,7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359,898,</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584.32</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10"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43,255</w:t>
            </w:r>
          </w:p>
          <w:p>
            <w:pPr>
              <w:pStyle w:val="TableParagraph"/>
              <w:spacing w:line="240" w:lineRule="auto" w:before="103"/>
              <w:ind w:left="391" w:right="0"/>
              <w:jc w:val="left"/>
              <w:rPr>
                <w:rFonts w:ascii="Times New Roman" w:hAnsi="Times New Roman" w:cs="Times New Roman" w:eastAsia="Times New Roman" w:hint="default"/>
                <w:sz w:val="18"/>
                <w:szCs w:val="18"/>
              </w:rPr>
            </w:pPr>
            <w:r>
              <w:rPr>
                <w:rFonts w:ascii="Times New Roman"/>
                <w:sz w:val="18"/>
              </w:rPr>
              <w:t>.65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389,</w:t>
            </w:r>
          </w:p>
          <w:p>
            <w:pPr>
              <w:pStyle w:val="TableParagraph"/>
              <w:spacing w:line="240" w:lineRule="auto" w:before="103"/>
              <w:ind w:left="84" w:right="0"/>
              <w:jc w:val="center"/>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432,556.</w:t>
            </w:r>
          </w:p>
          <w:p>
            <w:pPr>
              <w:pStyle w:val="TableParagraph"/>
              <w:spacing w:line="240" w:lineRule="auto" w:before="103"/>
              <w:ind w:right="96"/>
              <w:jc w:val="right"/>
              <w:rPr>
                <w:rFonts w:ascii="Times New Roman" w:hAnsi="Times New Roman" w:cs="Times New Roman" w:eastAsia="Times New Roman" w:hint="default"/>
                <w:sz w:val="18"/>
                <w:szCs w:val="18"/>
              </w:rPr>
            </w:pPr>
            <w:r>
              <w:rPr>
                <w:rFonts w:ascii="Times New Roman"/>
                <w:sz w:val="18"/>
              </w:rPr>
              <w:t>47</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1"/>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93,92</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140,05</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5,568.</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49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37,410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,618.4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114,4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91,0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360,331,</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140.79</w:t>
            </w:r>
          </w:p>
        </w:tc>
      </w:tr>
      <w:tr>
        <w:trPr>
          <w:trHeight w:val="133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jc w:val="both"/>
              <w:rPr>
                <w:rFonts w:ascii="宋体" w:hAnsi="宋体" w:cs="宋体" w:eastAsia="宋体" w:hint="default"/>
                <w:sz w:val="18"/>
                <w:szCs w:val="18"/>
              </w:rPr>
            </w:pPr>
            <w:r>
              <w:rPr>
                <w:rFonts w:ascii="宋体" w:hAnsi="宋体" w:cs="宋体" w:eastAsia="宋体" w:hint="default"/>
                <w:sz w:val="18"/>
                <w:szCs w:val="18"/>
              </w:rPr>
              <w:t>三、本期增减 变动金额（减 少以“－”号 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83,14</w:t>
            </w:r>
          </w:p>
          <w:p>
            <w:pPr>
              <w:pStyle w:val="TableParagraph"/>
              <w:spacing w:line="240" w:lineRule="auto" w:before="103"/>
              <w:ind w:left="12" w:right="0"/>
              <w:jc w:val="center"/>
              <w:rPr>
                <w:rFonts w:ascii="Times New Roman" w:hAnsi="Times New Roman" w:cs="Times New Roman" w:eastAsia="Times New Roman" w:hint="default"/>
                <w:sz w:val="18"/>
                <w:szCs w:val="18"/>
              </w:rPr>
            </w:pPr>
            <w:r>
              <w:rPr>
                <w:rFonts w:ascii="Times New Roman"/>
                <w:sz w:val="18"/>
              </w:rPr>
              <w:t>1,456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-114,0</w:t>
            </w:r>
          </w:p>
          <w:p>
            <w:pPr>
              <w:pStyle w:val="TableParagraph"/>
              <w:spacing w:line="240" w:lineRule="auto" w:before="103"/>
              <w:ind w:left="122" w:right="0"/>
              <w:jc w:val="left"/>
              <w:rPr>
                <w:rFonts w:ascii="Times New Roman" w:hAnsi="Times New Roman" w:cs="Times New Roman" w:eastAsia="Times New Roman" w:hint="default"/>
                <w:sz w:val="18"/>
                <w:szCs w:val="18"/>
              </w:rPr>
            </w:pPr>
            <w:r>
              <w:rPr>
                <w:rFonts w:ascii="Times New Roman"/>
                <w:sz w:val="18"/>
              </w:rPr>
              <w:t>88,422</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3"/>
              <w:ind w:left="170" w:right="0"/>
              <w:jc w:val="left"/>
              <w:rPr>
                <w:rFonts w:ascii="Times New Roman" w:hAnsi="Times New Roman" w:cs="Times New Roman" w:eastAsia="Times New Roman" w:hint="default"/>
                <w:sz w:val="18"/>
                <w:szCs w:val="18"/>
              </w:rPr>
            </w:pPr>
            <w:r>
              <w:rPr>
                <w:rFonts w:ascii="Times New Roman"/>
                <w:sz w:val="18"/>
              </w:rPr>
              <w:t>5,811.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-78,3</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38,11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0.41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-91,879,</w:t>
            </w:r>
          </w:p>
          <w:p>
            <w:pPr>
              <w:pStyle w:val="TableParagraph"/>
              <w:spacing w:line="240" w:lineRule="auto" w:before="103"/>
              <w:ind w:left="156" w:right="0"/>
              <w:jc w:val="center"/>
              <w:rPr>
                <w:rFonts w:ascii="Times New Roman" w:hAnsi="Times New Roman" w:cs="Times New Roman" w:eastAsia="Times New Roman" w:hint="default"/>
                <w:sz w:val="18"/>
                <w:szCs w:val="18"/>
              </w:rPr>
            </w:pPr>
            <w:r>
              <w:rPr>
                <w:rFonts w:ascii="Times New Roman"/>
                <w:sz w:val="18"/>
              </w:rPr>
              <w:t>265.12</w:t>
            </w:r>
          </w:p>
        </w:tc>
      </w:tr>
      <w:tr>
        <w:trPr>
          <w:trHeight w:val="133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1"/>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-74,7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31,9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52.0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-74,731,</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952.01</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3" w:right="111"/>
              <w:jc w:val="left"/>
              <w:rPr>
                <w:rFonts w:ascii="宋体" w:hAnsi="宋体" w:cs="宋体" w:eastAsia="宋体" w:hint="default"/>
                <w:sz w:val="18"/>
                <w:szCs w:val="18"/>
              </w:rPr>
            </w:pPr>
            <w:r>
              <w:rPr>
                <w:rFonts w:ascii="宋体" w:hAnsi="宋体" w:cs="宋体" w:eastAsia="宋体" w:hint="default"/>
                <w:sz w:val="18"/>
                <w:szCs w:val="18"/>
              </w:rPr>
              <w:t>（二）所有者 投入和减少资</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2,240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1" w:right="0"/>
              <w:jc w:val="left"/>
              <w:rPr>
                <w:rFonts w:ascii="Times New Roman" w:hAnsi="Times New Roman" w:cs="Times New Roman" w:eastAsia="Times New Roman" w:hint="default"/>
                <w:sz w:val="18"/>
                <w:szCs w:val="18"/>
              </w:rPr>
            </w:pPr>
            <w:r>
              <w:rPr>
                <w:rFonts w:ascii="Times New Roman"/>
                <w:sz w:val="18"/>
              </w:rPr>
              <w:t>-29,94</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4,726.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48" w:right="0"/>
              <w:jc w:val="left"/>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5,811.</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-13,541,</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154.71</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2" w:right="0"/>
              <w:jc w:val="lef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Times New Roman" w:hAnsi="Times New Roman" w:cs="Times New Roman" w:eastAsia="Times New Roman" w:hint="default"/>
                <w:sz w:val="18"/>
                <w:szCs w:val="18"/>
              </w:rPr>
            </w:pPr>
            <w:r>
              <w:rPr>
                <w:rFonts w:ascii="Times New Roman"/>
                <w:sz w:val="18"/>
              </w:rPr>
              <w:t>17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46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．其他权益工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．股份支付计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2,240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-29,94</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4,726.</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17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5"/>
              <w:ind w:left="170" w:right="0"/>
              <w:jc w:val="left"/>
              <w:rPr>
                <w:rFonts w:ascii="Times New Roman" w:hAnsi="Times New Roman" w:cs="Times New Roman" w:eastAsia="Times New Roman" w:hint="default"/>
                <w:sz w:val="18"/>
                <w:szCs w:val="18"/>
              </w:rPr>
            </w:pPr>
            <w:r>
              <w:rPr>
                <w:rFonts w:ascii="Times New Roman"/>
                <w:sz w:val="18"/>
              </w:rPr>
              <w:t>5,811.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46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-13,541,</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154.71</w:t>
            </w: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2" w:right="111"/>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6,15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8.40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-3,606,1</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58.40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11"/>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6,15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8.40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-3,606,1</w:t>
            </w:r>
          </w:p>
          <w:p>
            <w:pPr>
              <w:pStyle w:val="TableParagraph"/>
              <w:spacing w:line="240" w:lineRule="auto" w:before="105"/>
              <w:ind w:left="245" w:right="0"/>
              <w:jc w:val="center"/>
              <w:rPr>
                <w:rFonts w:ascii="Times New Roman" w:hAnsi="Times New Roman" w:cs="Times New Roman" w:eastAsia="Times New Roman" w:hint="default"/>
                <w:sz w:val="18"/>
                <w:szCs w:val="18"/>
              </w:rPr>
            </w:pPr>
            <w:r>
              <w:rPr>
                <w:rFonts w:ascii="Times New Roman"/>
                <w:sz w:val="18"/>
              </w:rPr>
              <w:t>58.40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2" w:right="111"/>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84,14</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3,696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-84,14</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3,696.</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．资本公积转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84,14</w:t>
            </w:r>
          </w:p>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3,696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1" w:right="0"/>
              <w:jc w:val="left"/>
              <w:rPr>
                <w:rFonts w:ascii="Times New Roman" w:hAnsi="Times New Roman" w:cs="Times New Roman" w:eastAsia="Times New Roman" w:hint="default"/>
                <w:sz w:val="18"/>
                <w:szCs w:val="18"/>
              </w:rPr>
            </w:pPr>
            <w:r>
              <w:rPr>
                <w:rFonts w:ascii="Times New Roman"/>
                <w:sz w:val="18"/>
              </w:rPr>
              <w:t>-84,14</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3,696.</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．盈余公积转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4</w:t>
            </w:r>
            <w:r>
              <w:rPr>
                <w:rFonts w:ascii="宋体" w:hAnsi="宋体" w:cs="宋体" w:eastAsia="宋体" w:hint="default"/>
                <w:spacing w:val="-12"/>
                <w:sz w:val="18"/>
                <w:szCs w:val="18"/>
              </w:rPr>
              <w:t>．设定受益计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98"/>
              <w:jc w:val="both"/>
              <w:rPr>
                <w:rFonts w:ascii="宋体" w:hAnsi="宋体" w:cs="宋体" w:eastAsia="宋体" w:hint="default"/>
                <w:sz w:val="18"/>
                <w:szCs w:val="18"/>
              </w:rPr>
            </w:pP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7"/>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center"/>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11"/>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205,1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35,37</w:t>
            </w:r>
          </w:p>
          <w:p>
            <w:pPr>
              <w:pStyle w:val="TableParagraph"/>
              <w:spacing w:line="240" w:lineRule="auto" w:before="105"/>
              <w:ind w:left="203" w:right="0"/>
              <w:jc w:val="left"/>
              <w:rPr>
                <w:rFonts w:ascii="Times New Roman" w:hAnsi="Times New Roman" w:cs="Times New Roman" w:eastAsia="Times New Roman" w:hint="default"/>
                <w:sz w:val="18"/>
                <w:szCs w:val="18"/>
              </w:rPr>
            </w:pPr>
            <w:r>
              <w:rPr>
                <w:rFonts w:ascii="Times New Roman"/>
                <w:sz w:val="18"/>
              </w:rPr>
              <w:t>6.00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25,967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,146.3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21,201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,618.4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36,1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52,9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268,451,</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875.67</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1"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58" w:right="15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58" w:right="101" w:hanging="56"/>
              <w:jc w:val="left"/>
              <w:rPr>
                <w:rFonts w:ascii="宋体" w:hAnsi="宋体" w:cs="宋体" w:eastAsia="宋体" w:hint="default"/>
                <w:sz w:val="18"/>
                <w:szCs w:val="18"/>
              </w:rPr>
            </w:pPr>
            <w:r>
              <w:rPr>
                <w:rFonts w:ascii="宋体" w:hAnsi="宋体" w:cs="宋体" w:eastAsia="宋体" w:hint="default"/>
                <w:spacing w:val="-24"/>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6" w:right="15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97" w:right="11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5"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1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19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91" w:right="187"/>
              <w:jc w:val="center"/>
              <w:rPr>
                <w:rFonts w:ascii="宋体" w:hAnsi="宋体" w:cs="宋体" w:eastAsia="宋体" w:hint="default"/>
                <w:sz w:val="18"/>
                <w:szCs w:val="18"/>
              </w:rPr>
            </w:pPr>
            <w:r>
              <w:rPr>
                <w:rFonts w:ascii="宋体" w:hAnsi="宋体" w:cs="宋体" w:eastAsia="宋体" w:hint="default"/>
                <w:sz w:val="18"/>
                <w:szCs w:val="18"/>
              </w:rPr>
              <w:t>其 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一、上年期末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224,4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21,69</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6.49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60,26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8,032.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21,04</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4,926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119,858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,234.19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373,356,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824.73</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360"/>
              <w:jc w:val="left"/>
              <w:rPr>
                <w:rFonts w:ascii="宋体" w:hAnsi="宋体" w:cs="宋体" w:eastAsia="宋体" w:hint="default"/>
                <w:sz w:val="18"/>
                <w:szCs w:val="18"/>
              </w:rPr>
            </w:pPr>
            <w:r>
              <w:rPr>
                <w:rFonts w:ascii="宋体" w:hAnsi="宋体" w:cs="宋体" w:eastAsia="宋体" w:hint="default"/>
                <w:spacing w:val="-17"/>
                <w:sz w:val="18"/>
                <w:szCs w:val="18"/>
              </w:rPr>
              <w:t>加：会计</w:t>
            </w:r>
            <w:r>
              <w:rPr>
                <w:rFonts w:ascii="宋体" w:hAnsi="宋体" w:cs="宋体" w:eastAsia="宋体" w:hint="default"/>
                <w:sz w:val="18"/>
                <w:szCs w:val="18"/>
              </w:rPr>
              <w:t> 政策变更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6"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6"/>
              <w:jc w:val="righ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二、本年期初</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224,4</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21,69</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6.49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60,26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8,032.</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21,04</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4,926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119,858</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,234.19</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373,356,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824.73</w:t>
            </w:r>
          </w:p>
        </w:tc>
      </w:tr>
      <w:tr>
        <w:trPr>
          <w:trHeight w:val="133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pacing w:val="-11"/>
                <w:sz w:val="18"/>
                <w:szCs w:val="18"/>
              </w:rPr>
              <w:t>三、本期增减</w:t>
            </w:r>
            <w:r>
              <w:rPr>
                <w:rFonts w:ascii="宋体" w:hAnsi="宋体" w:cs="宋体" w:eastAsia="宋体" w:hint="default"/>
                <w:sz w:val="18"/>
                <w:szCs w:val="18"/>
              </w:rPr>
              <w:t> </w:t>
            </w:r>
            <w:r>
              <w:rPr>
                <w:rFonts w:ascii="宋体" w:hAnsi="宋体" w:cs="宋体" w:eastAsia="宋体" w:hint="default"/>
                <w:spacing w:val="-11"/>
                <w:sz w:val="18"/>
                <w:szCs w:val="18"/>
              </w:rPr>
              <w:t>变动金额（减</w:t>
            </w:r>
            <w:r>
              <w:rPr>
                <w:rFonts w:ascii="宋体" w:hAnsi="宋体" w:cs="宋体" w:eastAsia="宋体" w:hint="default"/>
                <w:sz w:val="18"/>
                <w:szCs w:val="18"/>
              </w:rPr>
              <w:t> </w:t>
            </w:r>
            <w:r>
              <w:rPr>
                <w:rFonts w:ascii="宋体" w:hAnsi="宋体" w:cs="宋体" w:eastAsia="宋体" w:hint="default"/>
                <w:spacing w:val="-12"/>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53,6</w:t>
            </w:r>
          </w:p>
          <w:p>
            <w:pPr>
              <w:pStyle w:val="TableParagraph"/>
              <w:spacing w:line="240" w:lineRule="auto" w:before="103"/>
              <w:ind w:left="165" w:right="0"/>
              <w:jc w:val="left"/>
              <w:rPr>
                <w:rFonts w:ascii="Times New Roman" w:hAnsi="Times New Roman" w:cs="Times New Roman" w:eastAsia="Times New Roman" w:hint="default"/>
                <w:sz w:val="18"/>
                <w:szCs w:val="18"/>
              </w:rPr>
            </w:pPr>
            <w:r>
              <w:rPr>
                <w:rFonts w:ascii="Times New Roman"/>
                <w:sz w:val="18"/>
              </w:rPr>
              <w:t>93,9</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-84,36</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6,128.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-22,85</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36.73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-5,756,</w:t>
            </w:r>
          </w:p>
          <w:p>
            <w:pPr>
              <w:pStyle w:val="TableParagraph"/>
              <w:spacing w:line="240" w:lineRule="auto" w:before="102"/>
              <w:ind w:left="191" w:right="0"/>
              <w:jc w:val="left"/>
              <w:rPr>
                <w:rFonts w:ascii="Times New Roman" w:hAnsi="Times New Roman" w:cs="Times New Roman" w:eastAsia="Times New Roman" w:hint="default"/>
                <w:sz w:val="18"/>
                <w:szCs w:val="18"/>
              </w:rPr>
            </w:pPr>
            <w:r>
              <w:rPr>
                <w:rFonts w:ascii="Times New Roman"/>
                <w:sz w:val="18"/>
              </w:rPr>
              <w:t>509.48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-13,458,2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40.41</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11"/>
                <w:sz w:val="18"/>
                <w:szCs w:val="18"/>
              </w:rPr>
              <w:t>（一）综合收</w:t>
            </w:r>
            <w:r>
              <w:rPr>
                <w:rFonts w:ascii="宋体" w:hAnsi="宋体" w:cs="宋体" w:eastAsia="宋体" w:hint="default"/>
                <w:sz w:val="18"/>
                <w:szCs w:val="18"/>
              </w:rPr>
              <w:t> 益总额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1,134,3</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67.25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1,134,36</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7.25</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11"/>
                <w:sz w:val="18"/>
                <w:szCs w:val="18"/>
              </w:rPr>
              <w:t>（二）所有者</w:t>
            </w:r>
            <w:r>
              <w:rPr>
                <w:rFonts w:ascii="宋体" w:hAnsi="宋体" w:cs="宋体" w:eastAsia="宋体" w:hint="default"/>
                <w:sz w:val="18"/>
                <w:szCs w:val="18"/>
              </w:rPr>
              <w:t> 投入和减少 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-525,</w:t>
            </w:r>
          </w:p>
          <w:p>
            <w:pPr>
              <w:pStyle w:val="TableParagraph"/>
              <w:spacing w:line="240" w:lineRule="auto" w:before="102"/>
              <w:ind w:left="63"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-30,14</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6,608.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-22,85</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-7,815,16</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7.66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-1,406,80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-525,</w:t>
            </w:r>
          </w:p>
          <w:p>
            <w:pPr>
              <w:pStyle w:val="TableParagraph"/>
              <w:spacing w:line="240" w:lineRule="auto" w:before="102"/>
              <w:ind w:left="63"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-28,73</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9,808.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-22,85</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7,040.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-6,408,36</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7.66</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1"/>
                <w:sz w:val="18"/>
                <w:szCs w:val="18"/>
              </w:rPr>
              <w:t>（三）利润分</w:t>
            </w:r>
            <w:r>
              <w:rPr>
                <w:rFonts w:ascii="宋体" w:hAnsi="宋体" w:cs="宋体" w:eastAsia="宋体" w:hint="default"/>
                <w:sz w:val="18"/>
                <w:szCs w:val="18"/>
              </w:rPr>
              <w:t> 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36.73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-6,890,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876.73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-6,777,44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3" w:right="0"/>
              <w:jc w:val="left"/>
              <w:rPr>
                <w:rFonts w:ascii="Times New Roman" w:hAnsi="Times New Roman" w:cs="Times New Roman" w:eastAsia="Times New Roman" w:hint="default"/>
                <w:sz w:val="18"/>
                <w:szCs w:val="18"/>
              </w:rPr>
            </w:pPr>
            <w:r>
              <w:rPr>
                <w:rFonts w:ascii="Times New Roman"/>
                <w:sz w:val="18"/>
              </w:rPr>
              <w:t>113,4</w:t>
            </w:r>
          </w:p>
          <w:p>
            <w:pPr>
              <w:pStyle w:val="TableParagraph"/>
              <w:spacing w:line="240" w:lineRule="auto" w:before="102"/>
              <w:ind w:left="146" w:right="0"/>
              <w:jc w:val="left"/>
              <w:rPr>
                <w:rFonts w:ascii="Times New Roman" w:hAnsi="Times New Roman" w:cs="Times New Roman" w:eastAsia="Times New Roman" w:hint="default"/>
                <w:sz w:val="18"/>
                <w:szCs w:val="18"/>
              </w:rPr>
            </w:pPr>
            <w:r>
              <w:rPr>
                <w:rFonts w:ascii="Times New Roman"/>
                <w:sz w:val="18"/>
              </w:rPr>
              <w:t>36.73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-113,43</w:t>
            </w:r>
          </w:p>
          <w:p>
            <w:pPr>
              <w:pStyle w:val="TableParagraph"/>
              <w:spacing w:line="240" w:lineRule="auto" w:before="102"/>
              <w:ind w:left="371" w:right="0"/>
              <w:jc w:val="left"/>
              <w:rPr>
                <w:rFonts w:ascii="Times New Roman" w:hAnsi="Times New Roman" w:cs="Times New Roman" w:eastAsia="Times New Roman" w:hint="default"/>
                <w:sz w:val="18"/>
                <w:szCs w:val="18"/>
              </w:rPr>
            </w:pPr>
            <w:r>
              <w:rPr>
                <w:rFonts w:ascii="Times New Roman"/>
                <w:sz w:val="18"/>
              </w:rPr>
              <w:t>6.73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11"/>
                <w:sz w:val="18"/>
                <w:szCs w:val="18"/>
              </w:rPr>
              <w:t>（或股东）的</w:t>
            </w:r>
            <w:r>
              <w:rPr>
                <w:rFonts w:ascii="宋体" w:hAnsi="宋体" w:cs="宋体" w:eastAsia="宋体" w:hint="default"/>
                <w:sz w:val="18"/>
                <w:szCs w:val="18"/>
              </w:rPr>
              <w:t> 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-6,777,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440.00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-6,777,44</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（四）所有者</w:t>
            </w:r>
            <w:r>
              <w:rPr>
                <w:rFonts w:ascii="宋体" w:hAnsi="宋体" w:cs="宋体" w:eastAsia="宋体" w:hint="default"/>
                <w:sz w:val="18"/>
                <w:szCs w:val="18"/>
              </w:rPr>
              <w:t> 权益内部结 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54,2</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19,5</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-54,21</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9,520.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54,2</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19,5</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-54,21</w:t>
            </w:r>
          </w:p>
          <w:p>
            <w:pPr>
              <w:pStyle w:val="TableParagraph"/>
              <w:spacing w:line="240" w:lineRule="auto" w:before="102"/>
              <w:ind w:left="122" w:right="0"/>
              <w:jc w:val="left"/>
              <w:rPr>
                <w:rFonts w:ascii="Times New Roman" w:hAnsi="Times New Roman" w:cs="Times New Roman" w:eastAsia="Times New Roman" w:hint="default"/>
                <w:sz w:val="18"/>
                <w:szCs w:val="18"/>
              </w:rPr>
            </w:pPr>
            <w:r>
              <w:rPr>
                <w:rFonts w:ascii="Times New Roman"/>
                <w:sz w:val="18"/>
              </w:rPr>
              <w:t>9,520.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1"/>
                <w:sz w:val="18"/>
                <w:szCs w:val="18"/>
              </w:rPr>
              <w:t>转增资本（或</w:t>
            </w:r>
            <w:r>
              <w:rPr>
                <w:rFonts w:ascii="宋体" w:hAnsi="宋体" w:cs="宋体" w:eastAsia="宋体" w:hint="default"/>
                <w:sz w:val="18"/>
                <w:szCs w:val="18"/>
              </w:rPr>
              <w:t> 股本）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01"/>
              <w:jc w:val="left"/>
              <w:rPr>
                <w:rFonts w:ascii="宋体" w:hAnsi="宋体" w:cs="宋体" w:eastAsia="宋体" w:hint="default"/>
                <w:sz w:val="18"/>
                <w:szCs w:val="18"/>
              </w:rPr>
            </w:pPr>
            <w:r>
              <w:rPr>
                <w:rFonts w:ascii="宋体" w:hAnsi="宋体" w:cs="宋体" w:eastAsia="宋体" w:hint="default"/>
                <w:spacing w:val="-11"/>
                <w:sz w:val="18"/>
                <w:szCs w:val="18"/>
              </w:rPr>
              <w:t>（五）专项储</w:t>
            </w:r>
            <w:r>
              <w:rPr>
                <w:rFonts w:ascii="宋体" w:hAnsi="宋体" w:cs="宋体" w:eastAsia="宋体" w:hint="default"/>
                <w:sz w:val="18"/>
                <w:szCs w:val="18"/>
              </w:rPr>
              <w:t> 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
              <w:jc w:val="center"/>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1"/>
                <w:sz w:val="18"/>
                <w:szCs w:val="18"/>
              </w:rPr>
              <w:t>四、本期期末</w:t>
            </w:r>
            <w:r>
              <w:rPr>
                <w:rFonts w:ascii="宋体" w:hAnsi="宋体" w:cs="宋体" w:eastAsia="宋体" w:hint="default"/>
                <w:sz w:val="18"/>
                <w:szCs w:val="18"/>
              </w:rPr>
              <w:t> 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121,</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993,</w:t>
            </w:r>
          </w:p>
          <w:p>
            <w:pPr>
              <w:pStyle w:val="TableParagraph"/>
              <w:spacing w:line="240" w:lineRule="auto" w:before="105"/>
              <w:ind w:left="63" w:right="0"/>
              <w:jc w:val="center"/>
              <w:rPr>
                <w:rFonts w:ascii="Times New Roman" w:hAnsi="Times New Roman" w:cs="Times New Roman" w:eastAsia="Times New Roman" w:hint="default"/>
                <w:sz w:val="18"/>
                <w:szCs w:val="18"/>
              </w:rPr>
            </w:pPr>
            <w:r>
              <w:rPr>
                <w:rFonts w:ascii="Times New Roman"/>
                <w:sz w:val="18"/>
              </w:rPr>
              <w:t>920.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55,56</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8.49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37,41</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66</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21,15</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8,362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114,101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,724.71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359,898,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584.32</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1133"/>
        <w:jc w:val="left"/>
        <w:rPr>
          <w:b w:val="0"/>
          <w:bCs w:val="0"/>
        </w:rPr>
      </w:pPr>
      <w:bookmarkStart w:name="三、公司基本情况" w:id="167"/>
      <w:bookmarkEnd w:id="167"/>
      <w:r>
        <w:rPr>
          <w:b w:val="0"/>
          <w:bCs w:val="0"/>
        </w:rPr>
      </w:r>
      <w:r>
        <w:rPr/>
        <w:t>三、公司基本情况</w:t>
      </w:r>
      <w:r>
        <w:rPr>
          <w:b w:val="0"/>
          <w:bCs w:val="0"/>
        </w:rPr>
      </w:r>
    </w:p>
    <w:p>
      <w:pPr>
        <w:spacing w:line="240" w:lineRule="auto" w:before="10"/>
        <w:rPr>
          <w:rFonts w:ascii="宋体" w:hAnsi="宋体" w:cs="宋体" w:eastAsia="宋体" w:hint="default"/>
          <w:b/>
          <w:bCs/>
          <w:sz w:val="24"/>
          <w:szCs w:val="24"/>
        </w:rPr>
      </w:pPr>
    </w:p>
    <w:p>
      <w:pPr>
        <w:pStyle w:val="BodyText"/>
        <w:spacing w:line="259" w:lineRule="auto"/>
        <w:ind w:left="826" w:right="986"/>
        <w:jc w:val="left"/>
      </w:pPr>
      <w:r>
        <w:rPr>
          <w:spacing w:val="-2"/>
          <w:w w:val="100"/>
        </w:rPr>
        <w:t>上海中信信息发展股份有限公司（以下简称“公司”或“本公司”）是</w:t>
      </w:r>
      <w:r>
        <w:rPr>
          <w:rFonts w:ascii="Times New Roman" w:hAnsi="Times New Roman" w:cs="Times New Roman" w:eastAsia="Times New Roman" w:hint="default"/>
          <w:spacing w:val="-2"/>
          <w:w w:val="100"/>
        </w:rPr>
        <w:t>2008</w:t>
      </w:r>
      <w:r>
        <w:rPr>
          <w:spacing w:val="-2"/>
          <w:w w:val="100"/>
        </w:rPr>
        <w:t>年</w:t>
      </w:r>
      <w:r>
        <w:rPr>
          <w:rFonts w:ascii="Times New Roman" w:hAnsi="Times New Roman" w:cs="Times New Roman" w:eastAsia="Times New Roman" w:hint="default"/>
          <w:spacing w:val="-2"/>
          <w:w w:val="100"/>
        </w:rPr>
        <w:t>6</w:t>
      </w:r>
      <w:r>
        <w:rPr>
          <w:spacing w:val="-2"/>
          <w:w w:val="100"/>
        </w:rPr>
        <w:t>月</w:t>
      </w:r>
      <w:r>
        <w:rPr>
          <w:rFonts w:ascii="Times New Roman" w:hAnsi="Times New Roman" w:cs="Times New Roman" w:eastAsia="Times New Roman" w:hint="default"/>
          <w:spacing w:val="-2"/>
          <w:w w:val="100"/>
        </w:rPr>
        <w:t>18</w:t>
      </w:r>
      <w:r>
        <w:rPr>
          <w:spacing w:val="-2"/>
          <w:w w:val="100"/>
        </w:rPr>
        <w:t>日由上海中信</w:t>
      </w:r>
      <w:r>
        <w:rPr>
          <w:spacing w:val="-72"/>
          <w:w w:val="100"/>
        </w:rPr>
        <w:t> </w:t>
      </w:r>
      <w:r>
        <w:rPr>
          <w:spacing w:val="-72"/>
          <w:w w:val="100"/>
        </w:rPr>
      </w:r>
      <w:r>
        <w:rPr>
          <w:spacing w:val="-4"/>
          <w:w w:val="100"/>
        </w:rPr>
        <w:t>信息发展有限公司（以下简称“有限公司”）整体变更设立的股份有限公司，股份总额</w:t>
      </w:r>
      <w:r>
        <w:rPr>
          <w:rFonts w:ascii="Times New Roman" w:hAnsi="Times New Roman" w:cs="Times New Roman" w:eastAsia="Times New Roman" w:hint="default"/>
          <w:spacing w:val="-4"/>
          <w:w w:val="100"/>
        </w:rPr>
        <w:t>2,280</w:t>
      </w:r>
      <w:r>
        <w:rPr>
          <w:spacing w:val="-4"/>
          <w:w w:val="100"/>
        </w:rPr>
        <w:t>万股，</w:t>
      </w:r>
      <w:r>
        <w:rPr>
          <w:spacing w:val="-88"/>
          <w:w w:val="100"/>
        </w:rPr>
        <w:t> </w:t>
      </w:r>
      <w:r>
        <w:rPr>
          <w:spacing w:val="-88"/>
          <w:w w:val="100"/>
        </w:rPr>
      </w:r>
      <w:r>
        <w:rPr/>
        <w:t>每股面值</w:t>
      </w:r>
      <w:r>
        <w:rPr>
          <w:rFonts w:ascii="Times New Roman" w:hAnsi="Times New Roman" w:cs="Times New Roman" w:eastAsia="Times New Roman" w:hint="default"/>
        </w:rPr>
        <w:t>1</w:t>
      </w:r>
      <w:r>
        <w:rPr/>
        <w:t>元，注册资本、实收资本（股本）</w:t>
      </w:r>
      <w:r>
        <w:rPr>
          <w:rFonts w:ascii="Times New Roman" w:hAnsi="Times New Roman" w:cs="Times New Roman" w:eastAsia="Times New Roman" w:hint="default"/>
        </w:rPr>
        <w:t>2,280</w:t>
      </w:r>
      <w:r>
        <w:rPr/>
        <w:t>万元。</w:t>
      </w:r>
      <w:r>
        <w:rPr>
          <w:w w:val="100"/>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月，根据本公司股东大会决议，增加注册资本</w:t>
      </w:r>
      <w:r>
        <w:rPr>
          <w:rFonts w:ascii="Times New Roman" w:hAnsi="Times New Roman" w:cs="Times New Roman" w:eastAsia="Times New Roman" w:hint="default"/>
        </w:rPr>
        <w:t>720</w:t>
      </w:r>
      <w:r>
        <w:rPr/>
        <w:t>万元，由未分配利润转增股本。此次变</w:t>
      </w:r>
      <w:r>
        <w:rPr>
          <w:spacing w:val="-5"/>
        </w:rPr>
        <w:t> </w:t>
      </w:r>
      <w:r>
        <w:rPr>
          <w:spacing w:val="-5"/>
        </w:rPr>
      </w:r>
      <w:r>
        <w:rPr/>
        <w:t>更后，公司注册资本、实收资本（股本）增至</w:t>
      </w:r>
      <w:r>
        <w:rPr>
          <w:rFonts w:ascii="Times New Roman" w:hAnsi="Times New Roman" w:cs="Times New Roman" w:eastAsia="Times New Roman" w:hint="default"/>
        </w:rPr>
        <w:t>3,000</w:t>
      </w:r>
      <w:r>
        <w:rPr/>
        <w:t>万元。</w:t>
      </w:r>
      <w:r>
        <w:rPr>
          <w:w w:val="100"/>
        </w:rPr>
        <w:t> </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6</w:t>
      </w:r>
      <w:r>
        <w:rPr>
          <w:spacing w:val="-3"/>
        </w:rPr>
        <w:t>月，根据本公司股东大会决议，本公司按每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6.7</w:t>
      </w:r>
      <w:r>
        <w:rPr>
          <w:spacing w:val="-3"/>
        </w:rPr>
        <w:t>股的比例，以资本公积、未分配利</w:t>
      </w:r>
      <w:r>
        <w:rPr>
          <w:spacing w:val="-24"/>
        </w:rPr>
        <w:t> </w:t>
      </w:r>
      <w:r>
        <w:rPr>
          <w:spacing w:val="-24"/>
        </w:rPr>
      </w:r>
      <w:r>
        <w:rPr/>
        <w:t>润向全体股东转增股份总额</w:t>
      </w:r>
      <w:r>
        <w:rPr>
          <w:rFonts w:ascii="Times New Roman" w:hAnsi="Times New Roman" w:cs="Times New Roman" w:eastAsia="Times New Roman" w:hint="default"/>
        </w:rPr>
        <w:t>2,010</w:t>
      </w:r>
      <w:r>
        <w:rPr/>
        <w:t>万股，增加股本</w:t>
      </w:r>
      <w:r>
        <w:rPr>
          <w:rFonts w:ascii="Times New Roman" w:hAnsi="Times New Roman" w:cs="Times New Roman" w:eastAsia="Times New Roman" w:hint="default"/>
        </w:rPr>
        <w:t>2,010</w:t>
      </w:r>
      <w:r>
        <w:rPr/>
        <w:t>万元，其中：由资本公积转增</w:t>
      </w:r>
      <w:r>
        <w:rPr>
          <w:rFonts w:ascii="Times New Roman" w:hAnsi="Times New Roman" w:cs="Times New Roman" w:eastAsia="Times New Roman" w:hint="default"/>
        </w:rPr>
        <w:t>2,453,540.62</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8"/>
        </w:rPr>
        <w:t>元，由未分配利润转增</w:t>
      </w:r>
      <w:r>
        <w:rPr>
          <w:rFonts w:ascii="Times New Roman" w:hAnsi="Times New Roman" w:cs="Times New Roman" w:eastAsia="Times New Roman" w:hint="default"/>
          <w:spacing w:val="-8"/>
        </w:rPr>
        <w:t>17,646,459.38</w:t>
      </w:r>
      <w:r>
        <w:rPr>
          <w:spacing w:val="-8"/>
        </w:rPr>
        <w:t>元。转增股本后，公司注册资本、实收资本（股本）变更为</w:t>
      </w:r>
      <w:r>
        <w:rPr>
          <w:rFonts w:ascii="Times New Roman" w:hAnsi="Times New Roman" w:cs="Times New Roman" w:eastAsia="Times New Roman" w:hint="default"/>
          <w:spacing w:val="-8"/>
        </w:rPr>
        <w:t>5,010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万元。</w:t>
      </w:r>
      <w:r>
        <w:rPr>
          <w:spacing w:val="-102"/>
        </w:rPr>
        <w:t> </w:t>
      </w:r>
      <w:r>
        <w:rPr>
          <w:spacing w:val="-2"/>
        </w:rPr>
        <w:t>经中国证券监督管理委员会“证监许可</w:t>
      </w:r>
      <w:r>
        <w:rPr>
          <w:rFonts w:ascii="Times New Roman" w:hAnsi="Times New Roman" w:cs="Times New Roman" w:eastAsia="Times New Roman" w:hint="default"/>
          <w:spacing w:val="-2"/>
        </w:rPr>
        <w:t>[2015]958</w:t>
      </w:r>
      <w:r>
        <w:rPr>
          <w:spacing w:val="-2"/>
        </w:rPr>
        <w:t>号”文核准，本公司于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月公开发行人民币</w:t>
      </w:r>
      <w:r>
        <w:rPr>
          <w:spacing w:val="-49"/>
        </w:rPr>
        <w:t> </w:t>
      </w:r>
      <w:r>
        <w:rPr>
          <w:spacing w:val="-49"/>
        </w:rPr>
      </w:r>
      <w:r>
        <w:rPr/>
        <w:t>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日在深圳证券交易所创业板上市交易，股票简称：信</w:t>
      </w:r>
      <w:r>
        <w:rPr>
          <w:w w:val="100"/>
        </w:rPr>
        <w:t> </w:t>
      </w:r>
      <w:r>
        <w:rPr/>
        <w:t>息发展，股票代码：</w:t>
      </w:r>
      <w:r>
        <w:rPr>
          <w:rFonts w:ascii="Times New Roman" w:hAnsi="Times New Roman" w:cs="Times New Roman" w:eastAsia="Times New Roman" w:hint="default"/>
        </w:rPr>
        <w:t>300469</w:t>
      </w:r>
      <w:r>
        <w:rPr/>
        <w:t>。发行后本公司注册资本、实收资本（股本）变更为</w:t>
      </w:r>
      <w:r>
        <w:rPr>
          <w:rFonts w:ascii="Times New Roman" w:hAnsi="Times New Roman" w:cs="Times New Roman" w:eastAsia="Times New Roman" w:hint="default"/>
        </w:rPr>
        <w:t>6,680</w:t>
      </w:r>
      <w:r>
        <w:rPr/>
        <w:t>万元。</w:t>
      </w:r>
      <w:r>
        <w:rPr>
          <w:w w:val="100"/>
        </w:rPr>
        <w:t> </w:t>
      </w:r>
      <w:r>
        <w:rPr>
          <w:spacing w:val="-5"/>
        </w:rPr>
        <w:t>本公司于</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7</w:t>
      </w:r>
      <w:r>
        <w:rPr>
          <w:spacing w:val="-5"/>
        </w:rPr>
        <w:t>月以每股</w:t>
      </w:r>
      <w:r>
        <w:rPr>
          <w:rFonts w:ascii="Times New Roman" w:hAnsi="Times New Roman" w:cs="Times New Roman" w:eastAsia="Times New Roman" w:hint="default"/>
          <w:spacing w:val="-5"/>
        </w:rPr>
        <w:t>55.79</w:t>
      </w:r>
      <w:r>
        <w:rPr>
          <w:spacing w:val="-5"/>
        </w:rPr>
        <w:t>元的价格向激励对象（公司核心管理人员、核心业务（技术）人员）</w:t>
      </w:r>
      <w:r>
        <w:rPr>
          <w:spacing w:val="-30"/>
        </w:rPr>
        <w:t> </w:t>
      </w:r>
      <w:r>
        <w:rPr>
          <w:spacing w:val="-30"/>
        </w:rPr>
      </w:r>
      <w:r>
        <w:rPr/>
        <w:t>授予</w:t>
      </w:r>
      <w:r>
        <w:rPr>
          <w:rFonts w:ascii="Times New Roman" w:hAnsi="Times New Roman" w:cs="Times New Roman" w:eastAsia="Times New Roman" w:hint="default"/>
        </w:rPr>
        <w:t>150</w:t>
      </w:r>
      <w:r>
        <w:rPr/>
        <w:t>万股限制性股票。授予后本公司注册资本、实收资本（股本）变更为</w:t>
      </w:r>
      <w:r>
        <w:rPr>
          <w:rFonts w:ascii="Times New Roman" w:hAnsi="Times New Roman" w:cs="Times New Roman" w:eastAsia="Times New Roman" w:hint="default"/>
        </w:rPr>
        <w:t>6,830</w:t>
      </w:r>
      <w:r>
        <w:rPr/>
        <w:t>万元。</w:t>
      </w:r>
      <w:r>
        <w:rPr>
          <w:w w:val="100"/>
        </w:rPr>
        <w:t> </w:t>
      </w:r>
      <w:r>
        <w:rPr>
          <w:rFonts w:ascii="Times New Roman" w:hAnsi="Times New Roman" w:cs="Times New Roman" w:eastAsia="Times New Roman" w:hint="default"/>
          <w:spacing w:val="-4"/>
          <w:w w:val="100"/>
        </w:rPr>
        <w:t>2018</w:t>
      </w:r>
      <w:r>
        <w:rPr>
          <w:spacing w:val="-4"/>
          <w:w w:val="100"/>
        </w:rPr>
        <w:t>年</w:t>
      </w:r>
      <w:r>
        <w:rPr>
          <w:rFonts w:ascii="Times New Roman" w:hAnsi="Times New Roman" w:cs="Times New Roman" w:eastAsia="Times New Roman" w:hint="default"/>
          <w:spacing w:val="-4"/>
          <w:w w:val="100"/>
        </w:rPr>
        <w:t>5</w:t>
      </w:r>
      <w:r>
        <w:rPr>
          <w:spacing w:val="-4"/>
          <w:w w:val="100"/>
        </w:rPr>
        <w:t>月，</w:t>
      </w:r>
      <w:r>
        <w:rPr>
          <w:rFonts w:ascii="Times New Roman" w:hAnsi="Times New Roman" w:cs="Times New Roman" w:eastAsia="Times New Roman" w:hint="default"/>
          <w:spacing w:val="-4"/>
          <w:w w:val="100"/>
        </w:rPr>
        <w:t>2017</w:t>
      </w:r>
      <w:r>
        <w:rPr>
          <w:spacing w:val="-4"/>
          <w:w w:val="100"/>
        </w:rPr>
        <w:t>年年度股东大会会议审议通过了《关于回购部分限制性股票的议案》，对</w:t>
      </w:r>
      <w:r>
        <w:rPr>
          <w:rFonts w:ascii="Times New Roman" w:hAnsi="Times New Roman" w:cs="Times New Roman" w:eastAsia="Times New Roman" w:hint="default"/>
          <w:spacing w:val="-4"/>
          <w:w w:val="100"/>
        </w:rPr>
        <w:t>8</w:t>
      </w:r>
      <w:r>
        <w:rPr>
          <w:spacing w:val="-4"/>
          <w:w w:val="100"/>
        </w:rPr>
        <w:t>名因离</w:t>
      </w:r>
      <w:r>
        <w:rPr>
          <w:spacing w:val="-82"/>
          <w:w w:val="100"/>
        </w:rPr>
        <w:t> </w:t>
      </w:r>
      <w:r>
        <w:rPr>
          <w:spacing w:val="-82"/>
          <w:w w:val="100"/>
        </w:rPr>
      </w:r>
      <w:r>
        <w:rPr/>
        <w:t>职不再具备激励资格员工所持有的限制性股票予以全部收回；及其他激励员工因第二个解锁期业</w:t>
      </w:r>
      <w:r>
        <w:rPr>
          <w:w w:val="100"/>
        </w:rPr>
        <w:t> </w:t>
      </w:r>
      <w:r>
        <w:rPr/>
        <w:t>绩未达到限制性股票激励计划规定的要求，对第二个解锁期的限制性股票进行回购注销，以上合</w:t>
      </w:r>
      <w:r>
        <w:rPr>
          <w:w w:val="100"/>
        </w:rPr>
        <w:t> </w:t>
      </w:r>
      <w:r>
        <w:rPr>
          <w:spacing w:val="-7"/>
        </w:rPr>
        <w:t>并计算共计回购</w:t>
      </w:r>
      <w:r>
        <w:rPr>
          <w:rFonts w:ascii="Times New Roman" w:hAnsi="Times New Roman" w:cs="Times New Roman" w:eastAsia="Times New Roman" w:hint="default"/>
          <w:spacing w:val="-7"/>
        </w:rPr>
        <w:t>52.56</w:t>
      </w:r>
      <w:r>
        <w:rPr>
          <w:spacing w:val="-7"/>
        </w:rPr>
        <w:t>万股。本次回购注销完成后，公司注册资本、实收资本（股本）变更为</w:t>
      </w:r>
      <w:r>
        <w:rPr>
          <w:rFonts w:ascii="Times New Roman" w:hAnsi="Times New Roman" w:cs="Times New Roman" w:eastAsia="Times New Roman" w:hint="default"/>
          <w:spacing w:val="-7"/>
        </w:rPr>
        <w:t>6,777.44</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万元。</w:t>
      </w:r>
      <w:r>
        <w:rPr>
          <w:spacing w:val="-102"/>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月，根据本公司召开的</w:t>
      </w:r>
      <w:r>
        <w:rPr>
          <w:rFonts w:ascii="Times New Roman" w:hAnsi="Times New Roman" w:cs="Times New Roman" w:eastAsia="Times New Roman" w:hint="default"/>
        </w:rPr>
        <w:t>2017</w:t>
      </w:r>
      <w:r>
        <w:rPr/>
        <w:t>年年度股东大会审议通过的</w:t>
      </w:r>
      <w:r>
        <w:rPr>
          <w:rFonts w:ascii="Times New Roman" w:hAnsi="Times New Roman" w:cs="Times New Roman" w:eastAsia="Times New Roman" w:hint="default"/>
        </w:rPr>
        <w:t>2017</w:t>
      </w:r>
      <w:r>
        <w:rPr/>
        <w:t>年年度权益分派方案，以公司</w:t>
      </w:r>
      <w:r>
        <w:rPr>
          <w:w w:val="100"/>
        </w:rPr>
        <w:t> </w:t>
      </w:r>
      <w:r>
        <w:rPr/>
        <w:t>现有总股本</w:t>
      </w:r>
      <w:r>
        <w:rPr>
          <w:rFonts w:ascii="Times New Roman" w:hAnsi="Times New Roman" w:cs="Times New Roman" w:eastAsia="Times New Roman" w:hint="default"/>
        </w:rPr>
        <w:t>6,777.44</w:t>
      </w:r>
      <w:r>
        <w:rPr/>
        <w:t>万股为基数，向全体股东每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1.00</w:t>
      </w:r>
      <w:r>
        <w:rPr/>
        <w:t>元人民币同时以资本公积向全体股东每</w:t>
      </w:r>
      <w:r>
        <w:rPr>
          <w:w w:val="100"/>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股，经此次分配完成后，公司注册资本、实收资本（股本）变更为</w:t>
      </w:r>
      <w:r>
        <w:rPr>
          <w:rFonts w:ascii="Times New Roman" w:hAnsi="Times New Roman" w:cs="Times New Roman" w:eastAsia="Times New Roman" w:hint="default"/>
        </w:rPr>
        <w:t>121,993,920.00</w:t>
      </w:r>
      <w:r>
        <w:rPr/>
        <w:t>元。</w:t>
      </w:r>
      <w:r>
        <w:rPr>
          <w:spacing w:val="-3"/>
          <w:w w:val="100"/>
        </w:rPr>
        <w:t> </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日回购注销股权激励计划限制性股票数量</w:t>
      </w:r>
      <w:r>
        <w:rPr>
          <w:rFonts w:ascii="Times New Roman" w:hAnsi="Times New Roman" w:cs="Times New Roman" w:eastAsia="Times New Roman" w:hint="default"/>
        </w:rPr>
        <w:t>1,002,240</w:t>
      </w:r>
      <w:r>
        <w:rPr/>
        <w:t>股，占回购前公司总股份的</w:t>
      </w:r>
      <w:r>
        <w:rPr>
          <w:w w:val="100"/>
        </w:rPr>
        <w:t> </w:t>
      </w:r>
      <w:r>
        <w:rPr>
          <w:rFonts w:ascii="Times New Roman" w:hAnsi="Times New Roman" w:cs="Times New Roman" w:eastAsia="Times New Roman" w:hint="default"/>
        </w:rPr>
        <w:t>0.8215%</w:t>
      </w:r>
      <w:r>
        <w:rPr/>
        <w:t>，回购价格为</w:t>
      </w:r>
      <w:r>
        <w:rPr>
          <w:rFonts w:ascii="Times New Roman" w:hAnsi="Times New Roman" w:cs="Times New Roman" w:eastAsia="Times New Roman" w:hint="default"/>
        </w:rPr>
        <w:t>30.8778</w:t>
      </w:r>
      <w:r>
        <w:rPr/>
        <w:t>元</w:t>
      </w:r>
      <w:r>
        <w:rPr>
          <w:rFonts w:ascii="Times New Roman" w:hAnsi="Times New Roman" w:cs="Times New Roman" w:eastAsia="Times New Roman" w:hint="default"/>
        </w:rPr>
        <w:t>/</w:t>
      </w:r>
      <w:r>
        <w:rPr/>
        <w:t>股。本次回购注销完成后，公司股份总数由</w:t>
      </w:r>
      <w:r>
        <w:rPr>
          <w:rFonts w:ascii="Times New Roman" w:hAnsi="Times New Roman" w:cs="Times New Roman" w:eastAsia="Times New Roman" w:hint="default"/>
        </w:rPr>
        <w:t>121,993,920</w:t>
      </w:r>
      <w:r>
        <w:rPr/>
        <w:t>股变更为</w:t>
      </w:r>
    </w:p>
    <w:p>
      <w:pPr>
        <w:pStyle w:val="BodyText"/>
        <w:spacing w:line="240" w:lineRule="auto" w:before="2"/>
        <w:ind w:left="830" w:right="1133"/>
        <w:jc w:val="left"/>
      </w:pPr>
      <w:r>
        <w:rPr>
          <w:rFonts w:ascii="Times New Roman" w:hAnsi="Times New Roman" w:cs="Times New Roman" w:eastAsia="Times New Roman" w:hint="default"/>
        </w:rPr>
        <w:t>120,991,680</w:t>
      </w:r>
      <w:r>
        <w:rPr/>
        <w:t>股，回购款项对应的资本公积为</w:t>
      </w:r>
      <w:r>
        <w:rPr>
          <w:rFonts w:ascii="Times New Roman" w:hAnsi="Times New Roman" w:cs="Times New Roman" w:eastAsia="Times New Roman" w:hint="default"/>
        </w:rPr>
        <w:t>29,944,726.17</w:t>
      </w:r>
      <w:r>
        <w:rPr/>
        <w:t>元。</w:t>
      </w:r>
    </w:p>
    <w:p>
      <w:pPr>
        <w:pStyle w:val="BodyText"/>
        <w:spacing w:line="256" w:lineRule="auto" w:before="21"/>
        <w:ind w:left="826" w:right="1133" w:firstLine="4"/>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月，根据本公司召开的</w:t>
      </w:r>
      <w:r>
        <w:rPr>
          <w:rFonts w:ascii="Times New Roman" w:hAnsi="Times New Roman" w:cs="Times New Roman" w:eastAsia="Times New Roman" w:hint="default"/>
          <w:spacing w:val="-2"/>
        </w:rPr>
        <w:t>2018</w:t>
      </w:r>
      <w:r>
        <w:rPr>
          <w:spacing w:val="-2"/>
        </w:rPr>
        <w:t>年年度股东大会审议通过的</w:t>
      </w:r>
      <w:r>
        <w:rPr>
          <w:rFonts w:ascii="Times New Roman" w:hAnsi="Times New Roman" w:cs="Times New Roman" w:eastAsia="Times New Roman" w:hint="default"/>
          <w:spacing w:val="-2"/>
        </w:rPr>
        <w:t>2018</w:t>
      </w:r>
      <w:r>
        <w:rPr>
          <w:spacing w:val="-2"/>
        </w:rPr>
        <w:t>年年度权益分派方案，以公司</w:t>
      </w:r>
      <w:r>
        <w:rPr>
          <w:spacing w:val="-25"/>
        </w:rPr>
        <w:t> </w:t>
      </w:r>
      <w:r>
        <w:rPr>
          <w:spacing w:val="-25"/>
        </w:rPr>
      </w:r>
      <w:r>
        <w:rPr>
          <w:spacing w:val="-2"/>
        </w:rPr>
        <w:t>现有总股本</w:t>
      </w:r>
      <w:r>
        <w:rPr>
          <w:rFonts w:ascii="Times New Roman" w:hAnsi="Times New Roman" w:cs="Times New Roman" w:eastAsia="Times New Roman" w:hint="default"/>
          <w:spacing w:val="-2"/>
        </w:rPr>
        <w:t>120,991,680</w:t>
      </w:r>
      <w:r>
        <w:rPr>
          <w:spacing w:val="-2"/>
        </w:rPr>
        <w:t>股剔除已回购股份</w:t>
      </w:r>
      <w:r>
        <w:rPr>
          <w:rFonts w:ascii="Times New Roman" w:hAnsi="Times New Roman" w:cs="Times New Roman" w:eastAsia="Times New Roman" w:hint="default"/>
          <w:spacing w:val="-2"/>
        </w:rPr>
        <w:t>786,400</w:t>
      </w:r>
      <w:r>
        <w:rPr>
          <w:spacing w:val="-2"/>
        </w:rPr>
        <w:t>股后可参与分配的总股数</w:t>
      </w:r>
      <w:r>
        <w:rPr>
          <w:rFonts w:ascii="Times New Roman" w:hAnsi="Times New Roman" w:cs="Times New Roman" w:eastAsia="Times New Roman" w:hint="default"/>
          <w:spacing w:val="-2"/>
        </w:rPr>
        <w:t>120,205,280</w:t>
      </w:r>
      <w:r>
        <w:rPr>
          <w:spacing w:val="-2"/>
        </w:rPr>
        <w:t>股为基数，</w:t>
      </w:r>
      <w:r>
        <w:rPr/>
        <w:t> </w:t>
      </w:r>
      <w:r>
        <w:rPr/>
      </w:r>
      <w:r>
        <w:rPr>
          <w:spacing w:val="-2"/>
        </w:rPr>
        <w:t>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0.30</w:t>
      </w:r>
      <w:r>
        <w:rPr>
          <w:spacing w:val="-2"/>
        </w:rPr>
        <w:t>元人民币现金，同时以资本公积向全体股东每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7</w:t>
      </w:r>
      <w:r>
        <w:rPr>
          <w:spacing w:val="-2"/>
        </w:rPr>
        <w:t>股，经此次分配</w:t>
      </w:r>
      <w:r>
        <w:rPr>
          <w:spacing w:val="-19"/>
        </w:rPr>
        <w:t> </w:t>
      </w:r>
      <w:r>
        <w:rPr>
          <w:spacing w:val="-19"/>
        </w:rPr>
      </w:r>
      <w:r>
        <w:rPr/>
        <w:t>完成后，公司注册资本、实收资本（股本）变更为</w:t>
      </w:r>
      <w:r>
        <w:rPr>
          <w:rFonts w:ascii="Times New Roman" w:hAnsi="Times New Roman" w:cs="Times New Roman" w:eastAsia="Times New Roman" w:hint="default"/>
        </w:rPr>
        <w:t>205,135,376</w:t>
      </w:r>
      <w:r>
        <w:rPr/>
        <w:t>元。</w:t>
      </w:r>
      <w:r>
        <w:rPr>
          <w:w w:val="100"/>
        </w:rPr>
        <w:t> </w:t>
      </w:r>
      <w:r>
        <w:rPr/>
        <w:t>本公司注册地址：上海市静安区昌平路</w:t>
      </w:r>
      <w:r>
        <w:rPr>
          <w:rFonts w:ascii="Times New Roman" w:hAnsi="Times New Roman" w:cs="Times New Roman" w:eastAsia="Times New Roman" w:hint="default"/>
        </w:rPr>
        <w:t>710</w:t>
      </w:r>
      <w:r>
        <w:rPr/>
        <w:t>号</w:t>
      </w:r>
      <w:r>
        <w:rPr>
          <w:rFonts w:ascii="Times New Roman" w:hAnsi="Times New Roman" w:cs="Times New Roman" w:eastAsia="Times New Roman" w:hint="default"/>
        </w:rPr>
        <w:t>302</w:t>
      </w:r>
      <w:r>
        <w:rPr/>
        <w:t>室，法定代表人：张曙华。</w:t>
      </w:r>
      <w:r>
        <w:rPr>
          <w:w w:val="100"/>
        </w:rPr>
        <w:t> </w:t>
      </w:r>
      <w:r>
        <w:rPr/>
        <w:t>本公司属软件行业，经营范围主要包括：计算机软硬件、系统集成、网络工程、电子信息领域内</w:t>
      </w:r>
    </w:p>
    <w:p>
      <w:pPr>
        <w:spacing w:after="0" w:line="25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left="826" w:right="986"/>
        <w:jc w:val="left"/>
      </w:pPr>
      <w:r>
        <w:rPr/>
        <w:t>的“四技”服务，计算机软硬件、网络工程设备、公共安全防范工程设计及施工，建筑智能化工</w:t>
      </w:r>
      <w:r>
        <w:rPr>
          <w:spacing w:val="-9"/>
        </w:rPr>
        <w:t> </w:t>
      </w:r>
      <w:r>
        <w:rPr>
          <w:spacing w:val="-9"/>
        </w:rPr>
      </w:r>
      <w:r>
        <w:rPr>
          <w:spacing w:val="-4"/>
          <w:w w:val="100"/>
        </w:rPr>
        <w:t>程设计与施工，计算机数据处理（依法须经批准的项目，经相关部门批准后方可开展经营活动）。</w:t>
      </w:r>
      <w:r>
        <w:rPr>
          <w:spacing w:val="-99"/>
          <w:w w:val="100"/>
        </w:rPr>
        <w:t> </w:t>
      </w:r>
      <w:r>
        <w:rPr>
          <w:spacing w:val="-99"/>
          <w:w w:val="100"/>
        </w:rPr>
      </w:r>
      <w:r>
        <w:rPr/>
        <w:t>本公司的母公司为上海中信电子发展有限公司，实际控制人为张曙华。</w:t>
      </w:r>
      <w:r>
        <w:rPr>
          <w:w w:val="100"/>
        </w:rPr>
        <w:t> </w:t>
      </w:r>
      <w:r>
        <w:rPr/>
        <w:t>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日批准报出。</w:t>
      </w:r>
    </w:p>
    <w:p>
      <w:pPr>
        <w:spacing w:line="240" w:lineRule="auto" w:before="13"/>
        <w:rPr>
          <w:rFonts w:ascii="宋体" w:hAnsi="宋体" w:cs="宋体" w:eastAsia="宋体" w:hint="default"/>
          <w:sz w:val="22"/>
          <w:szCs w:val="22"/>
        </w:rPr>
      </w:pPr>
    </w:p>
    <w:p>
      <w:pPr>
        <w:spacing w:line="273" w:lineRule="auto" w:before="0"/>
        <w:ind w:left="826" w:right="3341" w:hanging="365"/>
        <w:jc w:val="left"/>
        <w:rPr>
          <w:rFonts w:ascii="宋体" w:hAnsi="宋体" w:cs="宋体" w:eastAsia="宋体" w:hint="default"/>
          <w:sz w:val="21"/>
          <w:szCs w:val="21"/>
        </w:rPr>
      </w:pPr>
      <w:r>
        <w:rPr>
          <w:rFonts w:ascii="宋体" w:hAnsi="宋体" w:cs="宋体" w:eastAsia="宋体" w:hint="default"/>
          <w:b/>
          <w:bCs/>
          <w:sz w:val="21"/>
          <w:szCs w:val="21"/>
        </w:rPr>
        <w:t>合并财务报表范围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日止，本公司合并财务报表范围内子公司如下：</w:t>
      </w:r>
    </w:p>
    <w:tbl>
      <w:tblPr>
        <w:tblW w:w="0" w:type="auto"/>
        <w:jc w:val="left"/>
        <w:tblInd w:w="821" w:type="dxa"/>
        <w:tblLayout w:type="fixed"/>
        <w:tblCellMar>
          <w:top w:w="0" w:type="dxa"/>
          <w:left w:w="0" w:type="dxa"/>
          <w:bottom w:w="0" w:type="dxa"/>
          <w:right w:w="0" w:type="dxa"/>
        </w:tblCellMar>
        <w:tblLook w:val="01E0"/>
      </w:tblPr>
      <w:tblGrid>
        <w:gridCol w:w="4743"/>
        <w:gridCol w:w="2871"/>
      </w:tblGrid>
      <w:tr>
        <w:trPr>
          <w:trHeight w:val="355" w:hRule="exact"/>
        </w:trPr>
        <w:tc>
          <w:tcPr>
            <w:tcW w:w="474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871"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0" w:hRule="exact"/>
        </w:trPr>
        <w:tc>
          <w:tcPr>
            <w:tcW w:w="474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光典信息发展有限公司</w:t>
            </w:r>
          </w:p>
        </w:tc>
        <w:tc>
          <w:tcPr>
            <w:tcW w:w="287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74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上海追索信息科技有限公司</w:t>
            </w:r>
          </w:p>
        </w:tc>
        <w:tc>
          <w:tcPr>
            <w:tcW w:w="287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74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追溯云信息发展股份有限公司</w:t>
            </w:r>
          </w:p>
        </w:tc>
        <w:tc>
          <w:tcPr>
            <w:tcW w:w="2871" w:type="dxa"/>
            <w:tcBorders>
              <w:top w:val="single" w:sz="12" w:space="0" w:color="000000"/>
              <w:left w:val="single" w:sz="6" w:space="0" w:color="000000"/>
              <w:bottom w:val="single" w:sz="12" w:space="0" w:color="000000"/>
              <w:right w:val="nil" w:sz="6" w:space="0" w:color="auto"/>
            </w:tcBorders>
          </w:tcPr>
          <w:p>
            <w:pPr/>
          </w:p>
        </w:tc>
      </w:tr>
      <w:tr>
        <w:trPr>
          <w:trHeight w:val="351" w:hRule="exact"/>
        </w:trPr>
        <w:tc>
          <w:tcPr>
            <w:tcW w:w="474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信发资产管理有限责任公司</w:t>
            </w:r>
          </w:p>
        </w:tc>
        <w:tc>
          <w:tcPr>
            <w:tcW w:w="287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74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智秾信息发展股份有限公司</w:t>
            </w:r>
          </w:p>
        </w:tc>
        <w:tc>
          <w:tcPr>
            <w:tcW w:w="2871"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74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追溯云（上海）信用科技有限公司</w:t>
            </w:r>
          </w:p>
        </w:tc>
        <w:tc>
          <w:tcPr>
            <w:tcW w:w="2871" w:type="dxa"/>
            <w:tcBorders>
              <w:top w:val="single" w:sz="12" w:space="0" w:color="000000"/>
              <w:left w:val="single" w:sz="6" w:space="0" w:color="000000"/>
              <w:bottom w:val="single" w:sz="12" w:space="0" w:color="000000"/>
              <w:right w:val="nil" w:sz="6" w:space="0" w:color="auto"/>
            </w:tcBorders>
          </w:tcPr>
          <w:p>
            <w:pPr/>
          </w:p>
        </w:tc>
      </w:tr>
    </w:tbl>
    <w:p>
      <w:pPr>
        <w:spacing w:line="312" w:lineRule="auto" w:before="0"/>
        <w:ind w:left="112" w:right="986" w:firstLine="0"/>
        <w:jc w:val="left"/>
        <w:rPr>
          <w:rFonts w:ascii="宋体" w:hAnsi="宋体" w:cs="宋体" w:eastAsia="宋体" w:hint="default"/>
          <w:sz w:val="18"/>
          <w:szCs w:val="18"/>
        </w:rPr>
      </w:pPr>
      <w:r>
        <w:rPr>
          <w:rFonts w:ascii="宋体" w:hAnsi="宋体" w:cs="宋体" w:eastAsia="宋体" w:hint="default"/>
          <w:spacing w:val="-5"/>
          <w:w w:val="100"/>
          <w:sz w:val="21"/>
          <w:szCs w:val="21"/>
        </w:rPr>
        <w:t>本期合并财务报表范围及其变化情况详见本附注“六、合并范围的变更”</w:t>
      </w:r>
      <w:r>
        <w:rPr>
          <w:rFonts w:ascii="宋体" w:hAnsi="宋体" w:cs="宋体" w:eastAsia="宋体" w:hint="default"/>
          <w:spacing w:val="-32"/>
          <w:w w:val="100"/>
          <w:sz w:val="21"/>
          <w:szCs w:val="21"/>
        </w:rPr>
        <w:t> </w:t>
      </w:r>
      <w:r>
        <w:rPr>
          <w:rFonts w:ascii="宋体" w:hAnsi="宋体" w:cs="宋体" w:eastAsia="宋体" w:hint="default"/>
          <w:w w:val="100"/>
          <w:sz w:val="21"/>
          <w:szCs w:val="21"/>
        </w:rPr>
        <w:t>和</w:t>
      </w:r>
      <w:r>
        <w:rPr>
          <w:rFonts w:ascii="宋体" w:hAnsi="宋体" w:cs="宋体" w:eastAsia="宋体" w:hint="default"/>
          <w:spacing w:val="-38"/>
          <w:w w:val="100"/>
          <w:sz w:val="21"/>
          <w:szCs w:val="21"/>
        </w:rPr>
        <w:t> </w:t>
      </w:r>
      <w:r>
        <w:rPr>
          <w:rFonts w:ascii="宋体" w:hAnsi="宋体" w:cs="宋体" w:eastAsia="宋体" w:hint="default"/>
          <w:spacing w:val="-13"/>
          <w:w w:val="100"/>
          <w:sz w:val="21"/>
          <w:szCs w:val="21"/>
        </w:rPr>
        <w:t>“七、在其他主体中的权益”。</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18"/>
          <w:szCs w:val="18"/>
        </w:rPr>
        <w:t>本公司注册地址：上海市静安区昌平路</w:t>
      </w:r>
      <w:r>
        <w:rPr>
          <w:rFonts w:ascii="宋体" w:hAnsi="宋体" w:cs="宋体" w:eastAsia="宋体" w:hint="default"/>
          <w:sz w:val="18"/>
          <w:szCs w:val="18"/>
        </w:rPr>
        <w:t>710</w:t>
      </w:r>
      <w:r>
        <w:rPr>
          <w:rFonts w:ascii="宋体" w:hAnsi="宋体" w:cs="宋体" w:eastAsia="宋体" w:hint="default"/>
          <w:sz w:val="18"/>
          <w:szCs w:val="18"/>
        </w:rPr>
        <w:t>号</w:t>
      </w:r>
      <w:r>
        <w:rPr>
          <w:rFonts w:ascii="宋体" w:hAnsi="宋体" w:cs="宋体" w:eastAsia="宋体" w:hint="default"/>
          <w:sz w:val="18"/>
          <w:szCs w:val="18"/>
        </w:rPr>
        <w:t>302</w:t>
      </w:r>
      <w:r>
        <w:rPr>
          <w:rFonts w:ascii="宋体" w:hAnsi="宋体" w:cs="宋体" w:eastAsia="宋体" w:hint="default"/>
          <w:sz w:val="18"/>
          <w:szCs w:val="18"/>
        </w:rPr>
        <w:t>室，法定代表人：张曙华。 </w:t>
      </w:r>
      <w:r>
        <w:rPr>
          <w:rFonts w:ascii="宋体" w:hAnsi="宋体" w:cs="宋体" w:eastAsia="宋体" w:hint="default"/>
          <w:spacing w:val="-2"/>
          <w:sz w:val="18"/>
          <w:szCs w:val="18"/>
        </w:rPr>
        <w:t>本公司属软件行业，经营范围主要包括：计算机软硬件、系统集成、网络工程、电子信息领域内的“四技”服务，计算机软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硬件、网络工程设备、公共安全防范工程设计及施工，建筑智能化工程设计与施工，计算机数据处理（依法须经批准的项目，</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经相关部门批准后方可开展经营活动）。本公司的母公司为上海中信电子发展有限公司，实际控制人为张曙华。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本财务报表业经公司董事会于</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日批准报出。</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4"/>
        <w:spacing w:line="240" w:lineRule="auto"/>
        <w:ind w:right="1133"/>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left="112" w:right="1104"/>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w:t>
      </w:r>
      <w:r>
        <w:rPr>
          <w:spacing w:val="-21"/>
        </w:rPr>
        <w:t> </w:t>
      </w:r>
      <w:r>
        <w:rPr>
          <w:spacing w:val="-21"/>
        </w:rPr>
      </w:r>
      <w:r>
        <w:rPr>
          <w:spacing w:val="-2"/>
        </w:rPr>
        <w:t>和各项具体会计准则、企业会计准则应用指南、企业会计准则解释及其他相关规定（以下合称“企业会计</w:t>
      </w:r>
      <w:r>
        <w:rPr>
          <w:spacing w:val="-46"/>
        </w:rPr>
        <w:t> </w:t>
      </w:r>
      <w:r>
        <w:rPr>
          <w:spacing w:val="-46"/>
        </w:rPr>
      </w:r>
      <w:r>
        <w:rPr>
          <w:spacing w:val="-5"/>
          <w:w w:val="100"/>
        </w:rPr>
        <w:t>准则”），以及中国证券监督管理委员会《公开发行证券的公司信息披露编报规则第</w:t>
      </w:r>
      <w:r>
        <w:rPr>
          <w:rFonts w:ascii="Times New Roman" w:hAnsi="Times New Roman" w:cs="Times New Roman" w:eastAsia="Times New Roman" w:hint="default"/>
          <w:spacing w:val="-5"/>
          <w:w w:val="100"/>
        </w:rPr>
        <w:t>15</w:t>
      </w:r>
      <w:r>
        <w:rPr>
          <w:rFonts w:ascii="Times New Roman" w:hAnsi="Times New Roman" w:cs="Times New Roman" w:eastAsia="Times New Roman" w:hint="default"/>
          <w:w w:val="100"/>
        </w:rPr>
        <w:t> </w:t>
      </w:r>
      <w:r>
        <w:rPr>
          <w:w w:val="100"/>
        </w:rPr>
        <w:t>号</w:t>
      </w:r>
      <w:r>
        <w:rPr>
          <w:rFonts w:ascii="Times New Roman" w:hAnsi="Times New Roman" w:cs="Times New Roman" w:eastAsia="Times New Roman" w:hint="default"/>
          <w:w w:val="100"/>
        </w:rPr>
        <w:t>——</w:t>
      </w:r>
      <w:r>
        <w:rPr>
          <w:w w:val="100"/>
        </w:rPr>
        <w:t>财务报告的</w:t>
      </w:r>
      <w:r>
        <w:rPr>
          <w:spacing w:val="-99"/>
          <w:w w:val="100"/>
        </w:rPr>
        <w:t> </w:t>
      </w:r>
      <w:r>
        <w:rPr>
          <w:spacing w:val="-99"/>
          <w:w w:val="100"/>
        </w:rPr>
      </w:r>
      <w:r>
        <w:rPr/>
        <w:t>一般规定》的披露规定编制财务报表。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6"/>
        <w:spacing w:line="240" w:lineRule="auto"/>
        <w:ind w:right="1133"/>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112" w:right="1128"/>
        <w:jc w:val="left"/>
      </w:pPr>
      <w:r>
        <w:rPr/>
        <w:t>本公司对自报告期末起</w:t>
      </w:r>
      <w:r>
        <w:rPr>
          <w:spacing w:val="71"/>
        </w:rPr>
        <w:t> </w:t>
      </w:r>
      <w:r>
        <w:rPr>
          <w:rFonts w:ascii="Times New Roman" w:hAnsi="Times New Roman" w:cs="Times New Roman" w:eastAsia="Times New Roman" w:hint="default"/>
        </w:rPr>
        <w:t>12</w:t>
      </w:r>
      <w:r>
        <w:rPr/>
        <w:t>个月的持续经营能力进行评价，评价结果表明本公司自报告期末起</w:t>
      </w:r>
      <w:r>
        <w:rPr>
          <w:rFonts w:ascii="Times New Roman" w:hAnsi="Times New Roman" w:cs="Times New Roman" w:eastAsia="Times New Roman" w:hint="default"/>
        </w:rPr>
        <w:t>12</w:t>
      </w:r>
      <w:r>
        <w:rPr/>
        <w:t>个月的持</w:t>
      </w:r>
      <w:r>
        <w:rPr>
          <w:spacing w:val="-95"/>
        </w:rPr>
        <w:t> </w:t>
      </w:r>
      <w:r>
        <w:rPr>
          <w:spacing w:val="-95"/>
        </w:rPr>
      </w:r>
      <w:r>
        <w:rPr/>
        <w:t>续经营能力不存在重大不确定性。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ind w:right="1133"/>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40" w:lineRule="auto" w:before="96"/>
        <w:ind w:left="112" w:right="1133"/>
        <w:jc w:val="left"/>
      </w:pPr>
      <w:r>
        <w:rPr/>
        <w:t>以下披露内容已涵盖了本公司根据实际生产经营特点制定的具体会计政策和会计估计。</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112" w:right="1133"/>
        <w:jc w:val="left"/>
      </w:pP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w:t>
      </w:r>
      <w:r>
        <w:rPr>
          <w:spacing w:val="-35"/>
        </w:rPr>
        <w:t> </w:t>
      </w:r>
      <w:r>
        <w:rPr>
          <w:spacing w:val="-35"/>
        </w:rPr>
      </w:r>
      <w:r>
        <w:rPr/>
        <w:t>母公司财务状况以及</w:t>
      </w:r>
      <w:r>
        <w:rPr>
          <w:rFonts w:ascii="Times New Roman" w:hAnsi="Times New Roman" w:cs="Times New Roman" w:eastAsia="Times New Roman" w:hint="default"/>
        </w:rPr>
        <w:t>2019</w:t>
      </w:r>
      <w:r>
        <w:rPr/>
        <w:t>年度的合并及母公司经营成果和现金流量。</w:t>
      </w:r>
    </w:p>
    <w:p>
      <w:pPr>
        <w:spacing w:line="240" w:lineRule="auto" w:before="4"/>
        <w:rPr>
          <w:rFonts w:ascii="宋体" w:hAnsi="宋体" w:cs="宋体" w:eastAsia="宋体" w:hint="default"/>
          <w:sz w:val="23"/>
          <w:szCs w:val="23"/>
        </w:rPr>
      </w:pPr>
    </w:p>
    <w:p>
      <w:pPr>
        <w:spacing w:line="506" w:lineRule="auto" w:before="0"/>
        <w:ind w:left="112" w:right="6254" w:firstLine="0"/>
        <w:jc w:val="left"/>
        <w:rPr>
          <w:rFonts w:ascii="宋体" w:hAnsi="宋体" w:cs="宋体" w:eastAsia="宋体" w:hint="default"/>
          <w:sz w:val="21"/>
          <w:szCs w:val="21"/>
        </w:rPr>
      </w:pPr>
      <w:bookmarkStart w:name="2、会计期间"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自公历</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日止为一个会计年度。</w:t>
      </w:r>
      <w:r>
        <w:rPr>
          <w:rFonts w:ascii="宋体" w:hAnsi="宋体" w:cs="宋体" w:eastAsia="宋体" w:hint="default"/>
          <w:spacing w:val="-59"/>
          <w:sz w:val="21"/>
          <w:szCs w:val="21"/>
        </w:rPr>
        <w:t> </w:t>
      </w:r>
      <w:r>
        <w:rPr>
          <w:rFonts w:ascii="宋体" w:hAnsi="宋体" w:cs="宋体" w:eastAsia="宋体" w:hint="default"/>
          <w:spacing w:val="-59"/>
          <w:sz w:val="21"/>
          <w:szCs w:val="21"/>
        </w:rPr>
      </w:r>
      <w:bookmarkStart w:name="3、营业周期" w:id="174"/>
      <w:bookmarkEnd w:id="174"/>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6" w:lineRule="auto" w:before="65"/>
        <w:ind w:left="112" w:right="7334"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r>
        <w:rPr>
          <w:rFonts w:ascii="宋体" w:hAnsi="宋体" w:cs="宋体" w:eastAsia="宋体" w:hint="default"/>
          <w:w w:val="100"/>
          <w:sz w:val="21"/>
          <w:szCs w:val="21"/>
        </w:rPr>
        <w:t> </w:t>
      </w:r>
      <w:bookmarkStart w:name="4、记账本位币" w:id="175"/>
      <w:bookmarkEnd w:id="175"/>
      <w:r>
        <w:rPr>
          <w:rFonts w:ascii="宋体" w:hAnsi="宋体" w:cs="宋体" w:eastAsia="宋体" w:hint="default"/>
          <w:w w:val="100"/>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pStyle w:val="Heading6"/>
        <w:spacing w:line="240" w:lineRule="auto" w:before="104"/>
        <w:ind w:right="1133"/>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12" w:right="1133"/>
        <w:jc w:val="left"/>
      </w:pPr>
      <w:r>
        <w:rPr>
          <w:spacing w:val="-2"/>
        </w:rPr>
        <w:t>同一控制下企业合并：合并方在企业合并中取得的资产和负债，按照合并日被合并方资产、负债（包括最</w:t>
      </w:r>
      <w:r>
        <w:rPr>
          <w:spacing w:val="-47"/>
        </w:rPr>
        <w:t> </w:t>
      </w:r>
      <w:r>
        <w:rPr>
          <w:spacing w:val="-47"/>
        </w:rPr>
      </w:r>
      <w:r>
        <w:rPr>
          <w:spacing w:val="-2"/>
        </w:rPr>
        <w:t>终控制方收购被合并方而形成的商誉）在最终控制方合并财务报表中的账面价值计量。在合并中取得的净</w:t>
      </w:r>
      <w:r>
        <w:rPr>
          <w:spacing w:val="-43"/>
        </w:rPr>
        <w:t> </w:t>
      </w:r>
      <w:r>
        <w:rPr>
          <w:spacing w:val="-43"/>
        </w:rPr>
      </w:r>
      <w:r>
        <w:rPr>
          <w:spacing w:val="-2"/>
        </w:rPr>
        <w:t>资产账面价值与支付的合并对价账面价值（或发行股份面值总额）的差额，调整资本公积中的股本溢价，</w:t>
      </w:r>
      <w:r>
        <w:rPr>
          <w:spacing w:val="-21"/>
        </w:rPr>
        <w:t> </w:t>
      </w:r>
      <w:r>
        <w:rPr>
          <w:spacing w:val="-21"/>
        </w:rPr>
      </w:r>
      <w:r>
        <w:rPr/>
        <w:t>资本公积中的股本溢价不足冲减的，调整留存收益。</w:t>
      </w:r>
      <w:r>
        <w:rPr>
          <w:w w:val="100"/>
        </w:rPr>
        <w:t> </w:t>
      </w:r>
      <w:r>
        <w:rPr>
          <w:spacing w:val="-2"/>
        </w:rPr>
        <w:t>非同一控制下企业合并：购买方在购买日对作为企业合并对价付出的资产、发生或承担的负债按照公允价</w:t>
      </w:r>
      <w:r>
        <w:rPr>
          <w:spacing w:val="-42"/>
        </w:rPr>
        <w:t> </w:t>
      </w:r>
      <w:r>
        <w:rPr>
          <w:spacing w:val="-42"/>
        </w:rPr>
      </w:r>
      <w:r>
        <w:rPr>
          <w:spacing w:val="-2"/>
        </w:rPr>
        <w:t>值计量，公允价值与其账面价值的差额，计入当期损益。合并成本大于合并中取得的被购买方可辨认净资</w:t>
      </w:r>
      <w:r>
        <w:rPr>
          <w:spacing w:val="-44"/>
        </w:rPr>
        <w:t> </w:t>
      </w:r>
      <w:r>
        <w:rPr>
          <w:spacing w:val="-44"/>
        </w:rPr>
      </w:r>
      <w:r>
        <w:rPr>
          <w:spacing w:val="-2"/>
        </w:rPr>
        <w:t>产公允价值份额的差额，确认为商誉；合并成本小于合并中取得的被购买方可辨认净资产公允价值份额的</w:t>
      </w:r>
      <w:r>
        <w:rPr>
          <w:spacing w:val="-43"/>
        </w:rPr>
        <w:t> </w:t>
      </w:r>
      <w:r>
        <w:rPr>
          <w:spacing w:val="-43"/>
        </w:rPr>
      </w:r>
      <w:r>
        <w:rPr/>
        <w:t>差额，计入当期损益。</w:t>
      </w:r>
      <w:r>
        <w:rPr>
          <w:w w:val="100"/>
        </w:rPr>
        <w:t> </w:t>
      </w:r>
      <w:r>
        <w:rPr>
          <w:spacing w:val="-2"/>
        </w:rPr>
        <w:t>为企业合并发生的直接相关费用于发生时计入当期损益；为企业合并而发行权益性证券或债务性证券的交</w:t>
      </w:r>
      <w:r>
        <w:rPr>
          <w:spacing w:val="-42"/>
        </w:rPr>
        <w:t> </w:t>
      </w:r>
      <w:r>
        <w:rPr>
          <w:spacing w:val="-42"/>
        </w:rPr>
      </w:r>
      <w:r>
        <w:rPr/>
        <w:t>易费用，计入权益性证券或债务性证券的初始确认金额。</w:t>
      </w:r>
    </w:p>
    <w:p>
      <w:pPr>
        <w:pStyle w:val="Heading6"/>
        <w:spacing w:line="590" w:lineRule="atLeast" w:before="8"/>
        <w:ind w:left="888" w:right="8132" w:hanging="776"/>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spacing w:val="-1"/>
        </w:rPr>
        <w:t>6</w:t>
      </w:r>
      <w:r>
        <w:rPr>
          <w:spacing w:val="-1"/>
        </w:rPr>
        <w:t>、合并财务报表的编制方法</w:t>
      </w:r>
      <w:r>
        <w:rPr>
          <w:spacing w:val="-94"/>
        </w:rPr>
        <w:t> </w:t>
      </w:r>
      <w:r>
        <w:rPr>
          <w:spacing w:val="-94"/>
        </w:rPr>
      </w:r>
      <w:r>
        <w:rPr/>
        <w:t>合并范围</w:t>
      </w:r>
      <w:r>
        <w:rPr>
          <w:b w:val="0"/>
          <w:bCs w:val="0"/>
        </w:rPr>
      </w:r>
    </w:p>
    <w:p>
      <w:pPr>
        <w:pStyle w:val="BodyText"/>
        <w:spacing w:line="240" w:lineRule="auto" w:before="37"/>
        <w:ind w:right="1133"/>
        <w:jc w:val="left"/>
      </w:pPr>
      <w:r>
        <w:rPr/>
        <w:t>合并财务报表的合并范围以控制为基础确定，合并范围包括本公司及全部子公司。</w:t>
      </w:r>
    </w:p>
    <w:p>
      <w:pPr>
        <w:spacing w:line="240" w:lineRule="auto" w:before="9"/>
        <w:rPr>
          <w:rFonts w:ascii="宋体" w:hAnsi="宋体" w:cs="宋体" w:eastAsia="宋体" w:hint="default"/>
          <w:sz w:val="26"/>
          <w:szCs w:val="26"/>
        </w:rPr>
      </w:pPr>
    </w:p>
    <w:p>
      <w:pPr>
        <w:pStyle w:val="Heading6"/>
        <w:spacing w:line="240" w:lineRule="auto"/>
        <w:ind w:left="888" w:right="1133"/>
        <w:jc w:val="left"/>
        <w:rPr>
          <w:b w:val="0"/>
          <w:bCs w:val="0"/>
        </w:rPr>
      </w:pPr>
      <w:r>
        <w:rPr/>
        <w:t>合并程序</w:t>
      </w:r>
      <w:r>
        <w:rPr>
          <w:b w:val="0"/>
          <w:bCs w:val="0"/>
        </w:rPr>
      </w:r>
    </w:p>
    <w:p>
      <w:pPr>
        <w:pStyle w:val="BodyText"/>
        <w:spacing w:line="273" w:lineRule="auto" w:before="37"/>
        <w:ind w:right="1133"/>
        <w:jc w:val="left"/>
      </w:pPr>
      <w:r>
        <w:rPr>
          <w:spacing w:val="-3"/>
        </w:rPr>
        <w:t>本公司以自身和各子公司的财务报表为基础，根据其他有关资料，编制合并财务报表。本公</w:t>
      </w:r>
      <w:r>
        <w:rPr>
          <w:spacing w:val="-36"/>
        </w:rPr>
        <w:t> </w:t>
      </w:r>
      <w:r>
        <w:rPr>
          <w:spacing w:val="-36"/>
        </w:rPr>
      </w:r>
      <w:r>
        <w:rPr>
          <w:spacing w:val="-2"/>
        </w:rPr>
        <w:t>司编制合并财务报表，将整个企业集团视为一个会计主体，依据相关企业会计准则的确认、</w:t>
      </w:r>
      <w:r>
        <w:rPr>
          <w:spacing w:val="-31"/>
        </w:rPr>
        <w:t> </w:t>
      </w:r>
      <w:r>
        <w:rPr>
          <w:spacing w:val="-31"/>
        </w:rPr>
      </w:r>
      <w:r>
        <w:rPr>
          <w:spacing w:val="-3"/>
        </w:rPr>
        <w:t>计量和列报要求，按照统一的会计政策，反映本企业集团整体财务状况、经营成果和现金流</w:t>
      </w:r>
      <w:r>
        <w:rPr>
          <w:spacing w:val="-34"/>
        </w:rPr>
        <w:t> </w:t>
      </w:r>
      <w:r>
        <w:rPr>
          <w:spacing w:val="-34"/>
        </w:rPr>
      </w:r>
      <w:r>
        <w:rPr/>
        <w:t>量。</w:t>
      </w:r>
      <w:r>
        <w:rPr>
          <w:spacing w:val="-103"/>
        </w:rPr>
        <w:t> </w:t>
      </w:r>
      <w:r>
        <w:rPr>
          <w:spacing w:val="-3"/>
        </w:rPr>
        <w:t>所有纳入合并财务报表合并范围的子公司所采用的会计政策、会计期间与本公司一致，如子</w:t>
      </w:r>
      <w:r>
        <w:rPr>
          <w:spacing w:val="-29"/>
        </w:rPr>
        <w:t> </w:t>
      </w:r>
      <w:r>
        <w:rPr>
          <w:spacing w:val="-29"/>
        </w:rPr>
      </w:r>
      <w:r>
        <w:rPr>
          <w:spacing w:val="-3"/>
        </w:rPr>
        <w:t>公司采用的会计政策、会计期间与本公司不一致的，在编制合并财务报表时，按本公司的会</w:t>
      </w:r>
      <w:r>
        <w:rPr>
          <w:spacing w:val="-35"/>
        </w:rPr>
        <w:t> </w:t>
      </w:r>
      <w:r>
        <w:rPr>
          <w:spacing w:val="-35"/>
        </w:rPr>
      </w:r>
      <w:r>
        <w:rPr>
          <w:spacing w:val="-3"/>
        </w:rPr>
        <w:t>计政策、会计期间进行必要的调整。对于非同一控制下企业合并取得的子公司，以购买日可</w:t>
      </w:r>
      <w:r>
        <w:rPr>
          <w:spacing w:val="-34"/>
        </w:rPr>
        <w:t> </w:t>
      </w:r>
      <w:r>
        <w:rPr>
          <w:spacing w:val="-34"/>
        </w:rPr>
      </w:r>
      <w:r>
        <w:rPr>
          <w:spacing w:val="2"/>
        </w:rPr>
        <w:t>辨认净资产公允价值为基础对其财务报表进行调整。对于同一控制下企业合并取得的子公</w:t>
      </w:r>
      <w:r>
        <w:rPr>
          <w:spacing w:val="-33"/>
        </w:rPr>
        <w:t> </w:t>
      </w:r>
      <w:r>
        <w:rPr>
          <w:spacing w:val="-33"/>
        </w:rPr>
      </w:r>
      <w:r>
        <w:rPr>
          <w:spacing w:val="-3"/>
        </w:rPr>
        <w:t>司，以其资产、负债（包括最终控制方收购该子公司而形成的商誉）在最终控制方财务报表</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33"/>
        <w:jc w:val="left"/>
      </w:pPr>
      <w:r>
        <w:rPr/>
        <w:t>中的账面价值为基础对其财务报表进行调整。</w:t>
      </w:r>
      <w:r>
        <w:rPr>
          <w:w w:val="100"/>
        </w:rPr>
        <w:t> </w:t>
      </w:r>
      <w:r>
        <w:rPr>
          <w:spacing w:val="-3"/>
        </w:rPr>
        <w:t>子公司所有者权益、当期净损益和当期综合收益中属于少数股东的份额分别在合并资产负债</w:t>
      </w:r>
      <w:r>
        <w:rPr>
          <w:spacing w:val="-29"/>
        </w:rPr>
        <w:t> </w:t>
      </w:r>
      <w:r>
        <w:rPr>
          <w:spacing w:val="-29"/>
        </w:rPr>
      </w:r>
      <w:r>
        <w:rPr>
          <w:spacing w:val="-3"/>
        </w:rPr>
        <w:t>表中所有者权益项目下、合并利润表中净利润项目下和综合收益总额项目下单独列示。子公</w:t>
      </w:r>
      <w:r>
        <w:rPr>
          <w:spacing w:val="-29"/>
        </w:rPr>
        <w:t> </w:t>
      </w:r>
      <w:r>
        <w:rPr>
          <w:spacing w:val="-29"/>
        </w:rPr>
      </w:r>
      <w:r>
        <w:rPr>
          <w:spacing w:val="2"/>
        </w:rPr>
        <w:t>司少数股东分担的当期亏损超过了少数股东在该子公司期初所有者权益中所享有份额而形</w:t>
      </w:r>
      <w:r>
        <w:rPr>
          <w:spacing w:val="-33"/>
        </w:rPr>
        <w:t> </w:t>
      </w:r>
      <w:r>
        <w:rPr>
          <w:spacing w:val="-33"/>
        </w:rPr>
      </w:r>
      <w:r>
        <w:rPr/>
        <w:t>成的余额，冲减少数股东权益。</w:t>
      </w:r>
    </w:p>
    <w:p>
      <w:pPr>
        <w:pStyle w:val="BodyText"/>
        <w:spacing w:line="271" w:lineRule="auto" w:before="7"/>
        <w:ind w:right="1133"/>
        <w:jc w:val="left"/>
      </w:pPr>
      <w:r>
        <w:rPr/>
        <w:t>（</w:t>
      </w:r>
      <w:r>
        <w:rPr>
          <w:rFonts w:ascii="Times New Roman" w:hAnsi="Times New Roman" w:cs="Times New Roman" w:eastAsia="Times New Roman" w:hint="default"/>
        </w:rPr>
        <w:t>1</w:t>
      </w:r>
      <w:r>
        <w:rPr/>
        <w:t>）增加子公司或业务</w:t>
      </w:r>
      <w:r>
        <w:rPr>
          <w:w w:val="100"/>
        </w:rPr>
        <w:t> </w:t>
      </w:r>
      <w:r>
        <w:rPr>
          <w:spacing w:val="-3"/>
        </w:rPr>
        <w:t>在报告期内，若因同一控制下企业合并增加子公司或业务的，则调整合并资产负债表的期初</w:t>
      </w:r>
      <w:r>
        <w:rPr>
          <w:spacing w:val="-30"/>
        </w:rPr>
        <w:t> </w:t>
      </w:r>
      <w:r>
        <w:rPr>
          <w:spacing w:val="-30"/>
        </w:rPr>
      </w:r>
      <w:r>
        <w:rPr>
          <w:spacing w:val="-3"/>
        </w:rPr>
        <w:t>数；将子公司或业务合并当期期初至报告期末的收入、费用、利润纳入合并利润表；将子公</w:t>
      </w:r>
      <w:r>
        <w:rPr>
          <w:spacing w:val="-31"/>
        </w:rPr>
        <w:t> </w:t>
      </w:r>
      <w:r>
        <w:rPr>
          <w:spacing w:val="-31"/>
        </w:rPr>
      </w:r>
      <w:r>
        <w:rPr>
          <w:spacing w:val="-3"/>
        </w:rPr>
        <w:t>司或业务合并当期期初至报告期末的现金流量纳入合并现金流量表，同时对比较报表的相关</w:t>
      </w:r>
      <w:r>
        <w:rPr>
          <w:spacing w:val="-30"/>
        </w:rPr>
        <w:t> </w:t>
      </w:r>
      <w:r>
        <w:rPr>
          <w:spacing w:val="-30"/>
        </w:rPr>
      </w:r>
      <w:r>
        <w:rPr/>
        <w:t>项目进行调整，视同合并后的报告主体自最终控制方开始控制时点起一直存在。</w:t>
      </w:r>
      <w:r>
        <w:rPr>
          <w:w w:val="100"/>
        </w:rPr>
        <w:t> </w:t>
      </w:r>
      <w:r>
        <w:rPr>
          <w:spacing w:val="-3"/>
        </w:rPr>
        <w:t>因追加投资等原因能够对同一控制下的被投资方实施控制的，视同参与合并的各方在最终控</w:t>
      </w:r>
      <w:r>
        <w:rPr>
          <w:spacing w:val="-29"/>
        </w:rPr>
        <w:t> </w:t>
      </w:r>
      <w:r>
        <w:rPr>
          <w:spacing w:val="-29"/>
        </w:rPr>
      </w:r>
      <w:r>
        <w:rPr>
          <w:spacing w:val="2"/>
        </w:rPr>
        <w:t>制方开始控制时即以目前的状态存在进行调整。在取得被合并方控制权之前持有的股权投</w:t>
      </w:r>
      <w:r>
        <w:rPr>
          <w:spacing w:val="-33"/>
        </w:rPr>
        <w:t> </w:t>
      </w:r>
      <w:r>
        <w:rPr>
          <w:spacing w:val="-33"/>
        </w:rPr>
      </w:r>
      <w:r>
        <w:rPr>
          <w:spacing w:val="-3"/>
        </w:rPr>
        <w:t>资，在取得原股权之日与合并方和被合并方同处于同一控制之日孰晚日起至合并日之间已确</w:t>
      </w:r>
      <w:r>
        <w:rPr>
          <w:spacing w:val="-30"/>
        </w:rPr>
        <w:t> </w:t>
      </w:r>
      <w:r>
        <w:rPr>
          <w:spacing w:val="-30"/>
        </w:rPr>
      </w:r>
      <w:r>
        <w:rPr>
          <w:spacing w:val="-3"/>
        </w:rPr>
        <w:t>认有关损益、其他综合收益以及其他净资产变动，分别冲减比较报表期间的期初留存收益或</w:t>
      </w:r>
      <w:r>
        <w:rPr>
          <w:spacing w:val="-30"/>
        </w:rPr>
        <w:t> </w:t>
      </w:r>
      <w:r>
        <w:rPr>
          <w:spacing w:val="-30"/>
        </w:rPr>
      </w:r>
      <w:r>
        <w:rPr/>
        <w:t>当期损益。</w:t>
      </w:r>
      <w:r>
        <w:rPr>
          <w:spacing w:val="-102"/>
        </w:rPr>
        <w:t> </w:t>
      </w:r>
      <w:r>
        <w:rPr>
          <w:spacing w:val="-102"/>
        </w:rPr>
      </w:r>
      <w:r>
        <w:rPr>
          <w:spacing w:val="-3"/>
        </w:rPr>
        <w:t>在报告期内，若因非同一控制下企业合并增加子公司或业务的，则不调整合并资产负债表期</w:t>
      </w:r>
      <w:r>
        <w:rPr>
          <w:spacing w:val="-31"/>
        </w:rPr>
        <w:t> </w:t>
      </w:r>
      <w:r>
        <w:rPr>
          <w:spacing w:val="-31"/>
        </w:rPr>
      </w:r>
      <w:r>
        <w:rPr>
          <w:spacing w:val="-3"/>
        </w:rPr>
        <w:t>初数；将该子公司或业务自购买日至报告期末的收入、费用、利润纳入合并利润表；该子公</w:t>
      </w:r>
      <w:r>
        <w:rPr>
          <w:spacing w:val="-31"/>
        </w:rPr>
        <w:t> </w:t>
      </w:r>
      <w:r>
        <w:rPr>
          <w:spacing w:val="-31"/>
        </w:rPr>
      </w:r>
      <w:r>
        <w:rPr/>
        <w:t>司或业务自购买日至报告期末的现金流量纳入合并现金流量表。</w:t>
      </w:r>
      <w:r>
        <w:rPr>
          <w:w w:val="100"/>
        </w:rPr>
        <w:t> </w:t>
      </w:r>
      <w:r>
        <w:rPr>
          <w:spacing w:val="-3"/>
        </w:rPr>
        <w:t>因追加投资等原因能够对非同一控制下的被投资方实施控制的，对于购买日之前持有的被购</w:t>
      </w:r>
      <w:r>
        <w:rPr>
          <w:spacing w:val="-30"/>
        </w:rPr>
        <w:t> </w:t>
      </w:r>
      <w:r>
        <w:rPr>
          <w:spacing w:val="-30"/>
        </w:rPr>
      </w:r>
      <w:r>
        <w:rPr>
          <w:spacing w:val="-3"/>
        </w:rPr>
        <w:t>买方的股权，本公司按照该股权在购买日的公允价值进行重新计量，公允价值与其账面价值</w:t>
      </w:r>
      <w:r>
        <w:rPr>
          <w:spacing w:val="-31"/>
        </w:rPr>
        <w:t> </w:t>
      </w:r>
      <w:r>
        <w:rPr>
          <w:spacing w:val="-31"/>
        </w:rPr>
      </w:r>
      <w:r>
        <w:rPr>
          <w:spacing w:val="-3"/>
        </w:rPr>
        <w:t>的差额计入当期投资收益。购买日之前持有的被购买方的股权涉及权益法核算下的其他综合</w:t>
      </w:r>
      <w:r>
        <w:rPr>
          <w:spacing w:val="-30"/>
        </w:rPr>
        <w:t> </w:t>
      </w:r>
      <w:r>
        <w:rPr>
          <w:spacing w:val="-30"/>
        </w:rPr>
      </w:r>
      <w:r>
        <w:rPr>
          <w:spacing w:val="-3"/>
        </w:rPr>
        <w:t>收益以及除净损益、其他综合收益和利润分配之外的其他所有者权益变动的，与其相关的其</w:t>
      </w:r>
      <w:r>
        <w:rPr>
          <w:spacing w:val="-30"/>
        </w:rPr>
        <w:t> </w:t>
      </w:r>
      <w:r>
        <w:rPr>
          <w:spacing w:val="-30"/>
        </w:rPr>
      </w:r>
      <w:r>
        <w:rPr>
          <w:spacing w:val="-3"/>
        </w:rPr>
        <w:t>他综合收益、其他所有者权益变动转为购买日所属当期投资收益，由于被投资方重新计量设</w:t>
      </w:r>
      <w:r>
        <w:rPr>
          <w:spacing w:val="-30"/>
        </w:rPr>
        <w:t> </w:t>
      </w:r>
      <w:r>
        <w:rPr>
          <w:spacing w:val="-30"/>
        </w:rPr>
      </w:r>
      <w:r>
        <w:rPr/>
        <w:t>定受益计划净负债或净资产变动而产生的其他综合收益除外。</w:t>
      </w:r>
    </w:p>
    <w:p>
      <w:pPr>
        <w:pStyle w:val="BodyText"/>
        <w:spacing w:line="240" w:lineRule="auto" w:before="10"/>
        <w:ind w:right="1133"/>
        <w:jc w:val="left"/>
      </w:pPr>
      <w:r>
        <w:rPr/>
        <w:t>（</w:t>
      </w:r>
      <w:r>
        <w:rPr>
          <w:rFonts w:ascii="Times New Roman" w:hAnsi="Times New Roman" w:cs="Times New Roman" w:eastAsia="Times New Roman" w:hint="default"/>
        </w:rPr>
        <w:t>2</w:t>
      </w:r>
      <w:r>
        <w:rPr/>
        <w:t>）处置子公司或业务</w:t>
      </w:r>
    </w:p>
    <w:p>
      <w:pPr>
        <w:pStyle w:val="BodyText"/>
        <w:spacing w:line="273" w:lineRule="auto" w:before="21"/>
        <w:ind w:right="1133"/>
        <w:jc w:val="left"/>
      </w:pPr>
      <w:r>
        <w:rPr/>
        <w:t>①一般处理方法</w:t>
      </w:r>
      <w:r>
        <w:rPr>
          <w:spacing w:val="-103"/>
        </w:rPr>
        <w:t> </w:t>
      </w:r>
      <w:r>
        <w:rPr>
          <w:spacing w:val="-103"/>
        </w:rPr>
      </w:r>
      <w:r>
        <w:rPr>
          <w:spacing w:val="-3"/>
        </w:rPr>
        <w:t>在报告期内，本公司处置子公司或业务，则该子公司或业务期初至处置日的收入、费用、利</w:t>
      </w:r>
      <w:r>
        <w:rPr>
          <w:spacing w:val="-31"/>
        </w:rPr>
        <w:t> </w:t>
      </w:r>
      <w:r>
        <w:rPr>
          <w:spacing w:val="-31"/>
        </w:rPr>
      </w:r>
      <w:r>
        <w:rPr/>
        <w:t>润纳入合并利润表；该子公司或业务期初至处置日的现金流量纳入合并现金流量表。</w:t>
      </w:r>
      <w:r>
        <w:rPr>
          <w:w w:val="100"/>
        </w:rPr>
        <w:t> </w:t>
      </w:r>
      <w:r>
        <w:rPr>
          <w:spacing w:val="-2"/>
        </w:rPr>
        <w:t>因处置部分股权投资或其他原因丧失了对被投资方控制权时，对于处置后的剩余股权投资，</w:t>
      </w:r>
      <w:r>
        <w:rPr>
          <w:spacing w:val="-31"/>
        </w:rPr>
        <w:t> </w:t>
      </w:r>
      <w:r>
        <w:rPr>
          <w:spacing w:val="-31"/>
        </w:rPr>
      </w:r>
      <w:r>
        <w:rPr>
          <w:spacing w:val="-3"/>
        </w:rPr>
        <w:t>本公司按照其在丧失控制权日的公允价值进行重新计量。处置股权取得的对价与剩余股权公</w:t>
      </w:r>
      <w:r>
        <w:rPr>
          <w:spacing w:val="-29"/>
        </w:rPr>
        <w:t> </w:t>
      </w:r>
      <w:r>
        <w:rPr>
          <w:spacing w:val="-29"/>
        </w:rPr>
      </w:r>
      <w:r>
        <w:rPr>
          <w:spacing w:val="-3"/>
        </w:rPr>
        <w:t>允价值之和，减去按原持股比例计算应享有原有子公司自购买日或合并日开始持续计算的净</w:t>
      </w:r>
      <w:r>
        <w:rPr>
          <w:spacing w:val="-30"/>
        </w:rPr>
        <w:t> </w:t>
      </w:r>
      <w:r>
        <w:rPr>
          <w:spacing w:val="-30"/>
        </w:rPr>
      </w:r>
      <w:r>
        <w:rPr>
          <w:spacing w:val="-3"/>
        </w:rPr>
        <w:t>资产的份额与商誉之和的差额，计入丧失控制权当期的投资收益。与原有子公司股权投资相</w:t>
      </w:r>
      <w:r>
        <w:rPr>
          <w:spacing w:val="-29"/>
        </w:rPr>
        <w:t> </w:t>
      </w:r>
      <w:r>
        <w:rPr>
          <w:spacing w:val="-29"/>
        </w:rPr>
      </w:r>
      <w:r>
        <w:rPr>
          <w:spacing w:val="-3"/>
        </w:rPr>
        <w:t>关的其他综合收益或除净损益、其他综合收益及利润分配之外的其他所有者权益变动，在丧</w:t>
      </w:r>
      <w:r>
        <w:rPr>
          <w:spacing w:val="-29"/>
        </w:rPr>
        <w:t> </w:t>
      </w:r>
      <w:r>
        <w:rPr>
          <w:spacing w:val="-29"/>
        </w:rPr>
      </w:r>
      <w:r>
        <w:rPr>
          <w:spacing w:val="-3"/>
        </w:rPr>
        <w:t>失控制权时转为当期投资收益，由于被投资方重新计量设定受益计划净负债或净资产变动而</w:t>
      </w:r>
      <w:r>
        <w:rPr>
          <w:spacing w:val="-29"/>
        </w:rPr>
        <w:t> </w:t>
      </w:r>
      <w:r>
        <w:rPr>
          <w:spacing w:val="-29"/>
        </w:rPr>
      </w:r>
      <w:r>
        <w:rPr/>
        <w:t>产生的其他综合收益除外。</w:t>
      </w:r>
      <w:r>
        <w:rPr>
          <w:w w:val="100"/>
        </w:rPr>
        <w:t> </w:t>
      </w:r>
      <w:r>
        <w:rPr>
          <w:spacing w:val="-3"/>
        </w:rPr>
        <w:t>因其他投资方对子公司增资而导致本公司持股比例下降从而丧失控制权的，按照上述原则进</w:t>
      </w:r>
      <w:r>
        <w:rPr>
          <w:spacing w:val="-29"/>
        </w:rPr>
        <w:t> </w:t>
      </w:r>
      <w:r>
        <w:rPr>
          <w:spacing w:val="-29"/>
        </w:rPr>
      </w:r>
      <w:r>
        <w:rPr/>
        <w:t>行会计处理。</w:t>
      </w:r>
    </w:p>
    <w:p>
      <w:pPr>
        <w:pStyle w:val="BodyText"/>
        <w:spacing w:line="273" w:lineRule="auto" w:before="7"/>
        <w:ind w:right="1133"/>
        <w:jc w:val="left"/>
      </w:pPr>
      <w:r>
        <w:rPr/>
        <w:t>②分步处置子公司</w:t>
      </w:r>
      <w:r>
        <w:rPr>
          <w:w w:val="100"/>
        </w:rPr>
        <w:t> </w:t>
      </w:r>
      <w:r>
        <w:rPr>
          <w:spacing w:val="-3"/>
        </w:rPr>
        <w:t>通过多次交易分步处置对子公司股权投资直至丧失控制权的，处置对子公司股权投资的各项</w:t>
      </w:r>
      <w:r>
        <w:rPr>
          <w:spacing w:val="-29"/>
        </w:rPr>
        <w:t> </w:t>
      </w:r>
      <w:r>
        <w:rPr>
          <w:spacing w:val="-29"/>
        </w:rPr>
      </w:r>
      <w:r>
        <w:rPr>
          <w:spacing w:val="-3"/>
        </w:rPr>
        <w:t>交易的条款、条件以及经济影响符合以下一种或多种情况，通常表明应将多次交易事项作为</w:t>
      </w:r>
      <w:r>
        <w:rPr>
          <w:spacing w:val="-31"/>
        </w:rPr>
        <w:t> </w:t>
      </w:r>
      <w:r>
        <w:rPr>
          <w:spacing w:val="-31"/>
        </w:rPr>
      </w:r>
      <w:r>
        <w:rPr/>
        <w:t>一揽子交易进行会计处理：</w:t>
      </w:r>
    </w:p>
    <w:p>
      <w:pPr>
        <w:pStyle w:val="BodyText"/>
        <w:spacing w:line="273" w:lineRule="auto" w:before="7"/>
        <w:ind w:right="1133"/>
        <w:jc w:val="left"/>
      </w:pPr>
      <w:r>
        <w:rPr>
          <w:spacing w:val="-2"/>
        </w:rPr>
        <w:t>ⅰ．这些交易是同时或者在考虑了彼此影响的情况下订立的；</w:t>
      </w:r>
      <w:r>
        <w:rPr>
          <w:spacing w:val="-52"/>
        </w:rPr>
        <w:t> </w:t>
      </w:r>
      <w:r>
        <w:rPr>
          <w:spacing w:val="-52"/>
        </w:rPr>
      </w:r>
      <w:r>
        <w:rPr/>
        <w:t>ⅱ．这些交易整体才能达成一项完整的商业结果；</w:t>
      </w:r>
      <w:r>
        <w:rPr>
          <w:w w:val="100"/>
        </w:rPr>
        <w:t> </w:t>
      </w:r>
      <w:r>
        <w:rPr/>
        <w:t>ⅲ．一项交易的发生取决于其他至少一项交易的发生；</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33"/>
        <w:jc w:val="left"/>
      </w:pPr>
      <w:r>
        <w:rPr/>
        <w:t>ⅳ．一项交易单独看是不经济的，但是和其他交易一并考虑时是经济的。</w:t>
      </w:r>
      <w:r>
        <w:rPr>
          <w:w w:val="100"/>
        </w:rPr>
        <w:t> </w:t>
      </w:r>
      <w:r>
        <w:rPr>
          <w:spacing w:val="-3"/>
        </w:rPr>
        <w:t>处置对子公司股权投资直至丧失控制权的各项交易属于一揽子交易的，本公司将各项交易作</w:t>
      </w:r>
      <w:r>
        <w:rPr>
          <w:spacing w:val="-29"/>
        </w:rPr>
        <w:t> </w:t>
      </w:r>
      <w:r>
        <w:rPr>
          <w:spacing w:val="-29"/>
        </w:rPr>
      </w:r>
      <w:r>
        <w:rPr>
          <w:spacing w:val="-3"/>
        </w:rPr>
        <w:t>为一项处置子公司并丧失控制权的交易进行会计处理；但是，在丧失控制权之前每一次处置</w:t>
      </w:r>
      <w:r>
        <w:rPr>
          <w:spacing w:val="-30"/>
        </w:rPr>
        <w:t> </w:t>
      </w:r>
      <w:r>
        <w:rPr>
          <w:spacing w:val="-30"/>
        </w:rPr>
      </w:r>
      <w:r>
        <w:rPr>
          <w:spacing w:val="-3"/>
        </w:rPr>
        <w:t>价款与处置投资对应的享有该子公司净资产份额的差额，在合并财务报表中确认为其他综合</w:t>
      </w:r>
      <w:r>
        <w:rPr>
          <w:spacing w:val="-29"/>
        </w:rPr>
        <w:t> </w:t>
      </w:r>
      <w:r>
        <w:rPr>
          <w:spacing w:val="-29"/>
        </w:rPr>
      </w:r>
      <w:r>
        <w:rPr/>
        <w:t>收益，在丧失控制权时一并转入丧失控制权当期的损益。</w:t>
      </w:r>
      <w:r>
        <w:rPr>
          <w:w w:val="100"/>
        </w:rPr>
        <w:t> </w:t>
      </w:r>
      <w:r>
        <w:rPr>
          <w:spacing w:val="2"/>
        </w:rPr>
        <w:t>处置对子公司股权投资直至丧失控制权的各项交易不属于一揽子交易的，在丧失控制权之</w:t>
      </w:r>
      <w:r>
        <w:rPr>
          <w:spacing w:val="-32"/>
        </w:rPr>
        <w:t> </w:t>
      </w:r>
      <w:r>
        <w:rPr>
          <w:spacing w:val="-32"/>
        </w:rPr>
      </w:r>
      <w:r>
        <w:rPr>
          <w:spacing w:val="-3"/>
        </w:rPr>
        <w:t>前，按不丧失控制权的情况下部分处置对子公司的股权投资的相关政策进行会计处理；在丧</w:t>
      </w:r>
      <w:r>
        <w:rPr>
          <w:spacing w:val="-30"/>
        </w:rPr>
        <w:t> </w:t>
      </w:r>
      <w:r>
        <w:rPr>
          <w:spacing w:val="-30"/>
        </w:rPr>
      </w:r>
      <w:r>
        <w:rPr/>
        <w:t>失控制权时，按处置子公司一般处理方法进行会计处理。</w:t>
      </w:r>
    </w:p>
    <w:p>
      <w:pPr>
        <w:pStyle w:val="BodyText"/>
        <w:spacing w:line="266" w:lineRule="auto" w:before="7"/>
        <w:ind w:right="1133"/>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w:t>
      </w:r>
      <w:r>
        <w:rPr>
          <w:spacing w:val="-33"/>
        </w:rPr>
        <w:t> </w:t>
      </w:r>
      <w:r>
        <w:rPr>
          <w:spacing w:val="-33"/>
        </w:rPr>
      </w:r>
      <w:r>
        <w:rPr>
          <w:spacing w:val="-3"/>
        </w:rPr>
        <w:t>买日（或合并日）开始持续计算的净资产份额之间的差额，调整合并资产负债表中的资本公</w:t>
      </w:r>
      <w:r>
        <w:rPr>
          <w:spacing w:val="-31"/>
        </w:rPr>
        <w:t> </w:t>
      </w:r>
      <w:r>
        <w:rPr>
          <w:spacing w:val="-31"/>
        </w:rPr>
      </w:r>
      <w:r>
        <w:rPr/>
        <w:t>积中的股本溢价，资本公积中的股本溢价不足冲减的，调整留存收益。</w:t>
      </w:r>
    </w:p>
    <w:p>
      <w:pPr>
        <w:pStyle w:val="BodyText"/>
        <w:spacing w:line="268" w:lineRule="auto" w:before="14"/>
        <w:ind w:right="1133"/>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w:t>
      </w:r>
      <w:r>
        <w:rPr>
          <w:spacing w:val="-32"/>
        </w:rPr>
        <w:t> </w:t>
      </w:r>
      <w:r>
        <w:rPr>
          <w:spacing w:val="-32"/>
        </w:rPr>
      </w:r>
      <w:r>
        <w:rPr>
          <w:spacing w:val="-3"/>
        </w:rPr>
        <w:t>期股权投资相对应享有子公司自购买日或合并日开始持续计算的净资产份额之间的差额，调</w:t>
      </w:r>
      <w:r>
        <w:rPr>
          <w:spacing w:val="-29"/>
        </w:rPr>
        <w:t> </w:t>
      </w:r>
      <w:r>
        <w:rPr>
          <w:spacing w:val="-29"/>
        </w:rPr>
      </w:r>
      <w:r>
        <w:rPr>
          <w:spacing w:val="-3"/>
        </w:rPr>
        <w:t>整合并资产负债表中的资本公积中的股本溢价，资本公积中的股本溢价不足冲减的，调整留</w:t>
      </w:r>
      <w:r>
        <w:rPr>
          <w:spacing w:val="-31"/>
        </w:rPr>
        <w:t> </w:t>
      </w:r>
      <w:r>
        <w:rPr>
          <w:spacing w:val="-31"/>
        </w:rPr>
      </w:r>
      <w:r>
        <w:rPr/>
        <w:t>存收益。</w:t>
      </w:r>
    </w:p>
    <w:p>
      <w:pPr>
        <w:spacing w:line="600" w:lineRule="atLeast" w:before="2"/>
        <w:ind w:left="112" w:right="6794" w:firstLine="0"/>
        <w:jc w:val="left"/>
        <w:rPr>
          <w:rFonts w:ascii="宋体" w:hAnsi="宋体" w:cs="宋体" w:eastAsia="宋体" w:hint="default"/>
          <w:sz w:val="21"/>
          <w:szCs w:val="21"/>
        </w:rPr>
      </w:pPr>
      <w:bookmarkStart w:name="7、合营安排分类及共同经营会计处理方法" w:id="178"/>
      <w:bookmarkEnd w:id="178"/>
      <w:r>
        <w:rPr/>
      </w: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、合营安排分类及共同经营会计处理方法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合营安排分为共同经营和合营企业。</w:t>
      </w:r>
    </w:p>
    <w:p>
      <w:pPr>
        <w:pStyle w:val="BodyText"/>
        <w:spacing w:line="273" w:lineRule="auto" w:before="37"/>
        <w:ind w:left="225" w:right="1133"/>
        <w:jc w:val="left"/>
      </w:pPr>
      <w:r>
        <w:rPr/>
        <w:t>当本公司是合营安排的合营方，享有该安排相关资产且承担该安排相关负债时，为共同经营。</w:t>
      </w:r>
      <w:r>
        <w:rPr>
          <w:w w:val="100"/>
        </w:rPr>
        <w:t> </w:t>
      </w:r>
      <w:r>
        <w:rPr>
          <w:spacing w:val="-2"/>
        </w:rPr>
        <w:t>本公司确认与共同经营中利益份额相关的下列项目，并按照相关企业会计准则的规定进行会计处理：</w:t>
      </w:r>
    </w:p>
    <w:p>
      <w:pPr>
        <w:pStyle w:val="BodyText"/>
        <w:spacing w:line="240" w:lineRule="auto" w:before="7"/>
        <w:ind w:left="225" w:right="113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left="225" w:right="113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left="225" w:right="113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left="225" w:right="113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21"/>
        <w:ind w:left="225" w:right="1133"/>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7"/>
        <w:rPr>
          <w:rFonts w:ascii="宋体" w:hAnsi="宋体" w:cs="宋体" w:eastAsia="宋体" w:hint="default"/>
          <w:sz w:val="24"/>
          <w:szCs w:val="24"/>
        </w:rPr>
      </w:pPr>
    </w:p>
    <w:p>
      <w:pPr>
        <w:pStyle w:val="Heading6"/>
        <w:spacing w:line="240" w:lineRule="auto"/>
        <w:ind w:right="0"/>
        <w:jc w:val="both"/>
        <w:rPr>
          <w:b w:val="0"/>
          <w:bCs w:val="0"/>
        </w:rPr>
      </w:pPr>
      <w:bookmarkStart w:name="8、现金及现金等价物的确定标准" w:id="179"/>
      <w:bookmarkEnd w:id="17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2" w:right="1129"/>
        <w:jc w:val="both"/>
      </w:pPr>
      <w:r>
        <w:rPr>
          <w:spacing w:val="-7"/>
        </w:rPr>
        <w:t>在编制现金流量表时，将本公司库存现金以及可以随时用于支付的存款确认为现金。将同时具备期限短（从</w:t>
      </w:r>
      <w:r>
        <w:rPr>
          <w:spacing w:val="-20"/>
        </w:rPr>
        <w:t> </w:t>
      </w:r>
      <w:r>
        <w:rPr>
          <w:spacing w:val="-20"/>
        </w:rPr>
      </w:r>
      <w:r>
        <w:rPr>
          <w:spacing w:val="-2"/>
          <w:w w:val="100"/>
        </w:rPr>
        <w:t>购买日起三个月内到期）、流动性强、易于转换为已知现金、价值变动风险很小四个条件的投资，确定为</w:t>
      </w:r>
      <w:r>
        <w:rPr>
          <w:spacing w:val="-89"/>
          <w:w w:val="100"/>
        </w:rPr>
        <w:t> </w:t>
      </w:r>
      <w:r>
        <w:rPr>
          <w:spacing w:val="-89"/>
          <w:w w:val="100"/>
        </w:rPr>
      </w:r>
      <w:r>
        <w:rPr/>
        <w:t>现金等价物。</w:t>
      </w:r>
    </w:p>
    <w:p>
      <w:pPr>
        <w:spacing w:line="240" w:lineRule="auto" w:before="7"/>
        <w:rPr>
          <w:rFonts w:ascii="宋体" w:hAnsi="宋体" w:cs="宋体" w:eastAsia="宋体" w:hint="default"/>
          <w:sz w:val="23"/>
          <w:szCs w:val="23"/>
        </w:rPr>
      </w:pPr>
    </w:p>
    <w:p>
      <w:pPr>
        <w:pStyle w:val="Heading6"/>
        <w:spacing w:line="240" w:lineRule="auto"/>
        <w:ind w:right="0"/>
        <w:jc w:val="both"/>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spacing w:line="273" w:lineRule="auto" w:before="0"/>
        <w:ind w:left="888" w:right="4274" w:hanging="63"/>
        <w:jc w:val="left"/>
        <w:rPr>
          <w:rFonts w:ascii="宋体" w:hAnsi="宋体" w:cs="宋体" w:eastAsia="宋体" w:hint="default"/>
          <w:sz w:val="21"/>
          <w:szCs w:val="21"/>
        </w:rPr>
      </w:pP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266" w:lineRule="auto" w:before="7"/>
        <w:ind w:right="1133"/>
        <w:jc w:val="left"/>
      </w:pPr>
      <w:r>
        <w:rPr>
          <w:rFonts w:ascii="宋体" w:hAnsi="宋体" w:cs="宋体" w:eastAsia="宋体" w:hint="default"/>
          <w:b/>
          <w:bCs/>
        </w:rPr>
        <w:t>自</w:t>
      </w: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日起适用的会计政策</w:t>
      </w:r>
      <w:r>
        <w:rPr>
          <w:rFonts w:ascii="宋体" w:hAnsi="宋体" w:cs="宋体" w:eastAsia="宋体" w:hint="default"/>
          <w:b/>
          <w:bCs/>
          <w:w w:val="100"/>
        </w:rPr>
        <w:t> </w:t>
      </w:r>
      <w:r>
        <w:rPr>
          <w:spacing w:val="-3"/>
        </w:rPr>
        <w:t>根据本公司管理金融资产的业务模式和金融资产的合同现金流量特征，金融资产于初始确认</w:t>
      </w:r>
      <w:r>
        <w:rPr>
          <w:spacing w:val="-29"/>
        </w:rPr>
        <w:t> </w:t>
      </w:r>
      <w:r>
        <w:rPr>
          <w:spacing w:val="-29"/>
        </w:rPr>
      </w:r>
      <w:r>
        <w:rPr>
          <w:spacing w:val="-3"/>
        </w:rPr>
        <w:t>时分类为：以摊余成本计量的金融资产、以公允价值计量且其变动计入其他综合收益的金融</w:t>
      </w:r>
      <w:r>
        <w:rPr>
          <w:spacing w:val="-29"/>
        </w:rPr>
        <w:t> </w:t>
      </w:r>
      <w:r>
        <w:rPr>
          <w:spacing w:val="-29"/>
        </w:rPr>
      </w:r>
      <w:r>
        <w:rPr/>
        <w:t>资产（债务工具）和以公允价值计量且其变动计入当期损益的金融资产。</w:t>
      </w:r>
    </w:p>
    <w:p>
      <w:pPr>
        <w:spacing w:after="0" w:line="26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986"/>
        <w:jc w:val="left"/>
      </w:pPr>
      <w:r>
        <w:rPr>
          <w:spacing w:val="2"/>
        </w:rPr>
        <w:t>业务模式是以收取合同现金流量为目标且合同现金流量仅为对本金和以未偿付本金金额为</w:t>
      </w:r>
      <w:r>
        <w:rPr>
          <w:spacing w:val="-33"/>
        </w:rPr>
        <w:t> </w:t>
      </w:r>
      <w:r>
        <w:rPr>
          <w:spacing w:val="-33"/>
        </w:rPr>
      </w:r>
      <w:r>
        <w:rPr>
          <w:spacing w:val="-3"/>
        </w:rPr>
        <w:t>基础的利息的支付的，分类为以摊余成本计量的金融资产；业务模式既以收取合同现金流量</w:t>
      </w:r>
      <w:r>
        <w:rPr>
          <w:spacing w:val="-30"/>
        </w:rPr>
        <w:t> </w:t>
      </w:r>
      <w:r>
        <w:rPr>
          <w:spacing w:val="-30"/>
        </w:rPr>
      </w:r>
      <w:r>
        <w:rPr>
          <w:spacing w:val="2"/>
        </w:rPr>
        <w:t>又以出售该金融资产为目标且合同现金流量仅为对本金和以未偿付本金金额为基础的利息</w:t>
      </w:r>
      <w:r>
        <w:rPr>
          <w:spacing w:val="-33"/>
        </w:rPr>
        <w:t> </w:t>
      </w:r>
      <w:r>
        <w:rPr>
          <w:spacing w:val="-33"/>
        </w:rPr>
      </w:r>
      <w:r>
        <w:rPr>
          <w:spacing w:val="-3"/>
          <w:w w:val="100"/>
        </w:rPr>
        <w:t>的支付的，分类为以公允价值计量且其变动计入其他综合收益的金融资产（债务工具）；除</w:t>
      </w:r>
      <w:r>
        <w:rPr>
          <w:spacing w:val="-76"/>
          <w:w w:val="100"/>
        </w:rPr>
        <w:t> </w:t>
      </w:r>
      <w:r>
        <w:rPr>
          <w:spacing w:val="-76"/>
          <w:w w:val="100"/>
        </w:rPr>
      </w:r>
      <w:r>
        <w:rPr/>
        <w:t>此之外的其他金融资产，分类为以公允价值计量且其变动计入当期损益的金融资产。</w:t>
      </w:r>
      <w:r>
        <w:rPr>
          <w:w w:val="100"/>
        </w:rPr>
        <w:t> </w:t>
      </w:r>
      <w:r>
        <w:rPr>
          <w:spacing w:val="-3"/>
        </w:rPr>
        <w:t>对于非交易性权益工具投资，本公司在初始确认时确定是否将其指定为以公允价值计量且其</w:t>
      </w:r>
      <w:r>
        <w:rPr>
          <w:spacing w:val="-30"/>
        </w:rPr>
        <w:t> </w:t>
      </w:r>
      <w:r>
        <w:rPr>
          <w:spacing w:val="-30"/>
        </w:rPr>
      </w:r>
      <w:r>
        <w:rPr>
          <w:spacing w:val="-6"/>
          <w:w w:val="100"/>
        </w:rPr>
        <w:t>变动计入其他综合收益的金融资产（权益工具）。</w:t>
      </w:r>
    </w:p>
    <w:p>
      <w:pPr>
        <w:spacing w:line="240" w:lineRule="auto" w:before="6"/>
        <w:rPr>
          <w:rFonts w:ascii="宋体" w:hAnsi="宋体" w:cs="宋体" w:eastAsia="宋体" w:hint="default"/>
          <w:sz w:val="24"/>
          <w:szCs w:val="24"/>
        </w:rPr>
      </w:pPr>
    </w:p>
    <w:p>
      <w:pPr>
        <w:pStyle w:val="BodyText"/>
        <w:spacing w:line="273" w:lineRule="auto"/>
        <w:ind w:right="1133"/>
        <w:jc w:val="left"/>
      </w:pPr>
      <w:r>
        <w:rPr>
          <w:spacing w:val="-3"/>
        </w:rPr>
        <w:t>金融负债于初始确认时分类为：以公允价值计量且其变动计入当期损益的金融负债和以摊余</w:t>
      </w:r>
      <w:r>
        <w:rPr>
          <w:spacing w:val="-29"/>
        </w:rPr>
        <w:t> </w:t>
      </w:r>
      <w:r>
        <w:rPr>
          <w:spacing w:val="-29"/>
        </w:rPr>
      </w:r>
      <w:r>
        <w:rPr/>
        <w:t>成本计量的金融负债。</w:t>
      </w:r>
    </w:p>
    <w:p>
      <w:pPr>
        <w:spacing w:line="240" w:lineRule="auto" w:before="6"/>
        <w:rPr>
          <w:rFonts w:ascii="宋体" w:hAnsi="宋体" w:cs="宋体" w:eastAsia="宋体" w:hint="default"/>
          <w:sz w:val="24"/>
          <w:szCs w:val="24"/>
        </w:rPr>
      </w:pPr>
    </w:p>
    <w:p>
      <w:pPr>
        <w:pStyle w:val="BodyText"/>
        <w:spacing w:line="273" w:lineRule="auto"/>
        <w:ind w:right="1133"/>
        <w:jc w:val="left"/>
      </w:pPr>
      <w:r>
        <w:rPr>
          <w:spacing w:val="2"/>
        </w:rPr>
        <w:t>符合以下条件之一的金融负债可在初始计量时指定为以公允价值计量且其变动计入当期损</w:t>
      </w:r>
      <w:r>
        <w:rPr>
          <w:spacing w:val="-33"/>
        </w:rPr>
        <w:t> </w:t>
      </w:r>
      <w:r>
        <w:rPr>
          <w:spacing w:val="-33"/>
        </w:rPr>
      </w:r>
      <w:r>
        <w:rPr/>
        <w:t>益的金融负债：</w:t>
      </w:r>
    </w:p>
    <w:p>
      <w:pPr>
        <w:pStyle w:val="BodyText"/>
        <w:spacing w:line="240" w:lineRule="auto" w:before="7"/>
        <w:ind w:right="1133"/>
        <w:jc w:val="left"/>
      </w:pPr>
      <w:r>
        <w:rPr>
          <w:rFonts w:ascii="Times New Roman" w:hAnsi="Times New Roman" w:cs="Times New Roman" w:eastAsia="Times New Roman" w:hint="default"/>
        </w:rPr>
        <w:t>1</w:t>
      </w:r>
      <w:r>
        <w:rPr/>
        <w:t>）该项指定能够消除或显著减少会计错配。</w:t>
      </w:r>
    </w:p>
    <w:p>
      <w:pPr>
        <w:pStyle w:val="BodyText"/>
        <w:spacing w:line="264" w:lineRule="auto" w:before="21"/>
        <w:ind w:right="1126"/>
        <w:jc w:val="both"/>
      </w:pPr>
      <w:r>
        <w:rPr>
          <w:rFonts w:ascii="Times New Roman" w:hAnsi="Times New Roman" w:cs="Times New Roman" w:eastAsia="Times New Roman" w:hint="default"/>
        </w:rPr>
        <w:t>2</w:t>
      </w:r>
      <w:r>
        <w:rPr/>
        <w:t>）根据正式书面文件载明的企业风险管理或投资策略，以公允价值为基础对金融负债组合</w:t>
      </w:r>
      <w:r>
        <w:rPr>
          <w:spacing w:val="-40"/>
        </w:rPr>
        <w:t> </w:t>
      </w:r>
      <w:r>
        <w:rPr>
          <w:spacing w:val="-40"/>
        </w:rPr>
      </w:r>
      <w:r>
        <w:rPr>
          <w:spacing w:val="-3"/>
        </w:rPr>
        <w:t>或金融资产和金融负债组合进行管理和业绩评价，并在企业内部以此为基础向关键管理人员</w:t>
      </w:r>
      <w:r>
        <w:rPr>
          <w:spacing w:val="-29"/>
        </w:rPr>
        <w:t> </w:t>
      </w:r>
      <w:r>
        <w:rPr>
          <w:spacing w:val="-29"/>
        </w:rPr>
      </w:r>
      <w:r>
        <w:rPr/>
        <w:t>报告。</w:t>
      </w:r>
    </w:p>
    <w:p>
      <w:pPr>
        <w:pStyle w:val="BodyText"/>
        <w:spacing w:line="240" w:lineRule="auto" w:before="16"/>
        <w:ind w:right="1133"/>
        <w:jc w:val="left"/>
      </w:pPr>
      <w:r>
        <w:rPr>
          <w:rFonts w:ascii="Times New Roman" w:hAnsi="Times New Roman" w:cs="Times New Roman" w:eastAsia="Times New Roman" w:hint="default"/>
        </w:rPr>
        <w:t>3</w:t>
      </w:r>
      <w:r>
        <w:rPr/>
        <w:t>）该金融负债包含需单独分拆的嵌入衍生工具。</w:t>
      </w:r>
    </w:p>
    <w:p>
      <w:pPr>
        <w:spacing w:line="240" w:lineRule="auto" w:before="6"/>
        <w:rPr>
          <w:rFonts w:ascii="宋体" w:hAnsi="宋体" w:cs="宋体" w:eastAsia="宋体" w:hint="default"/>
          <w:sz w:val="25"/>
          <w:szCs w:val="25"/>
        </w:rPr>
      </w:pPr>
    </w:p>
    <w:p>
      <w:pPr>
        <w:pStyle w:val="BodyText"/>
        <w:spacing w:line="268" w:lineRule="auto"/>
        <w:ind w:right="1133"/>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3"/>
        </w:rPr>
        <w:t>金融资产和金融负债于初始确认时分类为：以公允价值计量且其变动计入当期损益的金融资</w:t>
      </w:r>
      <w:r>
        <w:rPr>
          <w:spacing w:val="-30"/>
        </w:rPr>
        <w:t> </w:t>
      </w:r>
      <w:r>
        <w:rPr>
          <w:spacing w:val="-30"/>
        </w:rPr>
      </w:r>
      <w:r>
        <w:rPr>
          <w:spacing w:val="-3"/>
        </w:rPr>
        <w:t>产或金融负债，包括交易性金融资产或金融负债和直接指定为以公允价值计量且其变动计入</w:t>
      </w:r>
      <w:r>
        <w:rPr>
          <w:spacing w:val="-28"/>
        </w:rPr>
        <w:t> </w:t>
      </w:r>
      <w:r>
        <w:rPr>
          <w:spacing w:val="-28"/>
        </w:rPr>
      </w:r>
      <w:r>
        <w:rPr>
          <w:spacing w:val="-3"/>
        </w:rPr>
        <w:t>当期损益的金融资产或金融负债；持有至到期投资；应收款项；可供出售金融资产；其他金</w:t>
      </w:r>
      <w:r>
        <w:rPr>
          <w:spacing w:val="-31"/>
        </w:rPr>
        <w:t> </w:t>
      </w:r>
      <w:r>
        <w:rPr>
          <w:spacing w:val="-31"/>
        </w:rPr>
      </w:r>
      <w:r>
        <w:rPr/>
        <w:t>融负债等。</w:t>
      </w:r>
    </w:p>
    <w:p>
      <w:pPr>
        <w:spacing w:line="240" w:lineRule="auto" w:before="10"/>
        <w:rPr>
          <w:rFonts w:ascii="宋体" w:hAnsi="宋体" w:cs="宋体" w:eastAsia="宋体" w:hint="default"/>
          <w:sz w:val="24"/>
          <w:szCs w:val="24"/>
        </w:rPr>
      </w:pPr>
    </w:p>
    <w:p>
      <w:pPr>
        <w:pStyle w:val="Heading6"/>
        <w:spacing w:line="273" w:lineRule="auto"/>
        <w:ind w:left="1390" w:right="4274" w:hanging="502"/>
        <w:jc w:val="left"/>
        <w:rPr>
          <w:b w:val="0"/>
          <w:bCs w:val="0"/>
        </w:rPr>
      </w:pPr>
      <w:r>
        <w:rPr/>
        <w:t>金融工具的确认依据和计量方法</w:t>
      </w:r>
      <w:r>
        <w:rPr>
          <w:w w:val="100"/>
        </w:rPr>
        <w:t> </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日起适用的会计政策</w:t>
      </w:r>
      <w:r>
        <w:rPr>
          <w:b w:val="0"/>
          <w:bCs w:val="0"/>
          <w:spacing w:val="-1"/>
        </w:rPr>
      </w:r>
    </w:p>
    <w:p>
      <w:pPr>
        <w:pStyle w:val="BodyText"/>
        <w:spacing w:line="268" w:lineRule="auto"/>
        <w:ind w:right="1133"/>
        <w:jc w:val="left"/>
      </w:pPr>
      <w:r>
        <w:rPr/>
        <w:t>（</w:t>
      </w:r>
      <w:r>
        <w:rPr>
          <w:rFonts w:ascii="Times New Roman" w:hAnsi="Times New Roman" w:cs="Times New Roman" w:eastAsia="Times New Roman" w:hint="default"/>
        </w:rPr>
        <w:t>1</w:t>
      </w:r>
      <w:r>
        <w:rPr/>
        <w:t>）以摊余成本计量的金融资产</w:t>
      </w:r>
      <w:r>
        <w:rPr>
          <w:w w:val="100"/>
        </w:rPr>
        <w:t> </w:t>
      </w:r>
      <w:r>
        <w:rPr>
          <w:spacing w:val="-3"/>
        </w:rPr>
        <w:t>以摊余成本计量的金融资产包括应收票据、应收账款、其他应收款、长期应收款、债权投资</w:t>
      </w:r>
      <w:r>
        <w:rPr>
          <w:spacing w:val="-31"/>
        </w:rPr>
        <w:t> </w:t>
      </w:r>
      <w:r>
        <w:rPr>
          <w:spacing w:val="-31"/>
        </w:rPr>
      </w:r>
      <w:r>
        <w:rPr>
          <w:spacing w:val="-3"/>
        </w:rPr>
        <w:t>等，按公允价值进行初始计量，相关交易费用计入初始确认金额；不包含重大融资成分的应</w:t>
      </w:r>
      <w:r>
        <w:rPr>
          <w:spacing w:val="-35"/>
        </w:rPr>
        <w:t> </w:t>
      </w:r>
      <w:r>
        <w:rPr>
          <w:spacing w:val="-35"/>
        </w:rPr>
      </w:r>
      <w:r>
        <w:rPr>
          <w:spacing w:val="-3"/>
        </w:rPr>
        <w:t>收账款以及本公司决定不考虑不超过一年的融资成分的应收账款，以合同交易价格进行初始</w:t>
      </w:r>
      <w:r>
        <w:rPr>
          <w:spacing w:val="-29"/>
        </w:rPr>
        <w:t> </w:t>
      </w:r>
      <w:r>
        <w:rPr>
          <w:spacing w:val="-29"/>
        </w:rPr>
      </w:r>
      <w:r>
        <w:rPr/>
        <w:t>计量。</w:t>
      </w:r>
    </w:p>
    <w:p>
      <w:pPr>
        <w:pStyle w:val="BodyText"/>
        <w:spacing w:line="273" w:lineRule="auto" w:before="12"/>
        <w:ind w:right="1133"/>
        <w:jc w:val="left"/>
      </w:pPr>
      <w:r>
        <w:rPr/>
        <w:t>持有期间采用实际利率法计算的利息计入当期损益。</w:t>
      </w:r>
      <w:r>
        <w:rPr>
          <w:w w:val="100"/>
        </w:rPr>
        <w:t> </w:t>
      </w:r>
      <w:r>
        <w:rPr>
          <w:spacing w:val="-2"/>
        </w:rPr>
        <w:t>收回或处置时，将取得的价款与该金融资产账面价值之间的差额计入当期损益。</w:t>
      </w:r>
    </w:p>
    <w:p>
      <w:pPr>
        <w:spacing w:line="240" w:lineRule="auto" w:before="6"/>
        <w:rPr>
          <w:rFonts w:ascii="宋体" w:hAnsi="宋体" w:cs="宋体" w:eastAsia="宋体" w:hint="default"/>
          <w:sz w:val="24"/>
          <w:szCs w:val="24"/>
        </w:rPr>
      </w:pPr>
    </w:p>
    <w:p>
      <w:pPr>
        <w:pStyle w:val="BodyText"/>
        <w:spacing w:line="271" w:lineRule="auto"/>
        <w:ind w:right="1133"/>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3"/>
        </w:rPr>
        <w:t>以公允价值计量且其变动计入其他综合收益的金融资产（债务工具）包括应收款项融资、其</w:t>
      </w:r>
      <w:r>
        <w:rPr>
          <w:spacing w:val="-31"/>
        </w:rPr>
        <w:t> </w:t>
      </w:r>
      <w:r>
        <w:rPr>
          <w:spacing w:val="-31"/>
        </w:rPr>
      </w:r>
      <w:r>
        <w:rPr>
          <w:spacing w:val="-3"/>
        </w:rPr>
        <w:t>他债权投资等，按公允价值进行初始计量，相关交易费用计入初始确认金额。该金融资产按</w:t>
      </w:r>
      <w:r>
        <w:rPr>
          <w:spacing w:val="-35"/>
        </w:rPr>
        <w:t> </w:t>
      </w:r>
      <w:r>
        <w:rPr>
          <w:spacing w:val="-35"/>
        </w:rPr>
      </w:r>
      <w:r>
        <w:rPr>
          <w:spacing w:val="-3"/>
        </w:rPr>
        <w:t>公允价值进行后续计量，公允价值变动除采用实际利率法计算的利息、减值损失或利得和汇</w:t>
      </w:r>
      <w:r>
        <w:rPr>
          <w:spacing w:val="-29"/>
        </w:rPr>
        <w:t> </w:t>
      </w:r>
      <w:r>
        <w:rPr>
          <w:spacing w:val="-29"/>
        </w:rPr>
      </w:r>
      <w:r>
        <w:rPr/>
        <w:t>兑损益之外，均计入其他综合收益。</w:t>
      </w:r>
      <w:r>
        <w:rPr>
          <w:w w:val="100"/>
        </w:rPr>
        <w:t> </w:t>
      </w:r>
      <w:r>
        <w:rPr>
          <w:spacing w:val="-3"/>
        </w:rPr>
        <w:t>终止确认时，之前计入其他综合收益的累计利得或损失从其他综合收益中转出，计入当期损</w:t>
      </w:r>
      <w:r>
        <w:rPr>
          <w:spacing w:val="-30"/>
        </w:rPr>
        <w:t> </w:t>
      </w:r>
      <w:r>
        <w:rPr>
          <w:spacing w:val="-30"/>
        </w:rPr>
      </w:r>
      <w:r>
        <w:rPr/>
        <w:t>益。</w:t>
      </w:r>
    </w:p>
    <w:p>
      <w:pPr>
        <w:spacing w:line="240" w:lineRule="auto" w:before="8"/>
        <w:rPr>
          <w:rFonts w:ascii="宋体" w:hAnsi="宋体" w:cs="宋体" w:eastAsia="宋体" w:hint="default"/>
          <w:sz w:val="24"/>
          <w:szCs w:val="24"/>
        </w:rPr>
      </w:pPr>
    </w:p>
    <w:p>
      <w:pPr>
        <w:pStyle w:val="BodyText"/>
        <w:spacing w:line="240" w:lineRule="auto"/>
        <w:ind w:right="1133"/>
        <w:jc w:val="left"/>
      </w:pPr>
      <w:r>
        <w:rPr/>
        <w:t>（</w:t>
      </w:r>
      <w:r>
        <w:rPr>
          <w:rFonts w:ascii="Times New Roman" w:hAnsi="Times New Roman" w:cs="Times New Roman" w:eastAsia="Times New Roman" w:hint="default"/>
        </w:rPr>
        <w:t>3</w:t>
      </w:r>
      <w:r>
        <w:rPr/>
        <w:t>）以公允价值计量且其变动计入其他综合收益的金融资产（权益工具）</w:t>
      </w:r>
    </w:p>
    <w:p>
      <w:pPr>
        <w:spacing w:after="0" w:line="240" w:lineRule="auto"/>
        <w:jc w:val="left"/>
        <w:sectPr>
          <w:footerReference w:type="default" r:id="rId19"/>
          <w:pgSz w:w="11910" w:h="16840"/>
          <w:pgMar w:footer="1021" w:header="906" w:top="1100" w:bottom="1220" w:left="1020" w:right="0"/>
          <w:pgNumType w:start="135"/>
        </w:sectPr>
      </w:pPr>
    </w:p>
    <w:p>
      <w:pPr>
        <w:spacing w:line="240" w:lineRule="auto" w:before="11"/>
        <w:rPr>
          <w:rFonts w:ascii="宋体" w:hAnsi="宋体" w:cs="宋体" w:eastAsia="宋体" w:hint="default"/>
          <w:sz w:val="21"/>
          <w:szCs w:val="21"/>
        </w:rPr>
      </w:pPr>
    </w:p>
    <w:p>
      <w:pPr>
        <w:pStyle w:val="BodyText"/>
        <w:spacing w:line="273" w:lineRule="auto" w:before="36"/>
        <w:ind w:right="1133"/>
        <w:jc w:val="left"/>
      </w:pPr>
      <w:r>
        <w:rPr>
          <w:spacing w:val="-3"/>
        </w:rPr>
        <w:t>以公允价值计量且其变动计入其他综合收益的金融资产（权益工具）包括其他权益工具投资</w:t>
      </w:r>
      <w:r>
        <w:rPr>
          <w:spacing w:val="-31"/>
        </w:rPr>
        <w:t> </w:t>
      </w:r>
      <w:r>
        <w:rPr>
          <w:spacing w:val="-31"/>
        </w:rPr>
      </w:r>
      <w:r>
        <w:rPr>
          <w:spacing w:val="-3"/>
        </w:rPr>
        <w:t>等，按公允价值进行初始计量，相关交易费用计入初始确认金额。该金融资产按公允价值进</w:t>
      </w:r>
      <w:r>
        <w:rPr>
          <w:spacing w:val="-35"/>
        </w:rPr>
        <w:t> </w:t>
      </w:r>
      <w:r>
        <w:rPr>
          <w:spacing w:val="-35"/>
        </w:rPr>
      </w:r>
      <w:r>
        <w:rPr/>
        <w:t>行后续计量，公允价值变动计入其他综合收益。取得的股利计入当期损益。</w:t>
      </w:r>
      <w:r>
        <w:rPr>
          <w:w w:val="100"/>
        </w:rPr>
        <w:t> </w:t>
      </w:r>
      <w:r>
        <w:rPr>
          <w:spacing w:val="-3"/>
        </w:rPr>
        <w:t>终止确认时，之前计入其他综合收益的累计利得或损失从其他综合收益中转出，计入留存收</w:t>
      </w:r>
      <w:r>
        <w:rPr>
          <w:spacing w:val="-31"/>
        </w:rPr>
        <w:t> </w:t>
      </w:r>
      <w:r>
        <w:rPr>
          <w:spacing w:val="-31"/>
        </w:rPr>
      </w:r>
      <w:r>
        <w:rPr/>
        <w:t>益。</w:t>
      </w:r>
    </w:p>
    <w:p>
      <w:pPr>
        <w:spacing w:line="240" w:lineRule="auto" w:before="6"/>
        <w:rPr>
          <w:rFonts w:ascii="宋体" w:hAnsi="宋体" w:cs="宋体" w:eastAsia="宋体" w:hint="default"/>
          <w:sz w:val="24"/>
          <w:szCs w:val="24"/>
        </w:rPr>
      </w:pPr>
    </w:p>
    <w:p>
      <w:pPr>
        <w:pStyle w:val="BodyText"/>
        <w:spacing w:line="266" w:lineRule="auto"/>
        <w:ind w:right="1133"/>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3"/>
        </w:rPr>
        <w:t>以公允价值计量且其变动计入当期损益的金融资产包括交易性金融资产、衍生金融资产、其</w:t>
      </w:r>
      <w:r>
        <w:rPr>
          <w:spacing w:val="-30"/>
        </w:rPr>
        <w:t> </w:t>
      </w:r>
      <w:r>
        <w:rPr>
          <w:spacing w:val="-30"/>
        </w:rPr>
      </w:r>
      <w:r>
        <w:rPr>
          <w:spacing w:val="-3"/>
        </w:rPr>
        <w:t>他非流动金融资产等，按公允价值进行初始计量，相关交易费用计入当期损益。该金融资产</w:t>
      </w:r>
      <w:r>
        <w:rPr>
          <w:spacing w:val="-33"/>
        </w:rPr>
        <w:t> </w:t>
      </w:r>
      <w:r>
        <w:rPr>
          <w:spacing w:val="-33"/>
        </w:rPr>
      </w:r>
      <w:r>
        <w:rPr/>
        <w:t>按公允价值进行后续计量，公允价值变动计入当期损益。</w:t>
      </w:r>
    </w:p>
    <w:p>
      <w:pPr>
        <w:spacing w:line="240" w:lineRule="auto" w:before="12"/>
        <w:rPr>
          <w:rFonts w:ascii="宋体" w:hAnsi="宋体" w:cs="宋体" w:eastAsia="宋体" w:hint="default"/>
          <w:sz w:val="24"/>
          <w:szCs w:val="24"/>
        </w:rPr>
      </w:pPr>
    </w:p>
    <w:p>
      <w:pPr>
        <w:pStyle w:val="BodyText"/>
        <w:spacing w:line="268" w:lineRule="auto"/>
        <w:ind w:right="1133"/>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2"/>
        </w:rPr>
        <w:t>以公允价值计量且其变动计入当期损益的金融负债包括交易性金融负债、衍生金融负债等，</w:t>
      </w:r>
      <w:r>
        <w:rPr>
          <w:spacing w:val="-31"/>
        </w:rPr>
        <w:t> </w:t>
      </w:r>
      <w:r>
        <w:rPr>
          <w:spacing w:val="-31"/>
        </w:rPr>
      </w:r>
      <w:r>
        <w:rPr>
          <w:spacing w:val="-3"/>
        </w:rPr>
        <w:t>按公允价值进行初始计量，相关交易费用计入当期损益。该金融负债按公允价值进行后续计</w:t>
      </w:r>
      <w:r>
        <w:rPr>
          <w:spacing w:val="-30"/>
        </w:rPr>
        <w:t> </w:t>
      </w:r>
      <w:r>
        <w:rPr>
          <w:spacing w:val="-30"/>
        </w:rPr>
      </w:r>
      <w:r>
        <w:rPr/>
        <w:t>量，公允价值变动计入当期损益。</w:t>
      </w:r>
      <w:r>
        <w:rPr>
          <w:w w:val="100"/>
        </w:rPr>
        <w:t> </w:t>
      </w:r>
      <w:r>
        <w:rPr/>
        <w:t>终止确认时，其账面价值与支付的对价之间的差额计入当期损益。</w:t>
      </w:r>
    </w:p>
    <w:p>
      <w:pPr>
        <w:spacing w:line="240" w:lineRule="auto" w:before="10"/>
        <w:rPr>
          <w:rFonts w:ascii="宋体" w:hAnsi="宋体" w:cs="宋体" w:eastAsia="宋体" w:hint="default"/>
          <w:sz w:val="24"/>
          <w:szCs w:val="24"/>
        </w:rPr>
      </w:pPr>
    </w:p>
    <w:p>
      <w:pPr>
        <w:pStyle w:val="BodyText"/>
        <w:spacing w:line="268" w:lineRule="auto"/>
        <w:ind w:right="1133"/>
        <w:jc w:val="left"/>
      </w:pPr>
      <w:r>
        <w:rPr/>
        <w:t>（</w:t>
      </w:r>
      <w:r>
        <w:rPr>
          <w:rFonts w:ascii="Times New Roman" w:hAnsi="Times New Roman" w:cs="Times New Roman" w:eastAsia="Times New Roman" w:hint="default"/>
        </w:rPr>
        <w:t>6</w:t>
      </w:r>
      <w:r>
        <w:rPr/>
        <w:t>）以摊余成本计量的金融负债</w:t>
      </w:r>
      <w:r>
        <w:rPr>
          <w:w w:val="100"/>
        </w:rPr>
        <w:t> </w:t>
      </w:r>
      <w:r>
        <w:rPr>
          <w:spacing w:val="-2"/>
        </w:rPr>
        <w:t>以摊余成本计量的金融负债包括短期借款、应付票据、应付账款、其他应付款、长期借款、</w:t>
      </w:r>
      <w:r>
        <w:rPr>
          <w:spacing w:val="-31"/>
        </w:rPr>
        <w:t> </w:t>
      </w:r>
      <w:r>
        <w:rPr>
          <w:spacing w:val="-31"/>
        </w:rPr>
      </w:r>
      <w:r>
        <w:rPr/>
        <w:t>应付债券、长期应付款，按公允价值进行初始计量，相关交易费用计入初始确认金额。</w:t>
      </w:r>
      <w:r>
        <w:rPr>
          <w:w w:val="100"/>
        </w:rPr>
        <w:t> </w:t>
      </w:r>
      <w:r>
        <w:rPr/>
        <w:t>持有期间采用实际利率法计算的利息计入当期损益。</w:t>
      </w:r>
      <w:r>
        <w:rPr>
          <w:w w:val="100"/>
        </w:rPr>
        <w:t> </w:t>
      </w:r>
      <w:r>
        <w:rPr/>
        <w:t>终止确认时，将支付的对价与该金融负债账面价值之间的差额计入当期损益。</w:t>
      </w:r>
    </w:p>
    <w:p>
      <w:pPr>
        <w:spacing w:line="240" w:lineRule="auto" w:before="10"/>
        <w:rPr>
          <w:rFonts w:ascii="宋体" w:hAnsi="宋体" w:cs="宋体" w:eastAsia="宋体" w:hint="default"/>
          <w:sz w:val="24"/>
          <w:szCs w:val="24"/>
        </w:rPr>
      </w:pPr>
    </w:p>
    <w:p>
      <w:pPr>
        <w:pStyle w:val="Heading6"/>
        <w:spacing w:line="240" w:lineRule="auto"/>
        <w:ind w:left="1390" w:right="1133"/>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268" w:lineRule="auto" w:before="21"/>
        <w:ind w:right="1133"/>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w:t>
      </w:r>
      <w:r>
        <w:rPr>
          <w:spacing w:val="-33"/>
        </w:rPr>
        <w:t> </w:t>
      </w:r>
      <w:r>
        <w:rPr>
          <w:spacing w:val="-33"/>
        </w:rPr>
      </w:r>
      <w:r>
        <w:rPr/>
        <w:t>息）作为初始确认金额，相关的交易费用计入当期损益。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3"/>
        </w:rPr>
        <w:t>处置时，其公允价值与初始入账金额之间的差额确认为投资收益，同时调整公允价值变动损</w:t>
      </w:r>
      <w:r>
        <w:rPr>
          <w:spacing w:val="-30"/>
        </w:rPr>
        <w:t> </w:t>
      </w:r>
      <w:r>
        <w:rPr>
          <w:spacing w:val="-30"/>
        </w:rPr>
      </w:r>
      <w:r>
        <w:rPr/>
        <w:t>益。</w:t>
      </w:r>
    </w:p>
    <w:p>
      <w:pPr>
        <w:pStyle w:val="BodyText"/>
        <w:spacing w:line="268" w:lineRule="auto" w:before="12"/>
        <w:ind w:right="1133"/>
        <w:jc w:val="left"/>
      </w:pPr>
      <w:r>
        <w:rPr/>
        <w:t>（</w:t>
      </w:r>
      <w:r>
        <w:rPr>
          <w:rFonts w:ascii="Times New Roman" w:hAnsi="Times New Roman" w:cs="Times New Roman" w:eastAsia="Times New Roman" w:hint="default"/>
        </w:rPr>
        <w:t>2</w:t>
      </w:r>
      <w:r>
        <w:rPr/>
        <w:t>）持有至到期投资</w:t>
      </w:r>
      <w:r>
        <w:rPr>
          <w:w w:val="100"/>
        </w:rPr>
        <w:t> </w:t>
      </w:r>
      <w:r>
        <w:rPr>
          <w:spacing w:val="-3"/>
        </w:rPr>
        <w:t>取得时按公允价值（扣除已到付息期但尚未领取的债券利息）和相关交易费用之和作为初始</w:t>
      </w:r>
      <w:r>
        <w:rPr>
          <w:spacing w:val="-30"/>
        </w:rPr>
        <w:t> </w:t>
      </w:r>
      <w:r>
        <w:rPr>
          <w:spacing w:val="-30"/>
        </w:rPr>
      </w:r>
      <w:r>
        <w:rPr/>
        <w:t>确认金额。</w:t>
      </w:r>
      <w:r>
        <w:rPr>
          <w:spacing w:val="-102"/>
        </w:rPr>
        <w:t> </w:t>
      </w:r>
      <w:r>
        <w:rPr>
          <w:spacing w:val="-102"/>
        </w:rPr>
      </w:r>
      <w:r>
        <w:rPr>
          <w:spacing w:val="-3"/>
        </w:rPr>
        <w:t>持有期间按照摊余成本和实际利率计算确认利息收入，计入投资收益。实际利率在取得时确</w:t>
      </w:r>
      <w:r>
        <w:rPr>
          <w:spacing w:val="-30"/>
        </w:rPr>
        <w:t> </w:t>
      </w:r>
      <w:r>
        <w:rPr>
          <w:spacing w:val="-30"/>
        </w:rPr>
      </w:r>
      <w:r>
        <w:rPr/>
        <w:t>定，在该预期存续期间或适用的更短期间内保持不变。</w:t>
      </w:r>
      <w:r>
        <w:rPr>
          <w:w w:val="100"/>
        </w:rPr>
        <w:t> </w:t>
      </w:r>
      <w:r>
        <w:rPr/>
        <w:t>处置时，将所取得价款与该投资账面价值之间的差额计入投资收益。</w:t>
      </w:r>
    </w:p>
    <w:p>
      <w:pPr>
        <w:pStyle w:val="BodyText"/>
        <w:spacing w:line="268" w:lineRule="auto" w:before="12"/>
        <w:ind w:right="1133"/>
        <w:jc w:val="left"/>
      </w:pPr>
      <w:r>
        <w:rPr/>
        <w:t>（</w:t>
      </w:r>
      <w:r>
        <w:rPr>
          <w:rFonts w:ascii="Times New Roman" w:hAnsi="Times New Roman" w:cs="Times New Roman" w:eastAsia="Times New Roman" w:hint="default"/>
        </w:rPr>
        <w:t>3</w:t>
      </w:r>
      <w:r>
        <w:rPr/>
        <w:t>）应收款项</w:t>
      </w:r>
      <w:r>
        <w:rPr>
          <w:w w:val="100"/>
        </w:rPr>
        <w:t> </w:t>
      </w:r>
      <w:r>
        <w:rPr>
          <w:spacing w:val="-3"/>
        </w:rPr>
        <w:t>公司对外销售商品或提供劳务形成的应收债权，以及公司持有的其他企业的不包括在活跃市</w:t>
      </w:r>
      <w:r>
        <w:rPr>
          <w:spacing w:val="-30"/>
        </w:rPr>
        <w:t> </w:t>
      </w:r>
      <w:r>
        <w:rPr>
          <w:spacing w:val="-30"/>
        </w:rPr>
      </w:r>
      <w:r>
        <w:rPr>
          <w:spacing w:val="-3"/>
        </w:rPr>
        <w:t>场上有报价的债务工具的债权，包括应收账款、其他应收款等，以向购货方应收的合同或协</w:t>
      </w:r>
      <w:r>
        <w:rPr>
          <w:spacing w:val="-31"/>
        </w:rPr>
        <w:t> </w:t>
      </w:r>
      <w:r>
        <w:rPr>
          <w:spacing w:val="-31"/>
        </w:rPr>
      </w:r>
      <w:r>
        <w:rPr/>
        <w:t>议价款作为初始确认金额；具有融资性质的，按其现值进行初始确认。</w:t>
      </w:r>
      <w:r>
        <w:rPr>
          <w:w w:val="100"/>
        </w:rPr>
        <w:t> </w:t>
      </w:r>
      <w:r>
        <w:rPr/>
        <w:t>收回或处置时，将取得的价款与该应收款项账面价值之间的差额计入当期损益。</w:t>
      </w:r>
    </w:p>
    <w:p>
      <w:pPr>
        <w:pStyle w:val="BodyText"/>
        <w:spacing w:line="264" w:lineRule="auto" w:before="12"/>
        <w:ind w:right="1133"/>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w:t>
      </w:r>
      <w:r>
        <w:rPr>
          <w:spacing w:val="-33"/>
        </w:rPr>
        <w:t> </w:t>
      </w:r>
      <w:r>
        <w:rPr>
          <w:spacing w:val="-33"/>
        </w:rPr>
      </w:r>
      <w:r>
        <w:rPr/>
        <w:t>息）和相关交易费用之和作为初始确认金额。</w:t>
      </w:r>
    </w:p>
    <w:p>
      <w:pPr>
        <w:spacing w:after="0" w:line="264"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090"/>
        <w:jc w:val="both"/>
      </w:pPr>
      <w:r>
        <w:rPr>
          <w:spacing w:val="-3"/>
        </w:rPr>
        <w:t>持有期间将取得的利息或现金股利确认为投资收益。期末以公允价值计量且将公允价值变动</w:t>
      </w:r>
      <w:r>
        <w:rPr>
          <w:spacing w:val="-29"/>
        </w:rPr>
        <w:t> </w:t>
      </w:r>
      <w:r>
        <w:rPr>
          <w:spacing w:val="-29"/>
        </w:rPr>
      </w:r>
      <w:r>
        <w:rPr>
          <w:spacing w:val="-3"/>
        </w:rPr>
        <w:t>计入其他综合收益。但是，在活跃市场中没有报价且其公允价值不能可靠计量的权益工具投</w:t>
      </w:r>
      <w:r>
        <w:rPr>
          <w:spacing w:val="-30"/>
        </w:rPr>
        <w:t> </w:t>
      </w:r>
      <w:r>
        <w:rPr>
          <w:spacing w:val="-30"/>
        </w:rPr>
      </w:r>
      <w:r>
        <w:rPr>
          <w:spacing w:val="-2"/>
        </w:rPr>
        <w:t>资，以及与该权益工具挂钩并须通过交付该权益工具结算的衍生金融资产，按照成本计量。</w:t>
      </w:r>
      <w:r>
        <w:rPr>
          <w:spacing w:val="-34"/>
        </w:rPr>
        <w:t> </w:t>
      </w:r>
      <w:r>
        <w:rPr>
          <w:spacing w:val="-34"/>
        </w:rPr>
      </w:r>
      <w:r>
        <w:rPr>
          <w:spacing w:val="-3"/>
        </w:rPr>
        <w:t>处置时，将取得的价款与该金融资产账面价值之间的差额，计入投资损益；同时，将原直接</w:t>
      </w:r>
      <w:r>
        <w:rPr>
          <w:spacing w:val="-31"/>
        </w:rPr>
        <w:t> </w:t>
      </w:r>
      <w:r>
        <w:rPr>
          <w:spacing w:val="-31"/>
        </w:rPr>
      </w:r>
      <w:r>
        <w:rPr/>
        <w:t>计入其他综合收益的公允价值变动累计额对应处置部分的金额转出，计入当期损益。</w:t>
      </w:r>
    </w:p>
    <w:p>
      <w:pPr>
        <w:pStyle w:val="BodyText"/>
        <w:spacing w:line="256" w:lineRule="auto" w:before="7"/>
        <w:ind w:right="1133"/>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BodyText"/>
        <w:spacing w:line="273" w:lineRule="auto"/>
        <w:ind w:right="1133" w:hanging="502"/>
        <w:jc w:val="left"/>
      </w:pP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公司发生金融资产转移时，如已将金融资产所有权上几乎所有的风险和报酬转移给转入方，</w:t>
      </w:r>
      <w:r>
        <w:rPr>
          <w:w w:val="100"/>
        </w:rPr>
        <w:t> </w:t>
      </w:r>
      <w:r>
        <w:rPr>
          <w:spacing w:val="-3"/>
        </w:rPr>
        <w:t>则终止确认该金融资产；如保留了金融资产所有权上几乎所有的风险和报酬的，则不终止确</w:t>
      </w:r>
      <w:r>
        <w:rPr>
          <w:w w:val="100"/>
        </w:rPr>
        <w:t> </w:t>
      </w:r>
      <w:r>
        <w:rPr/>
        <w:t>认该金融资产。</w:t>
      </w:r>
      <w:r>
        <w:rPr>
          <w:w w:val="100"/>
        </w:rPr>
        <w:t> </w:t>
      </w:r>
      <w:r>
        <w:rPr/>
        <w:t>在判断金融资产转移是否满足上述金融资产终止确认条件时，采用实质重于形式的原则。</w:t>
      </w:r>
      <w:r>
        <w:rPr>
          <w:w w:val="100"/>
        </w:rPr>
        <w:t> </w:t>
      </w:r>
      <w:r>
        <w:rPr>
          <w:spacing w:val="-3"/>
        </w:rPr>
        <w:t>公司将金融资产转移区分为金融资产整体转移和部分转移。金融资产整体转移满足终止确认</w:t>
      </w:r>
      <w:r>
        <w:rPr>
          <w:w w:val="100"/>
        </w:rPr>
        <w:t> </w:t>
      </w:r>
      <w:r>
        <w:rPr/>
        <w:t>条件的，将下列两项金额的差额计入当期损益：</w:t>
      </w:r>
    </w:p>
    <w:p>
      <w:pPr>
        <w:pStyle w:val="BodyText"/>
        <w:spacing w:line="240" w:lineRule="auto" w:before="7"/>
        <w:ind w:right="0"/>
        <w:jc w:val="both"/>
      </w:pPr>
      <w:r>
        <w:rPr/>
        <w:t>（</w:t>
      </w:r>
      <w:r>
        <w:rPr>
          <w:rFonts w:ascii="Times New Roman" w:hAnsi="Times New Roman" w:cs="Times New Roman" w:eastAsia="Times New Roman" w:hint="default"/>
        </w:rPr>
        <w:t>1</w:t>
      </w:r>
      <w:r>
        <w:rPr/>
        <w:t>）所转移金融资产的账面价值；</w:t>
      </w:r>
    </w:p>
    <w:p>
      <w:pPr>
        <w:pStyle w:val="BodyText"/>
        <w:spacing w:line="264" w:lineRule="auto" w:before="21"/>
        <w:ind w:right="1126"/>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40"/>
        </w:rPr>
        <w:t> </w:t>
      </w:r>
      <w:r>
        <w:rPr>
          <w:spacing w:val="-40"/>
        </w:rPr>
      </w:r>
      <w:r>
        <w:rPr>
          <w:spacing w:val="-3"/>
          <w:w w:val="100"/>
        </w:rPr>
        <w:t>金融资产为以公允价值计量且其变动计入其他综合收益的金融资产（债务工具）、可供出售</w:t>
      </w:r>
      <w:r>
        <w:rPr>
          <w:spacing w:val="-74"/>
          <w:w w:val="100"/>
        </w:rPr>
        <w:t> </w:t>
      </w:r>
      <w:r>
        <w:rPr>
          <w:spacing w:val="-74"/>
          <w:w w:val="100"/>
        </w:rPr>
      </w:r>
      <w:r>
        <w:rPr/>
        <w:t>金融资产的情形）之和。</w:t>
      </w:r>
    </w:p>
    <w:p>
      <w:pPr>
        <w:spacing w:line="240" w:lineRule="auto" w:before="1"/>
        <w:rPr>
          <w:rFonts w:ascii="宋体" w:hAnsi="宋体" w:cs="宋体" w:eastAsia="宋体" w:hint="default"/>
          <w:sz w:val="25"/>
          <w:szCs w:val="25"/>
        </w:rPr>
      </w:pPr>
    </w:p>
    <w:p>
      <w:pPr>
        <w:pStyle w:val="BodyText"/>
        <w:spacing w:line="273" w:lineRule="auto"/>
        <w:ind w:right="1126"/>
        <w:jc w:val="both"/>
      </w:pPr>
      <w:r>
        <w:rPr>
          <w:spacing w:val="-3"/>
        </w:rPr>
        <w:t>金融资产部分转移满足终止确认条件的，将所转移金融资产整体的账面价值，在终止确认部</w:t>
      </w:r>
      <w:r>
        <w:rPr>
          <w:spacing w:val="-30"/>
        </w:rPr>
        <w:t> </w:t>
      </w:r>
      <w:r>
        <w:rPr>
          <w:spacing w:val="-30"/>
        </w:rPr>
      </w:r>
      <w:r>
        <w:rPr>
          <w:spacing w:val="-3"/>
        </w:rPr>
        <w:t>分和未终止确认部分之间，按照各自的相对公允价值进行分摊，并将下列两项金额的差额计</w:t>
      </w:r>
      <w:r>
        <w:rPr>
          <w:spacing w:val="-31"/>
        </w:rPr>
        <w:t> </w:t>
      </w:r>
      <w:r>
        <w:rPr>
          <w:spacing w:val="-31"/>
        </w:rPr>
      </w:r>
      <w:r>
        <w:rPr/>
        <w:t>入当期损益：</w:t>
      </w:r>
    </w:p>
    <w:p>
      <w:pPr>
        <w:pStyle w:val="BodyText"/>
        <w:spacing w:line="240" w:lineRule="auto" w:before="7"/>
        <w:ind w:right="0"/>
        <w:jc w:val="both"/>
      </w:pPr>
      <w:r>
        <w:rPr/>
        <w:t>（</w:t>
      </w:r>
      <w:r>
        <w:rPr>
          <w:rFonts w:ascii="Times New Roman" w:hAnsi="Times New Roman" w:cs="Times New Roman" w:eastAsia="Times New Roman" w:hint="default"/>
        </w:rPr>
        <w:t>1</w:t>
      </w:r>
      <w:r>
        <w:rPr/>
        <w:t>）终止确认部分的账面价值；</w:t>
      </w:r>
    </w:p>
    <w:p>
      <w:pPr>
        <w:pStyle w:val="BodyText"/>
        <w:spacing w:line="268" w:lineRule="auto" w:before="21"/>
        <w:ind w:right="113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40"/>
        </w:rPr>
        <w:t> </w:t>
      </w:r>
      <w:r>
        <w:rPr>
          <w:spacing w:val="-40"/>
        </w:rPr>
      </w:r>
      <w:r>
        <w:rPr>
          <w:spacing w:val="-3"/>
        </w:rPr>
        <w:t>认部分的金额（涉及转移的金融资产为以公允价值计量且其变动计入其他综合收益的金融资</w:t>
      </w:r>
      <w:r>
        <w:rPr>
          <w:spacing w:val="-30"/>
        </w:rPr>
        <w:t> </w:t>
      </w:r>
      <w:r>
        <w:rPr>
          <w:spacing w:val="-30"/>
        </w:rPr>
      </w:r>
      <w:r>
        <w:rPr>
          <w:spacing w:val="-6"/>
          <w:w w:val="100"/>
        </w:rPr>
        <w:t>产（债务工具）、可供出售金融资产的情形）之和。</w:t>
      </w:r>
      <w:r>
        <w:rPr>
          <w:spacing w:val="-103"/>
          <w:w w:val="100"/>
        </w:rPr>
        <w:t> </w:t>
      </w:r>
      <w:r>
        <w:rPr>
          <w:spacing w:val="-103"/>
          <w:w w:val="100"/>
        </w:rPr>
      </w:r>
      <w:r>
        <w:rPr>
          <w:spacing w:val="-3"/>
        </w:rPr>
        <w:t>金融资产转移不满足终止确认条件的，继续确认该金融资产，所收到的对价确认为一项金融</w:t>
      </w:r>
      <w:r>
        <w:rPr>
          <w:spacing w:val="-30"/>
        </w:rPr>
        <w:t> </w:t>
      </w:r>
      <w:r>
        <w:rPr>
          <w:spacing w:val="-30"/>
        </w:rPr>
      </w:r>
      <w:r>
        <w:rPr/>
        <w:t>负债。</w:t>
      </w:r>
    </w:p>
    <w:p>
      <w:pPr>
        <w:spacing w:line="240" w:lineRule="auto" w:before="10"/>
        <w:rPr>
          <w:rFonts w:ascii="宋体" w:hAnsi="宋体" w:cs="宋体" w:eastAsia="宋体" w:hint="default"/>
          <w:sz w:val="24"/>
          <w:szCs w:val="24"/>
        </w:rPr>
      </w:pPr>
    </w:p>
    <w:p>
      <w:pPr>
        <w:pStyle w:val="BodyText"/>
        <w:spacing w:line="273" w:lineRule="auto"/>
        <w:ind w:right="1133" w:hanging="502"/>
        <w:jc w:val="left"/>
      </w:pPr>
      <w:r>
        <w:rPr>
          <w:rFonts w:ascii="宋体" w:hAnsi="宋体" w:cs="宋体" w:eastAsia="宋体" w:hint="default"/>
          <w:b/>
          <w:bCs/>
        </w:rPr>
        <w:t>金融负债终止确认条件</w:t>
      </w:r>
      <w:r>
        <w:rPr>
          <w:rFonts w:ascii="宋体" w:hAnsi="宋体" w:cs="宋体" w:eastAsia="宋体" w:hint="default"/>
          <w:b/>
          <w:bCs/>
          <w:w w:val="100"/>
        </w:rPr>
        <w:t> </w:t>
      </w:r>
      <w:r>
        <w:rPr>
          <w:spacing w:val="-3"/>
        </w:rPr>
        <w:t>金融负债的现时义务全部或部分已经解除的，则终止确认该金融负债或其一部分；本公司若</w:t>
      </w:r>
      <w:r>
        <w:rPr>
          <w:w w:val="100"/>
        </w:rPr>
        <w:t> </w:t>
      </w:r>
      <w:r>
        <w:rPr>
          <w:spacing w:val="-3"/>
        </w:rPr>
        <w:t>与债权人签定协议，以承担新金融负债方式替换现存金融负债，且新金融负债与现存金融负</w:t>
      </w:r>
      <w:r>
        <w:rPr>
          <w:w w:val="100"/>
        </w:rPr>
        <w:t> </w:t>
      </w:r>
      <w:r>
        <w:rPr/>
        <w:t>债的合同条款实质上不同的，则终止确认现存金融负债，并同时确认新金融负债。</w:t>
      </w:r>
      <w:r>
        <w:rPr>
          <w:w w:val="100"/>
        </w:rPr>
        <w:t> </w:t>
      </w:r>
      <w:r>
        <w:rPr>
          <w:spacing w:val="-3"/>
        </w:rPr>
        <w:t>对现存金融负债全部或部分合同条款作出实质性修改的，则终止确认现存金融负债或其一部</w:t>
      </w:r>
      <w:r>
        <w:rPr>
          <w:w w:val="100"/>
        </w:rPr>
        <w:t> </w:t>
      </w:r>
      <w:r>
        <w:rPr/>
        <w:t>分，同时将修改条款后的金融负债确认为一项新金融负债。</w:t>
      </w:r>
      <w:r>
        <w:rPr>
          <w:w w:val="100"/>
        </w:rPr>
        <w:t> </w:t>
      </w:r>
      <w:r>
        <w:rPr>
          <w:spacing w:val="-3"/>
        </w:rPr>
        <w:t>金融负债全部或部分终止确认时，终止确认的金融负债账面价值与支付对价（包括转出的非</w:t>
      </w:r>
      <w:r>
        <w:rPr>
          <w:w w:val="100"/>
        </w:rPr>
        <w:t> </w:t>
      </w:r>
      <w:r>
        <w:rPr/>
        <w:t>现金资产或承担的新金融负债）之间的差额，计入当期损益。</w:t>
      </w:r>
      <w:r>
        <w:rPr>
          <w:w w:val="100"/>
        </w:rPr>
        <w:t> </w:t>
      </w:r>
      <w:r>
        <w:rPr>
          <w:spacing w:val="2"/>
        </w:rPr>
        <w:t>本公司若回购部分金融负债的，在回购日按照继续确认部分与终止确认部分的相对公允价</w:t>
      </w:r>
      <w:r>
        <w:rPr>
          <w:w w:val="100"/>
        </w:rPr>
        <w:t> </w:t>
      </w:r>
      <w:r>
        <w:rPr>
          <w:spacing w:val="-3"/>
        </w:rPr>
        <w:t>值，将该金融负债整体的账面价值进行分配。分配给终止确认部分的账面价值与支付的对价</w:t>
      </w:r>
    </w:p>
    <w:p>
      <w:pPr>
        <w:pStyle w:val="BodyText"/>
        <w:spacing w:line="240" w:lineRule="auto" w:before="7"/>
        <w:ind w:right="0"/>
        <w:jc w:val="both"/>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spacing w:line="273" w:lineRule="auto" w:before="0"/>
        <w:ind w:left="1390" w:right="1133" w:hanging="502"/>
        <w:jc w:val="left"/>
        <w:rPr>
          <w:rFonts w:ascii="宋体" w:hAnsi="宋体" w:cs="宋体" w:eastAsia="宋体" w:hint="default"/>
          <w:sz w:val="21"/>
          <w:szCs w:val="21"/>
        </w:rPr>
      </w:pP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100"/>
          <w:sz w:val="21"/>
          <w:szCs w:val="21"/>
        </w:rPr>
        <w:t> </w:t>
      </w:r>
      <w:r>
        <w:rPr>
          <w:rFonts w:ascii="宋体" w:hAnsi="宋体" w:cs="宋体" w:eastAsia="宋体" w:hint="default"/>
          <w:spacing w:val="-3"/>
          <w:sz w:val="21"/>
          <w:szCs w:val="21"/>
        </w:rPr>
        <w:t>存在活跃市场的金融工具，以活跃市场中的报价确定其公允价值。不存在活跃市场的金融工</w:t>
      </w:r>
    </w:p>
    <w:p>
      <w:pPr>
        <w:spacing w:after="0" w:line="273" w:lineRule="auto"/>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jc w:val="both"/>
      </w:pPr>
      <w:r>
        <w:rPr>
          <w:spacing w:val="-3"/>
        </w:rPr>
        <w:t>具，采用估值技术确定其公允价值。在估值时，本公司采用在当前情况下适用并且有足够可</w:t>
      </w:r>
      <w:r>
        <w:rPr>
          <w:spacing w:val="-30"/>
        </w:rPr>
        <w:t> </w:t>
      </w:r>
      <w:r>
        <w:rPr>
          <w:spacing w:val="-30"/>
        </w:rPr>
      </w:r>
      <w:r>
        <w:rPr>
          <w:spacing w:val="-3"/>
        </w:rPr>
        <w:t>利用数据和其他信息支持的估值技术，选择与市场参与者在相关资产或负债的交易中所考虑</w:t>
      </w:r>
      <w:r>
        <w:rPr>
          <w:spacing w:val="-30"/>
        </w:rPr>
        <w:t> </w:t>
      </w:r>
      <w:r>
        <w:rPr>
          <w:spacing w:val="-30"/>
        </w:rPr>
      </w:r>
      <w:r>
        <w:rPr>
          <w:spacing w:val="-3"/>
        </w:rPr>
        <w:t>的资产或负债特征相一致的输入值，并优先使用相关可观察输入值。只有在相关可观察输入</w:t>
      </w:r>
      <w:r>
        <w:rPr>
          <w:spacing w:val="-30"/>
        </w:rPr>
        <w:t> </w:t>
      </w:r>
      <w:r>
        <w:rPr>
          <w:spacing w:val="-30"/>
        </w:rPr>
      </w:r>
      <w:r>
        <w:rPr/>
        <w:t>值无法取得或取得不切实可行的情况下，才使用不可观察输入值。</w:t>
      </w:r>
    </w:p>
    <w:p>
      <w:pPr>
        <w:spacing w:line="240" w:lineRule="auto" w:before="6"/>
        <w:rPr>
          <w:rFonts w:ascii="宋体" w:hAnsi="宋体" w:cs="宋体" w:eastAsia="宋体" w:hint="default"/>
          <w:sz w:val="24"/>
          <w:szCs w:val="24"/>
        </w:rPr>
      </w:pPr>
    </w:p>
    <w:p>
      <w:pPr>
        <w:pStyle w:val="Heading6"/>
        <w:spacing w:line="273" w:lineRule="auto"/>
        <w:ind w:left="1390" w:right="3341" w:hanging="502"/>
        <w:jc w:val="left"/>
        <w:rPr>
          <w:b w:val="0"/>
          <w:bCs w:val="0"/>
        </w:rPr>
      </w:pPr>
      <w:r>
        <w:rPr>
          <w:spacing w:val="-1"/>
        </w:rPr>
        <w:t>金融资产减值的测试方法及会计处理方法</w:t>
      </w:r>
      <w:r>
        <w:rPr>
          <w:spacing w:val="-87"/>
        </w:rPr>
        <w:t> </w:t>
      </w:r>
      <w:r>
        <w:rPr>
          <w:spacing w:val="-87"/>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268" w:lineRule="auto"/>
        <w:ind w:right="1133"/>
        <w:jc w:val="left"/>
      </w:pPr>
      <w:r>
        <w:rPr>
          <w:spacing w:val="-3"/>
        </w:rPr>
        <w:t>本公司考虑所有合理且有依据的信息，包括前瞻性信息，以单项或组合的方式对以摊余成本</w:t>
      </w:r>
      <w:r>
        <w:rPr>
          <w:spacing w:val="-30"/>
        </w:rPr>
        <w:t> </w:t>
      </w:r>
      <w:r>
        <w:rPr>
          <w:spacing w:val="-30"/>
        </w:rPr>
      </w:r>
      <w:r>
        <w:rPr>
          <w:spacing w:val="-3"/>
        </w:rPr>
        <w:t>计量的金融资产和以公允价值计量且其变动计入其他综合收益的金融资产（债务工具）的预</w:t>
      </w:r>
      <w:r>
        <w:rPr>
          <w:spacing w:val="-30"/>
        </w:rPr>
        <w:t> </w:t>
      </w:r>
      <w:r>
        <w:rPr>
          <w:spacing w:val="-30"/>
        </w:rPr>
      </w:r>
      <w:r>
        <w:rPr>
          <w:spacing w:val="-3"/>
        </w:rPr>
        <w:t>期信用损失进行估计。预期信用损失的计量取决于金融资产自初始确认后是否发生信用风险</w:t>
      </w:r>
      <w:r>
        <w:rPr>
          <w:spacing w:val="-30"/>
        </w:rPr>
        <w:t> </w:t>
      </w:r>
      <w:r>
        <w:rPr>
          <w:spacing w:val="-30"/>
        </w:rPr>
      </w:r>
      <w:r>
        <w:rPr/>
        <w:t>显著增加。</w:t>
      </w:r>
      <w:r>
        <w:rPr>
          <w:spacing w:val="-102"/>
        </w:rPr>
        <w:t> </w:t>
      </w:r>
      <w:r>
        <w:rPr>
          <w:spacing w:val="-102"/>
        </w:rPr>
      </w:r>
      <w:r>
        <w:rPr>
          <w:spacing w:val="-3"/>
        </w:rPr>
        <w:t>如果该金融工具的信用风险自初始确认后已显著增加，本公司按照相当于该金融工具整个存</w:t>
      </w:r>
      <w:r>
        <w:rPr>
          <w:spacing w:val="-30"/>
        </w:rPr>
        <w:t> </w:t>
      </w:r>
      <w:r>
        <w:rPr>
          <w:spacing w:val="-30"/>
        </w:rPr>
      </w:r>
      <w:r>
        <w:rPr>
          <w:spacing w:val="-3"/>
        </w:rPr>
        <w:t>续期内预期信用损失的金额计量其损失准备；如果该金融工具的信用风险自初始确认后并未</w:t>
      </w:r>
      <w:r>
        <w:rPr>
          <w:spacing w:val="-29"/>
        </w:rPr>
        <w:t> </w:t>
      </w:r>
      <w:r>
        <w:rPr>
          <w:spacing w:val="-29"/>
        </w:rPr>
      </w:r>
      <w:r>
        <w:rPr>
          <w:spacing w:val="2"/>
        </w:rPr>
        <w:t>显著增加，本公司按照相当于该金融工具未来</w:t>
      </w:r>
      <w:r>
        <w:rPr>
          <w:rFonts w:ascii="Times New Roman" w:hAnsi="Times New Roman" w:cs="Times New Roman" w:eastAsia="Times New Roman" w:hint="default"/>
          <w:spacing w:val="2"/>
        </w:rPr>
        <w:t>12</w:t>
      </w:r>
      <w:r>
        <w:rPr>
          <w:spacing w:val="2"/>
        </w:rPr>
        <w:t>个月内预期信用损失的金额计量其损失准</w:t>
      </w:r>
      <w:r>
        <w:rPr>
          <w:spacing w:val="-30"/>
        </w:rPr>
        <w:t> </w:t>
      </w:r>
      <w:r>
        <w:rPr>
          <w:spacing w:val="-30"/>
        </w:rPr>
      </w:r>
      <w:r>
        <w:rPr/>
        <w:t>备。由此形成的损失准备的增加或转回金额，作为减值损失或利得计入当期损益。</w:t>
      </w:r>
      <w:r>
        <w:rPr>
          <w:w w:val="100"/>
        </w:rPr>
        <w:t> </w:t>
      </w:r>
      <w:r>
        <w:rPr>
          <w:spacing w:val="-3"/>
        </w:rPr>
        <w:t>通常逾期超过</w:t>
      </w:r>
      <w:r>
        <w:rPr>
          <w:rFonts w:ascii="Times New Roman" w:hAnsi="Times New Roman" w:cs="Times New Roman" w:eastAsia="Times New Roman" w:hint="default"/>
          <w:spacing w:val="-3"/>
        </w:rPr>
        <w:t>30</w:t>
      </w:r>
      <w:r>
        <w:rPr>
          <w:spacing w:val="-3"/>
        </w:rPr>
        <w:t>日，本公司即认为该金融工具的信用风险已显著增加，除非有确凿证据证明</w:t>
      </w:r>
      <w:r>
        <w:rPr>
          <w:spacing w:val="-26"/>
        </w:rPr>
        <w:t> </w:t>
      </w:r>
      <w:r>
        <w:rPr>
          <w:spacing w:val="-26"/>
        </w:rPr>
      </w:r>
      <w:r>
        <w:rPr/>
        <w:t>该金融工具的信用风险自初始确认后并未显著增加。</w:t>
      </w:r>
      <w:r>
        <w:rPr>
          <w:w w:val="100"/>
        </w:rPr>
        <w:t> </w:t>
      </w:r>
      <w:r>
        <w:rPr>
          <w:spacing w:val="-3"/>
        </w:rPr>
        <w:t>如果金融工具于资产负债表日的信用风险较低，本公司即认为该金融工具的信用风险自初始</w:t>
      </w:r>
      <w:r>
        <w:rPr>
          <w:spacing w:val="-29"/>
        </w:rPr>
        <w:t> </w:t>
      </w:r>
      <w:r>
        <w:rPr>
          <w:spacing w:val="-29"/>
        </w:rPr>
      </w:r>
      <w:r>
        <w:rPr/>
        <w:t>确认后并未显著增加。</w:t>
      </w:r>
    </w:p>
    <w:p>
      <w:pPr>
        <w:spacing w:line="240" w:lineRule="auto" w:before="10"/>
        <w:rPr>
          <w:rFonts w:ascii="宋体" w:hAnsi="宋体" w:cs="宋体" w:eastAsia="宋体" w:hint="default"/>
          <w:sz w:val="24"/>
          <w:szCs w:val="24"/>
        </w:rPr>
      </w:pPr>
    </w:p>
    <w:p>
      <w:pPr>
        <w:pStyle w:val="BodyText"/>
        <w:spacing w:line="264" w:lineRule="auto"/>
        <w:ind w:right="1133"/>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3"/>
        </w:rPr>
        <w:t>除以公允价值计量且其变动计入当期损益的金融资产外，本公司于资产负债表日对金融资产</w:t>
      </w:r>
      <w:r>
        <w:rPr>
          <w:spacing w:val="-29"/>
        </w:rPr>
        <w:t> </w:t>
      </w:r>
      <w:r>
        <w:rPr>
          <w:spacing w:val="-29"/>
        </w:rPr>
      </w:r>
      <w:r>
        <w:rPr/>
        <w:t>的账面价值进行检查，如果有客观证据表明某项金融资产发生减值的，计提减值准备。</w:t>
      </w:r>
    </w:p>
    <w:p>
      <w:pPr>
        <w:spacing w:line="240" w:lineRule="auto" w:before="1"/>
        <w:rPr>
          <w:rFonts w:ascii="宋体" w:hAnsi="宋体" w:cs="宋体" w:eastAsia="宋体" w:hint="default"/>
          <w:sz w:val="25"/>
          <w:szCs w:val="25"/>
        </w:rPr>
      </w:pPr>
    </w:p>
    <w:p>
      <w:pPr>
        <w:pStyle w:val="BodyText"/>
        <w:spacing w:line="271" w:lineRule="auto"/>
        <w:ind w:right="1133"/>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期末如果可供出售权益工具投资的公允价值发生严重下降，或在综合考虑各种相关因素后，</w:t>
      </w:r>
      <w:r>
        <w:rPr>
          <w:spacing w:val="-31"/>
        </w:rPr>
        <w:t> </w:t>
      </w:r>
      <w:r>
        <w:rPr>
          <w:spacing w:val="-31"/>
        </w:rPr>
      </w:r>
      <w:r>
        <w:rPr>
          <w:spacing w:val="-3"/>
        </w:rPr>
        <w:t>预期这种下降趋势属于非暂时性的，就认定其已发生减值，将原直接计入所有者权益的公允</w:t>
      </w:r>
      <w:r>
        <w:rPr>
          <w:spacing w:val="-30"/>
        </w:rPr>
        <w:t> </w:t>
      </w:r>
      <w:r>
        <w:rPr>
          <w:spacing w:val="-30"/>
        </w:rPr>
      </w:r>
      <w:r>
        <w:rPr/>
        <w:t>价值下降形成的累计损失一并转出，确认减值损失。</w:t>
      </w:r>
      <w:r>
        <w:rPr>
          <w:w w:val="100"/>
        </w:rPr>
        <w:t> </w:t>
      </w:r>
      <w:r>
        <w:rPr>
          <w:spacing w:val="-3"/>
        </w:rPr>
        <w:t>对于已确认减值损失的可供出售债务工具，在随后的会计期间公允价值已上升且客观上与确</w:t>
      </w:r>
      <w:r>
        <w:rPr>
          <w:spacing w:val="-30"/>
        </w:rPr>
        <w:t> </w:t>
      </w:r>
      <w:r>
        <w:rPr>
          <w:spacing w:val="-30"/>
        </w:rPr>
      </w:r>
      <w:r>
        <w:rPr/>
        <w:t>认原减值损失确认后发生的事项有关的，原确认的减值损失予以转回，计入当期损益。</w:t>
      </w:r>
      <w:r>
        <w:rPr>
          <w:w w:val="100"/>
        </w:rPr>
        <w:t> </w:t>
      </w:r>
      <w:r>
        <w:rPr/>
        <w:t>可供出售权益工具投资发生的减值损失，不通过损益转回。</w:t>
      </w:r>
    </w:p>
    <w:p>
      <w:pPr>
        <w:spacing w:line="240" w:lineRule="auto" w:before="8"/>
        <w:rPr>
          <w:rFonts w:ascii="宋体" w:hAnsi="宋体" w:cs="宋体" w:eastAsia="宋体" w:hint="default"/>
          <w:sz w:val="24"/>
          <w:szCs w:val="24"/>
        </w:rPr>
      </w:pPr>
    </w:p>
    <w:p>
      <w:pPr>
        <w:pStyle w:val="BodyText"/>
        <w:spacing w:line="256" w:lineRule="auto"/>
        <w:ind w:right="1133"/>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8"/>
        <w:rPr>
          <w:rFonts w:ascii="宋体" w:hAnsi="宋体" w:cs="宋体" w:eastAsia="宋体" w:hint="default"/>
          <w:sz w:val="25"/>
          <w:szCs w:val="25"/>
        </w:rPr>
      </w:pPr>
    </w:p>
    <w:p>
      <w:pPr>
        <w:pStyle w:val="Heading6"/>
        <w:spacing w:line="240" w:lineRule="auto"/>
        <w:ind w:left="888" w:right="1133"/>
        <w:jc w:val="left"/>
        <w:rPr>
          <w:b w:val="0"/>
          <w:bCs w:val="0"/>
        </w:rPr>
      </w:pPr>
      <w:r>
        <w:rPr/>
        <w:t>金融工具的分类</w:t>
      </w:r>
      <w:r>
        <w:rPr>
          <w:b w:val="0"/>
          <w:bCs w:val="0"/>
        </w:rPr>
      </w:r>
    </w:p>
    <w:p>
      <w:pPr>
        <w:pStyle w:val="BodyText"/>
        <w:spacing w:line="271" w:lineRule="auto" w:before="37"/>
        <w:ind w:right="986"/>
        <w:jc w:val="left"/>
      </w:pPr>
      <w:r>
        <w:rPr>
          <w:rFonts w:ascii="宋体" w:hAnsi="宋体" w:cs="宋体" w:eastAsia="宋体" w:hint="default"/>
          <w:b/>
          <w:bCs/>
        </w:rPr>
        <w:t>自</w:t>
      </w: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日起适用的会计政策</w:t>
      </w:r>
      <w:r>
        <w:rPr>
          <w:rFonts w:ascii="宋体" w:hAnsi="宋体" w:cs="宋体" w:eastAsia="宋体" w:hint="default"/>
          <w:b/>
          <w:bCs/>
          <w:w w:val="100"/>
        </w:rPr>
        <w:t> </w:t>
      </w:r>
      <w:r>
        <w:rPr>
          <w:spacing w:val="-3"/>
        </w:rPr>
        <w:t>根据本公司管理金融资产的业务模式和金融资产的合同现金流量特征，金融资产于初始确认</w:t>
      </w:r>
      <w:r>
        <w:rPr>
          <w:spacing w:val="-29"/>
        </w:rPr>
        <w:t> </w:t>
      </w:r>
      <w:r>
        <w:rPr>
          <w:spacing w:val="-29"/>
        </w:rPr>
      </w:r>
      <w:r>
        <w:rPr>
          <w:spacing w:val="-3"/>
        </w:rPr>
        <w:t>时分类为：以摊余成本计量的金融资产、以公允价值计量且其变动计入其他综合收益的金融</w:t>
      </w:r>
      <w:r>
        <w:rPr>
          <w:spacing w:val="-29"/>
        </w:rPr>
        <w:t> </w:t>
      </w:r>
      <w:r>
        <w:rPr>
          <w:spacing w:val="-29"/>
        </w:rPr>
      </w:r>
      <w:r>
        <w:rPr/>
        <w:t>资产（债务工具）和以公允价值计量且其变动计入当期损益的金融资产。</w:t>
      </w:r>
      <w:r>
        <w:rPr>
          <w:w w:val="100"/>
        </w:rPr>
        <w:t> </w:t>
      </w:r>
      <w:r>
        <w:rPr>
          <w:spacing w:val="2"/>
        </w:rPr>
        <w:t>业务模式是以收取合同现金流量为目标且合同现金流量仅为对本金和以未偿付本金金额为</w:t>
      </w:r>
      <w:r>
        <w:rPr>
          <w:spacing w:val="-33"/>
        </w:rPr>
        <w:t> </w:t>
      </w:r>
      <w:r>
        <w:rPr>
          <w:spacing w:val="-33"/>
        </w:rPr>
      </w:r>
      <w:r>
        <w:rPr>
          <w:spacing w:val="-3"/>
        </w:rPr>
        <w:t>基础的利息的支付的，分类为以摊余成本计量的金融资产；业务模式既以收取合同现金流量</w:t>
      </w:r>
      <w:r>
        <w:rPr>
          <w:spacing w:val="-31"/>
        </w:rPr>
        <w:t> </w:t>
      </w:r>
      <w:r>
        <w:rPr>
          <w:spacing w:val="-31"/>
        </w:rPr>
      </w:r>
      <w:r>
        <w:rPr>
          <w:spacing w:val="2"/>
        </w:rPr>
        <w:t>又以出售该金融资产为目标且合同现金流量仅为对本金和以未偿付本金金额为基础的利息</w:t>
      </w:r>
      <w:r>
        <w:rPr>
          <w:spacing w:val="-33"/>
        </w:rPr>
        <w:t> </w:t>
      </w:r>
      <w:r>
        <w:rPr>
          <w:spacing w:val="-33"/>
        </w:rPr>
      </w:r>
      <w:r>
        <w:rPr>
          <w:spacing w:val="-3"/>
          <w:w w:val="100"/>
        </w:rPr>
        <w:t>的支付的，分类为以公允价值计量且其变动计入其他综合收益的金融资产（债务工具）；除</w:t>
      </w:r>
    </w:p>
    <w:p>
      <w:pPr>
        <w:spacing w:after="0" w:line="271"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33"/>
        <w:jc w:val="left"/>
      </w:pPr>
      <w:r>
        <w:rPr/>
        <w:t>此之外的其他金融资产，分类为以公允价值计量且其变动计入当期损益的金融资产。</w:t>
      </w:r>
      <w:r>
        <w:rPr>
          <w:w w:val="100"/>
        </w:rPr>
        <w:t> </w:t>
      </w:r>
      <w:r>
        <w:rPr>
          <w:spacing w:val="-3"/>
        </w:rPr>
        <w:t>对于非交易性权益工具投资，本公司在初始确认时确定是否将其指定为以公允价值计量且其</w:t>
      </w:r>
      <w:r>
        <w:rPr>
          <w:spacing w:val="-30"/>
        </w:rPr>
        <w:t> </w:t>
      </w:r>
      <w:r>
        <w:rPr>
          <w:spacing w:val="-30"/>
        </w:rPr>
      </w:r>
      <w:r>
        <w:rPr>
          <w:spacing w:val="-6"/>
          <w:w w:val="100"/>
        </w:rPr>
        <w:t>变动计入其他综合收益的金融资产（权益工具）。</w:t>
      </w:r>
    </w:p>
    <w:p>
      <w:pPr>
        <w:spacing w:line="240" w:lineRule="auto" w:before="6"/>
        <w:rPr>
          <w:rFonts w:ascii="宋体" w:hAnsi="宋体" w:cs="宋体" w:eastAsia="宋体" w:hint="default"/>
          <w:sz w:val="24"/>
          <w:szCs w:val="24"/>
        </w:rPr>
      </w:pPr>
    </w:p>
    <w:p>
      <w:pPr>
        <w:pStyle w:val="BodyText"/>
        <w:spacing w:line="273" w:lineRule="auto"/>
        <w:ind w:right="1133"/>
        <w:jc w:val="left"/>
      </w:pPr>
      <w:r>
        <w:rPr>
          <w:spacing w:val="-3"/>
        </w:rPr>
        <w:t>金融负债于初始确认时分类为：以公允价值计量且其变动计入当期损益的金融负债和以摊余</w:t>
      </w:r>
      <w:r>
        <w:rPr>
          <w:spacing w:val="-29"/>
        </w:rPr>
        <w:t> </w:t>
      </w:r>
      <w:r>
        <w:rPr>
          <w:spacing w:val="-29"/>
        </w:rPr>
      </w:r>
      <w:r>
        <w:rPr/>
        <w:t>成本计量的金融负债。</w:t>
      </w:r>
    </w:p>
    <w:p>
      <w:pPr>
        <w:spacing w:line="240" w:lineRule="auto" w:before="6"/>
        <w:rPr>
          <w:rFonts w:ascii="宋体" w:hAnsi="宋体" w:cs="宋体" w:eastAsia="宋体" w:hint="default"/>
          <w:sz w:val="24"/>
          <w:szCs w:val="24"/>
        </w:rPr>
      </w:pPr>
    </w:p>
    <w:p>
      <w:pPr>
        <w:pStyle w:val="BodyText"/>
        <w:spacing w:line="273" w:lineRule="auto"/>
        <w:ind w:right="1133"/>
        <w:jc w:val="left"/>
      </w:pPr>
      <w:r>
        <w:rPr>
          <w:spacing w:val="2"/>
        </w:rPr>
        <w:t>符合以下条件之一的金融负债可在初始计量时指定为以公允价值计量且其变动计入当期损</w:t>
      </w:r>
      <w:r>
        <w:rPr>
          <w:spacing w:val="-33"/>
        </w:rPr>
        <w:t> </w:t>
      </w:r>
      <w:r>
        <w:rPr>
          <w:spacing w:val="-33"/>
        </w:rPr>
      </w:r>
      <w:r>
        <w:rPr/>
        <w:t>益的金融负债：</w:t>
      </w:r>
    </w:p>
    <w:p>
      <w:pPr>
        <w:pStyle w:val="BodyText"/>
        <w:spacing w:line="240" w:lineRule="auto" w:before="7"/>
        <w:ind w:right="1133"/>
        <w:jc w:val="left"/>
      </w:pPr>
      <w:r>
        <w:rPr>
          <w:rFonts w:ascii="Times New Roman" w:hAnsi="Times New Roman" w:cs="Times New Roman" w:eastAsia="Times New Roman" w:hint="default"/>
        </w:rPr>
        <w:t>1</w:t>
      </w:r>
      <w:r>
        <w:rPr/>
        <w:t>）该项指定能够消除或显著减少会计错配。</w:t>
      </w:r>
    </w:p>
    <w:p>
      <w:pPr>
        <w:pStyle w:val="BodyText"/>
        <w:spacing w:line="266" w:lineRule="auto" w:before="21"/>
        <w:ind w:right="1126"/>
        <w:jc w:val="both"/>
      </w:pPr>
      <w:r>
        <w:rPr>
          <w:rFonts w:ascii="Times New Roman" w:hAnsi="Times New Roman" w:cs="Times New Roman" w:eastAsia="Times New Roman" w:hint="default"/>
        </w:rPr>
        <w:t>2</w:t>
      </w:r>
      <w:r>
        <w:rPr/>
        <w:t>）根据正式书面文件载明的企业风险管理或投资策略，以公允价值为基础对金融负债组合</w:t>
      </w:r>
      <w:r>
        <w:rPr>
          <w:spacing w:val="-40"/>
        </w:rPr>
        <w:t> </w:t>
      </w:r>
      <w:r>
        <w:rPr>
          <w:spacing w:val="-40"/>
        </w:rPr>
      </w:r>
      <w:r>
        <w:rPr>
          <w:spacing w:val="-3"/>
        </w:rPr>
        <w:t>或金融资产和金融负债组合进行管理和业绩评价，并在企业内部以此为基础向关键管理人员</w:t>
      </w:r>
      <w:r>
        <w:rPr>
          <w:spacing w:val="-29"/>
        </w:rPr>
        <w:t> </w:t>
      </w:r>
      <w:r>
        <w:rPr>
          <w:spacing w:val="-29"/>
        </w:rPr>
      </w:r>
      <w:r>
        <w:rPr/>
        <w:t>报告。</w:t>
      </w:r>
    </w:p>
    <w:p>
      <w:pPr>
        <w:pStyle w:val="BodyText"/>
        <w:spacing w:line="240" w:lineRule="auto" w:before="14"/>
        <w:ind w:right="1133"/>
        <w:jc w:val="left"/>
      </w:pPr>
      <w:r>
        <w:rPr>
          <w:rFonts w:ascii="Times New Roman" w:hAnsi="Times New Roman" w:cs="Times New Roman" w:eastAsia="Times New Roman" w:hint="default"/>
        </w:rPr>
        <w:t>3</w:t>
      </w:r>
      <w:r>
        <w:rPr/>
        <w:t>）该金融负债包含需单独分拆的嵌入衍生工具。</w:t>
      </w:r>
    </w:p>
    <w:p>
      <w:pPr>
        <w:spacing w:line="240" w:lineRule="auto" w:before="6"/>
        <w:rPr>
          <w:rFonts w:ascii="宋体" w:hAnsi="宋体" w:cs="宋体" w:eastAsia="宋体" w:hint="default"/>
          <w:sz w:val="25"/>
          <w:szCs w:val="25"/>
        </w:rPr>
      </w:pPr>
    </w:p>
    <w:p>
      <w:pPr>
        <w:pStyle w:val="BodyText"/>
        <w:spacing w:line="268" w:lineRule="auto"/>
        <w:ind w:right="1133"/>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3"/>
        </w:rPr>
        <w:t>金融资产和金融负债于初始确认时分类为：以公允价值计量且其变动计入当期损益的金融资</w:t>
      </w:r>
      <w:r>
        <w:rPr>
          <w:spacing w:val="-30"/>
        </w:rPr>
        <w:t> </w:t>
      </w:r>
      <w:r>
        <w:rPr>
          <w:spacing w:val="-30"/>
        </w:rPr>
      </w:r>
      <w:r>
        <w:rPr>
          <w:spacing w:val="-3"/>
        </w:rPr>
        <w:t>产或金融负债，包括交易性金融资产或金融负债和直接指定为以公允价值计量且其变动计入</w:t>
      </w:r>
      <w:r>
        <w:rPr>
          <w:spacing w:val="-29"/>
        </w:rPr>
        <w:t> </w:t>
      </w:r>
      <w:r>
        <w:rPr>
          <w:spacing w:val="-29"/>
        </w:rPr>
      </w:r>
      <w:r>
        <w:rPr>
          <w:spacing w:val="-3"/>
        </w:rPr>
        <w:t>当期损益的金融资产或金融负债；持有至到期投资；应收款项；可供出售金融资产；其他金</w:t>
      </w:r>
      <w:r>
        <w:rPr>
          <w:spacing w:val="-31"/>
        </w:rPr>
        <w:t> </w:t>
      </w:r>
      <w:r>
        <w:rPr>
          <w:spacing w:val="-31"/>
        </w:rPr>
      </w:r>
      <w:r>
        <w:rPr/>
        <w:t>融负债等。</w:t>
      </w:r>
    </w:p>
    <w:p>
      <w:pPr>
        <w:spacing w:line="240" w:lineRule="auto" w:before="10"/>
        <w:rPr>
          <w:rFonts w:ascii="宋体" w:hAnsi="宋体" w:cs="宋体" w:eastAsia="宋体" w:hint="default"/>
          <w:sz w:val="24"/>
          <w:szCs w:val="24"/>
        </w:rPr>
      </w:pPr>
    </w:p>
    <w:p>
      <w:pPr>
        <w:pStyle w:val="Heading6"/>
        <w:spacing w:line="273" w:lineRule="auto"/>
        <w:ind w:left="1390" w:right="4274" w:hanging="502"/>
        <w:jc w:val="left"/>
        <w:rPr>
          <w:b w:val="0"/>
          <w:bCs w:val="0"/>
        </w:rPr>
      </w:pPr>
      <w:r>
        <w:rPr/>
        <w:t>金融工具的确认依据和计量方法</w:t>
      </w:r>
      <w:r>
        <w:rPr>
          <w:w w:val="100"/>
        </w:rPr>
        <w:t> </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日起适用的会计政策</w:t>
      </w:r>
      <w:r>
        <w:rPr>
          <w:b w:val="0"/>
          <w:bCs w:val="0"/>
          <w:spacing w:val="-1"/>
        </w:rPr>
      </w:r>
    </w:p>
    <w:p>
      <w:pPr>
        <w:pStyle w:val="BodyText"/>
        <w:spacing w:line="268" w:lineRule="auto"/>
        <w:ind w:right="1133"/>
        <w:jc w:val="left"/>
      </w:pPr>
      <w:r>
        <w:rPr/>
        <w:t>（</w:t>
      </w:r>
      <w:r>
        <w:rPr>
          <w:rFonts w:ascii="Times New Roman" w:hAnsi="Times New Roman" w:cs="Times New Roman" w:eastAsia="Times New Roman" w:hint="default"/>
        </w:rPr>
        <w:t>1</w:t>
      </w:r>
      <w:r>
        <w:rPr/>
        <w:t>）以摊余成本计量的金融资产</w:t>
      </w:r>
      <w:r>
        <w:rPr>
          <w:w w:val="100"/>
        </w:rPr>
        <w:t> </w:t>
      </w:r>
      <w:r>
        <w:rPr>
          <w:spacing w:val="-3"/>
        </w:rPr>
        <w:t>以摊余成本计量的金融资产包括应收票据、应收账款、其他应收款、长期应收款、债权投资</w:t>
      </w:r>
      <w:r>
        <w:rPr>
          <w:spacing w:val="-32"/>
        </w:rPr>
        <w:t> </w:t>
      </w:r>
      <w:r>
        <w:rPr>
          <w:spacing w:val="-32"/>
        </w:rPr>
      </w:r>
      <w:r>
        <w:rPr>
          <w:spacing w:val="-3"/>
        </w:rPr>
        <w:t>等，按公允价值进行初始计量，相关交易费用计入初始确认金额；不包含重大融资成分的应</w:t>
      </w:r>
      <w:r>
        <w:rPr>
          <w:spacing w:val="-35"/>
        </w:rPr>
        <w:t> </w:t>
      </w:r>
      <w:r>
        <w:rPr>
          <w:spacing w:val="-35"/>
        </w:rPr>
      </w:r>
      <w:r>
        <w:rPr>
          <w:spacing w:val="-3"/>
        </w:rPr>
        <w:t>收账款以及本公司决定不考虑不超过一年的融资成分的应收账款，以合同交易价格进行初始</w:t>
      </w:r>
      <w:r>
        <w:rPr>
          <w:spacing w:val="-29"/>
        </w:rPr>
        <w:t> </w:t>
      </w:r>
      <w:r>
        <w:rPr>
          <w:spacing w:val="-29"/>
        </w:rPr>
      </w:r>
      <w:r>
        <w:rPr/>
        <w:t>计量。</w:t>
      </w:r>
    </w:p>
    <w:p>
      <w:pPr>
        <w:pStyle w:val="BodyText"/>
        <w:spacing w:line="273" w:lineRule="auto" w:before="12"/>
        <w:ind w:right="1133"/>
        <w:jc w:val="left"/>
      </w:pPr>
      <w:r>
        <w:rPr/>
        <w:t>持有期间采用实际利率法计算的利息计入当期损益。</w:t>
      </w:r>
      <w:r>
        <w:rPr>
          <w:w w:val="100"/>
        </w:rPr>
        <w:t> </w:t>
      </w:r>
      <w:r>
        <w:rPr>
          <w:spacing w:val="-2"/>
        </w:rPr>
        <w:t>收回或处置时，将取得的价款与该金融资产账面价值之间的差额计入当期损益。</w:t>
      </w:r>
    </w:p>
    <w:p>
      <w:pPr>
        <w:spacing w:line="240" w:lineRule="auto" w:before="6"/>
        <w:rPr>
          <w:rFonts w:ascii="宋体" w:hAnsi="宋体" w:cs="宋体" w:eastAsia="宋体" w:hint="default"/>
          <w:sz w:val="24"/>
          <w:szCs w:val="24"/>
        </w:rPr>
      </w:pPr>
    </w:p>
    <w:p>
      <w:pPr>
        <w:pStyle w:val="BodyText"/>
        <w:spacing w:line="271" w:lineRule="auto"/>
        <w:ind w:right="1133"/>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3"/>
        </w:rPr>
        <w:t>以公允价值计量且其变动计入其他综合收益的金融资产（债务工具）包括应收款项融资、其</w:t>
      </w:r>
      <w:r>
        <w:rPr>
          <w:spacing w:val="-31"/>
        </w:rPr>
        <w:t> </w:t>
      </w:r>
      <w:r>
        <w:rPr>
          <w:spacing w:val="-31"/>
        </w:rPr>
      </w:r>
      <w:r>
        <w:rPr>
          <w:spacing w:val="-3"/>
        </w:rPr>
        <w:t>他债权投资等，按公允价值进行初始计量，相关交易费用计入初始确认金额。该金融资产按</w:t>
      </w:r>
      <w:r>
        <w:rPr>
          <w:spacing w:val="-35"/>
        </w:rPr>
        <w:t> </w:t>
      </w:r>
      <w:r>
        <w:rPr>
          <w:spacing w:val="-35"/>
        </w:rPr>
      </w:r>
      <w:r>
        <w:rPr>
          <w:spacing w:val="-3"/>
        </w:rPr>
        <w:t>公允价值进行后续计量，公允价值变动除采用实际利率法计算的利息、减值损失或利得和汇</w:t>
      </w:r>
      <w:r>
        <w:rPr>
          <w:spacing w:val="-29"/>
        </w:rPr>
        <w:t> </w:t>
      </w:r>
      <w:r>
        <w:rPr>
          <w:spacing w:val="-29"/>
        </w:rPr>
      </w:r>
      <w:r>
        <w:rPr/>
        <w:t>兑损益之外，均计入其他综合收益。</w:t>
      </w:r>
      <w:r>
        <w:rPr>
          <w:w w:val="100"/>
        </w:rPr>
        <w:t> </w:t>
      </w:r>
      <w:r>
        <w:rPr>
          <w:spacing w:val="-3"/>
        </w:rPr>
        <w:t>终止确认时，之前计入其他综合收益的累计利得或损失从其他综合收益中转出，计入当期损</w:t>
      </w:r>
      <w:r>
        <w:rPr>
          <w:spacing w:val="-31"/>
        </w:rPr>
        <w:t> </w:t>
      </w:r>
      <w:r>
        <w:rPr>
          <w:spacing w:val="-31"/>
        </w:rPr>
      </w:r>
      <w:r>
        <w:rPr/>
        <w:t>益。</w:t>
      </w:r>
    </w:p>
    <w:p>
      <w:pPr>
        <w:spacing w:line="240" w:lineRule="auto" w:before="8"/>
        <w:rPr>
          <w:rFonts w:ascii="宋体" w:hAnsi="宋体" w:cs="宋体" w:eastAsia="宋体" w:hint="default"/>
          <w:sz w:val="24"/>
          <w:szCs w:val="24"/>
        </w:rPr>
      </w:pPr>
    </w:p>
    <w:p>
      <w:pPr>
        <w:pStyle w:val="BodyText"/>
        <w:spacing w:line="268" w:lineRule="auto"/>
        <w:ind w:right="1133"/>
        <w:jc w:val="left"/>
      </w:pPr>
      <w:r>
        <w:rPr/>
        <w:t>（</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3"/>
        </w:rPr>
        <w:t>以公允价值计量且其变动计入其他综合收益的金融资产（权益工具）包括其他权益工具投资</w:t>
      </w:r>
      <w:r>
        <w:rPr>
          <w:spacing w:val="-31"/>
        </w:rPr>
        <w:t> </w:t>
      </w:r>
      <w:r>
        <w:rPr>
          <w:spacing w:val="-31"/>
        </w:rPr>
      </w:r>
      <w:r>
        <w:rPr>
          <w:spacing w:val="-3"/>
        </w:rPr>
        <w:t>等，按公允价值进行初始计量，相关交易费用计入初始确认金额。该金融资产按公允价值进</w:t>
      </w:r>
      <w:r>
        <w:rPr>
          <w:spacing w:val="-35"/>
        </w:rPr>
        <w:t> </w:t>
      </w:r>
      <w:r>
        <w:rPr>
          <w:spacing w:val="-35"/>
        </w:rPr>
      </w:r>
      <w:r>
        <w:rPr/>
        <w:t>行后续计量，公允价值变动计入其他综合收益。取得的股利计入当期损益。</w:t>
      </w:r>
      <w:r>
        <w:rPr>
          <w:w w:val="100"/>
        </w:rPr>
        <w:t> </w:t>
      </w:r>
      <w:r>
        <w:rPr>
          <w:spacing w:val="-3"/>
        </w:rPr>
        <w:t>终止确认时，之前计入其他综合收益的累计利得或损失从其他综合收益中转出，计入留存收</w:t>
      </w:r>
    </w:p>
    <w:p>
      <w:pPr>
        <w:spacing w:after="0" w:line="268"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right="1133"/>
        <w:jc w:val="left"/>
      </w:pPr>
      <w:r>
        <w:rPr/>
        <w:t>益。</w:t>
      </w:r>
    </w:p>
    <w:p>
      <w:pPr>
        <w:spacing w:line="240" w:lineRule="auto" w:before="9"/>
        <w:rPr>
          <w:rFonts w:ascii="宋体" w:hAnsi="宋体" w:cs="宋体" w:eastAsia="宋体" w:hint="default"/>
          <w:sz w:val="26"/>
          <w:szCs w:val="26"/>
        </w:rPr>
      </w:pPr>
    </w:p>
    <w:p>
      <w:pPr>
        <w:pStyle w:val="BodyText"/>
        <w:spacing w:line="266" w:lineRule="auto"/>
        <w:ind w:right="1133"/>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3"/>
        </w:rPr>
        <w:t>以公允价值计量且其变动计入当期损益的金融资产包括交易性金融资产、衍生金融资产、其</w:t>
      </w:r>
      <w:r>
        <w:rPr>
          <w:spacing w:val="-30"/>
        </w:rPr>
        <w:t> </w:t>
      </w:r>
      <w:r>
        <w:rPr>
          <w:spacing w:val="-30"/>
        </w:rPr>
      </w:r>
      <w:r>
        <w:rPr>
          <w:spacing w:val="-3"/>
        </w:rPr>
        <w:t>他非流动金融资产等，按公允价值进行初始计量，相关交易费用计入当期损益。该金融资产</w:t>
      </w:r>
      <w:r>
        <w:rPr>
          <w:spacing w:val="-33"/>
        </w:rPr>
        <w:t> </w:t>
      </w:r>
      <w:r>
        <w:rPr>
          <w:spacing w:val="-33"/>
        </w:rPr>
      </w:r>
      <w:r>
        <w:rPr/>
        <w:t>按公允价值进行后续计量，公允价值变动计入当期损益。</w:t>
      </w:r>
    </w:p>
    <w:p>
      <w:pPr>
        <w:spacing w:line="240" w:lineRule="auto" w:before="12"/>
        <w:rPr>
          <w:rFonts w:ascii="宋体" w:hAnsi="宋体" w:cs="宋体" w:eastAsia="宋体" w:hint="default"/>
          <w:sz w:val="24"/>
          <w:szCs w:val="24"/>
        </w:rPr>
      </w:pPr>
    </w:p>
    <w:p>
      <w:pPr>
        <w:pStyle w:val="BodyText"/>
        <w:spacing w:line="268" w:lineRule="auto"/>
        <w:ind w:right="1133"/>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2"/>
        </w:rPr>
        <w:t>以公允价值计量且其变动计入当期损益的金融负债包括交易性金融负债、衍生金融负债等，</w:t>
      </w:r>
      <w:r>
        <w:rPr>
          <w:spacing w:val="-30"/>
        </w:rPr>
        <w:t> </w:t>
      </w:r>
      <w:r>
        <w:rPr>
          <w:spacing w:val="-30"/>
        </w:rPr>
      </w:r>
      <w:r>
        <w:rPr>
          <w:spacing w:val="-3"/>
        </w:rPr>
        <w:t>按公允价值进行初始计量，相关交易费用计入当期损益。该金融负债按公允价值进行后续计</w:t>
      </w:r>
      <w:r>
        <w:rPr>
          <w:spacing w:val="-30"/>
        </w:rPr>
        <w:t> </w:t>
      </w:r>
      <w:r>
        <w:rPr>
          <w:spacing w:val="-30"/>
        </w:rPr>
      </w:r>
      <w:r>
        <w:rPr/>
        <w:t>量，公允价值变动计入当期损益。</w:t>
      </w:r>
      <w:r>
        <w:rPr>
          <w:w w:val="100"/>
        </w:rPr>
        <w:t> </w:t>
      </w:r>
      <w:r>
        <w:rPr/>
        <w:t>终止确认时，其账面价值与支付的对价之间的差额计入当期损益。</w:t>
      </w:r>
    </w:p>
    <w:p>
      <w:pPr>
        <w:spacing w:line="240" w:lineRule="auto" w:before="11"/>
        <w:rPr>
          <w:rFonts w:ascii="宋体" w:hAnsi="宋体" w:cs="宋体" w:eastAsia="宋体" w:hint="default"/>
          <w:sz w:val="24"/>
          <w:szCs w:val="24"/>
        </w:rPr>
      </w:pPr>
    </w:p>
    <w:p>
      <w:pPr>
        <w:pStyle w:val="BodyText"/>
        <w:spacing w:line="268" w:lineRule="auto"/>
        <w:ind w:right="1133"/>
        <w:jc w:val="left"/>
      </w:pPr>
      <w:r>
        <w:rPr/>
        <w:t>（</w:t>
      </w:r>
      <w:r>
        <w:rPr>
          <w:rFonts w:ascii="Times New Roman" w:hAnsi="Times New Roman" w:cs="Times New Roman" w:eastAsia="Times New Roman" w:hint="default"/>
        </w:rPr>
        <w:t>6</w:t>
      </w:r>
      <w:r>
        <w:rPr/>
        <w:t>）以摊余成本计量的金融负债</w:t>
      </w:r>
      <w:r>
        <w:rPr>
          <w:w w:val="100"/>
        </w:rPr>
        <w:t> </w:t>
      </w:r>
      <w:r>
        <w:rPr>
          <w:spacing w:val="-2"/>
        </w:rPr>
        <w:t>以摊余成本计量的金融负债包括短期借款、应付票据、应付账款、其他应付款、长期借款、</w:t>
      </w:r>
      <w:r>
        <w:rPr>
          <w:spacing w:val="-31"/>
        </w:rPr>
        <w:t> </w:t>
      </w:r>
      <w:r>
        <w:rPr>
          <w:spacing w:val="-31"/>
        </w:rPr>
      </w:r>
      <w:r>
        <w:rPr/>
        <w:t>应付债券、长期应付款，按公允价值进行初始计量，相关交易费用计入初始确认金额。</w:t>
      </w:r>
      <w:r>
        <w:rPr>
          <w:w w:val="100"/>
        </w:rPr>
        <w:t> </w:t>
      </w:r>
      <w:r>
        <w:rPr/>
        <w:t>持有期间采用实际利率法计算的利息计入当期损益。</w:t>
      </w:r>
      <w:r>
        <w:rPr>
          <w:w w:val="100"/>
        </w:rPr>
        <w:t> </w:t>
      </w:r>
      <w:r>
        <w:rPr/>
        <w:t>终止确认时，将支付的对价与该金融负债账面价值之间的差额计入当期损益。</w:t>
      </w:r>
    </w:p>
    <w:p>
      <w:pPr>
        <w:spacing w:line="240" w:lineRule="auto" w:before="10"/>
        <w:rPr>
          <w:rFonts w:ascii="宋体" w:hAnsi="宋体" w:cs="宋体" w:eastAsia="宋体" w:hint="default"/>
          <w:sz w:val="24"/>
          <w:szCs w:val="24"/>
        </w:rPr>
      </w:pPr>
    </w:p>
    <w:p>
      <w:pPr>
        <w:pStyle w:val="Heading6"/>
        <w:spacing w:line="240" w:lineRule="auto"/>
        <w:ind w:left="1390" w:right="1133"/>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268" w:lineRule="auto" w:before="21"/>
        <w:ind w:right="1133"/>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w:t>
      </w:r>
      <w:r>
        <w:rPr>
          <w:spacing w:val="-33"/>
        </w:rPr>
        <w:t> </w:t>
      </w:r>
      <w:r>
        <w:rPr>
          <w:spacing w:val="-33"/>
        </w:rPr>
      </w:r>
      <w:r>
        <w:rPr/>
        <w:t>息）作为初始确认金额，相关的交易费用计入当期损益。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3"/>
        </w:rPr>
        <w:t>处置时，其公允价值与初始入账金额之间的差额确认为投资收益，同时调整公允价值变动损</w:t>
      </w:r>
      <w:r>
        <w:rPr>
          <w:spacing w:val="-30"/>
        </w:rPr>
        <w:t> </w:t>
      </w:r>
      <w:r>
        <w:rPr>
          <w:spacing w:val="-30"/>
        </w:rPr>
      </w:r>
      <w:r>
        <w:rPr/>
        <w:t>益。</w:t>
      </w:r>
    </w:p>
    <w:p>
      <w:pPr>
        <w:pStyle w:val="BodyText"/>
        <w:spacing w:line="268" w:lineRule="auto" w:before="12"/>
        <w:ind w:right="1133"/>
        <w:jc w:val="left"/>
      </w:pPr>
      <w:r>
        <w:rPr/>
        <w:t>（</w:t>
      </w:r>
      <w:r>
        <w:rPr>
          <w:rFonts w:ascii="Times New Roman" w:hAnsi="Times New Roman" w:cs="Times New Roman" w:eastAsia="Times New Roman" w:hint="default"/>
        </w:rPr>
        <w:t>2</w:t>
      </w:r>
      <w:r>
        <w:rPr/>
        <w:t>）持有至到期投资</w:t>
      </w:r>
      <w:r>
        <w:rPr>
          <w:w w:val="100"/>
        </w:rPr>
        <w:t> </w:t>
      </w:r>
      <w:r>
        <w:rPr>
          <w:spacing w:val="-3"/>
        </w:rPr>
        <w:t>取得时按公允价值（扣除已到付息期但尚未领取的债券利息）和相关交易费用之和作为初始</w:t>
      </w:r>
      <w:r>
        <w:rPr>
          <w:spacing w:val="-30"/>
        </w:rPr>
        <w:t> </w:t>
      </w:r>
      <w:r>
        <w:rPr>
          <w:spacing w:val="-30"/>
        </w:rPr>
      </w:r>
      <w:r>
        <w:rPr/>
        <w:t>确认金额。</w:t>
      </w:r>
      <w:r>
        <w:rPr>
          <w:spacing w:val="-102"/>
        </w:rPr>
        <w:t> </w:t>
      </w:r>
      <w:r>
        <w:rPr>
          <w:spacing w:val="-102"/>
        </w:rPr>
      </w:r>
      <w:r>
        <w:rPr>
          <w:spacing w:val="-3"/>
        </w:rPr>
        <w:t>持有期间按照摊余成本和实际利率计算确认利息收入，计入投资收益。实际利率在取得时确</w:t>
      </w:r>
      <w:r>
        <w:rPr>
          <w:spacing w:val="-30"/>
        </w:rPr>
        <w:t> </w:t>
      </w:r>
      <w:r>
        <w:rPr>
          <w:spacing w:val="-30"/>
        </w:rPr>
      </w:r>
      <w:r>
        <w:rPr/>
        <w:t>定，在该预期存续期间或适用的更短期间内保持不变。</w:t>
      </w:r>
      <w:r>
        <w:rPr>
          <w:w w:val="100"/>
        </w:rPr>
        <w:t> </w:t>
      </w:r>
      <w:r>
        <w:rPr/>
        <w:t>处置时，将所取得价款与该投资账面价值之间的差额计入投资收益。</w:t>
      </w:r>
    </w:p>
    <w:p>
      <w:pPr>
        <w:pStyle w:val="BodyText"/>
        <w:spacing w:line="268" w:lineRule="auto" w:before="12"/>
        <w:ind w:right="1133"/>
        <w:jc w:val="left"/>
      </w:pPr>
      <w:r>
        <w:rPr/>
        <w:t>（</w:t>
      </w:r>
      <w:r>
        <w:rPr>
          <w:rFonts w:ascii="Times New Roman" w:hAnsi="Times New Roman" w:cs="Times New Roman" w:eastAsia="Times New Roman" w:hint="default"/>
        </w:rPr>
        <w:t>3</w:t>
      </w:r>
      <w:r>
        <w:rPr/>
        <w:t>）应收款项</w:t>
      </w:r>
      <w:r>
        <w:rPr>
          <w:w w:val="100"/>
        </w:rPr>
        <w:t> </w:t>
      </w:r>
      <w:r>
        <w:rPr>
          <w:spacing w:val="-3"/>
        </w:rPr>
        <w:t>公司对外销售商品或提供劳务形成的应收债权，以及公司持有的其他企业的不包括在活跃市</w:t>
      </w:r>
      <w:r>
        <w:rPr>
          <w:spacing w:val="-30"/>
        </w:rPr>
        <w:t> </w:t>
      </w:r>
      <w:r>
        <w:rPr>
          <w:spacing w:val="-30"/>
        </w:rPr>
      </w:r>
      <w:r>
        <w:rPr>
          <w:spacing w:val="-3"/>
        </w:rPr>
        <w:t>场上有报价的债务工具的债权，包括应收账款、其他应收款等，以向购货方应收的合同或协</w:t>
      </w:r>
      <w:r>
        <w:rPr>
          <w:spacing w:val="-31"/>
        </w:rPr>
        <w:t> </w:t>
      </w:r>
      <w:r>
        <w:rPr>
          <w:spacing w:val="-31"/>
        </w:rPr>
      </w:r>
      <w:r>
        <w:rPr/>
        <w:t>议价款作为初始确认金额；具有融资性质的，按其现值进行初始确认。</w:t>
      </w:r>
      <w:r>
        <w:rPr>
          <w:w w:val="100"/>
        </w:rPr>
        <w:t> </w:t>
      </w:r>
      <w:r>
        <w:rPr/>
        <w:t>收回或处置时，将取得的价款与该应收款项账面价值之间的差额计入当期损益。</w:t>
      </w:r>
    </w:p>
    <w:p>
      <w:pPr>
        <w:pStyle w:val="BodyText"/>
        <w:spacing w:line="268" w:lineRule="auto" w:before="12"/>
        <w:ind w:right="1133"/>
        <w:jc w:val="left"/>
      </w:pPr>
      <w:r>
        <w:rPr/>
        <w:t>（</w:t>
      </w:r>
      <w:r>
        <w:rPr>
          <w:rFonts w:ascii="Times New Roman" w:hAnsi="Times New Roman" w:cs="Times New Roman" w:eastAsia="Times New Roman" w:hint="default"/>
        </w:rPr>
        <w:t>4</w:t>
      </w:r>
      <w:r>
        <w:rPr/>
        <w:t>）可供出售金融资产</w:t>
      </w:r>
      <w:r>
        <w:rPr>
          <w:w w:val="100"/>
        </w:rPr>
        <w:t> </w:t>
      </w:r>
      <w:r>
        <w:rPr>
          <w:spacing w:val="2"/>
        </w:rPr>
        <w:t>取得时按公允价值（扣除已宣告但尚未发放的现金股利或已到付息期但尚未领取的债券利</w:t>
      </w:r>
      <w:r>
        <w:rPr>
          <w:spacing w:val="-33"/>
        </w:rPr>
        <w:t> </w:t>
      </w:r>
      <w:r>
        <w:rPr>
          <w:spacing w:val="-33"/>
        </w:rPr>
      </w:r>
      <w:r>
        <w:rPr/>
        <w:t>息）和相关交易费用之和作为初始确认金额。</w:t>
      </w:r>
      <w:r>
        <w:rPr>
          <w:w w:val="100"/>
        </w:rPr>
        <w:t> </w:t>
      </w:r>
      <w:r>
        <w:rPr>
          <w:spacing w:val="-3"/>
        </w:rPr>
        <w:t>持有期间将取得的利息或现金股利确认为投资收益。期末以公允价值计量且将公允价值变动</w:t>
      </w:r>
      <w:r>
        <w:rPr>
          <w:spacing w:val="-30"/>
        </w:rPr>
        <w:t> </w:t>
      </w:r>
      <w:r>
        <w:rPr>
          <w:spacing w:val="-30"/>
        </w:rPr>
      </w:r>
      <w:r>
        <w:rPr>
          <w:spacing w:val="-3"/>
        </w:rPr>
        <w:t>计入其他综合收益。但是，在活跃市场中没有报价且其公允价值不能可靠计量的权益工具投</w:t>
      </w:r>
      <w:r>
        <w:rPr>
          <w:spacing w:val="-30"/>
        </w:rPr>
        <w:t> </w:t>
      </w:r>
      <w:r>
        <w:rPr>
          <w:spacing w:val="-30"/>
        </w:rPr>
      </w:r>
      <w:r>
        <w:rPr>
          <w:spacing w:val="-2"/>
        </w:rPr>
        <w:t>资，以及与该权益工具挂钩并须通过交付该权益工具结算的衍生金融资产，按照成本计量。</w:t>
      </w:r>
      <w:r>
        <w:rPr>
          <w:spacing w:val="-34"/>
        </w:rPr>
        <w:t> </w:t>
      </w:r>
      <w:r>
        <w:rPr>
          <w:spacing w:val="-34"/>
        </w:rPr>
      </w:r>
      <w:r>
        <w:rPr>
          <w:spacing w:val="-3"/>
        </w:rPr>
        <w:t>处置时，将取得的价款与该金融资产账面价值之间的差额，计入投资损益；同时，将原直接</w:t>
      </w:r>
    </w:p>
    <w:p>
      <w:pPr>
        <w:spacing w:after="0" w:line="268"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right="0"/>
        <w:jc w:val="both"/>
      </w:pPr>
      <w:r>
        <w:rPr/>
        <w:t>计入其他综合收益的公允价值变动累计额对应处置部分的金额转出，计入当期损益。</w:t>
      </w:r>
    </w:p>
    <w:p>
      <w:pPr>
        <w:pStyle w:val="BodyText"/>
        <w:spacing w:line="256" w:lineRule="auto" w:before="37"/>
        <w:ind w:right="1133"/>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7"/>
        <w:rPr>
          <w:rFonts w:ascii="宋体" w:hAnsi="宋体" w:cs="宋体" w:eastAsia="宋体" w:hint="default"/>
          <w:sz w:val="25"/>
          <w:szCs w:val="25"/>
        </w:rPr>
      </w:pPr>
    </w:p>
    <w:p>
      <w:pPr>
        <w:pStyle w:val="BodyText"/>
        <w:spacing w:line="273" w:lineRule="auto"/>
        <w:ind w:right="1133" w:hanging="502"/>
        <w:jc w:val="left"/>
      </w:pPr>
      <w:r>
        <w:rPr>
          <w:rFonts w:ascii="宋体" w:hAnsi="宋体" w:cs="宋体" w:eastAsia="宋体" w:hint="default"/>
          <w:b/>
          <w:bCs/>
        </w:rPr>
        <w:t>金融资产转移的确认依据和计量方法</w:t>
      </w:r>
      <w:r>
        <w:rPr>
          <w:rFonts w:ascii="宋体" w:hAnsi="宋体" w:cs="宋体" w:eastAsia="宋体" w:hint="default"/>
          <w:b/>
          <w:bCs/>
          <w:w w:val="100"/>
        </w:rPr>
        <w:t> </w:t>
      </w:r>
      <w:r>
        <w:rPr>
          <w:spacing w:val="-2"/>
        </w:rPr>
        <w:t>公司发生金融资产转移时，如已将金融资产所有权上几乎所有的风险和报酬转移给转入方，</w:t>
      </w:r>
      <w:r>
        <w:rPr>
          <w:w w:val="100"/>
        </w:rPr>
        <w:t> </w:t>
      </w:r>
      <w:r>
        <w:rPr>
          <w:spacing w:val="-3"/>
        </w:rPr>
        <w:t>则终止确认该金融资产；如保留了金融资产所有权上几乎所有的风险和报酬的，则不终止确</w:t>
      </w:r>
      <w:r>
        <w:rPr>
          <w:w w:val="100"/>
        </w:rPr>
        <w:t> </w:t>
      </w:r>
      <w:r>
        <w:rPr/>
        <w:t>认该金融资产。</w:t>
      </w:r>
      <w:r>
        <w:rPr>
          <w:w w:val="100"/>
        </w:rPr>
        <w:t> </w:t>
      </w:r>
      <w:r>
        <w:rPr/>
        <w:t>在判断金融资产转移是否满足上述金融资产终止确认条件时，采用实质重于形式的原则。</w:t>
      </w:r>
      <w:r>
        <w:rPr>
          <w:w w:val="100"/>
        </w:rPr>
        <w:t> </w:t>
      </w:r>
      <w:r>
        <w:rPr>
          <w:spacing w:val="-3"/>
        </w:rPr>
        <w:t>公司将金融资产转移区分为金融资产整体转移和部分转移。金融资产整体转移满足终止确认</w:t>
      </w:r>
      <w:r>
        <w:rPr>
          <w:w w:val="100"/>
        </w:rPr>
        <w:t> </w:t>
      </w:r>
      <w:r>
        <w:rPr/>
        <w:t>条件的，将下列两项金额的差额计入当期损益：</w:t>
      </w:r>
    </w:p>
    <w:p>
      <w:pPr>
        <w:pStyle w:val="BodyText"/>
        <w:spacing w:line="240" w:lineRule="auto" w:before="7"/>
        <w:ind w:right="0"/>
        <w:jc w:val="both"/>
      </w:pPr>
      <w:r>
        <w:rPr/>
        <w:t>（</w:t>
      </w:r>
      <w:r>
        <w:rPr>
          <w:rFonts w:ascii="Times New Roman" w:hAnsi="Times New Roman" w:cs="Times New Roman" w:eastAsia="Times New Roman" w:hint="default"/>
        </w:rPr>
        <w:t>1</w:t>
      </w:r>
      <w:r>
        <w:rPr/>
        <w:t>）所转移金融资产的账面价值；</w:t>
      </w:r>
    </w:p>
    <w:p>
      <w:pPr>
        <w:pStyle w:val="BodyText"/>
        <w:spacing w:line="264" w:lineRule="auto" w:before="22"/>
        <w:ind w:right="1126"/>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w:t>
      </w:r>
      <w:r>
        <w:rPr>
          <w:spacing w:val="-40"/>
        </w:rPr>
        <w:t> </w:t>
      </w:r>
      <w:r>
        <w:rPr>
          <w:spacing w:val="-40"/>
        </w:rPr>
      </w:r>
      <w:r>
        <w:rPr>
          <w:spacing w:val="-3"/>
          <w:w w:val="100"/>
        </w:rPr>
        <w:t>金融资产为以公允价值计量且其变动计入其他综合收益的金融资产（债务工具）、可供出售</w:t>
      </w:r>
      <w:r>
        <w:rPr>
          <w:spacing w:val="-76"/>
          <w:w w:val="100"/>
        </w:rPr>
        <w:t> </w:t>
      </w:r>
      <w:r>
        <w:rPr>
          <w:spacing w:val="-76"/>
          <w:w w:val="100"/>
        </w:rPr>
      </w:r>
      <w:r>
        <w:rPr/>
        <w:t>金融资产的情形）之和。</w:t>
      </w:r>
    </w:p>
    <w:p>
      <w:pPr>
        <w:spacing w:line="240" w:lineRule="auto" w:before="1"/>
        <w:rPr>
          <w:rFonts w:ascii="宋体" w:hAnsi="宋体" w:cs="宋体" w:eastAsia="宋体" w:hint="default"/>
          <w:sz w:val="25"/>
          <w:szCs w:val="25"/>
        </w:rPr>
      </w:pPr>
    </w:p>
    <w:p>
      <w:pPr>
        <w:pStyle w:val="BodyText"/>
        <w:spacing w:line="273" w:lineRule="auto"/>
        <w:ind w:right="1126"/>
        <w:jc w:val="both"/>
      </w:pPr>
      <w:r>
        <w:rPr>
          <w:spacing w:val="-3"/>
        </w:rPr>
        <w:t>金融资产部分转移满足终止确认条件的，将所转移金融资产整体的账面价值，在终止确认部</w:t>
      </w:r>
      <w:r>
        <w:rPr>
          <w:spacing w:val="-30"/>
        </w:rPr>
        <w:t> </w:t>
      </w:r>
      <w:r>
        <w:rPr>
          <w:spacing w:val="-30"/>
        </w:rPr>
      </w:r>
      <w:r>
        <w:rPr>
          <w:spacing w:val="-3"/>
        </w:rPr>
        <w:t>分和未终止确认部分之间，按照各自的相对公允价值进行分摊，并将下列两项金额的差额计</w:t>
      </w:r>
      <w:r>
        <w:rPr>
          <w:spacing w:val="-31"/>
        </w:rPr>
        <w:t> </w:t>
      </w:r>
      <w:r>
        <w:rPr>
          <w:spacing w:val="-31"/>
        </w:rPr>
      </w:r>
      <w:r>
        <w:rPr/>
        <w:t>入当期损益：</w:t>
      </w:r>
    </w:p>
    <w:p>
      <w:pPr>
        <w:pStyle w:val="BodyText"/>
        <w:spacing w:line="240" w:lineRule="auto" w:before="7"/>
        <w:ind w:right="0"/>
        <w:jc w:val="both"/>
      </w:pPr>
      <w:r>
        <w:rPr/>
        <w:t>（</w:t>
      </w:r>
      <w:r>
        <w:rPr>
          <w:rFonts w:ascii="Times New Roman" w:hAnsi="Times New Roman" w:cs="Times New Roman" w:eastAsia="Times New Roman" w:hint="default"/>
        </w:rPr>
        <w:t>1</w:t>
      </w:r>
      <w:r>
        <w:rPr/>
        <w:t>）终止确认部分的账面价值；</w:t>
      </w:r>
    </w:p>
    <w:p>
      <w:pPr>
        <w:pStyle w:val="BodyText"/>
        <w:spacing w:line="268" w:lineRule="auto" w:before="21"/>
        <w:ind w:right="113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w:t>
      </w:r>
      <w:r>
        <w:rPr>
          <w:spacing w:val="-40"/>
        </w:rPr>
        <w:t> </w:t>
      </w:r>
      <w:r>
        <w:rPr>
          <w:spacing w:val="-40"/>
        </w:rPr>
      </w:r>
      <w:r>
        <w:rPr>
          <w:spacing w:val="-3"/>
        </w:rPr>
        <w:t>认部分的金额（涉及转移的金融资产为以公允价值计量且其变动计入其他综合收益的金融资</w:t>
      </w:r>
      <w:r>
        <w:rPr>
          <w:spacing w:val="-30"/>
        </w:rPr>
        <w:t> </w:t>
      </w:r>
      <w:r>
        <w:rPr>
          <w:spacing w:val="-30"/>
        </w:rPr>
      </w:r>
      <w:r>
        <w:rPr>
          <w:spacing w:val="-6"/>
          <w:w w:val="100"/>
        </w:rPr>
        <w:t>产（债务工具）、可供出售金融资产的情形）之和。</w:t>
      </w:r>
      <w:r>
        <w:rPr>
          <w:spacing w:val="-103"/>
          <w:w w:val="100"/>
        </w:rPr>
        <w:t> </w:t>
      </w:r>
      <w:r>
        <w:rPr>
          <w:spacing w:val="-103"/>
          <w:w w:val="100"/>
        </w:rPr>
      </w:r>
      <w:r>
        <w:rPr>
          <w:spacing w:val="-3"/>
        </w:rPr>
        <w:t>金融资产转移不满足终止确认条件的，继续确认该金融资产，所收到的对价确认为一项金融</w:t>
      </w:r>
      <w:r>
        <w:rPr>
          <w:spacing w:val="-30"/>
        </w:rPr>
        <w:t> </w:t>
      </w:r>
      <w:r>
        <w:rPr>
          <w:spacing w:val="-30"/>
        </w:rPr>
      </w:r>
      <w:r>
        <w:rPr/>
        <w:t>负债。</w:t>
      </w:r>
    </w:p>
    <w:p>
      <w:pPr>
        <w:spacing w:line="240" w:lineRule="auto" w:before="10"/>
        <w:rPr>
          <w:rFonts w:ascii="宋体" w:hAnsi="宋体" w:cs="宋体" w:eastAsia="宋体" w:hint="default"/>
          <w:sz w:val="24"/>
          <w:szCs w:val="24"/>
        </w:rPr>
      </w:pPr>
    </w:p>
    <w:p>
      <w:pPr>
        <w:pStyle w:val="BodyText"/>
        <w:spacing w:line="273" w:lineRule="auto"/>
        <w:ind w:right="1133" w:hanging="502"/>
        <w:jc w:val="left"/>
      </w:pPr>
      <w:r>
        <w:rPr>
          <w:rFonts w:ascii="宋体" w:hAnsi="宋体" w:cs="宋体" w:eastAsia="宋体" w:hint="default"/>
          <w:b/>
          <w:bCs/>
        </w:rPr>
        <w:t>金融负债终止确认条件</w:t>
      </w:r>
      <w:r>
        <w:rPr>
          <w:rFonts w:ascii="宋体" w:hAnsi="宋体" w:cs="宋体" w:eastAsia="宋体" w:hint="default"/>
          <w:b/>
          <w:bCs/>
          <w:w w:val="100"/>
        </w:rPr>
        <w:t> </w:t>
      </w:r>
      <w:r>
        <w:rPr>
          <w:spacing w:val="-3"/>
        </w:rPr>
        <w:t>金融负债的现时义务全部或部分已经解除的，则终止确认该金融负债或其一部分；本公司若</w:t>
      </w:r>
      <w:r>
        <w:rPr>
          <w:w w:val="100"/>
        </w:rPr>
        <w:t> </w:t>
      </w:r>
      <w:r>
        <w:rPr>
          <w:spacing w:val="-3"/>
        </w:rPr>
        <w:t>与债权人签定协议，以承担新金融负债方式替换现存金融负债，且新金融负债与现存金融负</w:t>
      </w:r>
      <w:r>
        <w:rPr>
          <w:w w:val="100"/>
        </w:rPr>
        <w:t> </w:t>
      </w:r>
      <w:r>
        <w:rPr/>
        <w:t>债的合同条款实质上不同的，则终止确认现存金融负债，并同时确认新金融负债。</w:t>
      </w:r>
      <w:r>
        <w:rPr>
          <w:w w:val="100"/>
        </w:rPr>
        <w:t> </w:t>
      </w:r>
      <w:r>
        <w:rPr>
          <w:spacing w:val="-3"/>
        </w:rPr>
        <w:t>对现存金融负债全部或部分合同条款作出实质性修改的，则终止确认现存金融负债或其一部</w:t>
      </w:r>
      <w:r>
        <w:rPr>
          <w:w w:val="100"/>
        </w:rPr>
        <w:t> </w:t>
      </w:r>
      <w:r>
        <w:rPr/>
        <w:t>分，同时将修改条款后的金融负债确认为一项新金融负债。</w:t>
      </w:r>
      <w:r>
        <w:rPr>
          <w:w w:val="100"/>
        </w:rPr>
        <w:t> </w:t>
      </w:r>
      <w:r>
        <w:rPr>
          <w:spacing w:val="-3"/>
        </w:rPr>
        <w:t>金融负债全部或部分终止确认时，终止确认的金融负债账面价值与支付对价（包括转出的非</w:t>
      </w:r>
      <w:r>
        <w:rPr>
          <w:w w:val="100"/>
        </w:rPr>
        <w:t> </w:t>
      </w:r>
      <w:r>
        <w:rPr/>
        <w:t>现金资产或承担的新金融负债）之间的差额，计入当期损益。</w:t>
      </w:r>
      <w:r>
        <w:rPr>
          <w:w w:val="100"/>
        </w:rPr>
        <w:t> </w:t>
      </w:r>
      <w:r>
        <w:rPr>
          <w:spacing w:val="2"/>
        </w:rPr>
        <w:t>本公司若回购部分金融负债的，在回购日按照继续确认部分与终止确认部分的相对公允价</w:t>
      </w:r>
      <w:r>
        <w:rPr>
          <w:w w:val="100"/>
        </w:rPr>
        <w:t> </w:t>
      </w:r>
      <w:r>
        <w:rPr>
          <w:spacing w:val="-3"/>
        </w:rPr>
        <w:t>值，将该金融负债整体的账面价值进行分配。分配给终止确认部分的账面价值与支付的对价</w:t>
      </w:r>
    </w:p>
    <w:p>
      <w:pPr>
        <w:pStyle w:val="BodyText"/>
        <w:spacing w:line="240" w:lineRule="auto" w:before="7"/>
        <w:ind w:right="0"/>
        <w:jc w:val="both"/>
      </w:pPr>
      <w:r>
        <w:rPr/>
        <w:t>（包括转出的非现金资产或承担的新金融负债）之间的差额，计入当期损益。</w:t>
      </w:r>
    </w:p>
    <w:p>
      <w:pPr>
        <w:spacing w:line="240" w:lineRule="auto" w:before="9"/>
        <w:rPr>
          <w:rFonts w:ascii="宋体" w:hAnsi="宋体" w:cs="宋体" w:eastAsia="宋体" w:hint="default"/>
          <w:sz w:val="26"/>
          <w:szCs w:val="26"/>
        </w:rPr>
      </w:pPr>
    </w:p>
    <w:p>
      <w:pPr>
        <w:pStyle w:val="BodyText"/>
        <w:spacing w:line="273" w:lineRule="auto"/>
        <w:ind w:right="1133" w:hanging="502"/>
        <w:jc w:val="left"/>
      </w:pPr>
      <w:r>
        <w:rPr>
          <w:rFonts w:ascii="宋体" w:hAnsi="宋体" w:cs="宋体" w:eastAsia="宋体" w:hint="default"/>
          <w:b/>
          <w:bCs/>
        </w:rPr>
        <w:t>金融资产和金融负债的公允价值的确定方法</w:t>
      </w:r>
      <w:r>
        <w:rPr>
          <w:rFonts w:ascii="宋体" w:hAnsi="宋体" w:cs="宋体" w:eastAsia="宋体" w:hint="default"/>
          <w:b/>
          <w:bCs/>
          <w:w w:val="100"/>
        </w:rPr>
        <w:t> </w:t>
      </w:r>
      <w:r>
        <w:rPr>
          <w:spacing w:val="-3"/>
        </w:rPr>
        <w:t>存在活跃市场的金融工具，以活跃市场中的报价确定其公允价值。不存在活跃市场的金融工</w:t>
      </w:r>
      <w:r>
        <w:rPr>
          <w:w w:val="100"/>
        </w:rPr>
        <w:t> </w:t>
      </w:r>
      <w:r>
        <w:rPr>
          <w:spacing w:val="-3"/>
        </w:rPr>
        <w:t>具，采用估值技术确定其公允价值。在估值时，本公司采用在当前情况下适用并且有足够可</w:t>
      </w:r>
      <w:r>
        <w:rPr>
          <w:w w:val="100"/>
        </w:rPr>
        <w:t> </w:t>
      </w:r>
      <w:r>
        <w:rPr>
          <w:spacing w:val="-3"/>
        </w:rPr>
        <w:t>利用数据和其他信息支持的估值技术，选择与市场参与者在相关资产或负债的交易中所考虑</w:t>
      </w:r>
      <w:r>
        <w:rPr>
          <w:w w:val="100"/>
        </w:rPr>
        <w:t> </w:t>
      </w:r>
      <w:r>
        <w:rPr>
          <w:spacing w:val="-3"/>
        </w:rPr>
        <w:t>的资产或负债特征相一致的输入值，并优先使用相关可观察输入值。只有在相关可观察输入</w:t>
      </w:r>
      <w:r>
        <w:rPr>
          <w:w w:val="100"/>
        </w:rPr>
        <w:t> </w:t>
      </w:r>
      <w:r>
        <w:rPr/>
        <w:t>值无法取得或取得不切实可行的情况下，才使用不可观察输入值。</w:t>
      </w:r>
    </w:p>
    <w:p>
      <w:pPr>
        <w:spacing w:after="0" w:line="273"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6"/>
        <w:spacing w:line="273" w:lineRule="auto" w:before="36"/>
        <w:ind w:left="1390" w:right="3341" w:hanging="502"/>
        <w:jc w:val="left"/>
        <w:rPr>
          <w:b w:val="0"/>
          <w:bCs w:val="0"/>
        </w:rPr>
      </w:pPr>
      <w:r>
        <w:rPr>
          <w:spacing w:val="-1"/>
        </w:rPr>
        <w:t>金融资产减值的测试方法及会计处理方法</w:t>
      </w:r>
      <w:r>
        <w:rPr>
          <w:spacing w:val="-87"/>
        </w:rPr>
        <w:t> </w:t>
      </w:r>
      <w:r>
        <w:rPr>
          <w:spacing w:val="-87"/>
        </w:rPr>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日起适用的会计政策</w:t>
      </w:r>
      <w:r>
        <w:rPr>
          <w:b w:val="0"/>
          <w:bCs w:val="0"/>
        </w:rPr>
      </w:r>
    </w:p>
    <w:p>
      <w:pPr>
        <w:pStyle w:val="BodyText"/>
        <w:spacing w:line="268" w:lineRule="auto"/>
        <w:ind w:right="1133"/>
        <w:jc w:val="left"/>
      </w:pPr>
      <w:r>
        <w:rPr>
          <w:spacing w:val="-3"/>
        </w:rPr>
        <w:t>本公司考虑所有合理且有依据的信息，包括前瞻性信息，以单项或组合的方式对以摊余成本</w:t>
      </w:r>
      <w:r>
        <w:rPr>
          <w:spacing w:val="-30"/>
        </w:rPr>
        <w:t> </w:t>
      </w:r>
      <w:r>
        <w:rPr>
          <w:spacing w:val="-30"/>
        </w:rPr>
      </w:r>
      <w:r>
        <w:rPr>
          <w:spacing w:val="-3"/>
        </w:rPr>
        <w:t>计量的金融资产和以公允价值计量且其变动计入其他综合收益的金融资产（债务工具）的预</w:t>
      </w:r>
      <w:r>
        <w:rPr>
          <w:spacing w:val="-30"/>
        </w:rPr>
        <w:t> </w:t>
      </w:r>
      <w:r>
        <w:rPr>
          <w:spacing w:val="-30"/>
        </w:rPr>
      </w:r>
      <w:r>
        <w:rPr>
          <w:spacing w:val="-3"/>
        </w:rPr>
        <w:t>期信用损失进行估计。预期信用损失的计量取决于金融资产自初始确认后是否发生信用风险</w:t>
      </w:r>
      <w:r>
        <w:rPr>
          <w:spacing w:val="-30"/>
        </w:rPr>
        <w:t> </w:t>
      </w:r>
      <w:r>
        <w:rPr>
          <w:spacing w:val="-30"/>
        </w:rPr>
      </w:r>
      <w:r>
        <w:rPr/>
        <w:t>显著增加。</w:t>
      </w:r>
      <w:r>
        <w:rPr>
          <w:spacing w:val="-102"/>
        </w:rPr>
        <w:t> </w:t>
      </w:r>
      <w:r>
        <w:rPr>
          <w:spacing w:val="-102"/>
        </w:rPr>
      </w:r>
      <w:r>
        <w:rPr>
          <w:spacing w:val="-3"/>
        </w:rPr>
        <w:t>如果该金融工具的信用风险自初始确认后已显著增加，本公司按照相当于该金融工具整个存</w:t>
      </w:r>
      <w:r>
        <w:rPr>
          <w:spacing w:val="-30"/>
        </w:rPr>
        <w:t> </w:t>
      </w:r>
      <w:r>
        <w:rPr>
          <w:spacing w:val="-30"/>
        </w:rPr>
      </w:r>
      <w:r>
        <w:rPr>
          <w:spacing w:val="-3"/>
        </w:rPr>
        <w:t>续期内预期信用损失的金额计量其损失准备；如果该金融工具的信用风险自初始确认后并未</w:t>
      </w:r>
      <w:r>
        <w:rPr>
          <w:spacing w:val="-29"/>
        </w:rPr>
        <w:t> </w:t>
      </w:r>
      <w:r>
        <w:rPr>
          <w:spacing w:val="-29"/>
        </w:rPr>
      </w:r>
      <w:r>
        <w:rPr>
          <w:spacing w:val="2"/>
        </w:rPr>
        <w:t>显著增加，本公司按照相当于该金融工具未来</w:t>
      </w:r>
      <w:r>
        <w:rPr>
          <w:rFonts w:ascii="Times New Roman" w:hAnsi="Times New Roman" w:cs="Times New Roman" w:eastAsia="Times New Roman" w:hint="default"/>
          <w:spacing w:val="2"/>
        </w:rPr>
        <w:t>12</w:t>
      </w:r>
      <w:r>
        <w:rPr>
          <w:spacing w:val="2"/>
        </w:rPr>
        <w:t>个月内预期信用损失的金额计量其损失准</w:t>
      </w:r>
      <w:r>
        <w:rPr>
          <w:spacing w:val="-24"/>
        </w:rPr>
        <w:t> </w:t>
      </w:r>
      <w:r>
        <w:rPr>
          <w:spacing w:val="-24"/>
        </w:rPr>
      </w:r>
      <w:r>
        <w:rPr/>
        <w:t>备。由此形成的损失准备的增加或转回金额，作为减值损失或利得计入当期损益。</w:t>
      </w:r>
      <w:r>
        <w:rPr>
          <w:w w:val="100"/>
        </w:rPr>
        <w:t> </w:t>
      </w:r>
      <w:r>
        <w:rPr>
          <w:spacing w:val="-3"/>
        </w:rPr>
        <w:t>通常逾期超过</w:t>
      </w:r>
      <w:r>
        <w:rPr>
          <w:rFonts w:ascii="Times New Roman" w:hAnsi="Times New Roman" w:cs="Times New Roman" w:eastAsia="Times New Roman" w:hint="default"/>
          <w:spacing w:val="-3"/>
        </w:rPr>
        <w:t>30</w:t>
      </w:r>
      <w:r>
        <w:rPr>
          <w:spacing w:val="-3"/>
        </w:rPr>
        <w:t>日，本公司即认为该金融工具的信用风险已显著增加，除非有确凿证据证明</w:t>
      </w:r>
      <w:r>
        <w:rPr>
          <w:spacing w:val="-26"/>
        </w:rPr>
        <w:t> </w:t>
      </w:r>
      <w:r>
        <w:rPr>
          <w:spacing w:val="-26"/>
        </w:rPr>
      </w:r>
      <w:r>
        <w:rPr/>
        <w:t>该金融工具的信用风险自初始确认后并未显著增加。</w:t>
      </w:r>
      <w:r>
        <w:rPr>
          <w:w w:val="100"/>
        </w:rPr>
        <w:t> </w:t>
      </w:r>
      <w:r>
        <w:rPr>
          <w:spacing w:val="-3"/>
        </w:rPr>
        <w:t>如果金融工具于资产负债表日的信用风险较低，本公司即认为该金融工具的信用风险自初始</w:t>
      </w:r>
      <w:r>
        <w:rPr>
          <w:spacing w:val="-30"/>
        </w:rPr>
        <w:t> </w:t>
      </w:r>
      <w:r>
        <w:rPr>
          <w:spacing w:val="-30"/>
        </w:rPr>
      </w:r>
      <w:r>
        <w:rPr/>
        <w:t>确认后并未显著增加。</w:t>
      </w:r>
    </w:p>
    <w:p>
      <w:pPr>
        <w:spacing w:line="240" w:lineRule="auto" w:before="10"/>
        <w:rPr>
          <w:rFonts w:ascii="宋体" w:hAnsi="宋体" w:cs="宋体" w:eastAsia="宋体" w:hint="default"/>
          <w:sz w:val="24"/>
          <w:szCs w:val="24"/>
        </w:rPr>
      </w:pPr>
    </w:p>
    <w:p>
      <w:pPr>
        <w:pStyle w:val="BodyText"/>
        <w:spacing w:line="264" w:lineRule="auto"/>
        <w:ind w:right="1133"/>
        <w:jc w:val="left"/>
      </w:pP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日前适用的会计政策</w:t>
      </w:r>
      <w:r>
        <w:rPr>
          <w:rFonts w:ascii="宋体" w:hAnsi="宋体" w:cs="宋体" w:eastAsia="宋体" w:hint="default"/>
          <w:b/>
          <w:bCs/>
          <w:w w:val="100"/>
        </w:rPr>
        <w:t> </w:t>
      </w:r>
      <w:r>
        <w:rPr>
          <w:spacing w:val="-3"/>
        </w:rPr>
        <w:t>除以公允价值计量且其变动计入当期损益的金融资产外，本公司于资产负债表日对金融资产</w:t>
      </w:r>
      <w:r>
        <w:rPr>
          <w:spacing w:val="-29"/>
        </w:rPr>
        <w:t> </w:t>
      </w:r>
      <w:r>
        <w:rPr>
          <w:spacing w:val="-29"/>
        </w:rPr>
      </w:r>
      <w:r>
        <w:rPr/>
        <w:t>的账面价值进行检查，如果有客观证据表明某项金融资产发生减值的，计提减值准备。</w:t>
      </w:r>
    </w:p>
    <w:p>
      <w:pPr>
        <w:spacing w:line="240" w:lineRule="auto" w:before="1"/>
        <w:rPr>
          <w:rFonts w:ascii="宋体" w:hAnsi="宋体" w:cs="宋体" w:eastAsia="宋体" w:hint="default"/>
          <w:sz w:val="25"/>
          <w:szCs w:val="25"/>
        </w:rPr>
      </w:pPr>
    </w:p>
    <w:p>
      <w:pPr>
        <w:pStyle w:val="BodyText"/>
        <w:spacing w:line="271" w:lineRule="auto"/>
        <w:ind w:right="1133"/>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期末如果可供出售权益工具投资的公允价值发生严重下降，或在综合考虑各种相关因素后，</w:t>
      </w:r>
      <w:r>
        <w:rPr>
          <w:spacing w:val="-31"/>
        </w:rPr>
        <w:t> </w:t>
      </w:r>
      <w:r>
        <w:rPr>
          <w:spacing w:val="-31"/>
        </w:rPr>
      </w:r>
      <w:r>
        <w:rPr>
          <w:spacing w:val="-3"/>
        </w:rPr>
        <w:t>预期这种下降趋势属于非暂时性的，就认定其已发生减值，将原直接计入所有者权益的公允</w:t>
      </w:r>
      <w:r>
        <w:rPr>
          <w:spacing w:val="-30"/>
        </w:rPr>
        <w:t> </w:t>
      </w:r>
      <w:r>
        <w:rPr>
          <w:spacing w:val="-30"/>
        </w:rPr>
      </w:r>
      <w:r>
        <w:rPr/>
        <w:t>价值下降形成的累计损失一并转出，确认减值损失。</w:t>
      </w:r>
      <w:r>
        <w:rPr>
          <w:w w:val="100"/>
        </w:rPr>
        <w:t> </w:t>
      </w:r>
      <w:r>
        <w:rPr>
          <w:spacing w:val="-3"/>
        </w:rPr>
        <w:t>对于已确认减值损失的可供出售债务工具，在随后的会计期间公允价值已上升且客观上与确</w:t>
      </w:r>
      <w:r>
        <w:rPr>
          <w:spacing w:val="-30"/>
        </w:rPr>
        <w:t> </w:t>
      </w:r>
      <w:r>
        <w:rPr>
          <w:spacing w:val="-30"/>
        </w:rPr>
      </w:r>
      <w:r>
        <w:rPr/>
        <w:t>认原减值损失确认后发生的事项有关的，原确认的减值损失予以转回，计入当期损益。</w:t>
      </w:r>
      <w:r>
        <w:rPr>
          <w:w w:val="100"/>
        </w:rPr>
        <w:t> </w:t>
      </w:r>
      <w:r>
        <w:rPr/>
        <w:t>可供出售权益工具投资发生的减值损失，不通过损益转回。</w:t>
      </w:r>
    </w:p>
    <w:p>
      <w:pPr>
        <w:spacing w:line="240" w:lineRule="auto" w:before="8"/>
        <w:rPr>
          <w:rFonts w:ascii="宋体" w:hAnsi="宋体" w:cs="宋体" w:eastAsia="宋体" w:hint="default"/>
          <w:sz w:val="24"/>
          <w:szCs w:val="24"/>
        </w:rPr>
      </w:pPr>
    </w:p>
    <w:p>
      <w:pPr>
        <w:pStyle w:val="BodyText"/>
        <w:spacing w:line="256" w:lineRule="auto"/>
        <w:ind w:left="1375" w:right="1133" w:firstLine="14"/>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8"/>
        <w:rPr>
          <w:rFonts w:ascii="宋体" w:hAnsi="宋体" w:cs="宋体" w:eastAsia="宋体" w:hint="default"/>
          <w:sz w:val="24"/>
          <w:szCs w:val="24"/>
        </w:rPr>
      </w:pPr>
    </w:p>
    <w:p>
      <w:pPr>
        <w:pStyle w:val="Heading6"/>
        <w:spacing w:line="240" w:lineRule="auto"/>
        <w:ind w:right="0"/>
        <w:jc w:val="both"/>
        <w:rPr>
          <w:b w:val="0"/>
          <w:bCs w:val="0"/>
        </w:rPr>
      </w:pPr>
      <w:bookmarkStart w:name="11、应收票据" w:id="182"/>
      <w:bookmarkEnd w:id="182"/>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left="112" w:right="1210"/>
        <w:jc w:val="both"/>
      </w:pPr>
      <w:r>
        <w:rPr/>
        <w:t>本公司对应收票据的预期信用损失的确定方法及会计处理方法详见详见“</w:t>
      </w:r>
      <w:r>
        <w:rPr>
          <w:spacing w:val="-6"/>
        </w:rPr>
        <w:t> </w:t>
      </w:r>
      <w:r>
        <w:rPr/>
        <w:t>第十二章节、财务报告五、重</w:t>
      </w:r>
      <w:r>
        <w:rPr>
          <w:w w:val="100"/>
        </w:rPr>
        <w:t> </w:t>
      </w:r>
      <w:r>
        <w:rPr/>
        <w:t>要会计政策及会计估计</w:t>
      </w:r>
      <w:r>
        <w:rPr>
          <w:rFonts w:ascii="宋体" w:hAnsi="宋体" w:cs="宋体" w:eastAsia="宋体" w:hint="default"/>
        </w:rPr>
        <w:t>1</w:t>
      </w:r>
      <w:r>
        <w:rPr>
          <w:rFonts w:ascii="Times New Roman" w:hAnsi="Times New Roman" w:cs="Times New Roman" w:eastAsia="Times New Roman" w:hint="default"/>
        </w:rPr>
        <w:t>0</w:t>
      </w:r>
      <w:r>
        <w:rPr/>
        <w:t>、金融工具”和“</w:t>
      </w:r>
      <w:r>
        <w:rPr>
          <w:spacing w:val="-9"/>
        </w:rPr>
        <w:t> </w:t>
      </w:r>
      <w:r>
        <w:rPr/>
        <w:t>第十二章节、财务报告五、重要会计政策及会计估计</w:t>
      </w:r>
      <w:r>
        <w:rPr>
          <w:rFonts w:ascii="宋体" w:hAnsi="宋体" w:cs="宋体" w:eastAsia="宋体" w:hint="default"/>
        </w:rPr>
        <w:t>12</w:t>
      </w:r>
      <w:r>
        <w:rPr/>
        <w:t>、应</w:t>
      </w:r>
      <w:r>
        <w:rPr>
          <w:spacing w:val="-3"/>
          <w:w w:val="100"/>
        </w:rPr>
        <w:t> </w:t>
      </w:r>
      <w:r>
        <w:rPr>
          <w:spacing w:val="-22"/>
          <w:w w:val="100"/>
        </w:rPr>
        <w:t>收账款”。</w:t>
      </w:r>
    </w:p>
    <w:p>
      <w:pPr>
        <w:spacing w:line="240" w:lineRule="auto" w:before="11"/>
        <w:rPr>
          <w:rFonts w:ascii="宋体" w:hAnsi="宋体" w:cs="宋体" w:eastAsia="宋体" w:hint="default"/>
          <w:sz w:val="23"/>
          <w:szCs w:val="23"/>
        </w:rPr>
      </w:pPr>
    </w:p>
    <w:p>
      <w:pPr>
        <w:pStyle w:val="Heading6"/>
        <w:spacing w:line="240" w:lineRule="auto"/>
        <w:ind w:right="0"/>
        <w:jc w:val="both"/>
        <w:rPr>
          <w:b w:val="0"/>
          <w:bCs w:val="0"/>
        </w:rPr>
      </w:pPr>
      <w:bookmarkStart w:name="12、应收账款" w:id="183"/>
      <w:bookmarkEnd w:id="183"/>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10"/>
        <w:rPr>
          <w:rFonts w:ascii="宋体" w:hAnsi="宋体" w:cs="宋体" w:eastAsia="宋体" w:hint="default"/>
          <w:b/>
          <w:bCs/>
          <w:sz w:val="24"/>
          <w:szCs w:val="24"/>
        </w:rPr>
      </w:pPr>
    </w:p>
    <w:p>
      <w:pPr>
        <w:pStyle w:val="BodyText"/>
        <w:spacing w:line="268" w:lineRule="auto"/>
        <w:ind w:right="1133"/>
        <w:jc w:val="left"/>
      </w:pPr>
      <w:r>
        <w:rPr>
          <w:rFonts w:ascii="宋体" w:hAnsi="宋体" w:cs="宋体" w:eastAsia="宋体" w:hint="default"/>
          <w:b/>
          <w:bCs/>
        </w:rPr>
        <w:t>自</w:t>
      </w:r>
      <w:r>
        <w:rPr>
          <w:rFonts w:ascii="Times New Roman" w:hAnsi="Times New Roman" w:cs="Times New Roman" w:eastAsia="Times New Roman" w:hint="default"/>
          <w:b/>
          <w:bCs/>
        </w:rPr>
        <w:t>2019</w:t>
      </w:r>
      <w:r>
        <w:rPr>
          <w:rFonts w:ascii="宋体" w:hAnsi="宋体" w:cs="宋体" w:eastAsia="宋体" w:hint="default"/>
          <w:b/>
          <w:bCs/>
        </w:rPr>
        <w:t>年</w:t>
      </w:r>
      <w:r>
        <w:rPr>
          <w:rFonts w:ascii="Times New Roman" w:hAnsi="Times New Roman" w:cs="Times New Roman" w:eastAsia="Times New Roman" w:hint="default"/>
          <w:b/>
          <w:bCs/>
        </w:rPr>
        <w:t>1</w:t>
      </w:r>
      <w:r>
        <w:rPr>
          <w:rFonts w:ascii="宋体" w:hAnsi="宋体" w:cs="宋体" w:eastAsia="宋体" w:hint="default"/>
          <w:b/>
          <w:bCs/>
        </w:rPr>
        <w:t>月</w:t>
      </w:r>
      <w:r>
        <w:rPr>
          <w:rFonts w:ascii="Times New Roman" w:hAnsi="Times New Roman" w:cs="Times New Roman" w:eastAsia="Times New Roman" w:hint="default"/>
          <w:b/>
          <w:bCs/>
        </w:rPr>
        <w:t>1</w:t>
      </w:r>
      <w:r>
        <w:rPr>
          <w:rFonts w:ascii="宋体" w:hAnsi="宋体" w:cs="宋体" w:eastAsia="宋体" w:hint="default"/>
          <w:b/>
          <w:bCs/>
        </w:rPr>
        <w:t>日起适用的会计政策</w:t>
      </w:r>
      <w:r>
        <w:rPr>
          <w:rFonts w:ascii="宋体" w:hAnsi="宋体" w:cs="宋体" w:eastAsia="宋体" w:hint="default"/>
          <w:b/>
          <w:bCs/>
          <w:w w:val="100"/>
        </w:rPr>
        <w:t> </w:t>
      </w:r>
      <w:r>
        <w:rPr>
          <w:spacing w:val="-3"/>
        </w:rPr>
        <w:t>对于因销售商品、提供劳务等日常经营活动形成的应收票据、应收账款和应收款项融资等应</w:t>
      </w:r>
      <w:r>
        <w:rPr>
          <w:spacing w:val="-30"/>
        </w:rPr>
        <w:t> </w:t>
      </w:r>
      <w:r>
        <w:rPr>
          <w:spacing w:val="-30"/>
        </w:rPr>
      </w:r>
      <w:r>
        <w:rPr>
          <w:spacing w:val="-3"/>
        </w:rPr>
        <w:t>收款项，无论是否包含重大融资成分，本公司始终按照相当于整个存续期内预期信用损失的</w:t>
      </w:r>
      <w:r>
        <w:rPr>
          <w:spacing w:val="-31"/>
        </w:rPr>
        <w:t> </w:t>
      </w:r>
      <w:r>
        <w:rPr>
          <w:spacing w:val="-31"/>
        </w:rPr>
      </w:r>
      <w:r>
        <w:rPr/>
        <w:t>金额计量其损失准备。</w:t>
      </w:r>
      <w:r>
        <w:rPr>
          <w:w w:val="100"/>
        </w:rPr>
        <w:t> </w:t>
      </w:r>
      <w:r>
        <w:rPr>
          <w:spacing w:val="-3"/>
        </w:rPr>
        <w:t>如果有客观证据（包括前瞻性信息）表明某项金融资产已经发生信用减值，则本公司在单项</w:t>
      </w:r>
    </w:p>
    <w:p>
      <w:pPr>
        <w:spacing w:after="0" w:line="268"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33"/>
        <w:jc w:val="left"/>
      </w:pPr>
      <w:r>
        <w:rPr/>
        <w:t>基础上对该金融资产计提减值准备。</w:t>
      </w:r>
      <w:r>
        <w:rPr>
          <w:w w:val="100"/>
        </w:rPr>
        <w:t> </w:t>
      </w:r>
      <w:r>
        <w:rPr>
          <w:spacing w:val="-3"/>
        </w:rPr>
        <w:t>对于租赁应收款、公司通过销售商品或提供劳务形成的长期应收款，本公司选择始终按照相</w:t>
      </w:r>
      <w:r>
        <w:rPr>
          <w:spacing w:val="-31"/>
        </w:rPr>
        <w:t> </w:t>
      </w:r>
      <w:r>
        <w:rPr>
          <w:spacing w:val="-31"/>
        </w:rPr>
      </w:r>
      <w:r>
        <w:rPr/>
        <w:t>当于整个存续期内预期信用损失的金额计量其损失准备。</w:t>
      </w:r>
      <w:r>
        <w:rPr>
          <w:w w:val="100"/>
        </w:rPr>
        <w:t> </w:t>
      </w:r>
      <w:r>
        <w:rPr>
          <w:spacing w:val="-3"/>
        </w:rPr>
        <w:t>当单项金融资产无法以合理成本评估预期信用损失的信息时，本公司依据信用风险特征划分</w:t>
      </w:r>
      <w:r>
        <w:rPr>
          <w:spacing w:val="-29"/>
        </w:rPr>
        <w:t> </w:t>
      </w:r>
      <w:r>
        <w:rPr>
          <w:spacing w:val="-29"/>
        </w:rPr>
      </w:r>
      <w:r>
        <w:rPr/>
        <w:t>为若干组合，在组合基础上计算预期信用损失。确定的组合及计提方法如下：</w:t>
      </w:r>
    </w:p>
    <w:p>
      <w:pPr>
        <w:spacing w:line="240" w:lineRule="auto" w:before="5"/>
        <w:rPr>
          <w:rFonts w:ascii="宋体" w:hAnsi="宋体" w:cs="宋体" w:eastAsia="宋体" w:hint="default"/>
          <w:sz w:val="25"/>
          <w:szCs w:val="25"/>
        </w:rPr>
      </w:pPr>
    </w:p>
    <w:tbl>
      <w:tblPr>
        <w:tblW w:w="0" w:type="auto"/>
        <w:jc w:val="left"/>
        <w:tblInd w:w="821" w:type="dxa"/>
        <w:tblLayout w:type="fixed"/>
        <w:tblCellMar>
          <w:top w:w="0" w:type="dxa"/>
          <w:left w:w="0" w:type="dxa"/>
          <w:bottom w:w="0" w:type="dxa"/>
          <w:right w:w="0" w:type="dxa"/>
        </w:tblCellMar>
        <w:tblLook w:val="01E0"/>
      </w:tblPr>
      <w:tblGrid>
        <w:gridCol w:w="1740"/>
        <w:gridCol w:w="3493"/>
        <w:gridCol w:w="2376"/>
      </w:tblGrid>
      <w:tr>
        <w:trPr>
          <w:trHeight w:val="355" w:hRule="exact"/>
        </w:trPr>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4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49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118" w:right="0"/>
              <w:jc w:val="left"/>
              <w:rPr>
                <w:rFonts w:ascii="宋体" w:hAnsi="宋体" w:cs="宋体" w:eastAsia="宋体" w:hint="default"/>
                <w:sz w:val="21"/>
                <w:szCs w:val="21"/>
              </w:rPr>
            </w:pPr>
            <w:r>
              <w:rPr>
                <w:rFonts w:ascii="宋体" w:hAnsi="宋体" w:cs="宋体" w:eastAsia="宋体" w:hint="default"/>
                <w:sz w:val="21"/>
                <w:szCs w:val="21"/>
              </w:rPr>
              <w:t>金融资产项目</w:t>
            </w:r>
          </w:p>
        </w:tc>
        <w:tc>
          <w:tcPr>
            <w:tcW w:w="2376"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974"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34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1" w:right="89"/>
              <w:jc w:val="both"/>
              <w:rPr>
                <w:rFonts w:ascii="宋体" w:hAnsi="宋体" w:cs="宋体" w:eastAsia="宋体" w:hint="default"/>
                <w:sz w:val="21"/>
                <w:szCs w:val="21"/>
              </w:rPr>
            </w:pPr>
            <w:r>
              <w:rPr>
                <w:rFonts w:ascii="宋体" w:hAnsi="宋体" w:cs="宋体" w:eastAsia="宋体" w:hint="default"/>
                <w:spacing w:val="-2"/>
                <w:sz w:val="21"/>
                <w:szCs w:val="21"/>
              </w:rPr>
              <w:t>未进行单项及其他组合计提减值的应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收账款、应收票据、应收款项融资、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长期应收款等。</w:t>
            </w:r>
          </w:p>
        </w:tc>
        <w:tc>
          <w:tcPr>
            <w:tcW w:w="2376"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23" w:right="29"/>
              <w:jc w:val="left"/>
              <w:rPr>
                <w:rFonts w:ascii="宋体" w:hAnsi="宋体" w:cs="宋体" w:eastAsia="宋体" w:hint="default"/>
                <w:sz w:val="21"/>
                <w:szCs w:val="21"/>
              </w:rPr>
            </w:pPr>
            <w:r>
              <w:rPr>
                <w:rFonts w:ascii="宋体" w:hAnsi="宋体" w:cs="宋体" w:eastAsia="宋体" w:hint="default"/>
                <w:spacing w:val="-2"/>
                <w:sz w:val="21"/>
                <w:szCs w:val="21"/>
              </w:rPr>
              <w:t>按账龄与整个存续期预期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信用损失率计提</w:t>
            </w:r>
          </w:p>
        </w:tc>
      </w:tr>
      <w:tr>
        <w:trPr>
          <w:trHeight w:val="1289"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34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1" w:right="89"/>
              <w:jc w:val="both"/>
              <w:rPr>
                <w:rFonts w:ascii="宋体" w:hAnsi="宋体" w:cs="宋体" w:eastAsia="宋体" w:hint="default"/>
                <w:sz w:val="21"/>
                <w:szCs w:val="21"/>
              </w:rPr>
            </w:pPr>
            <w:r>
              <w:rPr>
                <w:rFonts w:ascii="宋体" w:hAnsi="宋体" w:cs="宋体" w:eastAsia="宋体" w:hint="default"/>
                <w:spacing w:val="-2"/>
                <w:sz w:val="21"/>
                <w:szCs w:val="21"/>
              </w:rPr>
              <w:t>应收关联方款项，若上述低信用风险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类款项的信用风险显著增加，则进行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单项或归入账龄风险特征组合计提信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用损失。</w:t>
            </w:r>
          </w:p>
        </w:tc>
        <w:tc>
          <w:tcPr>
            <w:tcW w:w="2376"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2"/>
        <w:rPr>
          <w:rFonts w:ascii="宋体" w:hAnsi="宋体" w:cs="宋体" w:eastAsia="宋体" w:hint="default"/>
          <w:sz w:val="20"/>
          <w:szCs w:val="20"/>
        </w:rPr>
      </w:pPr>
    </w:p>
    <w:p>
      <w:pPr>
        <w:pStyle w:val="Heading6"/>
        <w:spacing w:line="240" w:lineRule="auto" w:before="36"/>
        <w:ind w:left="1390" w:right="1133"/>
        <w:jc w:val="left"/>
        <w:rPr>
          <w:b w:val="0"/>
          <w:bCs w:val="0"/>
        </w:rP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日前适用的会计政策</w:t>
      </w:r>
      <w:r>
        <w:rPr>
          <w:b w:val="0"/>
          <w:bCs w:val="0"/>
        </w:rPr>
      </w:r>
    </w:p>
    <w:p>
      <w:pPr>
        <w:pStyle w:val="BodyText"/>
        <w:spacing w:line="273" w:lineRule="auto" w:before="21"/>
        <w:ind w:right="2654"/>
        <w:jc w:val="left"/>
      </w:pPr>
      <w:r>
        <w:rPr>
          <w:spacing w:val="-2"/>
        </w:rPr>
        <w:t>①单项金额重大并单独计提坏账准备的应收款项：</w:t>
      </w:r>
      <w:r>
        <w:rPr>
          <w:spacing w:val="-62"/>
        </w:rPr>
        <w:t> </w:t>
      </w:r>
      <w:r>
        <w:rPr>
          <w:spacing w:val="-62"/>
        </w:rPr>
      </w:r>
      <w:r>
        <w:rPr/>
        <w:t>单项金额重大的判断依据或金额标准：</w:t>
      </w:r>
      <w:r>
        <w:rPr>
          <w:w w:val="100"/>
        </w:rPr>
        <w:t> </w:t>
      </w:r>
      <w:r>
        <w:rPr/>
        <w:t>单项金额重大并单独计提坏账准备的计提方法：</w:t>
      </w:r>
    </w:p>
    <w:p>
      <w:pPr>
        <w:pStyle w:val="BodyText"/>
        <w:spacing w:line="256" w:lineRule="auto" w:before="7"/>
        <w:ind w:left="1373" w:right="1133"/>
        <w:jc w:val="left"/>
      </w:pPr>
      <w:r>
        <w:rPr>
          <w:spacing w:val="-2"/>
        </w:rPr>
        <w:t>本公司将单项金额大于</w:t>
      </w:r>
      <w:r>
        <w:rPr>
          <w:rFonts w:ascii="Times New Roman" w:hAnsi="Times New Roman" w:cs="Times New Roman" w:eastAsia="Times New Roman" w:hint="default"/>
          <w:spacing w:val="-2"/>
        </w:rPr>
        <w:t>500</w:t>
      </w:r>
      <w:r>
        <w:rPr>
          <w:spacing w:val="-2"/>
        </w:rPr>
        <w:t>万元的应收账款或单项金额大于</w:t>
      </w:r>
      <w:r>
        <w:rPr>
          <w:rFonts w:ascii="Times New Roman" w:hAnsi="Times New Roman" w:cs="Times New Roman" w:eastAsia="Times New Roman" w:hint="default"/>
          <w:spacing w:val="-2"/>
        </w:rPr>
        <w:t>250</w:t>
      </w:r>
      <w:r>
        <w:rPr>
          <w:spacing w:val="-2"/>
        </w:rPr>
        <w:t>万元的其他应收款，确定为单</w:t>
      </w:r>
      <w:r>
        <w:rPr>
          <w:spacing w:val="-50"/>
        </w:rPr>
        <w:t> </w:t>
      </w:r>
      <w:r>
        <w:rPr>
          <w:spacing w:val="-50"/>
        </w:rPr>
      </w:r>
      <w:r>
        <w:rPr/>
        <w:t>项金额重大的应收款项。</w:t>
      </w:r>
    </w:p>
    <w:p>
      <w:pPr>
        <w:pStyle w:val="BodyText"/>
        <w:spacing w:line="273" w:lineRule="auto" w:before="22"/>
        <w:ind w:right="1133" w:hanging="17"/>
        <w:jc w:val="left"/>
      </w:pPr>
      <w:r>
        <w:rPr/>
        <w:t>单项金额重大的应收账款坏账准备的计提方法：</w:t>
      </w:r>
      <w:r>
        <w:rPr>
          <w:w w:val="100"/>
        </w:rPr>
        <w:t> </w:t>
      </w:r>
      <w:r>
        <w:rPr>
          <w:spacing w:val="-3"/>
        </w:rPr>
        <w:t>单独进行减值测试，如有客观证据表明其已发生减值，按预计未来现金流量现值低于其账面</w:t>
      </w:r>
      <w:r>
        <w:rPr>
          <w:spacing w:val="-47"/>
        </w:rPr>
        <w:t> </w:t>
      </w:r>
      <w:r>
        <w:rPr>
          <w:spacing w:val="-47"/>
        </w:rPr>
      </w:r>
      <w:r>
        <w:rPr>
          <w:spacing w:val="-3"/>
        </w:rPr>
        <w:t>价值的差额计提坏账准备，计入当期损益。单独测试未发生减值的应收款项，将其归入相应</w:t>
      </w:r>
      <w:r>
        <w:rPr>
          <w:spacing w:val="-50"/>
        </w:rPr>
        <w:t> </w:t>
      </w:r>
      <w:r>
        <w:rPr>
          <w:spacing w:val="-50"/>
        </w:rPr>
      </w:r>
      <w:r>
        <w:rPr/>
        <w:t>组合计提坏账准备。</w:t>
      </w:r>
    </w:p>
    <w:p>
      <w:pPr>
        <w:spacing w:line="240" w:lineRule="auto" w:before="6"/>
        <w:rPr>
          <w:rFonts w:ascii="宋体" w:hAnsi="宋体" w:cs="宋体" w:eastAsia="宋体" w:hint="default"/>
          <w:sz w:val="24"/>
          <w:szCs w:val="24"/>
        </w:rPr>
      </w:pPr>
    </w:p>
    <w:p>
      <w:pPr>
        <w:pStyle w:val="BodyText"/>
        <w:spacing w:line="240" w:lineRule="auto"/>
        <w:ind w:right="1133"/>
        <w:jc w:val="left"/>
      </w:pPr>
      <w:r>
        <w:rPr/>
        <w:t>②按信用风险特征组合计提坏账准备应收款项：</w:t>
      </w:r>
    </w:p>
    <w:p>
      <w:pPr>
        <w:spacing w:line="240" w:lineRule="auto" w:before="10"/>
        <w:rPr>
          <w:rFonts w:ascii="宋体" w:hAnsi="宋体" w:cs="宋体" w:eastAsia="宋体" w:hint="default"/>
          <w:sz w:val="3"/>
          <w:szCs w:val="3"/>
        </w:rPr>
      </w:pPr>
    </w:p>
    <w:tbl>
      <w:tblPr>
        <w:tblW w:w="0" w:type="auto"/>
        <w:jc w:val="left"/>
        <w:tblInd w:w="821" w:type="dxa"/>
        <w:tblLayout w:type="fixed"/>
        <w:tblCellMar>
          <w:top w:w="0" w:type="dxa"/>
          <w:left w:w="0" w:type="dxa"/>
          <w:bottom w:w="0" w:type="dxa"/>
          <w:right w:w="0" w:type="dxa"/>
        </w:tblCellMar>
        <w:tblLook w:val="01E0"/>
      </w:tblPr>
      <w:tblGrid>
        <w:gridCol w:w="2425"/>
        <w:gridCol w:w="5185"/>
      </w:tblGrid>
      <w:tr>
        <w:trPr>
          <w:trHeight w:val="355" w:hRule="exact"/>
        </w:trPr>
        <w:tc>
          <w:tcPr>
            <w:tcW w:w="7609" w:type="dxa"/>
            <w:gridSpan w:val="2"/>
            <w:tcBorders>
              <w:top w:val="single" w:sz="6" w:space="0" w:color="000000"/>
              <w:left w:val="single" w:sz="6" w:space="0" w:color="000000"/>
              <w:bottom w:val="single" w:sz="12" w:space="0" w:color="000000"/>
              <w:right w:val="nil" w:sz="6" w:space="0" w:color="auto"/>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p>
        </w:tc>
        <w:tc>
          <w:tcPr>
            <w:tcW w:w="518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销售货款</w:t>
            </w:r>
          </w:p>
        </w:tc>
      </w:tr>
      <w:tr>
        <w:trPr>
          <w:trHeight w:val="350"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p>
        </w:tc>
        <w:tc>
          <w:tcPr>
            <w:tcW w:w="518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其他款项</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3</w:t>
            </w:r>
          </w:p>
        </w:tc>
        <w:tc>
          <w:tcPr>
            <w:tcW w:w="5185"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合并范围内的关联方往来</w:t>
            </w:r>
          </w:p>
        </w:tc>
      </w:tr>
      <w:tr>
        <w:trPr>
          <w:trHeight w:val="353" w:hRule="exact"/>
        </w:trPr>
        <w:tc>
          <w:tcPr>
            <w:tcW w:w="7609" w:type="dxa"/>
            <w:gridSpan w:val="2"/>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50"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p>
        </w:tc>
        <w:tc>
          <w:tcPr>
            <w:tcW w:w="518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p>
        </w:tc>
        <w:tc>
          <w:tcPr>
            <w:tcW w:w="5185"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3</w:t>
            </w:r>
          </w:p>
        </w:tc>
        <w:tc>
          <w:tcPr>
            <w:tcW w:w="518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bl>
    <w:p>
      <w:pPr>
        <w:spacing w:line="240" w:lineRule="auto" w:before="2"/>
        <w:rPr>
          <w:rFonts w:ascii="宋体" w:hAnsi="宋体" w:cs="宋体" w:eastAsia="宋体" w:hint="default"/>
          <w:sz w:val="20"/>
          <w:szCs w:val="20"/>
        </w:rPr>
      </w:pPr>
    </w:p>
    <w:p>
      <w:pPr>
        <w:pStyle w:val="BodyText"/>
        <w:spacing w:line="240" w:lineRule="auto" w:before="36"/>
        <w:ind w:right="1133"/>
        <w:jc w:val="left"/>
      </w:pPr>
      <w:r>
        <w:rPr/>
        <w:t>组合中，采用账龄分析法计提坏账准备的：</w:t>
      </w:r>
    </w:p>
    <w:p>
      <w:pPr>
        <w:spacing w:line="240" w:lineRule="auto" w:before="10"/>
        <w:rPr>
          <w:rFonts w:ascii="宋体" w:hAnsi="宋体" w:cs="宋体" w:eastAsia="宋体" w:hint="default"/>
          <w:sz w:val="3"/>
          <w:szCs w:val="3"/>
        </w:rPr>
      </w:pPr>
    </w:p>
    <w:tbl>
      <w:tblPr>
        <w:tblW w:w="0" w:type="auto"/>
        <w:jc w:val="left"/>
        <w:tblInd w:w="821" w:type="dxa"/>
        <w:tblLayout w:type="fixed"/>
        <w:tblCellMar>
          <w:top w:w="0" w:type="dxa"/>
          <w:left w:w="0" w:type="dxa"/>
          <w:bottom w:w="0" w:type="dxa"/>
          <w:right w:w="0" w:type="dxa"/>
        </w:tblCellMar>
        <w:tblLook w:val="01E0"/>
      </w:tblPr>
      <w:tblGrid>
        <w:gridCol w:w="2739"/>
        <w:gridCol w:w="2463"/>
        <w:gridCol w:w="2408"/>
      </w:tblGrid>
      <w:tr>
        <w:trPr>
          <w:trHeight w:val="355" w:hRule="exact"/>
        </w:trPr>
        <w:tc>
          <w:tcPr>
            <w:tcW w:w="2739"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46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408"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50" w:hRule="exact"/>
        </w:trPr>
        <w:tc>
          <w:tcPr>
            <w:tcW w:w="273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w:t>
            </w:r>
            <w:r>
              <w:rPr>
                <w:rFonts w:ascii="宋体" w:hAnsi="宋体" w:cs="宋体" w:eastAsia="宋体" w:hint="default"/>
                <w:sz w:val="21"/>
                <w:szCs w:val="21"/>
              </w:rPr>
              <w:t>1</w:t>
            </w:r>
            <w:r>
              <w:rPr>
                <w:rFonts w:ascii="宋体" w:hAnsi="宋体" w:cs="宋体" w:eastAsia="宋体" w:hint="default"/>
                <w:sz w:val="21"/>
                <w:szCs w:val="21"/>
              </w:rPr>
              <w:t>年）</w:t>
            </w:r>
          </w:p>
        </w:tc>
        <w:tc>
          <w:tcPr>
            <w:tcW w:w="246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5</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9"/>
              <w:jc w:val="center"/>
              <w:rPr>
                <w:rFonts w:ascii="宋体" w:hAnsi="宋体" w:cs="宋体" w:eastAsia="宋体" w:hint="default"/>
                <w:sz w:val="21"/>
                <w:szCs w:val="21"/>
              </w:rPr>
            </w:pPr>
            <w:r>
              <w:rPr>
                <w:rFonts w:ascii="宋体"/>
                <w:w w:val="100"/>
                <w:sz w:val="21"/>
              </w:rPr>
              <w:t>5</w:t>
            </w:r>
          </w:p>
        </w:tc>
      </w:tr>
      <w:tr>
        <w:trPr>
          <w:trHeight w:val="353" w:hRule="exact"/>
        </w:trPr>
        <w:tc>
          <w:tcPr>
            <w:tcW w:w="273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年（含</w:t>
            </w:r>
            <w:r>
              <w:rPr>
                <w:rFonts w:ascii="宋体" w:hAnsi="宋体" w:cs="宋体" w:eastAsia="宋体" w:hint="default"/>
                <w:sz w:val="21"/>
                <w:szCs w:val="21"/>
              </w:rPr>
              <w:t>2</w:t>
            </w:r>
            <w:r>
              <w:rPr>
                <w:rFonts w:ascii="宋体" w:hAnsi="宋体" w:cs="宋体" w:eastAsia="宋体" w:hint="default"/>
                <w:sz w:val="21"/>
                <w:szCs w:val="21"/>
              </w:rPr>
              <w:t>年）</w:t>
            </w:r>
          </w:p>
        </w:tc>
        <w:tc>
          <w:tcPr>
            <w:tcW w:w="246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9"/>
              <w:jc w:val="center"/>
              <w:rPr>
                <w:rFonts w:ascii="宋体" w:hAnsi="宋体" w:cs="宋体" w:eastAsia="宋体" w:hint="default"/>
                <w:sz w:val="21"/>
                <w:szCs w:val="21"/>
              </w:rPr>
            </w:pPr>
            <w:r>
              <w:rPr>
                <w:rFonts w:ascii="宋体"/>
                <w:sz w:val="21"/>
              </w:rPr>
              <w:t>10</w:t>
            </w:r>
          </w:p>
        </w:tc>
      </w:tr>
      <w:tr>
        <w:trPr>
          <w:trHeight w:val="353" w:hRule="exact"/>
        </w:trPr>
        <w:tc>
          <w:tcPr>
            <w:tcW w:w="273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年（含</w:t>
            </w:r>
            <w:r>
              <w:rPr>
                <w:rFonts w:ascii="宋体" w:hAnsi="宋体" w:cs="宋体" w:eastAsia="宋体" w:hint="default"/>
                <w:sz w:val="21"/>
                <w:szCs w:val="21"/>
              </w:rPr>
              <w:t>3</w:t>
            </w:r>
            <w:r>
              <w:rPr>
                <w:rFonts w:ascii="宋体" w:hAnsi="宋体" w:cs="宋体" w:eastAsia="宋体" w:hint="default"/>
                <w:sz w:val="21"/>
                <w:szCs w:val="21"/>
              </w:rPr>
              <w:t>年）</w:t>
            </w:r>
          </w:p>
        </w:tc>
        <w:tc>
          <w:tcPr>
            <w:tcW w:w="246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9"/>
              <w:jc w:val="center"/>
              <w:rPr>
                <w:rFonts w:ascii="宋体" w:hAnsi="宋体" w:cs="宋体" w:eastAsia="宋体" w:hint="default"/>
                <w:sz w:val="21"/>
                <w:szCs w:val="21"/>
              </w:rPr>
            </w:pPr>
            <w:r>
              <w:rPr>
                <w:rFonts w:ascii="宋体"/>
                <w:sz w:val="21"/>
              </w:rPr>
              <w:t>30</w:t>
            </w:r>
          </w:p>
        </w:tc>
      </w:tr>
      <w:tr>
        <w:trPr>
          <w:trHeight w:val="353" w:hRule="exact"/>
        </w:trPr>
        <w:tc>
          <w:tcPr>
            <w:tcW w:w="273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年（含</w:t>
            </w:r>
            <w:r>
              <w:rPr>
                <w:rFonts w:ascii="宋体" w:hAnsi="宋体" w:cs="宋体" w:eastAsia="宋体" w:hint="default"/>
                <w:sz w:val="21"/>
                <w:szCs w:val="21"/>
              </w:rPr>
              <w:t>4</w:t>
            </w:r>
            <w:r>
              <w:rPr>
                <w:rFonts w:ascii="宋体" w:hAnsi="宋体" w:cs="宋体" w:eastAsia="宋体" w:hint="default"/>
                <w:sz w:val="21"/>
                <w:szCs w:val="21"/>
              </w:rPr>
              <w:t>年）</w:t>
            </w:r>
          </w:p>
        </w:tc>
        <w:tc>
          <w:tcPr>
            <w:tcW w:w="246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9"/>
              <w:jc w:val="center"/>
              <w:rPr>
                <w:rFonts w:ascii="宋体" w:hAnsi="宋体" w:cs="宋体" w:eastAsia="宋体" w:hint="default"/>
                <w:sz w:val="21"/>
                <w:szCs w:val="21"/>
              </w:rPr>
            </w:pPr>
            <w:r>
              <w:rPr>
                <w:rFonts w:ascii="宋体"/>
                <w:sz w:val="21"/>
              </w:rPr>
              <w:t>50</w:t>
            </w:r>
          </w:p>
        </w:tc>
      </w:tr>
    </w:tbl>
    <w:p>
      <w:pPr>
        <w:spacing w:after="0" w:line="262" w:lineRule="exact"/>
        <w:jc w:val="center"/>
        <w:rPr>
          <w:rFonts w:ascii="宋体" w:hAnsi="宋体" w:cs="宋体" w:eastAsia="宋体" w:hint="default"/>
          <w:sz w:val="21"/>
          <w:szCs w:val="21"/>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821" w:type="dxa"/>
        <w:tblLayout w:type="fixed"/>
        <w:tblCellMar>
          <w:top w:w="0" w:type="dxa"/>
          <w:left w:w="0" w:type="dxa"/>
          <w:bottom w:w="0" w:type="dxa"/>
          <w:right w:w="0" w:type="dxa"/>
        </w:tblCellMar>
        <w:tblLook w:val="01E0"/>
      </w:tblPr>
      <w:tblGrid>
        <w:gridCol w:w="2739"/>
        <w:gridCol w:w="2463"/>
        <w:gridCol w:w="2408"/>
      </w:tblGrid>
      <w:tr>
        <w:trPr>
          <w:trHeight w:val="356" w:hRule="exact"/>
        </w:trPr>
        <w:tc>
          <w:tcPr>
            <w:tcW w:w="273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年（含</w:t>
            </w:r>
            <w:r>
              <w:rPr>
                <w:rFonts w:ascii="宋体" w:hAnsi="宋体" w:cs="宋体" w:eastAsia="宋体" w:hint="default"/>
                <w:sz w:val="21"/>
                <w:szCs w:val="21"/>
              </w:rPr>
              <w:t>5</w:t>
            </w:r>
            <w:r>
              <w:rPr>
                <w:rFonts w:ascii="宋体" w:hAnsi="宋体" w:cs="宋体" w:eastAsia="宋体" w:hint="default"/>
                <w:sz w:val="21"/>
                <w:szCs w:val="21"/>
              </w:rPr>
              <w:t>年）</w:t>
            </w:r>
          </w:p>
        </w:tc>
        <w:tc>
          <w:tcPr>
            <w:tcW w:w="246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70</w:t>
            </w:r>
          </w:p>
        </w:tc>
        <w:tc>
          <w:tcPr>
            <w:tcW w:w="2408"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9"/>
              <w:jc w:val="center"/>
              <w:rPr>
                <w:rFonts w:ascii="宋体" w:hAnsi="宋体" w:cs="宋体" w:eastAsia="宋体" w:hint="default"/>
                <w:sz w:val="21"/>
                <w:szCs w:val="21"/>
              </w:rPr>
            </w:pPr>
            <w:r>
              <w:rPr>
                <w:rFonts w:ascii="宋体"/>
                <w:sz w:val="21"/>
              </w:rPr>
              <w:t>70</w:t>
            </w:r>
          </w:p>
        </w:tc>
      </w:tr>
      <w:tr>
        <w:trPr>
          <w:trHeight w:val="353" w:hRule="exact"/>
        </w:trPr>
        <w:tc>
          <w:tcPr>
            <w:tcW w:w="273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246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BodyText"/>
        <w:spacing w:line="273" w:lineRule="auto" w:before="36"/>
        <w:ind w:right="1133"/>
        <w:jc w:val="left"/>
      </w:pPr>
      <w:r>
        <w:rPr/>
        <w:t>③单项金额不重大但单独计提坏账准备的应收款项：</w:t>
      </w:r>
      <w:r>
        <w:rPr>
          <w:w w:val="100"/>
        </w:rPr>
        <w:t> </w:t>
      </w:r>
      <w:r>
        <w:rPr>
          <w:spacing w:val="-3"/>
        </w:rPr>
        <w:t>如有客观证据表明年末单项金额不重大的应收款项发生了减值的，根据其未来现金流量现值</w:t>
      </w:r>
      <w:r>
        <w:rPr>
          <w:spacing w:val="-29"/>
        </w:rPr>
        <w:t> </w:t>
      </w:r>
      <w:r>
        <w:rPr>
          <w:spacing w:val="-29"/>
        </w:rPr>
      </w:r>
      <w:r>
        <w:rPr>
          <w:spacing w:val="-2"/>
        </w:rPr>
        <w:t>低于其账面价值的差额，确认减值损失，计提坏账准备。单独测试未发生减值的应收款项，</w:t>
      </w:r>
      <w:r>
        <w:rPr>
          <w:spacing w:val="-31"/>
        </w:rPr>
        <w:t> </w:t>
      </w:r>
      <w:r>
        <w:rPr>
          <w:spacing w:val="-31"/>
        </w:rPr>
      </w:r>
      <w:r>
        <w:rPr/>
        <w:t>将其归入相应组合计提坏账准备。</w:t>
      </w:r>
    </w:p>
    <w:p>
      <w:pPr>
        <w:pStyle w:val="BodyText"/>
        <w:spacing w:line="273" w:lineRule="auto" w:before="7"/>
        <w:ind w:left="189" w:right="6254"/>
        <w:jc w:val="left"/>
      </w:pPr>
      <w:r>
        <w:rPr/>
        <w:t>账准备的应收款项：</w:t>
      </w:r>
      <w:r>
        <w:rPr>
          <w:w w:val="100"/>
        </w:rPr>
        <w:t> </w:t>
      </w:r>
      <w:r>
        <w:rPr/>
        <w:t>单项金额重大的判断依据或金额标准：</w:t>
      </w:r>
      <w:r>
        <w:rPr>
          <w:w w:val="100"/>
        </w:rPr>
        <w:t> </w:t>
      </w:r>
      <w:r>
        <w:rPr>
          <w:spacing w:val="-2"/>
        </w:rPr>
        <w:t>单项金额重大并单独计提坏账准备的计提方法：</w:t>
      </w:r>
    </w:p>
    <w:p>
      <w:pPr>
        <w:pStyle w:val="BodyText"/>
        <w:spacing w:line="256" w:lineRule="auto" w:before="7"/>
        <w:ind w:left="172" w:right="1126"/>
        <w:jc w:val="left"/>
      </w:pPr>
      <w:r>
        <w:rPr>
          <w:spacing w:val="-3"/>
          <w:w w:val="100"/>
        </w:rPr>
        <w:t>本公司将单项金额大于</w:t>
      </w:r>
      <w:r>
        <w:rPr>
          <w:rFonts w:ascii="Times New Roman" w:hAnsi="Times New Roman" w:cs="Times New Roman" w:eastAsia="Times New Roman" w:hint="default"/>
          <w:spacing w:val="-3"/>
          <w:w w:val="100"/>
        </w:rPr>
        <w:t>500</w:t>
      </w:r>
      <w:r>
        <w:rPr>
          <w:spacing w:val="-3"/>
          <w:w w:val="100"/>
        </w:rPr>
        <w:t>万元的应收账款或单项金额大于</w:t>
      </w:r>
      <w:r>
        <w:rPr>
          <w:rFonts w:ascii="Times New Roman" w:hAnsi="Times New Roman" w:cs="Times New Roman" w:eastAsia="Times New Roman" w:hint="default"/>
          <w:spacing w:val="-3"/>
          <w:w w:val="100"/>
        </w:rPr>
        <w:t>250</w:t>
      </w:r>
      <w:r>
        <w:rPr>
          <w:spacing w:val="-3"/>
          <w:w w:val="100"/>
        </w:rPr>
        <w:t>万元的其他应收款，确定为单项金额重大的</w:t>
      </w:r>
      <w:r>
        <w:rPr>
          <w:w w:val="100"/>
        </w:rPr>
        <w:t> </w:t>
      </w:r>
      <w:r>
        <w:rPr/>
        <w:t>应收款项。</w:t>
      </w:r>
    </w:p>
    <w:p>
      <w:pPr>
        <w:pStyle w:val="BodyText"/>
        <w:spacing w:line="273" w:lineRule="auto" w:before="23"/>
        <w:ind w:left="189" w:right="1133" w:hanging="17"/>
        <w:jc w:val="left"/>
      </w:pPr>
      <w:r>
        <w:rPr/>
        <w:t>单项金额重大的应收账款坏账准备的计提方法：</w:t>
      </w:r>
      <w:r>
        <w:rPr>
          <w:w w:val="100"/>
        </w:rPr>
        <w:t> </w:t>
      </w:r>
      <w:r>
        <w:rPr>
          <w:spacing w:val="-4"/>
        </w:rPr>
        <w:t>单独进行减值测试，如有客观证据表明其已发生减值，按预计未来现金流量现值低于其账面价值的差额计</w:t>
      </w:r>
      <w:r>
        <w:rPr>
          <w:spacing w:val="-45"/>
        </w:rPr>
        <w:t> </w:t>
      </w:r>
      <w:r>
        <w:rPr>
          <w:spacing w:val="-45"/>
        </w:rPr>
      </w:r>
      <w:r>
        <w:rPr/>
        <w:t>提坏账准备，计入当期损益。单独测试未发生减值的应收款项，将其归入相应组合计提坏账准备。</w:t>
      </w:r>
    </w:p>
    <w:p>
      <w:pPr>
        <w:spacing w:line="240" w:lineRule="auto" w:before="6"/>
        <w:rPr>
          <w:rFonts w:ascii="宋体" w:hAnsi="宋体" w:cs="宋体" w:eastAsia="宋体" w:hint="default"/>
          <w:sz w:val="24"/>
          <w:szCs w:val="24"/>
        </w:rPr>
      </w:pPr>
    </w:p>
    <w:p>
      <w:pPr>
        <w:pStyle w:val="BodyText"/>
        <w:spacing w:line="240" w:lineRule="auto"/>
        <w:ind w:left="790" w:right="1133"/>
        <w:jc w:val="left"/>
      </w:pPr>
      <w:r>
        <w:rPr/>
        <w:t>②按信用风险特征组合计提坏账准备应收款项：</w:t>
      </w:r>
    </w:p>
    <w:p>
      <w:pPr>
        <w:spacing w:line="240" w:lineRule="auto" w:before="10"/>
        <w:rPr>
          <w:rFonts w:ascii="宋体" w:hAnsi="宋体" w:cs="宋体" w:eastAsia="宋体" w:hint="default"/>
          <w:sz w:val="3"/>
          <w:szCs w:val="3"/>
        </w:rPr>
      </w:pPr>
    </w:p>
    <w:tbl>
      <w:tblPr>
        <w:tblW w:w="0" w:type="auto"/>
        <w:jc w:val="left"/>
        <w:tblInd w:w="821" w:type="dxa"/>
        <w:tblLayout w:type="fixed"/>
        <w:tblCellMar>
          <w:top w:w="0" w:type="dxa"/>
          <w:left w:w="0" w:type="dxa"/>
          <w:bottom w:w="0" w:type="dxa"/>
          <w:right w:w="0" w:type="dxa"/>
        </w:tblCellMar>
        <w:tblLook w:val="01E0"/>
      </w:tblPr>
      <w:tblGrid>
        <w:gridCol w:w="2425"/>
        <w:gridCol w:w="5190"/>
      </w:tblGrid>
      <w:tr>
        <w:trPr>
          <w:trHeight w:val="353" w:hRule="exact"/>
        </w:trPr>
        <w:tc>
          <w:tcPr>
            <w:tcW w:w="7614" w:type="dxa"/>
            <w:gridSpan w:val="2"/>
            <w:tcBorders>
              <w:top w:val="single" w:sz="6" w:space="0" w:color="000000"/>
              <w:left w:val="single" w:sz="6" w:space="0" w:color="000000"/>
              <w:bottom w:val="single" w:sz="12" w:space="0" w:color="000000"/>
              <w:right w:val="nil" w:sz="6" w:space="0" w:color="auto"/>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p>
        </w:tc>
        <w:tc>
          <w:tcPr>
            <w:tcW w:w="519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销售货款</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p>
        </w:tc>
        <w:tc>
          <w:tcPr>
            <w:tcW w:w="51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其他款项</w:t>
            </w:r>
          </w:p>
        </w:tc>
      </w:tr>
      <w:tr>
        <w:trPr>
          <w:trHeight w:val="350"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3</w:t>
            </w:r>
          </w:p>
        </w:tc>
        <w:tc>
          <w:tcPr>
            <w:tcW w:w="51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合并范围内的关联方往来</w:t>
            </w:r>
          </w:p>
        </w:tc>
      </w:tr>
      <w:tr>
        <w:trPr>
          <w:trHeight w:val="353" w:hRule="exact"/>
        </w:trPr>
        <w:tc>
          <w:tcPr>
            <w:tcW w:w="7614" w:type="dxa"/>
            <w:gridSpan w:val="2"/>
            <w:tcBorders>
              <w:top w:val="single" w:sz="12" w:space="0" w:color="000000"/>
              <w:left w:val="single" w:sz="6" w:space="0" w:color="000000"/>
              <w:bottom w:val="single" w:sz="12" w:space="0" w:color="000000"/>
              <w:right w:val="nil" w:sz="6" w:space="0" w:color="auto"/>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1</w:t>
            </w:r>
          </w:p>
        </w:tc>
        <w:tc>
          <w:tcPr>
            <w:tcW w:w="51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0"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2</w:t>
            </w:r>
          </w:p>
        </w:tc>
        <w:tc>
          <w:tcPr>
            <w:tcW w:w="519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353" w:hRule="exact"/>
        </w:trPr>
        <w:tc>
          <w:tcPr>
            <w:tcW w:w="242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z w:val="21"/>
                <w:szCs w:val="21"/>
              </w:rPr>
              <w:t>3</w:t>
            </w:r>
          </w:p>
        </w:tc>
        <w:tc>
          <w:tcPr>
            <w:tcW w:w="5190"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个别认定法</w:t>
            </w:r>
          </w:p>
        </w:tc>
      </w:tr>
    </w:tbl>
    <w:p>
      <w:pPr>
        <w:spacing w:line="240" w:lineRule="auto" w:before="2"/>
        <w:rPr>
          <w:rFonts w:ascii="宋体" w:hAnsi="宋体" w:cs="宋体" w:eastAsia="宋体" w:hint="default"/>
          <w:sz w:val="20"/>
          <w:szCs w:val="20"/>
        </w:rPr>
      </w:pPr>
    </w:p>
    <w:p>
      <w:pPr>
        <w:pStyle w:val="BodyText"/>
        <w:spacing w:line="240" w:lineRule="auto" w:before="36"/>
        <w:ind w:left="790" w:right="1133"/>
        <w:jc w:val="left"/>
      </w:pPr>
      <w:r>
        <w:rPr/>
        <w:t>组合中，采用账龄分析法计提坏账准备的：</w:t>
      </w:r>
    </w:p>
    <w:p>
      <w:pPr>
        <w:spacing w:line="240" w:lineRule="auto" w:before="10"/>
        <w:rPr>
          <w:rFonts w:ascii="宋体" w:hAnsi="宋体" w:cs="宋体" w:eastAsia="宋体" w:hint="default"/>
          <w:sz w:val="3"/>
          <w:szCs w:val="3"/>
        </w:rPr>
      </w:pPr>
    </w:p>
    <w:tbl>
      <w:tblPr>
        <w:tblW w:w="0" w:type="auto"/>
        <w:jc w:val="left"/>
        <w:tblInd w:w="821" w:type="dxa"/>
        <w:tblLayout w:type="fixed"/>
        <w:tblCellMar>
          <w:top w:w="0" w:type="dxa"/>
          <w:left w:w="0" w:type="dxa"/>
          <w:bottom w:w="0" w:type="dxa"/>
          <w:right w:w="0" w:type="dxa"/>
        </w:tblCellMar>
        <w:tblLook w:val="01E0"/>
      </w:tblPr>
      <w:tblGrid>
        <w:gridCol w:w="2741"/>
        <w:gridCol w:w="2465"/>
        <w:gridCol w:w="2408"/>
      </w:tblGrid>
      <w:tr>
        <w:trPr>
          <w:trHeight w:val="355" w:hRule="exact"/>
        </w:trPr>
        <w:tc>
          <w:tcPr>
            <w:tcW w:w="274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46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408"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353" w:hRule="exact"/>
        </w:trPr>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年以内（含</w:t>
            </w:r>
            <w:r>
              <w:rPr>
                <w:rFonts w:ascii="宋体" w:hAnsi="宋体" w:cs="宋体" w:eastAsia="宋体" w:hint="default"/>
                <w:sz w:val="21"/>
                <w:szCs w:val="21"/>
              </w:rPr>
              <w:t>1</w:t>
            </w:r>
            <w:r>
              <w:rPr>
                <w:rFonts w:ascii="宋体" w:hAnsi="宋体" w:cs="宋体" w:eastAsia="宋体" w:hint="default"/>
                <w:sz w:val="21"/>
                <w:szCs w:val="21"/>
              </w:rPr>
              <w:t>年）</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w w:val="100"/>
                <w:sz w:val="21"/>
              </w:rPr>
              <w:t>5</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9"/>
              <w:jc w:val="center"/>
              <w:rPr>
                <w:rFonts w:ascii="宋体" w:hAnsi="宋体" w:cs="宋体" w:eastAsia="宋体" w:hint="default"/>
                <w:sz w:val="21"/>
                <w:szCs w:val="21"/>
              </w:rPr>
            </w:pPr>
            <w:r>
              <w:rPr>
                <w:rFonts w:ascii="宋体"/>
                <w:w w:val="100"/>
                <w:sz w:val="21"/>
              </w:rPr>
              <w:t>5</w:t>
            </w:r>
          </w:p>
        </w:tc>
      </w:tr>
      <w:tr>
        <w:trPr>
          <w:trHeight w:val="350" w:hRule="exact"/>
        </w:trPr>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年（含</w:t>
            </w:r>
            <w:r>
              <w:rPr>
                <w:rFonts w:ascii="宋体" w:hAnsi="宋体" w:cs="宋体" w:eastAsia="宋体" w:hint="default"/>
                <w:sz w:val="21"/>
                <w:szCs w:val="21"/>
              </w:rPr>
              <w:t>2</w:t>
            </w:r>
            <w:r>
              <w:rPr>
                <w:rFonts w:ascii="宋体" w:hAnsi="宋体" w:cs="宋体" w:eastAsia="宋体" w:hint="default"/>
                <w:sz w:val="21"/>
                <w:szCs w:val="21"/>
              </w:rPr>
              <w:t>年）</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9"/>
              <w:jc w:val="center"/>
              <w:rPr>
                <w:rFonts w:ascii="宋体" w:hAnsi="宋体" w:cs="宋体" w:eastAsia="宋体" w:hint="default"/>
                <w:sz w:val="21"/>
                <w:szCs w:val="21"/>
              </w:rPr>
            </w:pPr>
            <w:r>
              <w:rPr>
                <w:rFonts w:ascii="宋体"/>
                <w:sz w:val="21"/>
              </w:rPr>
              <w:t>10</w:t>
            </w:r>
          </w:p>
        </w:tc>
      </w:tr>
      <w:tr>
        <w:trPr>
          <w:trHeight w:val="353" w:hRule="exact"/>
        </w:trPr>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年（含</w:t>
            </w:r>
            <w:r>
              <w:rPr>
                <w:rFonts w:ascii="宋体" w:hAnsi="宋体" w:cs="宋体" w:eastAsia="宋体" w:hint="default"/>
                <w:sz w:val="21"/>
                <w:szCs w:val="21"/>
              </w:rPr>
              <w:t>3</w:t>
            </w:r>
            <w:r>
              <w:rPr>
                <w:rFonts w:ascii="宋体" w:hAnsi="宋体" w:cs="宋体" w:eastAsia="宋体" w:hint="default"/>
                <w:sz w:val="21"/>
                <w:szCs w:val="21"/>
              </w:rPr>
              <w:t>年）</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30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9"/>
              <w:jc w:val="center"/>
              <w:rPr>
                <w:rFonts w:ascii="宋体" w:hAnsi="宋体" w:cs="宋体" w:eastAsia="宋体" w:hint="default"/>
                <w:sz w:val="21"/>
                <w:szCs w:val="21"/>
              </w:rPr>
            </w:pPr>
            <w:r>
              <w:rPr>
                <w:rFonts w:ascii="宋体"/>
                <w:sz w:val="21"/>
              </w:rPr>
              <w:t>30</w:t>
            </w:r>
          </w:p>
        </w:tc>
      </w:tr>
      <w:tr>
        <w:trPr>
          <w:trHeight w:val="353" w:hRule="exact"/>
        </w:trPr>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年（含</w:t>
            </w:r>
            <w:r>
              <w:rPr>
                <w:rFonts w:ascii="宋体" w:hAnsi="宋体" w:cs="宋体" w:eastAsia="宋体" w:hint="default"/>
                <w:sz w:val="21"/>
                <w:szCs w:val="21"/>
              </w:rPr>
              <w:t>4</w:t>
            </w:r>
            <w:r>
              <w:rPr>
                <w:rFonts w:ascii="宋体" w:hAnsi="宋体" w:cs="宋体" w:eastAsia="宋体" w:hint="default"/>
                <w:sz w:val="21"/>
                <w:szCs w:val="21"/>
              </w:rPr>
              <w:t>年）</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50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9"/>
              <w:jc w:val="center"/>
              <w:rPr>
                <w:rFonts w:ascii="宋体" w:hAnsi="宋体" w:cs="宋体" w:eastAsia="宋体" w:hint="default"/>
                <w:sz w:val="21"/>
                <w:szCs w:val="21"/>
              </w:rPr>
            </w:pPr>
            <w:r>
              <w:rPr>
                <w:rFonts w:ascii="宋体"/>
                <w:sz w:val="21"/>
              </w:rPr>
              <w:t>50</w:t>
            </w:r>
          </w:p>
        </w:tc>
      </w:tr>
      <w:tr>
        <w:trPr>
          <w:trHeight w:val="350" w:hRule="exact"/>
        </w:trPr>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年（含</w:t>
            </w:r>
            <w:r>
              <w:rPr>
                <w:rFonts w:ascii="宋体" w:hAnsi="宋体" w:cs="宋体" w:eastAsia="宋体" w:hint="default"/>
                <w:sz w:val="21"/>
                <w:szCs w:val="21"/>
              </w:rPr>
              <w:t>5</w:t>
            </w:r>
            <w:r>
              <w:rPr>
                <w:rFonts w:ascii="宋体" w:hAnsi="宋体" w:cs="宋体" w:eastAsia="宋体" w:hint="default"/>
                <w:sz w:val="21"/>
                <w:szCs w:val="21"/>
              </w:rPr>
              <w:t>年）</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70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9"/>
              <w:jc w:val="center"/>
              <w:rPr>
                <w:rFonts w:ascii="宋体" w:hAnsi="宋体" w:cs="宋体" w:eastAsia="宋体" w:hint="default"/>
                <w:sz w:val="21"/>
                <w:szCs w:val="21"/>
              </w:rPr>
            </w:pPr>
            <w:r>
              <w:rPr>
                <w:rFonts w:ascii="宋体"/>
                <w:sz w:val="21"/>
              </w:rPr>
              <w:t>70</w:t>
            </w:r>
          </w:p>
        </w:tc>
      </w:tr>
      <w:tr>
        <w:trPr>
          <w:trHeight w:val="356" w:hRule="exact"/>
        </w:trPr>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246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100</w:t>
            </w:r>
          </w:p>
        </w:tc>
        <w:tc>
          <w:tcPr>
            <w:tcW w:w="2408"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BodyText"/>
        <w:spacing w:line="273" w:lineRule="auto" w:before="36"/>
        <w:ind w:left="790" w:right="1133" w:hanging="89"/>
        <w:jc w:val="left"/>
      </w:pPr>
      <w:r>
        <w:rPr/>
        <w:t>③单项金额不重大但单独计提坏账准备的应收款项：</w:t>
      </w:r>
      <w:r>
        <w:rPr>
          <w:w w:val="100"/>
        </w:rPr>
        <w:t> </w:t>
      </w:r>
      <w:r>
        <w:rPr>
          <w:spacing w:val="-3"/>
        </w:rPr>
        <w:t>如有客观证据表明年末单项金额不重大的应收款项发生了减值的，根据其未来现金流量现值低于其</w:t>
      </w:r>
      <w:r>
        <w:rPr>
          <w:w w:val="100"/>
        </w:rPr>
        <w:t> </w:t>
      </w:r>
      <w:r>
        <w:rPr>
          <w:spacing w:val="-4"/>
        </w:rPr>
        <w:t>账面价值的差额，确认减值损失，计提坏账准备。单独测试未发生减值的应收款项，将其归入相应</w:t>
      </w:r>
      <w:r>
        <w:rPr>
          <w:spacing w:val="-102"/>
        </w:rPr>
        <w:t> </w:t>
      </w:r>
      <w:r>
        <w:rPr>
          <w:spacing w:val="-102"/>
        </w:rPr>
      </w:r>
      <w:r>
        <w:rPr/>
        <w:t>组合计提坏账准备。</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13、应收款项融资" w:id="184"/>
      <w:bookmarkEnd w:id="184"/>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left="112" w:right="1020"/>
        <w:jc w:val="left"/>
      </w:pPr>
      <w:r>
        <w:rPr/>
        <w:t>本公司对应收款项融资的预期信用损失的确定方法及会计处理方法详见详见“</w:t>
      </w:r>
      <w:r>
        <w:rPr>
          <w:spacing w:val="5"/>
        </w:rPr>
        <w:t> </w:t>
      </w:r>
      <w:r>
        <w:rPr>
          <w:spacing w:val="-3"/>
        </w:rPr>
        <w:t>第十二章节、财务报告五、</w:t>
      </w:r>
      <w:r>
        <w:rPr>
          <w:w w:val="100"/>
        </w:rPr>
        <w:t> </w:t>
      </w:r>
      <w:r>
        <w:rPr/>
        <w:t>重要会计政策及会计估计</w:t>
      </w:r>
      <w:r>
        <w:rPr>
          <w:rFonts w:ascii="宋体" w:hAnsi="宋体" w:cs="宋体" w:eastAsia="宋体" w:hint="default"/>
        </w:rPr>
        <w:t>1</w:t>
      </w:r>
      <w:r>
        <w:rPr>
          <w:rFonts w:ascii="Times New Roman" w:hAnsi="Times New Roman" w:cs="Times New Roman" w:eastAsia="Times New Roman" w:hint="default"/>
        </w:rPr>
        <w:t>0</w:t>
      </w:r>
      <w:r>
        <w:rPr/>
        <w:t>、金融工具”和“</w:t>
      </w:r>
      <w:r>
        <w:rPr>
          <w:spacing w:val="-4"/>
        </w:rPr>
        <w:t> </w:t>
      </w:r>
      <w:r>
        <w:rPr/>
        <w:t>第十二章节、财务报告五、重要会计政策及会计估计</w:t>
      </w:r>
      <w:r>
        <w:rPr>
          <w:rFonts w:ascii="宋体" w:hAnsi="宋体" w:cs="宋体" w:eastAsia="宋体" w:hint="default"/>
        </w:rPr>
        <w:t>12</w:t>
      </w:r>
      <w:r>
        <w:rPr/>
        <w:t>、</w:t>
      </w:r>
      <w:r>
        <w:rPr>
          <w:w w:val="100"/>
        </w:rPr>
        <w:t> </w:t>
      </w:r>
      <w:r>
        <w:rPr>
          <w:spacing w:val="-19"/>
          <w:w w:val="100"/>
        </w:rPr>
        <w:t>应收账款”。</w:t>
      </w:r>
    </w:p>
    <w:p>
      <w:pPr>
        <w:spacing w:line="240" w:lineRule="auto" w:before="2"/>
        <w:rPr>
          <w:rFonts w:ascii="宋体" w:hAnsi="宋体" w:cs="宋体" w:eastAsia="宋体" w:hint="default"/>
          <w:sz w:val="24"/>
          <w:szCs w:val="24"/>
        </w:rPr>
      </w:pPr>
    </w:p>
    <w:p>
      <w:pPr>
        <w:pStyle w:val="Heading6"/>
        <w:spacing w:line="240" w:lineRule="auto"/>
        <w:ind w:right="1133"/>
        <w:jc w:val="left"/>
        <w:rPr>
          <w:b w:val="0"/>
          <w:bCs w:val="0"/>
        </w:rPr>
      </w:pPr>
      <w:bookmarkStart w:name="14、其他应收款" w:id="185"/>
      <w:bookmarkEnd w:id="185"/>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273" w:lineRule="auto" w:before="96"/>
        <w:ind w:left="112" w:right="986"/>
        <w:jc w:val="left"/>
      </w:pPr>
      <w:r>
        <w:rPr/>
        <w:t>其他应收款的预期信用损失的确定方法及会计处理方法：</w:t>
      </w:r>
      <w:r>
        <w:rPr>
          <w:w w:val="100"/>
        </w:rPr>
        <w:t> </w:t>
      </w:r>
      <w:r>
        <w:rPr/>
        <w:t>本公司对其他应收款的预期信用损失的确定方法及会计处理方法详见</w:t>
      </w:r>
      <w:r>
        <w:rPr>
          <w:spacing w:val="-1"/>
        </w:rPr>
        <w:t> </w:t>
      </w:r>
      <w:r>
        <w:rPr/>
        <w:t>“</w:t>
      </w:r>
      <w:r>
        <w:rPr>
          <w:spacing w:val="9"/>
        </w:rPr>
        <w:t> </w:t>
      </w:r>
      <w:r>
        <w:rPr>
          <w:spacing w:val="-3"/>
        </w:rPr>
        <w:t>第十二章节、财务报告五、重要</w:t>
      </w:r>
      <w:r>
        <w:rPr>
          <w:spacing w:val="-102"/>
        </w:rPr>
        <w:t> </w:t>
      </w:r>
      <w:r>
        <w:rPr>
          <w:spacing w:val="-102"/>
        </w:rPr>
      </w:r>
      <w:r>
        <w:rPr>
          <w:spacing w:val="-7"/>
          <w:w w:val="100"/>
        </w:rPr>
        <w:t>会计政策及会计估计</w:t>
      </w:r>
      <w:r>
        <w:rPr>
          <w:rFonts w:ascii="宋体" w:hAnsi="宋体" w:cs="宋体" w:eastAsia="宋体" w:hint="default"/>
          <w:spacing w:val="-7"/>
          <w:w w:val="100"/>
        </w:rPr>
        <w:t>10</w:t>
      </w:r>
      <w:r>
        <w:rPr>
          <w:spacing w:val="-7"/>
          <w:w w:val="100"/>
        </w:rPr>
        <w:t>、金融工具”。</w:t>
      </w:r>
      <w:r>
        <w:rPr>
          <w:w w:val="100"/>
        </w:rPr>
        <w:t> </w:t>
      </w:r>
      <w:r>
        <w:rPr>
          <w:spacing w:val="-2"/>
        </w:rPr>
        <w:t>本公司对单项工具层面能以合理成本评估预期信用损失的充分证据的其他应收账款单独确定其信用损失。</w:t>
      </w:r>
      <w:r>
        <w:rPr>
          <w:spacing w:val="-24"/>
        </w:rPr>
        <w:t> </w:t>
      </w:r>
      <w:r>
        <w:rPr>
          <w:spacing w:val="-24"/>
        </w:rPr>
      </w:r>
      <w:r>
        <w:rPr>
          <w:spacing w:val="-2"/>
        </w:rPr>
        <w:t>当在单项工具层面无法以合理成本评估预期信用损失的充分证据时，本公司参照历史信用损失经验，结合</w:t>
      </w:r>
      <w:r>
        <w:rPr>
          <w:spacing w:val="-43"/>
        </w:rPr>
        <w:t> </w:t>
      </w:r>
      <w:r>
        <w:rPr>
          <w:spacing w:val="-43"/>
        </w:rPr>
      </w:r>
      <w:r>
        <w:rPr>
          <w:spacing w:val="-2"/>
        </w:rPr>
        <w:t>当前状况以及对未来经济状况的判断，依据信用风险特征将其他应收款划分为若干组合，在组合基础上计</w:t>
      </w:r>
      <w:r>
        <w:rPr>
          <w:spacing w:val="-44"/>
        </w:rPr>
        <w:t> </w:t>
      </w:r>
      <w:r>
        <w:rPr>
          <w:spacing w:val="-44"/>
        </w:rPr>
      </w:r>
      <w:r>
        <w:rPr/>
        <w:t>算预期信用损失。确定组合的依据如下：</w:t>
      </w:r>
    </w:p>
    <w:tbl>
      <w:tblPr>
        <w:tblW w:w="0" w:type="auto"/>
        <w:jc w:val="left"/>
        <w:tblInd w:w="821" w:type="dxa"/>
        <w:tblLayout w:type="fixed"/>
        <w:tblCellMar>
          <w:top w:w="0" w:type="dxa"/>
          <w:left w:w="0" w:type="dxa"/>
          <w:bottom w:w="0" w:type="dxa"/>
          <w:right w:w="0" w:type="dxa"/>
        </w:tblCellMar>
        <w:tblLook w:val="01E0"/>
      </w:tblPr>
      <w:tblGrid>
        <w:gridCol w:w="1740"/>
        <w:gridCol w:w="3493"/>
        <w:gridCol w:w="2376"/>
      </w:tblGrid>
      <w:tr>
        <w:trPr>
          <w:trHeight w:val="353" w:hRule="exact"/>
        </w:trPr>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4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349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1" w:right="0"/>
              <w:jc w:val="center"/>
              <w:rPr>
                <w:rFonts w:ascii="宋体" w:hAnsi="宋体" w:cs="宋体" w:eastAsia="宋体" w:hint="default"/>
                <w:sz w:val="21"/>
                <w:szCs w:val="21"/>
              </w:rPr>
            </w:pPr>
            <w:r>
              <w:rPr>
                <w:rFonts w:ascii="宋体" w:hAnsi="宋体" w:cs="宋体" w:eastAsia="宋体" w:hint="default"/>
                <w:sz w:val="21"/>
                <w:szCs w:val="21"/>
              </w:rPr>
              <w:t>金融资产项目</w:t>
            </w:r>
          </w:p>
        </w:tc>
        <w:tc>
          <w:tcPr>
            <w:tcW w:w="2376"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977"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6" w:right="0"/>
              <w:jc w:val="left"/>
              <w:rPr>
                <w:rFonts w:ascii="宋体" w:hAnsi="宋体" w:cs="宋体" w:eastAsia="宋体" w:hint="default"/>
                <w:sz w:val="21"/>
                <w:szCs w:val="21"/>
              </w:rPr>
            </w:pPr>
            <w:r>
              <w:rPr>
                <w:rFonts w:ascii="宋体" w:hAnsi="宋体" w:cs="宋体" w:eastAsia="宋体" w:hint="default"/>
                <w:sz w:val="21"/>
                <w:szCs w:val="21"/>
              </w:rPr>
              <w:t>其他应收组合</w:t>
            </w:r>
          </w:p>
        </w:tc>
        <w:tc>
          <w:tcPr>
            <w:tcW w:w="34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1" w:right="89"/>
              <w:jc w:val="both"/>
              <w:rPr>
                <w:rFonts w:ascii="宋体" w:hAnsi="宋体" w:cs="宋体" w:eastAsia="宋体" w:hint="default"/>
                <w:sz w:val="21"/>
                <w:szCs w:val="21"/>
              </w:rPr>
            </w:pPr>
            <w:r>
              <w:rPr>
                <w:rFonts w:ascii="宋体" w:hAnsi="宋体" w:cs="宋体" w:eastAsia="宋体" w:hint="default"/>
                <w:spacing w:val="-2"/>
                <w:sz w:val="21"/>
                <w:szCs w:val="21"/>
              </w:rPr>
              <w:t>未进行单项及其他组合计提减值的其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他应收款（包括其他应收款中的备用</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9"/>
                <w:w w:val="100"/>
                <w:sz w:val="21"/>
                <w:szCs w:val="21"/>
              </w:rPr>
              <w:t>金、代垫款项及往来款项等）。</w:t>
            </w:r>
          </w:p>
        </w:tc>
        <w:tc>
          <w:tcPr>
            <w:tcW w:w="2376"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23" w:right="29"/>
              <w:jc w:val="left"/>
              <w:rPr>
                <w:rFonts w:ascii="宋体" w:hAnsi="宋体" w:cs="宋体" w:eastAsia="宋体" w:hint="default"/>
                <w:sz w:val="21"/>
                <w:szCs w:val="21"/>
              </w:rPr>
            </w:pPr>
            <w:r>
              <w:rPr>
                <w:rFonts w:ascii="宋体" w:hAnsi="宋体" w:cs="宋体" w:eastAsia="宋体" w:hint="default"/>
                <w:spacing w:val="-2"/>
                <w:sz w:val="21"/>
                <w:szCs w:val="21"/>
              </w:rPr>
              <w:t>按账龄与整个存续期预期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信用损失率计提</w:t>
            </w:r>
          </w:p>
        </w:tc>
      </w:tr>
      <w:tr>
        <w:trPr>
          <w:trHeight w:val="2225"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16" w:right="24"/>
              <w:jc w:val="left"/>
              <w:rPr>
                <w:rFonts w:ascii="宋体" w:hAnsi="宋体" w:cs="宋体" w:eastAsia="宋体" w:hint="default"/>
                <w:sz w:val="21"/>
                <w:szCs w:val="21"/>
              </w:rPr>
            </w:pPr>
            <w:r>
              <w:rPr>
                <w:rFonts w:ascii="宋体" w:hAnsi="宋体" w:cs="宋体" w:eastAsia="宋体" w:hint="default"/>
                <w:sz w:val="21"/>
                <w:szCs w:val="21"/>
              </w:rPr>
              <w:t>应收押金及保证金</w:t>
            </w:r>
            <w:r>
              <w:rPr>
                <w:rFonts w:ascii="宋体" w:hAnsi="宋体" w:cs="宋体" w:eastAsia="宋体" w:hint="default"/>
                <w:w w:val="100"/>
                <w:sz w:val="21"/>
                <w:szCs w:val="21"/>
              </w:rPr>
              <w:t> </w:t>
            </w:r>
            <w:r>
              <w:rPr>
                <w:rFonts w:ascii="宋体" w:hAnsi="宋体" w:cs="宋体" w:eastAsia="宋体" w:hint="default"/>
                <w:sz w:val="21"/>
                <w:szCs w:val="21"/>
              </w:rPr>
              <w:t>组合</w:t>
            </w:r>
          </w:p>
        </w:tc>
        <w:tc>
          <w:tcPr>
            <w:tcW w:w="349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68"/>
              <w:jc w:val="center"/>
              <w:rPr>
                <w:rFonts w:ascii="宋体" w:hAnsi="宋体" w:cs="宋体" w:eastAsia="宋体" w:hint="default"/>
                <w:sz w:val="21"/>
                <w:szCs w:val="21"/>
              </w:rPr>
            </w:pPr>
            <w:r>
              <w:rPr>
                <w:rFonts w:ascii="宋体" w:hAnsi="宋体" w:cs="宋体" w:eastAsia="宋体" w:hint="default"/>
                <w:sz w:val="21"/>
                <w:szCs w:val="21"/>
              </w:rPr>
              <w:t>其他应收款中保证金及押金类款项。</w:t>
            </w:r>
          </w:p>
        </w:tc>
        <w:tc>
          <w:tcPr>
            <w:tcW w:w="2376" w:type="dxa"/>
            <w:tcBorders>
              <w:top w:val="single" w:sz="12" w:space="0" w:color="000000"/>
              <w:left w:val="single" w:sz="6" w:space="0" w:color="000000"/>
              <w:bottom w:val="single" w:sz="12" w:space="0" w:color="000000"/>
              <w:right w:val="nil" w:sz="6" w:space="0" w:color="auto"/>
            </w:tcBorders>
          </w:tcPr>
          <w:p>
            <w:pPr>
              <w:pStyle w:val="TableParagraph"/>
              <w:spacing w:line="271" w:lineRule="auto"/>
              <w:ind w:left="23" w:right="29"/>
              <w:jc w:val="left"/>
              <w:rPr>
                <w:rFonts w:ascii="宋体" w:hAnsi="宋体" w:cs="宋体" w:eastAsia="宋体" w:hint="default"/>
                <w:sz w:val="21"/>
                <w:szCs w:val="21"/>
              </w:rPr>
            </w:pPr>
            <w:r>
              <w:rPr>
                <w:rFonts w:ascii="宋体" w:hAnsi="宋体" w:cs="宋体" w:eastAsia="宋体" w:hint="default"/>
                <w:spacing w:val="-2"/>
                <w:sz w:val="21"/>
                <w:szCs w:val="21"/>
              </w:rPr>
              <w:t>按余额百分比法计提，对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于已逾期的押金及保证金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计提预期信用损失率为款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项余额的</w:t>
            </w:r>
            <w:r>
              <w:rPr>
                <w:rFonts w:ascii="宋体" w:hAnsi="宋体" w:cs="宋体" w:eastAsia="宋体" w:hint="default"/>
                <w:sz w:val="21"/>
                <w:szCs w:val="21"/>
              </w:rPr>
              <w:t>1</w:t>
            </w:r>
            <w:r>
              <w:rPr>
                <w:rFonts w:ascii="Times New Roman" w:hAnsi="Times New Roman" w:cs="Times New Roman" w:eastAsia="Times New Roman" w:hint="default"/>
                <w:sz w:val="21"/>
                <w:szCs w:val="21"/>
              </w:rPr>
              <w:t>00</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对于未逾期的押金及保证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金计提预期信用损失率为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款项余额的</w:t>
            </w:r>
            <w:r>
              <w:rPr>
                <w:rFonts w:ascii="宋体" w:hAnsi="宋体" w:cs="宋体" w:eastAsia="宋体" w:hint="default"/>
                <w:sz w:val="21"/>
                <w:szCs w:val="21"/>
              </w:rPr>
              <w:t>15%</w:t>
            </w:r>
            <w:r>
              <w:rPr>
                <w:rFonts w:ascii="宋体" w:hAnsi="宋体" w:cs="宋体" w:eastAsia="宋体" w:hint="default"/>
                <w:sz w:val="21"/>
                <w:szCs w:val="21"/>
              </w:rPr>
              <w:t>。</w:t>
            </w:r>
          </w:p>
        </w:tc>
      </w:tr>
      <w:tr>
        <w:trPr>
          <w:trHeight w:val="1913" w:hRule="exact"/>
        </w:trPr>
        <w:tc>
          <w:tcPr>
            <w:tcW w:w="174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34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1" w:right="-2"/>
              <w:jc w:val="left"/>
              <w:rPr>
                <w:rFonts w:ascii="宋体" w:hAnsi="宋体" w:cs="宋体" w:eastAsia="宋体" w:hint="default"/>
                <w:sz w:val="21"/>
                <w:szCs w:val="21"/>
              </w:rPr>
            </w:pPr>
            <w:r>
              <w:rPr>
                <w:rFonts w:ascii="宋体" w:hAnsi="宋体" w:cs="宋体" w:eastAsia="宋体" w:hint="default"/>
                <w:sz w:val="21"/>
                <w:szCs w:val="21"/>
              </w:rPr>
              <w:t>应收关联方款项（包括应收账款、应</w:t>
            </w:r>
            <w:r>
              <w:rPr>
                <w:rFonts w:ascii="宋体" w:hAnsi="宋体" w:cs="宋体" w:eastAsia="宋体" w:hint="default"/>
                <w:w w:val="100"/>
                <w:sz w:val="21"/>
                <w:szCs w:val="21"/>
              </w:rPr>
              <w:t> </w:t>
            </w:r>
            <w:r>
              <w:rPr>
                <w:rFonts w:ascii="宋体" w:hAnsi="宋体" w:cs="宋体" w:eastAsia="宋体" w:hint="default"/>
                <w:spacing w:val="-8"/>
                <w:w w:val="100"/>
                <w:sz w:val="21"/>
                <w:szCs w:val="21"/>
              </w:rPr>
              <w:t>收款项融资及其他应收款等），应收利</w:t>
            </w:r>
            <w:r>
              <w:rPr>
                <w:rFonts w:ascii="宋体" w:hAnsi="宋体" w:cs="宋体" w:eastAsia="宋体" w:hint="default"/>
                <w:w w:val="100"/>
                <w:sz w:val="21"/>
                <w:szCs w:val="21"/>
              </w:rPr>
              <w:t> </w:t>
            </w:r>
            <w:r>
              <w:rPr>
                <w:rFonts w:ascii="宋体" w:hAnsi="宋体" w:cs="宋体" w:eastAsia="宋体" w:hint="default"/>
                <w:sz w:val="21"/>
                <w:szCs w:val="21"/>
              </w:rPr>
              <w:t>息、应收股利等低信用风险类款项。</w:t>
            </w:r>
            <w:r>
              <w:rPr>
                <w:rFonts w:ascii="宋体" w:hAnsi="宋体" w:cs="宋体" w:eastAsia="宋体" w:hint="default"/>
                <w:w w:val="100"/>
                <w:sz w:val="21"/>
                <w:szCs w:val="21"/>
              </w:rPr>
              <w:t> </w:t>
            </w:r>
            <w:r>
              <w:rPr>
                <w:rFonts w:ascii="宋体" w:hAnsi="宋体" w:cs="宋体" w:eastAsia="宋体" w:hint="default"/>
                <w:sz w:val="21"/>
                <w:szCs w:val="21"/>
              </w:rPr>
              <w:t>若上述低信用风险类款项的信用风险</w:t>
            </w:r>
            <w:r>
              <w:rPr>
                <w:rFonts w:ascii="宋体" w:hAnsi="宋体" w:cs="宋体" w:eastAsia="宋体" w:hint="default"/>
                <w:w w:val="100"/>
                <w:sz w:val="21"/>
                <w:szCs w:val="21"/>
              </w:rPr>
              <w:t> </w:t>
            </w:r>
            <w:r>
              <w:rPr>
                <w:rFonts w:ascii="宋体" w:hAnsi="宋体" w:cs="宋体" w:eastAsia="宋体" w:hint="default"/>
                <w:sz w:val="21"/>
                <w:szCs w:val="21"/>
              </w:rPr>
              <w:t>显著增加，则进行单项或归入账龄风</w:t>
            </w:r>
            <w:r>
              <w:rPr>
                <w:rFonts w:ascii="宋体" w:hAnsi="宋体" w:cs="宋体" w:eastAsia="宋体" w:hint="default"/>
                <w:w w:val="100"/>
                <w:sz w:val="21"/>
                <w:szCs w:val="21"/>
              </w:rPr>
              <w:t> </w:t>
            </w:r>
            <w:r>
              <w:rPr>
                <w:rFonts w:ascii="宋体" w:hAnsi="宋体" w:cs="宋体" w:eastAsia="宋体" w:hint="default"/>
                <w:sz w:val="21"/>
                <w:szCs w:val="21"/>
              </w:rPr>
              <w:t>险特征组合计提信用损失。</w:t>
            </w:r>
          </w:p>
        </w:tc>
        <w:tc>
          <w:tcPr>
            <w:tcW w:w="2376"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6"/>
        <w:spacing w:line="240" w:lineRule="auto" w:before="36"/>
        <w:ind w:right="1133"/>
        <w:jc w:val="left"/>
        <w:rPr>
          <w:b w:val="0"/>
          <w:bCs w:val="0"/>
        </w:rPr>
      </w:pPr>
      <w:bookmarkStart w:name="15、存货" w:id="186"/>
      <w:bookmarkEnd w:id="186"/>
      <w:r>
        <w:rPr>
          <w:b w:val="0"/>
          <w:bCs w:val="0"/>
        </w:rPr>
      </w: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254" w:right="1133" w:hanging="143"/>
        <w:jc w:val="left"/>
      </w:pPr>
      <w:r>
        <w:rPr>
          <w:rFonts w:ascii="宋体" w:hAnsi="宋体" w:cs="宋体" w:eastAsia="宋体" w:hint="default"/>
          <w:b/>
          <w:bCs/>
        </w:rPr>
        <w:t>存货的分类</w:t>
      </w:r>
      <w:r>
        <w:rPr>
          <w:rFonts w:ascii="宋体" w:hAnsi="宋体" w:cs="宋体" w:eastAsia="宋体" w:hint="default"/>
          <w:b/>
          <w:bCs/>
          <w:w w:val="100"/>
        </w:rPr>
        <w:t> </w:t>
      </w:r>
      <w:r>
        <w:rPr>
          <w:spacing w:val="-1"/>
        </w:rPr>
        <w:t>存货是指本公司在日常经营活动中持有以备出售的商品、处在项目实施过程中的未完工项目成本、项目</w:t>
      </w:r>
      <w:r>
        <w:rPr>
          <w:w w:val="100"/>
        </w:rPr>
        <w:t> </w:t>
      </w:r>
      <w:r>
        <w:rPr/>
        <w:t>实施或提供劳务过程中耗用的材料和物料等。主要包括原材料、库存商品、未完工项目成本等。</w:t>
      </w:r>
    </w:p>
    <w:p>
      <w:pPr>
        <w:spacing w:line="240" w:lineRule="auto" w:before="6"/>
        <w:rPr>
          <w:rFonts w:ascii="宋体" w:hAnsi="宋体" w:cs="宋体" w:eastAsia="宋体" w:hint="default"/>
          <w:sz w:val="24"/>
          <w:szCs w:val="24"/>
        </w:rPr>
      </w:pPr>
    </w:p>
    <w:p>
      <w:pPr>
        <w:spacing w:line="273" w:lineRule="auto" w:before="0"/>
        <w:ind w:left="254" w:right="6794" w:hanging="143"/>
        <w:jc w:val="left"/>
        <w:rPr>
          <w:rFonts w:ascii="宋体" w:hAnsi="宋体" w:cs="宋体" w:eastAsia="宋体" w:hint="default"/>
          <w:sz w:val="21"/>
          <w:szCs w:val="21"/>
        </w:rPr>
      </w:pPr>
      <w:r>
        <w:rPr>
          <w:rFonts w:ascii="宋体" w:hAnsi="宋体" w:cs="宋体" w:eastAsia="宋体" w:hint="default"/>
          <w:b/>
          <w:bCs/>
          <w:sz w:val="21"/>
          <w:szCs w:val="21"/>
        </w:rPr>
        <w:t>发出存货的计价方法</w:t>
      </w:r>
      <w:r>
        <w:rPr>
          <w:rFonts w:ascii="宋体" w:hAnsi="宋体" w:cs="宋体" w:eastAsia="宋体" w:hint="default"/>
          <w:b/>
          <w:bCs/>
          <w:spacing w:val="-103"/>
          <w:sz w:val="21"/>
          <w:szCs w:val="21"/>
        </w:rPr>
        <w:t> </w:t>
      </w:r>
      <w:r>
        <w:rPr>
          <w:rFonts w:ascii="宋体" w:hAnsi="宋体" w:cs="宋体" w:eastAsia="宋体" w:hint="default"/>
          <w:spacing w:val="-2"/>
          <w:sz w:val="21"/>
          <w:szCs w:val="21"/>
        </w:rPr>
        <w:t>存货发出时按个别认定法计价。</w:t>
      </w:r>
    </w:p>
    <w:p>
      <w:pPr>
        <w:spacing w:after="0" w:line="273" w:lineRule="auto"/>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left="254" w:right="1133" w:hanging="143"/>
        <w:jc w:val="left"/>
      </w:pPr>
      <w:r>
        <w:rPr>
          <w:rFonts w:ascii="宋体" w:hAnsi="宋体" w:cs="宋体" w:eastAsia="宋体" w:hint="default"/>
          <w:b/>
          <w:bCs/>
        </w:rPr>
        <w:t>不同类别存货可变现净值的确定依据</w:t>
      </w:r>
      <w:r>
        <w:rPr>
          <w:rFonts w:ascii="宋体" w:hAnsi="宋体" w:cs="宋体" w:eastAsia="宋体" w:hint="default"/>
          <w:b/>
          <w:bCs/>
          <w:w w:val="100"/>
        </w:rPr>
        <w:t> </w:t>
      </w:r>
      <w:r>
        <w:rPr>
          <w:spacing w:val="-1"/>
        </w:rPr>
        <w:t>产成品、库存商品和用于出售的材料等直接用于出售的商品存货，在正常生产经营过程中，以该存货的</w:t>
      </w:r>
      <w:r>
        <w:rPr>
          <w:w w:val="100"/>
        </w:rPr>
        <w:t> </w:t>
      </w:r>
      <w:r>
        <w:rPr>
          <w:spacing w:val="-1"/>
        </w:rPr>
        <w:t>估计售价减去估计的销售费用和相关税费后的金额，确定其可变现净值；需要经过加工的材料存货，在</w:t>
      </w:r>
      <w:r>
        <w:rPr>
          <w:w w:val="100"/>
        </w:rPr>
        <w:t> </w:t>
      </w:r>
      <w:r>
        <w:rPr>
          <w:spacing w:val="-1"/>
        </w:rPr>
        <w:t>正常生产经营过程中，以所生产的产成品的估计售价减去至完工时估计将要发生的成本、估计的销售费</w:t>
      </w:r>
      <w:r>
        <w:rPr>
          <w:w w:val="100"/>
        </w:rPr>
        <w:t> </w:t>
      </w:r>
      <w:r>
        <w:rPr>
          <w:spacing w:val="-1"/>
        </w:rPr>
        <w:t>用和相关税费后的金额，确定其可变现净值；为执行销售合同或者劳务合同而持有的存货，其可变现净</w:t>
      </w:r>
      <w:r>
        <w:rPr>
          <w:w w:val="100"/>
        </w:rPr>
        <w:t> </w:t>
      </w:r>
      <w:r>
        <w:rPr>
          <w:spacing w:val="-1"/>
        </w:rPr>
        <w:t>值以合同价格为基础计算，若持有存货的数量多于销售合同订购数量的，超出部分的存货的可变现净值</w:t>
      </w:r>
      <w:r>
        <w:rPr>
          <w:w w:val="100"/>
        </w:rPr>
        <w:t> </w:t>
      </w:r>
      <w:r>
        <w:rPr/>
        <w:t>以一般销售价格为基础计算。</w:t>
      </w:r>
      <w:r>
        <w:rPr>
          <w:w w:val="100"/>
        </w:rPr>
        <w:t> </w:t>
      </w:r>
      <w:r>
        <w:rPr>
          <w:spacing w:val="-1"/>
        </w:rPr>
        <w:t>期末按照单个存货项目计提存货跌价准备；但对于数量繁多、单价较低的存货，按照存货类别计提存货</w:t>
      </w:r>
      <w:r>
        <w:rPr>
          <w:w w:val="100"/>
        </w:rPr>
        <w:t> </w:t>
      </w:r>
      <w:r>
        <w:rPr>
          <w:spacing w:val="-1"/>
        </w:rPr>
        <w:t>跌价准备；与在同一地区生产和销售的产品系列相关、具有相同或类似最终用途或目的，且难以与其他</w:t>
      </w:r>
      <w:r>
        <w:rPr>
          <w:w w:val="100"/>
        </w:rPr>
        <w:t> </w:t>
      </w:r>
      <w:r>
        <w:rPr/>
        <w:t>项目分开计量的存货，则合并计提存货跌价准备。</w:t>
      </w:r>
      <w:r>
        <w:rPr>
          <w:w w:val="100"/>
        </w:rPr>
        <w:t> </w:t>
      </w:r>
      <w:r>
        <w:rPr>
          <w:spacing w:val="-1"/>
        </w:rPr>
        <w:t>除有明确证据表明资产负债表日市场价格异常外，存货项目的可变现净值以资产负债表日市场价格为基</w:t>
      </w:r>
      <w:r>
        <w:rPr>
          <w:w w:val="100"/>
        </w:rPr>
        <w:t> </w:t>
      </w:r>
      <w:r>
        <w:rPr/>
        <w:t>础确定。</w:t>
      </w:r>
    </w:p>
    <w:p>
      <w:pPr>
        <w:pStyle w:val="BodyText"/>
        <w:spacing w:line="240" w:lineRule="auto" w:before="8"/>
        <w:ind w:left="254" w:right="1133"/>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73" w:lineRule="auto" w:before="0"/>
        <w:ind w:left="295" w:right="8284" w:hanging="183"/>
        <w:jc w:val="left"/>
        <w:rPr>
          <w:rFonts w:ascii="宋体" w:hAnsi="宋体" w:cs="宋体" w:eastAsia="宋体" w:hint="default"/>
          <w:sz w:val="21"/>
          <w:szCs w:val="21"/>
        </w:rPr>
      </w:pPr>
      <w:r>
        <w:rPr>
          <w:rFonts w:ascii="宋体" w:hAnsi="宋体" w:cs="宋体" w:eastAsia="宋体" w:hint="default"/>
          <w:b/>
          <w:bCs/>
          <w:sz w:val="21"/>
          <w:szCs w:val="21"/>
        </w:rPr>
        <w:t>存货的盘存制度</w:t>
      </w:r>
      <w:r>
        <w:rPr>
          <w:rFonts w:ascii="宋体" w:hAnsi="宋体" w:cs="宋体" w:eastAsia="宋体" w:hint="default"/>
          <w:b/>
          <w:bCs/>
          <w:spacing w:val="-104"/>
          <w:sz w:val="21"/>
          <w:szCs w:val="21"/>
        </w:rPr>
        <w:t> </w:t>
      </w:r>
      <w:r>
        <w:rPr>
          <w:rFonts w:ascii="宋体" w:hAnsi="宋体" w:cs="宋体" w:eastAsia="宋体" w:hint="default"/>
          <w:spacing w:val="-2"/>
          <w:sz w:val="21"/>
          <w:szCs w:val="21"/>
        </w:rPr>
        <w:t>采用永续盘存制。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1133"/>
        <w:jc w:val="left"/>
        <w:rPr>
          <w:b w:val="0"/>
          <w:bCs w:val="0"/>
        </w:rPr>
      </w:pPr>
      <w:bookmarkStart w:name="16、合同资产" w:id="187"/>
      <w:bookmarkEnd w:id="187"/>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7、合同成本" w:id="188"/>
      <w:bookmarkEnd w:id="188"/>
      <w:r>
        <w:rPr>
          <w:b w:val="0"/>
          <w:bCs w:val="0"/>
        </w:rPr>
      </w:r>
      <w:r>
        <w:rPr>
          <w:rFonts w:ascii="Times New Roman" w:hAnsi="Times New Roman" w:cs="Times New Roman" w:eastAsia="Times New Roman" w:hint="default"/>
        </w:rPr>
        <w:t>17</w:t>
      </w:r>
      <w:r>
        <w:rPr/>
        <w:t>、合同成本</w:t>
      </w:r>
      <w:r>
        <w:rPr>
          <w:b w:val="0"/>
          <w:bCs w:val="0"/>
        </w:rPr>
      </w:r>
    </w:p>
    <w:p>
      <w:pPr>
        <w:spacing w:line="600" w:lineRule="atLeast" w:before="12"/>
        <w:ind w:left="112" w:right="2654" w:firstLine="0"/>
        <w:jc w:val="left"/>
        <w:rPr>
          <w:rFonts w:ascii="宋体" w:hAnsi="宋体" w:cs="宋体" w:eastAsia="宋体" w:hint="default"/>
          <w:sz w:val="21"/>
          <w:szCs w:val="21"/>
        </w:rPr>
      </w:pPr>
      <w:bookmarkStart w:name="18、持有待售资产" w:id="189"/>
      <w:bookmarkEnd w:id="189"/>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本公司将同时满足下列条件的非流动资产或处置组划分为持有待售类别：</w:t>
      </w:r>
    </w:p>
    <w:p>
      <w:pPr>
        <w:pStyle w:val="BodyText"/>
        <w:spacing w:line="240" w:lineRule="auto" w:before="37"/>
        <w:ind w:left="225"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56" w:lineRule="auto" w:before="21"/>
        <w:ind w:left="112" w:right="1133" w:firstLine="112"/>
        <w:jc w:val="left"/>
      </w:pPr>
      <w:r>
        <w:rPr>
          <w:spacing w:val="-3"/>
        </w:rPr>
        <w:t>（</w:t>
      </w:r>
      <w:r>
        <w:rPr>
          <w:rFonts w:ascii="Times New Roman" w:hAnsi="Times New Roman" w:cs="Times New Roman" w:eastAsia="Times New Roman" w:hint="default"/>
          <w:spacing w:val="-3"/>
        </w:rPr>
        <w:t>2</w:t>
      </w:r>
      <w:r>
        <w:rPr>
          <w:spacing w:val="-3"/>
        </w:rPr>
        <w:t>）出售极可能发生，即本公司已经就一项出售计划作出决议且获得确定的购买承诺，预计出售将在一</w:t>
      </w:r>
      <w:r>
        <w:rPr>
          <w:w w:val="100"/>
        </w:rPr>
        <w:t> </w:t>
      </w:r>
      <w:r>
        <w:rPr/>
        <w:t>年内完成。有关规定要求本公司相关权力机构或者监管部门批准后方可出售的，已经获得批准。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61"/>
        <w:ind w:right="1133"/>
        <w:jc w:val="left"/>
        <w:rPr>
          <w:b w:val="0"/>
          <w:bCs w:val="0"/>
        </w:rPr>
      </w:pPr>
      <w:bookmarkStart w:name="19、债权投资" w:id="190"/>
      <w:bookmarkEnd w:id="190"/>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20、其他债权投资" w:id="191"/>
      <w:bookmarkEnd w:id="191"/>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21、长期应收款" w:id="192"/>
      <w:bookmarkEnd w:id="192"/>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12" w:right="1210"/>
        <w:jc w:val="both"/>
      </w:pPr>
      <w:r>
        <w:rPr/>
        <w:t>本公司对长期应收款的预期信用损失的确定方法及会计处理方法详见详见“</w:t>
      </w:r>
      <w:r>
        <w:rPr>
          <w:spacing w:val="-8"/>
        </w:rPr>
        <w:t> </w:t>
      </w:r>
      <w:r>
        <w:rPr/>
        <w:t>第十二章节、财务报告五、</w:t>
      </w:r>
      <w:r>
        <w:rPr>
          <w:w w:val="100"/>
        </w:rPr>
        <w:t> </w:t>
      </w:r>
      <w:r>
        <w:rPr/>
        <w:t>重要会计政策及会计估计</w:t>
      </w:r>
      <w:r>
        <w:rPr>
          <w:rFonts w:ascii="宋体" w:hAnsi="宋体" w:cs="宋体" w:eastAsia="宋体" w:hint="default"/>
        </w:rPr>
        <w:t>1</w:t>
      </w:r>
      <w:r>
        <w:rPr>
          <w:rFonts w:ascii="Times New Roman" w:hAnsi="Times New Roman" w:cs="Times New Roman" w:eastAsia="Times New Roman" w:hint="default"/>
        </w:rPr>
        <w:t>0</w:t>
      </w:r>
      <w:r>
        <w:rPr/>
        <w:t>、金融工具”和“</w:t>
      </w:r>
      <w:r>
        <w:rPr>
          <w:spacing w:val="-7"/>
        </w:rPr>
        <w:t> </w:t>
      </w:r>
      <w:r>
        <w:rPr/>
        <w:t>第十二章节、财务报告五、重要会计政策及会计估计</w:t>
      </w:r>
      <w:r>
        <w:rPr>
          <w:rFonts w:ascii="宋体" w:hAnsi="宋体" w:cs="宋体" w:eastAsia="宋体" w:hint="default"/>
        </w:rPr>
        <w:t>12</w:t>
      </w:r>
      <w:r>
        <w:rPr/>
        <w:t>、</w:t>
      </w:r>
      <w:r>
        <w:rPr>
          <w:w w:val="100"/>
        </w:rPr>
        <w:t> </w:t>
      </w:r>
      <w:r>
        <w:rPr>
          <w:spacing w:val="-19"/>
          <w:w w:val="100"/>
        </w:rPr>
        <w:t>应收账款”。</w:t>
      </w:r>
    </w:p>
    <w:p>
      <w:pPr>
        <w:spacing w:line="240" w:lineRule="auto" w:before="2"/>
        <w:rPr>
          <w:rFonts w:ascii="宋体" w:hAnsi="宋体" w:cs="宋体" w:eastAsia="宋体" w:hint="default"/>
          <w:sz w:val="24"/>
          <w:szCs w:val="24"/>
        </w:rPr>
      </w:pPr>
    </w:p>
    <w:p>
      <w:pPr>
        <w:pStyle w:val="Heading6"/>
        <w:spacing w:line="240" w:lineRule="auto"/>
        <w:ind w:right="1133"/>
        <w:jc w:val="left"/>
        <w:rPr>
          <w:b w:val="0"/>
          <w:bCs w:val="0"/>
        </w:rPr>
      </w:pPr>
      <w:bookmarkStart w:name="22、长期股权投资" w:id="193"/>
      <w:bookmarkEnd w:id="193"/>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10"/>
        <w:rPr>
          <w:rFonts w:ascii="宋体" w:hAnsi="宋体" w:cs="宋体" w:eastAsia="宋体" w:hint="default"/>
          <w:b/>
          <w:bCs/>
          <w:sz w:val="24"/>
          <w:szCs w:val="24"/>
        </w:rPr>
      </w:pPr>
    </w:p>
    <w:p>
      <w:pPr>
        <w:spacing w:line="273" w:lineRule="auto" w:before="0"/>
        <w:ind w:left="1390" w:right="1133" w:hanging="502"/>
        <w:jc w:val="left"/>
        <w:rPr>
          <w:rFonts w:ascii="宋体" w:hAnsi="宋体" w:cs="宋体" w:eastAsia="宋体" w:hint="default"/>
          <w:sz w:val="21"/>
          <w:szCs w:val="21"/>
        </w:rPr>
      </w:pP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3"/>
          <w:sz w:val="21"/>
          <w:szCs w:val="21"/>
        </w:rPr>
        <w:t>共同控制，是指按照相关约定对某项安排所共有的控制，并且该安排的相关活动必须经过分</w:t>
      </w:r>
    </w:p>
    <w:p>
      <w:pPr>
        <w:spacing w:after="0" w:line="273" w:lineRule="auto"/>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33"/>
        <w:jc w:val="left"/>
      </w:pPr>
      <w:r>
        <w:rPr>
          <w:spacing w:val="-3"/>
        </w:rPr>
        <w:t>享控制权的参与方一致同意后才能决策。本公司与其他合营方一同对被投资单位实施共同控</w:t>
      </w:r>
      <w:r>
        <w:rPr>
          <w:spacing w:val="-28"/>
        </w:rPr>
        <w:t> </w:t>
      </w:r>
      <w:r>
        <w:rPr>
          <w:spacing w:val="-28"/>
        </w:rPr>
      </w:r>
      <w:r>
        <w:rPr/>
        <w:t>制且对被投资单位净资产享有权利的，被投资单位为本公司的合营企业。</w:t>
      </w:r>
      <w:r>
        <w:rPr>
          <w:w w:val="100"/>
        </w:rPr>
        <w:t> </w:t>
      </w:r>
      <w:r>
        <w:rPr>
          <w:spacing w:val="-3"/>
        </w:rPr>
        <w:t>重大影响，是指对一个企业的财务和经营决策有参与决策的权力，但并不能够控制或者与其</w:t>
      </w:r>
      <w:r>
        <w:rPr>
          <w:spacing w:val="-29"/>
        </w:rPr>
        <w:t> </w:t>
      </w:r>
      <w:r>
        <w:rPr>
          <w:spacing w:val="-29"/>
        </w:rPr>
      </w:r>
      <w:r>
        <w:rPr>
          <w:spacing w:val="-3"/>
        </w:rPr>
        <w:t>他方一起共同控制这些政策的制定。本公司能够对被投资单位施加重大影响的，被投资单位</w:t>
      </w:r>
      <w:r>
        <w:rPr>
          <w:spacing w:val="-30"/>
        </w:rPr>
        <w:t> </w:t>
      </w:r>
      <w:r>
        <w:rPr>
          <w:spacing w:val="-30"/>
        </w:rPr>
      </w:r>
      <w:r>
        <w:rPr/>
        <w:t>为本公司联营企业。</w:t>
      </w:r>
    </w:p>
    <w:p>
      <w:pPr>
        <w:spacing w:line="240" w:lineRule="auto" w:before="6"/>
        <w:rPr>
          <w:rFonts w:ascii="宋体" w:hAnsi="宋体" w:cs="宋体" w:eastAsia="宋体" w:hint="default"/>
          <w:sz w:val="24"/>
          <w:szCs w:val="24"/>
        </w:rPr>
      </w:pPr>
    </w:p>
    <w:p>
      <w:pPr>
        <w:pStyle w:val="Heading6"/>
        <w:spacing w:line="240" w:lineRule="auto"/>
        <w:ind w:left="888" w:right="1133"/>
        <w:jc w:val="left"/>
        <w:rPr>
          <w:b w:val="0"/>
          <w:bCs w:val="0"/>
        </w:rPr>
      </w:pPr>
      <w:r>
        <w:rPr/>
        <w:t>初始投资成本的确定</w:t>
      </w:r>
      <w:r>
        <w:rPr>
          <w:b w:val="0"/>
          <w:bCs w:val="0"/>
        </w:rPr>
      </w:r>
    </w:p>
    <w:p>
      <w:pPr>
        <w:pStyle w:val="BodyText"/>
        <w:spacing w:line="271" w:lineRule="auto" w:before="37"/>
        <w:ind w:right="1133"/>
        <w:jc w:val="left"/>
      </w:pPr>
      <w:r>
        <w:rPr/>
        <w:t>（</w:t>
      </w:r>
      <w:r>
        <w:rPr>
          <w:rFonts w:ascii="Times New Roman" w:hAnsi="Times New Roman" w:cs="Times New Roman" w:eastAsia="Times New Roman" w:hint="default"/>
        </w:rPr>
        <w:t>1</w:t>
      </w:r>
      <w:r>
        <w:rPr/>
        <w:t>）企业合并形成的长期股权投资</w:t>
      </w:r>
      <w:r>
        <w:rPr>
          <w:w w:val="100"/>
        </w:rPr>
        <w:t> </w:t>
      </w:r>
      <w:r>
        <w:rPr>
          <w:spacing w:val="-3"/>
        </w:rPr>
        <w:t>同一控制下的企业合并：公司以支付现金、转让非现金资产或承担债务方式以及以发行权益</w:t>
      </w:r>
      <w:r>
        <w:rPr>
          <w:spacing w:val="-30"/>
        </w:rPr>
        <w:t> </w:t>
      </w:r>
      <w:r>
        <w:rPr>
          <w:spacing w:val="-30"/>
        </w:rPr>
      </w:r>
      <w:r>
        <w:rPr>
          <w:spacing w:val="-3"/>
        </w:rPr>
        <w:t>性证券作为合并对价的，在合并日按照取得被合并方所有者权益在最终控制方合并财务报表</w:t>
      </w:r>
      <w:r>
        <w:rPr>
          <w:spacing w:val="-29"/>
        </w:rPr>
        <w:t> </w:t>
      </w:r>
      <w:r>
        <w:rPr>
          <w:spacing w:val="-29"/>
        </w:rPr>
      </w:r>
      <w:r>
        <w:rPr>
          <w:spacing w:val="-3"/>
        </w:rPr>
        <w:t>中的账面价值的份额作为长期股权投资的初始投资成本。因追加投资等原因能够对同一控制</w:t>
      </w:r>
      <w:r>
        <w:rPr>
          <w:spacing w:val="-29"/>
        </w:rPr>
        <w:t> </w:t>
      </w:r>
      <w:r>
        <w:rPr>
          <w:spacing w:val="-29"/>
        </w:rPr>
      </w:r>
      <w:r>
        <w:rPr>
          <w:spacing w:val="-3"/>
        </w:rPr>
        <w:t>下的被投资单位实施控制的，在合并日根据合并后应享有被合并方净资产在最终控制方合并</w:t>
      </w:r>
      <w:r>
        <w:rPr>
          <w:spacing w:val="-30"/>
        </w:rPr>
        <w:t> </w:t>
      </w:r>
      <w:r>
        <w:rPr>
          <w:spacing w:val="-30"/>
        </w:rPr>
      </w:r>
      <w:r>
        <w:rPr>
          <w:spacing w:val="-3"/>
        </w:rPr>
        <w:t>财务报表中的账面价值的份额，确定长期股权投资的初始投资成本。合并日长期股权投资的</w:t>
      </w:r>
      <w:r>
        <w:rPr>
          <w:spacing w:val="-30"/>
        </w:rPr>
        <w:t> </w:t>
      </w:r>
      <w:r>
        <w:rPr>
          <w:spacing w:val="-30"/>
        </w:rPr>
      </w:r>
      <w:r>
        <w:rPr>
          <w:spacing w:val="-3"/>
        </w:rPr>
        <w:t>初始投资成本，与达到合并前的长期股权投资账面价值加上合并日进一步取得股份新支付对</w:t>
      </w:r>
      <w:r>
        <w:rPr>
          <w:spacing w:val="-29"/>
        </w:rPr>
        <w:t> </w:t>
      </w:r>
      <w:r>
        <w:rPr>
          <w:spacing w:val="-29"/>
        </w:rPr>
      </w:r>
      <w:r>
        <w:rPr/>
        <w:t>价的账面价值之和的差额，调整股本溢价，股本溢价不足冲减的，冲减留存收益。</w:t>
      </w:r>
      <w:r>
        <w:rPr>
          <w:w w:val="100"/>
        </w:rPr>
        <w:t> </w:t>
      </w:r>
      <w:r>
        <w:rPr>
          <w:spacing w:val="-3"/>
        </w:rPr>
        <w:t>非同一控制下的企业合并：公司按照购买日确定的合并成本作为长期股权投资的初始投资成</w:t>
      </w:r>
      <w:r>
        <w:rPr>
          <w:spacing w:val="-30"/>
        </w:rPr>
        <w:t> </w:t>
      </w:r>
      <w:r>
        <w:rPr>
          <w:spacing w:val="-30"/>
        </w:rPr>
      </w:r>
      <w:r>
        <w:rPr>
          <w:spacing w:val="-3"/>
        </w:rPr>
        <w:t>本。因追加投资等原因能够对非同一控制下的被投资单位实施控制的，按照原持有的股权投</w:t>
      </w:r>
      <w:r>
        <w:rPr>
          <w:spacing w:val="-30"/>
        </w:rPr>
        <w:t> </w:t>
      </w:r>
      <w:r>
        <w:rPr>
          <w:spacing w:val="-30"/>
        </w:rPr>
      </w:r>
      <w:r>
        <w:rPr/>
        <w:t>资账面价值加上新增投资成本之和，作为改按成本法核算的初始投资成本。</w:t>
      </w:r>
    </w:p>
    <w:p>
      <w:pPr>
        <w:pStyle w:val="BodyText"/>
        <w:spacing w:line="271" w:lineRule="auto" w:before="10"/>
        <w:ind w:right="1133"/>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spacing w:val="2"/>
        </w:rPr>
        <w:t>以发行权益性证券取得的长期股权投资，按照发行权益性证券的公允价值作为初始投资成</w:t>
      </w:r>
      <w:r>
        <w:rPr>
          <w:spacing w:val="-33"/>
        </w:rPr>
        <w:t> </w:t>
      </w:r>
      <w:r>
        <w:rPr>
          <w:spacing w:val="-33"/>
        </w:rPr>
      </w:r>
      <w:r>
        <w:rPr/>
        <w:t>本。</w:t>
      </w:r>
      <w:r>
        <w:rPr>
          <w:spacing w:val="-103"/>
        </w:rPr>
        <w:t> </w:t>
      </w:r>
      <w:r>
        <w:rPr>
          <w:spacing w:val="-3"/>
        </w:rPr>
        <w:t>在非货币性资产交换具有商业实质，且换入资产或换出资产的公允价值能够可靠计量时，以</w:t>
      </w:r>
      <w:r>
        <w:rPr>
          <w:spacing w:val="-29"/>
        </w:rPr>
        <w:t> </w:t>
      </w:r>
      <w:r>
        <w:rPr>
          <w:spacing w:val="-29"/>
        </w:rPr>
      </w:r>
      <w:r>
        <w:rPr>
          <w:spacing w:val="-3"/>
        </w:rPr>
        <w:t>公允价值为基础计量。如换入资产和换出资产的公允价值均能可靠计量的，对于换入的长期</w:t>
      </w:r>
      <w:r>
        <w:rPr>
          <w:spacing w:val="-30"/>
        </w:rPr>
        <w:t> </w:t>
      </w:r>
      <w:r>
        <w:rPr>
          <w:spacing w:val="-30"/>
        </w:rPr>
      </w:r>
      <w:r>
        <w:rPr>
          <w:spacing w:val="-3"/>
        </w:rPr>
        <w:t>股权投资，以换出资产的公允价值和应支付的相关税费作为换入的长期股权投资的初始投资</w:t>
      </w:r>
      <w:r>
        <w:rPr>
          <w:spacing w:val="-29"/>
        </w:rPr>
        <w:t> </w:t>
      </w:r>
      <w:r>
        <w:rPr>
          <w:spacing w:val="-29"/>
        </w:rPr>
      </w:r>
      <w:r>
        <w:rPr>
          <w:spacing w:val="-3"/>
        </w:rPr>
        <w:t>成本，除非有确凿证据表明换入资产的公允价值更加可靠。非货币性资产交换不具有商业实</w:t>
      </w:r>
      <w:r>
        <w:rPr>
          <w:spacing w:val="-30"/>
        </w:rPr>
        <w:t> </w:t>
      </w:r>
      <w:r>
        <w:rPr>
          <w:spacing w:val="-30"/>
        </w:rPr>
      </w:r>
      <w:r>
        <w:rPr>
          <w:spacing w:val="-3"/>
        </w:rPr>
        <w:t>质，或换入资产和换出资产的公允价值均不能可靠计量的，对于换入的长期股权投资，以换</w:t>
      </w:r>
      <w:r>
        <w:rPr>
          <w:spacing w:val="-34"/>
        </w:rPr>
        <w:t> </w:t>
      </w:r>
      <w:r>
        <w:rPr>
          <w:spacing w:val="-34"/>
        </w:rPr>
      </w:r>
      <w:r>
        <w:rPr/>
        <w:t>出资产的账面价值和应支付的相关税费作为换入长期股权投资的初始投资成本。</w:t>
      </w:r>
      <w:r>
        <w:rPr>
          <w:w w:val="100"/>
        </w:rPr>
        <w:t> </w:t>
      </w:r>
      <w:r>
        <w:rPr>
          <w:spacing w:val="-3"/>
        </w:rPr>
        <w:t>通过债务重组取得的长期股权投资，以所放弃债权的公允价值和可直接归属于该资产的税金</w:t>
      </w:r>
      <w:r>
        <w:rPr>
          <w:spacing w:val="-29"/>
        </w:rPr>
        <w:t> </w:t>
      </w:r>
      <w:r>
        <w:rPr>
          <w:spacing w:val="-29"/>
        </w:rPr>
      </w:r>
      <w:r>
        <w:rPr>
          <w:spacing w:val="-3"/>
        </w:rPr>
        <w:t>等其他成本确定其入账价值，并将所放弃债权的公允价值与账面价值之间的差额，计入当期</w:t>
      </w:r>
      <w:r>
        <w:rPr>
          <w:spacing w:val="-30"/>
        </w:rPr>
        <w:t> </w:t>
      </w:r>
      <w:r>
        <w:rPr>
          <w:spacing w:val="-30"/>
        </w:rPr>
      </w:r>
      <w:r>
        <w:rPr/>
        <w:t>损益。</w:t>
      </w:r>
    </w:p>
    <w:p>
      <w:pPr>
        <w:spacing w:line="240" w:lineRule="auto" w:before="8"/>
        <w:rPr>
          <w:rFonts w:ascii="宋体" w:hAnsi="宋体" w:cs="宋体" w:eastAsia="宋体" w:hint="default"/>
          <w:sz w:val="24"/>
          <w:szCs w:val="24"/>
        </w:rPr>
      </w:pPr>
    </w:p>
    <w:p>
      <w:pPr>
        <w:pStyle w:val="Heading6"/>
        <w:spacing w:line="240" w:lineRule="auto"/>
        <w:ind w:left="888" w:right="1133"/>
        <w:jc w:val="left"/>
        <w:rPr>
          <w:b w:val="0"/>
          <w:bCs w:val="0"/>
        </w:rPr>
      </w:pPr>
      <w:r>
        <w:rPr/>
        <w:t>后续计量及损益确认方法</w:t>
      </w:r>
      <w:r>
        <w:rPr>
          <w:b w:val="0"/>
          <w:bCs w:val="0"/>
        </w:rPr>
      </w:r>
    </w:p>
    <w:p>
      <w:pPr>
        <w:pStyle w:val="BodyText"/>
        <w:spacing w:line="268" w:lineRule="auto" w:before="37"/>
        <w:ind w:right="1133"/>
        <w:jc w:val="left"/>
      </w:pPr>
      <w:r>
        <w:rPr/>
        <w:t>（</w:t>
      </w:r>
      <w:r>
        <w:rPr>
          <w:rFonts w:ascii="Times New Roman" w:hAnsi="Times New Roman" w:cs="Times New Roman" w:eastAsia="Times New Roman" w:hint="default"/>
        </w:rPr>
        <w:t>1</w:t>
      </w:r>
      <w:r>
        <w:rPr/>
        <w:t>）成本法核算的长期股权投资</w:t>
      </w:r>
      <w:r>
        <w:rPr>
          <w:w w:val="100"/>
        </w:rPr>
        <w:t> </w:t>
      </w:r>
      <w:r>
        <w:rPr>
          <w:spacing w:val="-3"/>
        </w:rPr>
        <w:t>公司对子公司的长期股权投资，采用成本法核算。除取得投资时实际支付的价款或对价中包</w:t>
      </w:r>
      <w:r>
        <w:rPr>
          <w:spacing w:val="-29"/>
        </w:rPr>
        <w:t> </w:t>
      </w:r>
      <w:r>
        <w:rPr>
          <w:spacing w:val="-29"/>
        </w:rPr>
      </w:r>
      <w:r>
        <w:rPr>
          <w:spacing w:val="-3"/>
        </w:rPr>
        <w:t>含的已宣告但尚未发放的现金股利或利润外，公司按照享有被投资单位宣告发放的现金股利</w:t>
      </w:r>
      <w:r>
        <w:rPr>
          <w:spacing w:val="-29"/>
        </w:rPr>
        <w:t> </w:t>
      </w:r>
      <w:r>
        <w:rPr>
          <w:spacing w:val="-29"/>
        </w:rPr>
      </w:r>
      <w:r>
        <w:rPr/>
        <w:t>或利润确认当期投资收益。</w:t>
      </w:r>
    </w:p>
    <w:p>
      <w:pPr>
        <w:pStyle w:val="BodyText"/>
        <w:spacing w:line="268" w:lineRule="auto" w:before="12"/>
        <w:ind w:right="1133"/>
        <w:jc w:val="left"/>
      </w:pPr>
      <w:r>
        <w:rPr/>
        <w:t>（</w:t>
      </w:r>
      <w:r>
        <w:rPr>
          <w:rFonts w:ascii="Times New Roman" w:hAnsi="Times New Roman" w:cs="Times New Roman" w:eastAsia="Times New Roman" w:hint="default"/>
        </w:rPr>
        <w:t>2</w:t>
      </w:r>
      <w:r>
        <w:rPr/>
        <w:t>）权益法核算的长期股权投资</w:t>
      </w:r>
      <w:r>
        <w:rPr>
          <w:w w:val="100"/>
        </w:rPr>
        <w:t> </w:t>
      </w:r>
      <w:r>
        <w:rPr>
          <w:spacing w:val="-3"/>
        </w:rPr>
        <w:t>对联营企业和合营企业的长期股权投资，采用权益法核算。初始投资成本大于投资时应享有</w:t>
      </w:r>
      <w:r>
        <w:rPr>
          <w:spacing w:val="-30"/>
        </w:rPr>
        <w:t> </w:t>
      </w:r>
      <w:r>
        <w:rPr>
          <w:spacing w:val="-30"/>
        </w:rPr>
      </w:r>
      <w:r>
        <w:rPr>
          <w:spacing w:val="-3"/>
        </w:rPr>
        <w:t>被投资单位可辨认净资产公允价值份额的差额，不调整长期股权投资的初始投资成本；初始</w:t>
      </w:r>
      <w:r>
        <w:rPr>
          <w:spacing w:val="-30"/>
        </w:rPr>
        <w:t> </w:t>
      </w:r>
      <w:r>
        <w:rPr>
          <w:spacing w:val="-30"/>
        </w:rPr>
      </w:r>
      <w:r>
        <w:rPr>
          <w:spacing w:val="-2"/>
        </w:rPr>
        <w:t>投资成本小于投资时应享有被投资单位可辨认净资产公允价值份额的差额，计入当期损益。</w:t>
      </w:r>
      <w:r>
        <w:rPr>
          <w:spacing w:val="-34"/>
        </w:rPr>
        <w:t> </w:t>
      </w:r>
      <w:r>
        <w:rPr>
          <w:spacing w:val="-34"/>
        </w:rPr>
      </w:r>
      <w:r>
        <w:rPr>
          <w:spacing w:val="-3"/>
        </w:rPr>
        <w:t>公司按照应享有或应分担的被投资单位实现的净损益和其他综合收益的份额，分别确认投资</w:t>
      </w:r>
      <w:r>
        <w:rPr>
          <w:spacing w:val="-30"/>
        </w:rPr>
        <w:t> </w:t>
      </w:r>
      <w:r>
        <w:rPr>
          <w:spacing w:val="-30"/>
        </w:rPr>
      </w:r>
      <w:r>
        <w:rPr>
          <w:spacing w:val="-3"/>
        </w:rPr>
        <w:t>收益和其他综合收益，同时调整长期股权投资的账面价值；按照被投资单位宣告分派的利润</w:t>
      </w:r>
      <w:r>
        <w:rPr>
          <w:spacing w:val="-31"/>
        </w:rPr>
        <w:t> </w:t>
      </w:r>
      <w:r>
        <w:rPr>
          <w:spacing w:val="-31"/>
        </w:rPr>
      </w:r>
      <w:r>
        <w:rPr>
          <w:spacing w:val="-3"/>
        </w:rPr>
        <w:t>或现金股利计算应享有的部分，相应减少长期股权投资的账面价值；对于被投资单位除净损</w:t>
      </w:r>
    </w:p>
    <w:p>
      <w:pPr>
        <w:spacing w:after="0" w:line="268"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986"/>
        <w:jc w:val="left"/>
      </w:pPr>
      <w:r>
        <w:rPr>
          <w:spacing w:val="-3"/>
        </w:rPr>
        <w:t>益、其他综合收益和利润分配以外所有者权益的其他变动，调整长期股权投资的账面价值并</w:t>
      </w:r>
      <w:r>
        <w:rPr>
          <w:spacing w:val="-31"/>
        </w:rPr>
        <w:t> </w:t>
      </w:r>
      <w:r>
        <w:rPr>
          <w:spacing w:val="-31"/>
        </w:rPr>
      </w:r>
      <w:r>
        <w:rPr/>
        <w:t>计入所有者权益。</w:t>
      </w:r>
      <w:r>
        <w:rPr>
          <w:w w:val="100"/>
        </w:rPr>
        <w:t> </w:t>
      </w:r>
      <w:r>
        <w:rPr>
          <w:spacing w:val="-3"/>
        </w:rPr>
        <w:t>在确认应享有被投资单位净损益的份额时，以取得投资时被投资单位可辨认净资产的公允价</w:t>
      </w:r>
      <w:r>
        <w:rPr>
          <w:spacing w:val="-30"/>
        </w:rPr>
        <w:t> </w:t>
      </w:r>
      <w:r>
        <w:rPr>
          <w:spacing w:val="-30"/>
        </w:rPr>
      </w:r>
      <w:r>
        <w:rPr>
          <w:spacing w:val="-3"/>
        </w:rPr>
        <w:t>值为基础，并按照公司的会计政策及会计期间，对被投资单位的净利润进行调整后确认。在</w:t>
      </w:r>
      <w:r>
        <w:rPr>
          <w:spacing w:val="-34"/>
        </w:rPr>
        <w:t> </w:t>
      </w:r>
      <w:r>
        <w:rPr>
          <w:spacing w:val="-34"/>
        </w:rPr>
      </w:r>
      <w:r>
        <w:rPr>
          <w:spacing w:val="-3"/>
        </w:rPr>
        <w:t>持有投资期间，被投资单位编制合并财务报表的，以合并财务报表中的净利润、其他综合收</w:t>
      </w:r>
      <w:r>
        <w:rPr>
          <w:spacing w:val="-34"/>
        </w:rPr>
        <w:t> </w:t>
      </w:r>
      <w:r>
        <w:rPr>
          <w:spacing w:val="-34"/>
        </w:rPr>
      </w:r>
      <w:r>
        <w:rPr/>
        <w:t>益和其他所有者权益变动中归属于被投资单位的金额为基础进行核算。</w:t>
      </w:r>
      <w:r>
        <w:rPr>
          <w:w w:val="100"/>
        </w:rPr>
        <w:t> </w:t>
      </w:r>
      <w:r>
        <w:rPr>
          <w:spacing w:val="-3"/>
        </w:rPr>
        <w:t>公司与联营企业、合营企业之间发生的未实现内部交易损益按照应享有的比例计算归属于公</w:t>
      </w:r>
      <w:r>
        <w:rPr>
          <w:spacing w:val="-30"/>
        </w:rPr>
        <w:t> </w:t>
      </w:r>
      <w:r>
        <w:rPr>
          <w:spacing w:val="-30"/>
        </w:rPr>
      </w:r>
      <w:r>
        <w:rPr>
          <w:spacing w:val="-5"/>
        </w:rPr>
        <w:t>司的部分，予以抵销，在此基础上确认投资收益。与被投资单位发生的未实现内部交易损失，</w:t>
      </w:r>
      <w:r>
        <w:rPr>
          <w:spacing w:val="-49"/>
        </w:rPr>
        <w:t> </w:t>
      </w:r>
      <w:r>
        <w:rPr>
          <w:spacing w:val="-49"/>
        </w:rPr>
      </w:r>
      <w:r>
        <w:rPr>
          <w:spacing w:val="-3"/>
        </w:rPr>
        <w:t>属于资产减值损失的，全额确认。公司与联营企业、合营企业之间发生投出或出售资产的交</w:t>
      </w:r>
      <w:r>
        <w:rPr>
          <w:spacing w:val="-34"/>
        </w:rPr>
        <w:t> </w:t>
      </w:r>
      <w:r>
        <w:rPr>
          <w:spacing w:val="-34"/>
        </w:rPr>
      </w:r>
      <w:r>
        <w:rPr>
          <w:spacing w:val="-3"/>
          <w:w w:val="100"/>
        </w:rPr>
        <w:t>易，该资产构成业务的，按照本附注“三、（五）同一控制下和非同一控制下企业合并的会</w:t>
      </w:r>
      <w:r>
        <w:rPr>
          <w:spacing w:val="-73"/>
          <w:w w:val="100"/>
        </w:rPr>
        <w:t> </w:t>
      </w:r>
      <w:r>
        <w:rPr>
          <w:spacing w:val="-73"/>
          <w:w w:val="100"/>
        </w:rPr>
      </w:r>
      <w:r>
        <w:rPr>
          <w:spacing w:val="-4"/>
          <w:w w:val="100"/>
        </w:rPr>
        <w:t>计处理方法”和“三、（六）合并财务报表的编制方法”中披露的相关政策进行会计处理。</w:t>
      </w:r>
      <w:r>
        <w:rPr>
          <w:w w:val="100"/>
        </w:rPr>
        <w:t> </w:t>
      </w:r>
      <w:r>
        <w:rPr>
          <w:spacing w:val="-3"/>
        </w:rPr>
        <w:t>在公司确认应分担被投资单位发生的亏损时，按照以下顺序进行处理：首先，冲减长期股权</w:t>
      </w:r>
      <w:r>
        <w:rPr>
          <w:spacing w:val="-36"/>
        </w:rPr>
        <w:t> </w:t>
      </w:r>
      <w:r>
        <w:rPr>
          <w:spacing w:val="-36"/>
        </w:rPr>
      </w:r>
      <w:r>
        <w:rPr>
          <w:spacing w:val="-3"/>
        </w:rPr>
        <w:t>投资的账面价值。其次，长期股权投资的账面价值不足以冲减的，以其他实质上构成对被投</w:t>
      </w:r>
      <w:r>
        <w:rPr>
          <w:spacing w:val="-31"/>
        </w:rPr>
        <w:t> </w:t>
      </w:r>
      <w:r>
        <w:rPr>
          <w:spacing w:val="-31"/>
        </w:rPr>
      </w:r>
      <w:r>
        <w:rPr>
          <w:spacing w:val="2"/>
        </w:rPr>
        <w:t>资单位净投资的长期权益账面价值为限继续确认投资损失，冲减长期应收项目等的账面价</w:t>
      </w:r>
      <w:r>
        <w:rPr>
          <w:spacing w:val="-33"/>
        </w:rPr>
        <w:t> </w:t>
      </w:r>
      <w:r>
        <w:rPr>
          <w:spacing w:val="-33"/>
        </w:rPr>
      </w:r>
      <w:r>
        <w:rPr>
          <w:spacing w:val="-3"/>
        </w:rPr>
        <w:t>值。最后，经过上述处理，按照投资合同或协议约定企业仍承担额外义务的，按预计承担的</w:t>
      </w:r>
      <w:r>
        <w:rPr>
          <w:spacing w:val="-31"/>
        </w:rPr>
        <w:t> </w:t>
      </w:r>
      <w:r>
        <w:rPr>
          <w:spacing w:val="-31"/>
        </w:rPr>
      </w:r>
      <w:r>
        <w:rPr/>
        <w:t>义务确认预计负债，计入当期投资损失。</w:t>
      </w:r>
    </w:p>
    <w:p>
      <w:pPr>
        <w:pStyle w:val="BodyText"/>
        <w:spacing w:line="271" w:lineRule="auto" w:before="7"/>
        <w:ind w:right="986"/>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3"/>
        </w:rPr>
        <w:t>采用权益法核算的长期股权投资，在处置该项投资时，采用与被投资单位直接处置相关资产</w:t>
      </w:r>
      <w:r>
        <w:rPr>
          <w:spacing w:val="-31"/>
        </w:rPr>
        <w:t> </w:t>
      </w:r>
      <w:r>
        <w:rPr>
          <w:spacing w:val="-31"/>
        </w:rPr>
      </w:r>
      <w:r>
        <w:rPr>
          <w:spacing w:val="-3"/>
        </w:rPr>
        <w:t>或负债相同的基础，按相应比例对原计入其他综合收益的部分进行会计处理。因被投资单位</w:t>
      </w:r>
      <w:r>
        <w:rPr>
          <w:spacing w:val="-33"/>
        </w:rPr>
        <w:t> </w:t>
      </w:r>
      <w:r>
        <w:rPr>
          <w:spacing w:val="-33"/>
        </w:rPr>
      </w:r>
      <w:r>
        <w:rPr>
          <w:spacing w:val="-3"/>
        </w:rPr>
        <w:t>除净损益、其他综合收益和利润分配以外的其他所有者权益变动而确认的所有者权益，按比</w:t>
      </w:r>
      <w:r>
        <w:rPr>
          <w:spacing w:val="-29"/>
        </w:rPr>
        <w:t> </w:t>
      </w:r>
      <w:r>
        <w:rPr>
          <w:spacing w:val="-29"/>
        </w:rPr>
      </w:r>
      <w:r>
        <w:rPr>
          <w:spacing w:val="-3"/>
        </w:rPr>
        <w:t>例结转入当期损益，由于被投资方重新计量设定受益计划净负债或净资产变动而产生的其他</w:t>
      </w:r>
      <w:r>
        <w:rPr>
          <w:spacing w:val="-29"/>
        </w:rPr>
        <w:t> </w:t>
      </w:r>
      <w:r>
        <w:rPr>
          <w:spacing w:val="-29"/>
        </w:rPr>
      </w:r>
      <w:r>
        <w:rPr/>
        <w:t>综合收益除外。</w:t>
      </w:r>
      <w:r>
        <w:rPr>
          <w:spacing w:val="-103"/>
        </w:rPr>
        <w:t> </w:t>
      </w:r>
      <w:r>
        <w:rPr>
          <w:spacing w:val="-103"/>
        </w:rPr>
      </w:r>
      <w:r>
        <w:rPr>
          <w:spacing w:val="-3"/>
        </w:rPr>
        <w:t>因处置部分股权投资等原因丧失了对被投资单位的共同控制或重大影响的，处置后的剩余股</w:t>
      </w:r>
      <w:r>
        <w:rPr>
          <w:spacing w:val="-29"/>
        </w:rPr>
        <w:t> </w:t>
      </w:r>
      <w:r>
        <w:rPr>
          <w:spacing w:val="-29"/>
        </w:rPr>
      </w:r>
      <w:r>
        <w:rPr>
          <w:spacing w:val="-3"/>
        </w:rPr>
        <w:t>权改按金融工具确认和计量准则核算，其在丧失共同控制或重大影响之日的公允价值与账面</w:t>
      </w:r>
      <w:r>
        <w:rPr>
          <w:spacing w:val="-30"/>
        </w:rPr>
        <w:t> </w:t>
      </w:r>
      <w:r>
        <w:rPr>
          <w:spacing w:val="-30"/>
        </w:rPr>
      </w:r>
      <w:r>
        <w:rPr>
          <w:spacing w:val="-3"/>
        </w:rPr>
        <w:t>价值之间的差额计入当期损益。原股权投资因采用权益法核算而确认的其他综合收益，在终</w:t>
      </w:r>
      <w:r>
        <w:rPr>
          <w:spacing w:val="-29"/>
        </w:rPr>
        <w:t> </w:t>
      </w:r>
      <w:r>
        <w:rPr>
          <w:spacing w:val="-29"/>
        </w:rPr>
      </w:r>
      <w:r>
        <w:rPr/>
        <w:t>止采用权益法核算时采用与被投资单位直接处置相关资产或负债相同的基础进行会计处理。</w:t>
      </w:r>
      <w:r>
        <w:rPr>
          <w:w w:val="100"/>
        </w:rPr>
        <w:t> </w:t>
      </w:r>
      <w:r>
        <w:rPr>
          <w:spacing w:val="-3"/>
        </w:rPr>
        <w:t>因被投资方除净损益、其他综合收益和利润分配以外的其他所有者权益变动而确认的所有者</w:t>
      </w:r>
      <w:r>
        <w:rPr>
          <w:spacing w:val="-30"/>
        </w:rPr>
        <w:t> </w:t>
      </w:r>
      <w:r>
        <w:rPr>
          <w:spacing w:val="-30"/>
        </w:rPr>
      </w:r>
      <w:r>
        <w:rPr/>
        <w:t>权益，在终止采用权益法核算时全部转入当期损益。</w:t>
      </w:r>
      <w:r>
        <w:rPr>
          <w:w w:val="100"/>
        </w:rPr>
        <w:t> </w:t>
      </w:r>
      <w:r>
        <w:rPr>
          <w:spacing w:val="-3"/>
        </w:rPr>
        <w:t>因处置部分股权投资、因其他投资方对子公司增资而导致本公司持股比例下降等原因丧失了</w:t>
      </w:r>
      <w:r>
        <w:rPr>
          <w:spacing w:val="-30"/>
        </w:rPr>
        <w:t> </w:t>
      </w:r>
      <w:r>
        <w:rPr>
          <w:spacing w:val="-30"/>
        </w:rPr>
      </w:r>
      <w:r>
        <w:rPr>
          <w:spacing w:val="-3"/>
        </w:rPr>
        <w:t>对被投资单位控制权的，在编制个别财务报表时，剩余股权能够对被投资单位实施共同控制</w:t>
      </w:r>
      <w:r>
        <w:rPr>
          <w:spacing w:val="-29"/>
        </w:rPr>
        <w:t> </w:t>
      </w:r>
      <w:r>
        <w:rPr>
          <w:spacing w:val="-29"/>
        </w:rPr>
      </w:r>
      <w:r>
        <w:rPr>
          <w:spacing w:val="-5"/>
        </w:rPr>
        <w:t>或重大影响的，改按权益法核算，并对该剩余股权视同自取得时即采用权益法核算进行调整；</w:t>
      </w:r>
      <w:r>
        <w:rPr>
          <w:spacing w:val="-52"/>
        </w:rPr>
        <w:t> </w:t>
      </w:r>
      <w:r>
        <w:rPr>
          <w:spacing w:val="-52"/>
        </w:rPr>
      </w:r>
      <w:r>
        <w:rPr>
          <w:spacing w:val="-3"/>
        </w:rPr>
        <w:t>剩余股权不能对被投资单位实施共同控制或施加重大影响的，改按金融工具确认和计量准则</w:t>
      </w:r>
      <w:r>
        <w:rPr>
          <w:spacing w:val="-29"/>
        </w:rPr>
        <w:t> </w:t>
      </w:r>
      <w:r>
        <w:rPr>
          <w:spacing w:val="-29"/>
        </w:rPr>
      </w:r>
      <w:r>
        <w:rPr>
          <w:spacing w:val="2"/>
        </w:rPr>
        <w:t>的有关规定进行会计处理，其在丧失控制之日的公允价值与账面价值间的差额计入当期损</w:t>
      </w:r>
      <w:r>
        <w:rPr>
          <w:spacing w:val="-24"/>
        </w:rPr>
        <w:t> </w:t>
      </w:r>
      <w:r>
        <w:rPr>
          <w:spacing w:val="-24"/>
        </w:rPr>
      </w:r>
      <w:r>
        <w:rPr/>
        <w:t>益。</w:t>
      </w:r>
      <w:r>
        <w:rPr>
          <w:spacing w:val="-103"/>
        </w:rPr>
        <w:t> </w:t>
      </w:r>
      <w:r>
        <w:rPr>
          <w:spacing w:val="-3"/>
        </w:rPr>
        <w:t>处置的股权是因追加投资等原因通过企业合并取得的，在编制个别财务报表时，处置后的剩</w:t>
      </w:r>
      <w:r>
        <w:rPr>
          <w:spacing w:val="-31"/>
        </w:rPr>
        <w:t> </w:t>
      </w:r>
      <w:r>
        <w:rPr>
          <w:spacing w:val="-31"/>
        </w:rPr>
      </w:r>
      <w:r>
        <w:rPr>
          <w:spacing w:val="-3"/>
        </w:rPr>
        <w:t>余股权采用成本法或权益法核算的，购买日之前持有的股权投资因采用权益法核算而确认的</w:t>
      </w:r>
      <w:r>
        <w:rPr>
          <w:spacing w:val="-29"/>
        </w:rPr>
        <w:t> </w:t>
      </w:r>
      <w:r>
        <w:rPr>
          <w:spacing w:val="-29"/>
        </w:rPr>
      </w:r>
      <w:r>
        <w:rPr>
          <w:spacing w:val="-3"/>
        </w:rPr>
        <w:t>其他综合收益和其他所有者权益按比例结转；处置后的剩余股权改按金融工具确认和计量准</w:t>
      </w:r>
      <w:r>
        <w:rPr>
          <w:spacing w:val="-29"/>
        </w:rPr>
        <w:t> </w:t>
      </w:r>
      <w:r>
        <w:rPr>
          <w:spacing w:val="-29"/>
        </w:rPr>
      </w:r>
      <w:r>
        <w:rPr/>
        <w:t>则进行会计处理的，其他综合收益和其他所有者权益全部结转。</w:t>
      </w:r>
    </w:p>
    <w:p>
      <w:pPr>
        <w:spacing w:line="240" w:lineRule="auto" w:before="9"/>
        <w:rPr>
          <w:rFonts w:ascii="宋体" w:hAnsi="宋体" w:cs="宋体" w:eastAsia="宋体" w:hint="default"/>
          <w:sz w:val="23"/>
          <w:szCs w:val="23"/>
        </w:rPr>
      </w:pPr>
    </w:p>
    <w:p>
      <w:pPr>
        <w:pStyle w:val="Heading6"/>
        <w:spacing w:line="240" w:lineRule="auto"/>
        <w:ind w:right="1133"/>
        <w:jc w:val="left"/>
        <w:rPr>
          <w:b w:val="0"/>
          <w:bCs w:val="0"/>
        </w:rPr>
      </w:pPr>
      <w:bookmarkStart w:name="23、投资性房地产" w:id="194"/>
      <w:bookmarkEnd w:id="194"/>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4、固定资产" w:id="195"/>
      <w:bookmarkEnd w:id="195"/>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确认条件" w:id="196"/>
      <w:bookmarkEnd w:id="19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129"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满足下列条件时予以确认：</w:t>
      </w:r>
    </w:p>
    <w:p>
      <w:pPr>
        <w:spacing w:before="59"/>
        <w:ind w:left="11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p>
    <w:p>
      <w:pPr>
        <w:spacing w:before="101"/>
        <w:ind w:left="11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bookmarkStart w:name="（2）折旧方法" w:id="197"/>
      <w:bookmarkEnd w:id="19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31.67</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11.875</w:t>
            </w:r>
          </w:p>
        </w:tc>
      </w:tr>
    </w:tbl>
    <w:p>
      <w:pPr>
        <w:spacing w:line="240" w:lineRule="auto" w:before="3"/>
        <w:rPr>
          <w:rFonts w:ascii="宋体" w:hAnsi="宋体" w:cs="宋体" w:eastAsia="宋体" w:hint="default"/>
          <w:b/>
          <w:bCs/>
          <w:sz w:val="19"/>
          <w:szCs w:val="19"/>
        </w:rPr>
      </w:pPr>
    </w:p>
    <w:p>
      <w:pPr>
        <w:pStyle w:val="Heading6"/>
        <w:spacing w:line="240" w:lineRule="auto" w:before="36"/>
        <w:ind w:right="1133"/>
        <w:jc w:val="left"/>
        <w:rPr>
          <w:b w:val="0"/>
          <w:bCs w:val="0"/>
        </w:rPr>
      </w:pPr>
      <w:bookmarkStart w:name="（3）融资租入固定资产的认定依据、计价和折旧方法" w:id="198"/>
      <w:bookmarkEnd w:id="19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公司与租赁方所签订的租赁协议条款中规定了下列条件之一的，确认为融资租入资产：</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）租赁期满后租赁资产的所有权归属于本公司；</w:t>
      </w:r>
    </w:p>
    <w:p>
      <w:pPr>
        <w:spacing w:before="103"/>
        <w:ind w:left="11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）公司具有购买资产的选择权，购买价款远低于行使选择权时该资产的公允价值；</w:t>
      </w:r>
    </w:p>
    <w:p>
      <w:pPr>
        <w:spacing w:before="103"/>
        <w:ind w:left="112" w:right="113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）租赁期占所租赁资产使用寿命的大部分；</w:t>
      </w:r>
    </w:p>
    <w:p>
      <w:pPr>
        <w:spacing w:line="328" w:lineRule="auto" w:before="101"/>
        <w:ind w:left="112" w:right="112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）租赁开始日的最低租赁付款额现值，与该资产的公允价值不存在较大的差异。 </w:t>
      </w:r>
      <w:r>
        <w:rPr>
          <w:rFonts w:ascii="宋体" w:hAnsi="宋体" w:cs="宋体" w:eastAsia="宋体" w:hint="default"/>
          <w:spacing w:val="-2"/>
          <w:sz w:val="18"/>
          <w:szCs w:val="18"/>
        </w:rPr>
        <w:t>公司在承租开始日，将租赁资产公允价值与最低租赁付款额现值两者中较低者作为租入资产的入账价值，将最低租赁付款额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作为长期应付款的入账价值，其差额作为未确认的融资费。</w:t>
      </w:r>
    </w:p>
    <w:p>
      <w:pPr>
        <w:spacing w:line="240" w:lineRule="auto" w:before="1"/>
        <w:rPr>
          <w:rFonts w:ascii="宋体" w:hAnsi="宋体" w:cs="宋体" w:eastAsia="宋体" w:hint="default"/>
          <w:sz w:val="22"/>
          <w:szCs w:val="22"/>
        </w:rPr>
      </w:pPr>
    </w:p>
    <w:p>
      <w:pPr>
        <w:pStyle w:val="Heading6"/>
        <w:spacing w:line="240" w:lineRule="auto"/>
        <w:ind w:right="1133"/>
        <w:jc w:val="left"/>
        <w:rPr>
          <w:b w:val="0"/>
          <w:bCs w:val="0"/>
        </w:rPr>
      </w:pPr>
      <w:bookmarkStart w:name="25、在建工程" w:id="199"/>
      <w:bookmarkEnd w:id="199"/>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12" w:right="1107"/>
        <w:jc w:val="both"/>
      </w:pPr>
      <w:r>
        <w:rPr>
          <w:spacing w:val="-2"/>
        </w:rPr>
        <w:t>在建工程项目按建造该项资产达到预定可使用状态前所发生的必要支出，作为固定资产的入账价值。所建</w:t>
      </w:r>
      <w:r>
        <w:rPr>
          <w:spacing w:val="-43"/>
        </w:rPr>
        <w:t> </w:t>
      </w:r>
      <w:r>
        <w:rPr>
          <w:spacing w:val="-43"/>
        </w:rPr>
      </w:r>
      <w:r>
        <w:rPr>
          <w:spacing w:val="-2"/>
        </w:rPr>
        <w:t>造的固定资产在工程已达到预定可使用状态，但尚未办理竣工决算的，自达到预定可使用状态之日起，根</w:t>
      </w:r>
      <w:r>
        <w:rPr>
          <w:spacing w:val="-42"/>
        </w:rPr>
        <w:t> </w:t>
      </w:r>
      <w:r>
        <w:rPr>
          <w:spacing w:val="-42"/>
        </w:rPr>
      </w:r>
      <w:r>
        <w:rPr>
          <w:spacing w:val="-2"/>
        </w:rPr>
        <w:t>据工程预算、造价或者工程实际成本等，按估计的价值转入固定资产，并按本公司固定资产折旧政策计提</w:t>
      </w:r>
      <w:r>
        <w:rPr>
          <w:spacing w:val="-43"/>
        </w:rPr>
        <w:t> </w:t>
      </w:r>
      <w:r>
        <w:rPr>
          <w:spacing w:val="-43"/>
        </w:rPr>
      </w:r>
      <w:r>
        <w:rPr>
          <w:spacing w:val="-2"/>
        </w:rPr>
        <w:t>固定资产的折旧，待办理竣工决算后，再按实际成本调整原来的暂估价值，但不调整原已计提的折旧额。</w:t>
      </w:r>
    </w:p>
    <w:p>
      <w:pPr>
        <w:pStyle w:val="Heading6"/>
        <w:spacing w:line="590" w:lineRule="atLeast" w:before="9"/>
        <w:ind w:right="8236"/>
        <w:jc w:val="left"/>
        <w:rPr>
          <w:b w:val="0"/>
          <w:bCs w:val="0"/>
        </w:rPr>
      </w:pPr>
      <w:bookmarkStart w:name="26、借款费用" w:id="200"/>
      <w:bookmarkEnd w:id="200"/>
      <w:r>
        <w:rPr>
          <w:b w:val="0"/>
          <w:bCs w:val="0"/>
        </w:rPr>
      </w:r>
      <w:r>
        <w:rPr>
          <w:rFonts w:ascii="Times New Roman" w:hAnsi="Times New Roman" w:cs="Times New Roman" w:eastAsia="Times New Roman" w:hint="default"/>
        </w:rPr>
        <w:t>26</w:t>
      </w:r>
      <w:r>
        <w:rPr/>
        <w:t>、借款费用</w:t>
      </w:r>
      <w:r>
        <w:rPr>
          <w:w w:val="100"/>
        </w:rPr>
        <w:t> </w:t>
      </w:r>
      <w:r>
        <w:rPr>
          <w:spacing w:val="-1"/>
        </w:rPr>
        <w:t>借款费用资本化的确认原则</w:t>
      </w:r>
      <w:r>
        <w:rPr>
          <w:b w:val="0"/>
          <w:bCs w:val="0"/>
          <w:spacing w:val="-1"/>
        </w:rPr>
      </w:r>
    </w:p>
    <w:p>
      <w:pPr>
        <w:pStyle w:val="BodyText"/>
        <w:spacing w:line="273" w:lineRule="auto" w:before="37"/>
        <w:ind w:left="254" w:right="1133"/>
        <w:jc w:val="left"/>
      </w:pPr>
      <w:r>
        <w:rPr/>
        <w:t>借款费用，包括借款利息、折价或者溢价的摊销、辅助费用以及因外币借款而发生的汇兑差额等。</w:t>
      </w:r>
      <w:r>
        <w:rPr>
          <w:w w:val="100"/>
        </w:rPr>
        <w:t> </w:t>
      </w:r>
      <w:r>
        <w:rPr>
          <w:spacing w:val="-1"/>
        </w:rPr>
        <w:t>公司发生的借款费用，可直接归属于符合资本化条件的资产的购建或者生产的，予以资本化，计入相关</w:t>
      </w:r>
      <w:r>
        <w:rPr>
          <w:spacing w:val="-18"/>
        </w:rPr>
        <w:t> </w:t>
      </w:r>
      <w:r>
        <w:rPr>
          <w:spacing w:val="-18"/>
        </w:rPr>
      </w:r>
      <w:r>
        <w:rPr/>
        <w:t>资产成本；其他借款费用，在发生时根据其发生额确认为费用，计入当期损益。</w:t>
      </w:r>
      <w:r>
        <w:rPr>
          <w:w w:val="100"/>
        </w:rPr>
        <w:t> </w:t>
      </w:r>
      <w:r>
        <w:rPr>
          <w:spacing w:val="-1"/>
        </w:rPr>
        <w:t>符合资本化条件的资产，是指需要经过相当长时间的购建或者生产活动才能达到预定可使用或者可销售</w:t>
      </w:r>
      <w:r>
        <w:rPr>
          <w:spacing w:val="-18"/>
        </w:rPr>
        <w:t> </w:t>
      </w:r>
      <w:r>
        <w:rPr>
          <w:spacing w:val="-18"/>
        </w:rPr>
      </w:r>
      <w:r>
        <w:rPr/>
        <w:t>状态的固定资产、投资性房地产和存货等资产。</w:t>
      </w:r>
    </w:p>
    <w:p>
      <w:pPr>
        <w:pStyle w:val="BodyText"/>
        <w:spacing w:line="240" w:lineRule="auto" w:before="7"/>
        <w:ind w:left="254" w:right="1133"/>
        <w:jc w:val="left"/>
      </w:pPr>
      <w:r>
        <w:rPr/>
        <w:t>借款费用同时满足下列条件时开始资本化：</w:t>
      </w:r>
    </w:p>
    <w:p>
      <w:pPr>
        <w:pStyle w:val="BodyText"/>
        <w:spacing w:line="240" w:lineRule="auto" w:before="37"/>
        <w:ind w:left="254" w:right="1133"/>
        <w:jc w:val="left"/>
      </w:pPr>
      <w:r>
        <w:rPr>
          <w:spacing w:val="-3"/>
        </w:rPr>
        <w:t>（</w:t>
      </w:r>
      <w:r>
        <w:rPr>
          <w:rFonts w:ascii="Times New Roman" w:hAnsi="Times New Roman" w:cs="Times New Roman" w:eastAsia="Times New Roman" w:hint="default"/>
          <w:spacing w:val="-3"/>
        </w:rPr>
        <w:t>1</w:t>
      </w:r>
      <w:r>
        <w:rPr>
          <w:spacing w:val="-3"/>
        </w:rPr>
        <w:t>）资产支出已经发生，资产支出包括为购建或者生产符合资本化条件的资产而以支付现金、转移非现</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254" w:right="1133"/>
        <w:jc w:val="left"/>
      </w:pPr>
      <w:r>
        <w:rPr/>
        <w:t>金资产或者承担带息债务形式发生的支出；</w:t>
      </w:r>
    </w:p>
    <w:p>
      <w:pPr>
        <w:pStyle w:val="BodyText"/>
        <w:spacing w:line="240" w:lineRule="auto" w:before="37"/>
        <w:ind w:left="254" w:right="1133"/>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254" w:right="11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BodyText"/>
        <w:spacing w:line="273" w:lineRule="auto"/>
        <w:ind w:left="254" w:right="1133" w:hanging="143"/>
        <w:jc w:val="left"/>
      </w:pPr>
      <w:r>
        <w:rPr>
          <w:rFonts w:ascii="宋体" w:hAnsi="宋体" w:cs="宋体" w:eastAsia="宋体" w:hint="default"/>
          <w:b/>
          <w:bCs/>
        </w:rPr>
        <w:t>借款费用资本化期间</w:t>
      </w:r>
      <w:r>
        <w:rPr>
          <w:rFonts w:ascii="宋体" w:hAnsi="宋体" w:cs="宋体" w:eastAsia="宋体" w:hint="default"/>
          <w:b/>
          <w:bCs/>
          <w:spacing w:val="-103"/>
        </w:rPr>
        <w:t> </w:t>
      </w:r>
      <w:r>
        <w:rPr>
          <w:spacing w:val="-1"/>
        </w:rPr>
        <w:t>资本化期间，指从借款费用开始资本化时点到停止资本化时点的期间，借款费用暂停资本化的期间不包</w:t>
      </w:r>
      <w:r>
        <w:rPr>
          <w:w w:val="100"/>
        </w:rPr>
        <w:t> </w:t>
      </w:r>
      <w:r>
        <w:rPr/>
        <w:t>括在内。</w:t>
      </w:r>
      <w:r>
        <w:rPr>
          <w:w w:val="100"/>
        </w:rPr>
        <w:t> </w:t>
      </w:r>
      <w:r>
        <w:rPr/>
        <w:t>当购建或者生产符合资本化条件的资产达到预定可使用或者可销售状态时，借款费用停止资本化。</w:t>
      </w:r>
      <w:r>
        <w:rPr>
          <w:w w:val="100"/>
        </w:rPr>
        <w:t> </w:t>
      </w:r>
      <w:r>
        <w:rPr>
          <w:spacing w:val="-1"/>
        </w:rPr>
        <w:t>当购建或者生产符合资本化条件的资产中部分项目分别完工且可单独使用时，该部分资产借款费用停止</w:t>
      </w:r>
      <w:r>
        <w:rPr>
          <w:w w:val="100"/>
        </w:rPr>
        <w:t> </w:t>
      </w:r>
      <w:r>
        <w:rPr/>
        <w:t>资本化。</w:t>
      </w:r>
      <w:r>
        <w:rPr>
          <w:w w:val="100"/>
        </w:rPr>
        <w:t> </w:t>
      </w:r>
      <w:r>
        <w:rPr>
          <w:spacing w:val="-1"/>
        </w:rPr>
        <w:t>购建或者生产的资产的各部分分别完工，但必须等到整体完工后才可使用或可对外销售的，在该资产整</w:t>
      </w:r>
      <w:r>
        <w:rPr>
          <w:w w:val="100"/>
        </w:rPr>
        <w:t> </w:t>
      </w:r>
      <w:r>
        <w:rPr/>
        <w:t>体完工时停止借款费用资本化。</w:t>
      </w:r>
    </w:p>
    <w:p>
      <w:pPr>
        <w:spacing w:line="240" w:lineRule="auto" w:before="6"/>
        <w:rPr>
          <w:rFonts w:ascii="宋体" w:hAnsi="宋体" w:cs="宋体" w:eastAsia="宋体" w:hint="default"/>
          <w:sz w:val="24"/>
          <w:szCs w:val="24"/>
        </w:rPr>
      </w:pPr>
    </w:p>
    <w:p>
      <w:pPr>
        <w:pStyle w:val="BodyText"/>
        <w:spacing w:line="268" w:lineRule="auto"/>
        <w:ind w:left="254" w:right="1133" w:hanging="143"/>
        <w:jc w:val="left"/>
      </w:pPr>
      <w:r>
        <w:rPr>
          <w:rFonts w:ascii="宋体" w:hAnsi="宋体" w:cs="宋体" w:eastAsia="宋体" w:hint="default"/>
          <w:b/>
          <w:bCs/>
        </w:rPr>
        <w:t>暂停资本化期间</w:t>
      </w:r>
      <w:r>
        <w:rPr>
          <w:rFonts w:ascii="宋体" w:hAnsi="宋体" w:cs="宋体" w:eastAsia="宋体" w:hint="default"/>
          <w:b/>
          <w:bCs/>
          <w:spacing w:val="-104"/>
        </w:rPr>
        <w:t> </w:t>
      </w: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w:t>
      </w:r>
      <w:r>
        <w:rPr>
          <w:w w:val="100"/>
        </w:rPr>
        <w:t> </w:t>
      </w:r>
      <w:r>
        <w:rPr>
          <w:spacing w:val="-1"/>
        </w:rPr>
        <w:t>用暂停资本化；该项中断如是所购建或生产的符合资本化条件的资产达到预定可使用状态或者可销售状</w:t>
      </w:r>
      <w:r>
        <w:rPr>
          <w:w w:val="100"/>
        </w:rPr>
        <w:t> </w:t>
      </w:r>
      <w:r>
        <w:rPr>
          <w:spacing w:val="-1"/>
        </w:rPr>
        <w:t>态必要的程序，则借款费用继续资本化。在中断期间发生的借款费用确认为当期损益，直至资产的购建</w:t>
      </w:r>
      <w:r>
        <w:rPr>
          <w:w w:val="100"/>
        </w:rPr>
        <w:t> </w:t>
      </w:r>
      <w:r>
        <w:rPr/>
        <w:t>或者生产活动重新开始后借款费用继续资本化。</w:t>
      </w:r>
    </w:p>
    <w:p>
      <w:pPr>
        <w:spacing w:line="240" w:lineRule="auto" w:before="10"/>
        <w:rPr>
          <w:rFonts w:ascii="宋体" w:hAnsi="宋体" w:cs="宋体" w:eastAsia="宋体" w:hint="default"/>
          <w:sz w:val="24"/>
          <w:szCs w:val="24"/>
        </w:rPr>
      </w:pPr>
    </w:p>
    <w:p>
      <w:pPr>
        <w:pStyle w:val="BodyText"/>
        <w:spacing w:line="273" w:lineRule="auto"/>
        <w:ind w:left="189" w:right="986" w:hanging="77"/>
        <w:jc w:val="left"/>
      </w:pPr>
      <w:r>
        <w:rPr>
          <w:rFonts w:ascii="宋体" w:hAnsi="宋体" w:cs="宋体" w:eastAsia="宋体" w:hint="default"/>
          <w:b/>
          <w:bCs/>
        </w:rPr>
        <w:t>借款费用资本化率、资本化金额的计算方法</w:t>
      </w:r>
      <w:r>
        <w:rPr>
          <w:rFonts w:ascii="宋体" w:hAnsi="宋体" w:cs="宋体" w:eastAsia="宋体" w:hint="default"/>
          <w:b/>
          <w:bCs/>
          <w:w w:val="100"/>
        </w:rPr>
        <w:t> </w:t>
      </w:r>
      <w:r>
        <w:rPr>
          <w:spacing w:val="-4"/>
        </w:rPr>
        <w:t>对于为购建或者生产符合资本化条件的资产而借入的专门借款，以专门借款当期实际发生的借款费用，减</w:t>
      </w:r>
      <w:r>
        <w:rPr>
          <w:w w:val="100"/>
        </w:rPr>
        <w:t> </w:t>
      </w:r>
      <w:r>
        <w:rPr>
          <w:spacing w:val="-4"/>
          <w:w w:val="100"/>
        </w:rPr>
        <w:t>去尚未动用的借款资金存入银行取得的利息收入或进行暂时性投资取得的投资收益后的金额，来确定借款</w:t>
      </w:r>
      <w:r>
        <w:rPr>
          <w:w w:val="100"/>
        </w:rPr>
        <w:t> </w:t>
      </w:r>
      <w:r>
        <w:rPr/>
        <w:t>费用的资本化金额。</w:t>
      </w:r>
      <w:r>
        <w:rPr>
          <w:w w:val="100"/>
        </w:rPr>
        <w:t> </w:t>
      </w:r>
      <w:r>
        <w:rPr>
          <w:spacing w:val="-4"/>
          <w:w w:val="100"/>
        </w:rPr>
        <w:t>对于为购建或者生产符合资本化条件的资产而占用的一般借款，根据累计资产支出超过专门借款部分的资</w:t>
      </w:r>
      <w:r>
        <w:rPr>
          <w:w w:val="100"/>
        </w:rPr>
        <w:t> </w:t>
      </w:r>
      <w:r>
        <w:rPr>
          <w:spacing w:val="-4"/>
        </w:rPr>
        <w:t>产支出加权平均数乘以所占用一般借款的资本化率，计算确定一般借款应予资本化的借款费用金额。资本</w:t>
      </w:r>
      <w:r>
        <w:rPr>
          <w:w w:val="100"/>
        </w:rPr>
        <w:t> </w:t>
      </w:r>
      <w:r>
        <w:rPr/>
        <w:t>化率根据一般借款加权平均利率计算确定。</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27、生物资产" w:id="201"/>
      <w:bookmarkEnd w:id="201"/>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28、油气资产" w:id="202"/>
      <w:bookmarkEnd w:id="202"/>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29、使用权资产" w:id="203"/>
      <w:bookmarkEnd w:id="203"/>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30、无形资产" w:id="204"/>
      <w:bookmarkEnd w:id="204"/>
      <w:r>
        <w:rPr>
          <w:b w:val="0"/>
          <w:bCs w:val="0"/>
        </w:rPr>
      </w:r>
      <w:r>
        <w:rPr>
          <w:rFonts w:ascii="Times New Roman" w:hAnsi="Times New Roman" w:cs="Times New Roman" w:eastAsia="Times New Roman" w:hint="default"/>
        </w:rPr>
        <w:t>30</w:t>
      </w:r>
      <w:r>
        <w:rPr/>
        <w:t>、无形资产</w:t>
      </w:r>
      <w:r>
        <w:rPr>
          <w:b w:val="0"/>
          <w:bCs w:val="0"/>
        </w:rPr>
      </w:r>
    </w:p>
    <w:p>
      <w:pPr>
        <w:pStyle w:val="Heading6"/>
        <w:spacing w:line="600" w:lineRule="atLeast" w:before="12"/>
        <w:ind w:left="888" w:right="6794" w:hanging="776"/>
        <w:jc w:val="left"/>
        <w:rPr>
          <w:b w:val="0"/>
          <w:bCs w:val="0"/>
        </w:rPr>
      </w:pPr>
      <w:bookmarkStart w:name="（1）计价方法、使用寿命、减值测试" w:id="205"/>
      <w:bookmarkEnd w:id="205"/>
      <w:r>
        <w:rPr>
          <w:b w:val="0"/>
          <w:bCs w:val="0"/>
        </w:rPr>
      </w:r>
      <w:r>
        <w:rPr>
          <w:spacing w:val="-1"/>
        </w:rPr>
        <w:t>（</w:t>
      </w:r>
      <w:r>
        <w:rPr>
          <w:rFonts w:ascii="Times New Roman" w:hAnsi="Times New Roman" w:cs="Times New Roman" w:eastAsia="Times New Roman" w:hint="default"/>
          <w:spacing w:val="-1"/>
        </w:rPr>
        <w:t>1</w:t>
      </w:r>
      <w:r>
        <w:rPr>
          <w:spacing w:val="-1"/>
        </w:rPr>
        <w:t>）计价方法、使用寿命、减值测试</w:t>
      </w:r>
      <w:r>
        <w:rPr>
          <w:spacing w:val="-90"/>
        </w:rPr>
        <w:t> </w:t>
      </w:r>
      <w:r>
        <w:rPr>
          <w:spacing w:val="-90"/>
        </w:rPr>
      </w:r>
      <w:r>
        <w:rPr/>
        <w:t>无形资产的计价方法</w:t>
      </w:r>
      <w:r>
        <w:rPr>
          <w:b w:val="0"/>
          <w:bCs w:val="0"/>
        </w:rPr>
      </w:r>
    </w:p>
    <w:p>
      <w:pPr>
        <w:pStyle w:val="BodyText"/>
        <w:spacing w:line="268" w:lineRule="auto" w:before="37"/>
        <w:ind w:right="986"/>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3"/>
        </w:rPr>
        <w:t>外购无形资产的成本，包括购买价款、相关税费以及直接归属于使该项资产达到预定用途所</w:t>
      </w:r>
      <w:r>
        <w:rPr>
          <w:spacing w:val="-31"/>
        </w:rPr>
        <w:t> </w:t>
      </w:r>
      <w:r>
        <w:rPr>
          <w:spacing w:val="-31"/>
        </w:rPr>
      </w:r>
      <w:r>
        <w:rPr>
          <w:spacing w:val="-5"/>
        </w:rPr>
        <w:t>发生的其他支出。购买无形资产的价款超过正常信用条件延期支付，实质上具有融资性质的，</w:t>
      </w:r>
      <w:r>
        <w:rPr>
          <w:spacing w:val="-52"/>
        </w:rPr>
        <w:t> </w:t>
      </w:r>
      <w:r>
        <w:rPr>
          <w:spacing w:val="-52"/>
        </w:rPr>
      </w:r>
      <w:r>
        <w:rPr/>
        <w:t>无形资产的成本以购买价款的现值为基础确定。</w:t>
      </w:r>
      <w:r>
        <w:rPr>
          <w:w w:val="100"/>
        </w:rPr>
        <w:t> </w:t>
      </w:r>
      <w:r>
        <w:rPr>
          <w:spacing w:val="-3"/>
        </w:rPr>
        <w:t>债务重组取得债务人用以抵债的无形资产，以所放弃债权的公允价值和可直接归属于使该资</w:t>
      </w:r>
      <w:r>
        <w:rPr>
          <w:spacing w:val="-30"/>
        </w:rPr>
        <w:t> </w:t>
      </w:r>
      <w:r>
        <w:rPr>
          <w:spacing w:val="-30"/>
        </w:rPr>
      </w:r>
      <w:r>
        <w:rPr>
          <w:spacing w:val="-3"/>
        </w:rPr>
        <w:t>产达到预定用途所发生的税金等其他成本确定其入账价值，并将所放弃债权的公允价值与账</w:t>
      </w:r>
      <w:r>
        <w:rPr>
          <w:spacing w:val="-30"/>
        </w:rPr>
        <w:t> </w:t>
      </w:r>
      <w:r>
        <w:rPr>
          <w:spacing w:val="-30"/>
        </w:rPr>
      </w:r>
      <w:r>
        <w:rPr/>
        <w:t>面价值之间的差额，计入当期损益。</w:t>
      </w:r>
    </w:p>
    <w:p>
      <w:pPr>
        <w:spacing w:after="0" w:line="268"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right="1126"/>
        <w:jc w:val="both"/>
      </w:pPr>
      <w:r>
        <w:rPr>
          <w:spacing w:val="-3"/>
        </w:rPr>
        <w:t>在非货币性资产交换具有商业实质，且换入资产或换出资产的公允价值能够可靠计量时，以</w:t>
      </w:r>
      <w:r>
        <w:rPr>
          <w:spacing w:val="-29"/>
        </w:rPr>
        <w:t> </w:t>
      </w:r>
      <w:r>
        <w:rPr>
          <w:spacing w:val="-29"/>
        </w:rPr>
      </w:r>
      <w:r>
        <w:rPr>
          <w:spacing w:val="-3"/>
        </w:rPr>
        <w:t>公允价值为基础计量。如换入资产和换出资产的公允价值均能可靠计量的，对于换入的无形</w:t>
      </w:r>
      <w:r>
        <w:rPr>
          <w:spacing w:val="-30"/>
        </w:rPr>
        <w:t> </w:t>
      </w:r>
      <w:r>
        <w:rPr>
          <w:spacing w:val="-30"/>
        </w:rPr>
      </w:r>
      <w:r>
        <w:rPr>
          <w:spacing w:val="-3"/>
        </w:rPr>
        <w:t>资产，以换出资产的公允价值和应支付的相关税费作为换入的无形资产的初始投资成本，除</w:t>
      </w:r>
      <w:r>
        <w:rPr>
          <w:spacing w:val="-29"/>
        </w:rPr>
        <w:t> </w:t>
      </w:r>
      <w:r>
        <w:rPr>
          <w:spacing w:val="-29"/>
        </w:rPr>
      </w:r>
      <w:r>
        <w:rPr>
          <w:spacing w:val="-3"/>
        </w:rPr>
        <w:t>非有确凿证据表明换入资产的公允价值更加可靠。非货币性资产交换不具有商业实质，或换</w:t>
      </w:r>
      <w:r>
        <w:rPr>
          <w:spacing w:val="-29"/>
        </w:rPr>
        <w:t> </w:t>
      </w:r>
      <w:r>
        <w:rPr>
          <w:spacing w:val="-29"/>
        </w:rPr>
      </w:r>
      <w:r>
        <w:rPr>
          <w:spacing w:val="-3"/>
        </w:rPr>
        <w:t>入资产和换出资产的公允价值均不能可靠计量的，对于换入的无形资产，以换出资产的账面</w:t>
      </w:r>
      <w:r>
        <w:rPr>
          <w:spacing w:val="-30"/>
        </w:rPr>
        <w:t> </w:t>
      </w:r>
      <w:r>
        <w:rPr>
          <w:spacing w:val="-30"/>
        </w:rPr>
      </w:r>
      <w:r>
        <w:rPr/>
        <w:t>价值和应支付的相关税费作为换入无形资产的初始投资成本。</w:t>
      </w:r>
    </w:p>
    <w:p>
      <w:pPr>
        <w:pStyle w:val="BodyText"/>
        <w:spacing w:line="256" w:lineRule="auto" w:before="7"/>
        <w:ind w:right="499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73" w:lineRule="auto" w:before="22"/>
        <w:ind w:right="1126"/>
        <w:jc w:val="both"/>
      </w:pPr>
      <w:r>
        <w:rPr>
          <w:spacing w:val="-3"/>
        </w:rPr>
        <w:t>对于使用寿命有限的无形资产，在为企业带来经济利益的期限内按直线法摊销；无法预见无</w:t>
      </w:r>
      <w:r>
        <w:rPr>
          <w:spacing w:val="-30"/>
        </w:rPr>
        <w:t> </w:t>
      </w:r>
      <w:r>
        <w:rPr>
          <w:spacing w:val="-30"/>
        </w:rPr>
      </w:r>
      <w:r>
        <w:rPr/>
        <w:t>形资产为企业带来经济利益期限的，视为使用寿命不确定的无形资产，不予摊销。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6"/>
        <w:spacing w:line="240" w:lineRule="auto"/>
        <w:ind w:left="888" w:right="1133"/>
        <w:jc w:val="left"/>
        <w:rPr>
          <w:b w:val="0"/>
          <w:bCs w:val="0"/>
        </w:rPr>
      </w:pPr>
      <w:r>
        <w:rPr/>
        <w:t>使用寿命有限的无形资产的使用寿命估计情况</w:t>
      </w:r>
      <w:r>
        <w:rPr>
          <w:b w:val="0"/>
          <w:bCs w:val="0"/>
        </w:rPr>
      </w:r>
    </w:p>
    <w:p>
      <w:pPr>
        <w:spacing w:line="240" w:lineRule="auto" w:before="9"/>
        <w:rPr>
          <w:rFonts w:ascii="宋体" w:hAnsi="宋体" w:cs="宋体" w:eastAsia="宋体" w:hint="default"/>
          <w:b/>
          <w:bCs/>
          <w:sz w:val="27"/>
          <w:szCs w:val="27"/>
        </w:rPr>
      </w:pPr>
    </w:p>
    <w:tbl>
      <w:tblPr>
        <w:tblW w:w="0" w:type="auto"/>
        <w:jc w:val="left"/>
        <w:tblInd w:w="821" w:type="dxa"/>
        <w:tblLayout w:type="fixed"/>
        <w:tblCellMar>
          <w:top w:w="0" w:type="dxa"/>
          <w:left w:w="0" w:type="dxa"/>
          <w:bottom w:w="0" w:type="dxa"/>
          <w:right w:w="0" w:type="dxa"/>
        </w:tblCellMar>
        <w:tblLook w:val="01E0"/>
      </w:tblPr>
      <w:tblGrid>
        <w:gridCol w:w="2024"/>
        <w:gridCol w:w="1836"/>
        <w:gridCol w:w="1880"/>
        <w:gridCol w:w="1877"/>
      </w:tblGrid>
      <w:tr>
        <w:trPr>
          <w:trHeight w:val="355" w:hRule="exact"/>
        </w:trPr>
        <w:tc>
          <w:tcPr>
            <w:tcW w:w="2024" w:type="dxa"/>
            <w:tcBorders>
              <w:top w:val="single" w:sz="6" w:space="0" w:color="000000"/>
              <w:left w:val="single" w:sz="6" w:space="0" w:color="000000"/>
              <w:bottom w:val="single" w:sz="12" w:space="0" w:color="000000"/>
              <w:right w:val="single" w:sz="6" w:space="0" w:color="000000"/>
            </w:tcBorders>
          </w:tcPr>
          <w:p>
            <w:pPr>
              <w:pStyle w:val="TableParagraph"/>
              <w:tabs>
                <w:tab w:pos="424" w:val="left" w:leader="none"/>
              </w:tabs>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3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127"/>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tabs>
                <w:tab w:pos="617" w:val="left" w:leader="none"/>
                <w:tab w:pos="1039" w:val="left" w:leader="none"/>
              </w:tabs>
              <w:spacing w:line="272" w:lineRule="exact"/>
              <w:ind w:left="-149" w:right="612"/>
              <w:jc w:val="right"/>
              <w:rPr>
                <w:rFonts w:ascii="宋体" w:hAnsi="宋体" w:cs="宋体" w:eastAsia="宋体" w:hint="default"/>
                <w:sz w:val="21"/>
                <w:szCs w:val="21"/>
              </w:rPr>
            </w:pPr>
            <w:r>
              <w:rPr>
                <w:rFonts w:ascii="宋体" w:hAnsi="宋体" w:cs="宋体" w:eastAsia="宋体" w:hint="default"/>
                <w:sz w:val="21"/>
                <w:szCs w:val="21"/>
              </w:rPr>
              <w:t>）</w:t>
              <w:tab/>
              <w:t>依</w:t>
              <w:tab/>
              <w:t>据</w:t>
            </w:r>
          </w:p>
        </w:tc>
        <w:tc>
          <w:tcPr>
            <w:tcW w:w="1877" w:type="dxa"/>
            <w:tcBorders>
              <w:top w:val="single" w:sz="6" w:space="0" w:color="000000"/>
              <w:left w:val="single" w:sz="6" w:space="0" w:color="000000"/>
              <w:bottom w:val="single" w:sz="12" w:space="0" w:color="000000"/>
              <w:right w:val="nil" w:sz="6" w:space="0" w:color="auto"/>
            </w:tcBorders>
          </w:tcPr>
          <w:p>
            <w:pPr>
              <w:pStyle w:val="TableParagraph"/>
              <w:tabs>
                <w:tab w:pos="1036" w:val="left" w:leader="none"/>
              </w:tabs>
              <w:spacing w:line="272" w:lineRule="exact"/>
              <w:ind w:left="614" w:right="0"/>
              <w:jc w:val="left"/>
              <w:rPr>
                <w:rFonts w:ascii="宋体" w:hAnsi="宋体" w:cs="宋体" w:eastAsia="宋体" w:hint="default"/>
                <w:sz w:val="21"/>
                <w:szCs w:val="21"/>
              </w:rPr>
            </w:pPr>
            <w:r>
              <w:rPr>
                <w:rFonts w:ascii="宋体" w:hAnsi="宋体" w:cs="宋体" w:eastAsia="宋体" w:hint="default"/>
                <w:sz w:val="21"/>
                <w:szCs w:val="21"/>
              </w:rPr>
              <w:t>项</w:t>
              <w:tab/>
              <w:t>目</w:t>
            </w:r>
          </w:p>
        </w:tc>
      </w:tr>
      <w:tr>
        <w:trPr>
          <w:trHeight w:val="350" w:hRule="exact"/>
        </w:trPr>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3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50</w:t>
            </w:r>
          </w:p>
        </w:tc>
        <w:tc>
          <w:tcPr>
            <w:tcW w:w="188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595"/>
              <w:jc w:val="right"/>
              <w:rPr>
                <w:rFonts w:ascii="宋体" w:hAnsi="宋体" w:cs="宋体" w:eastAsia="宋体" w:hint="default"/>
                <w:sz w:val="21"/>
                <w:szCs w:val="21"/>
              </w:rPr>
            </w:pPr>
            <w:r>
              <w:rPr>
                <w:rFonts w:ascii="宋体" w:hAnsi="宋体" w:cs="宋体" w:eastAsia="宋体" w:hint="default"/>
                <w:spacing w:val="-1"/>
                <w:sz w:val="21"/>
                <w:szCs w:val="21"/>
              </w:rPr>
              <w:t>土地出让期限</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r>
      <w:tr>
        <w:trPr>
          <w:trHeight w:val="353" w:hRule="exact"/>
        </w:trPr>
        <w:tc>
          <w:tcPr>
            <w:tcW w:w="202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3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w w:val="100"/>
                <w:sz w:val="21"/>
              </w:rPr>
              <w:t>5</w:t>
            </w:r>
          </w:p>
        </w:tc>
        <w:tc>
          <w:tcPr>
            <w:tcW w:w="188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受益期</w:t>
            </w:r>
          </w:p>
        </w:tc>
        <w:tc>
          <w:tcPr>
            <w:tcW w:w="1877"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r>
    </w:tbl>
    <w:p>
      <w:pPr>
        <w:pStyle w:val="BodyText"/>
        <w:spacing w:line="262" w:lineRule="exact"/>
        <w:ind w:right="1133"/>
        <w:jc w:val="left"/>
      </w:pPr>
      <w:r>
        <w:rPr/>
        <w:t>每年度终了，对使用寿命有限的无形资产的使用寿命及摊销方法进行复核。</w:t>
      </w:r>
    </w:p>
    <w:p>
      <w:pPr>
        <w:spacing w:line="240" w:lineRule="auto" w:before="9"/>
        <w:rPr>
          <w:rFonts w:ascii="宋体" w:hAnsi="宋体" w:cs="宋体" w:eastAsia="宋体" w:hint="default"/>
          <w:sz w:val="26"/>
          <w:szCs w:val="26"/>
        </w:rPr>
      </w:pPr>
    </w:p>
    <w:p>
      <w:pPr>
        <w:spacing w:line="273" w:lineRule="auto" w:before="0"/>
        <w:ind w:left="1390" w:right="1133" w:hanging="116"/>
        <w:jc w:val="left"/>
        <w:rPr>
          <w:rFonts w:ascii="宋体" w:hAnsi="宋体" w:cs="宋体" w:eastAsia="宋体" w:hint="default"/>
          <w:sz w:val="21"/>
          <w:szCs w:val="21"/>
        </w:rPr>
      </w:pPr>
      <w:r>
        <w:rPr>
          <w:rFonts w:ascii="宋体" w:hAnsi="宋体" w:cs="宋体" w:eastAsia="宋体" w:hint="default"/>
          <w:b/>
          <w:bCs/>
          <w:spacing w:val="-1"/>
          <w:sz w:val="21"/>
          <w:szCs w:val="21"/>
        </w:rPr>
        <w:t>使用寿命不确定的无形资产的判断依据以及对其使用寿命进行复核的程序</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宋体" w:hAnsi="宋体" w:cs="宋体" w:eastAsia="宋体" w:hint="default"/>
          <w:sz w:val="21"/>
          <w:szCs w:val="21"/>
        </w:rPr>
        <w:t>截至资产负债表日，本公司没有使用寿命不确定的无形资产。</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2）内部研究开发支出会计政策" w:id="206"/>
      <w:bookmarkEnd w:id="20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373" w:right="1133" w:firstLine="16"/>
        <w:jc w:val="left"/>
      </w:pPr>
      <w:r>
        <w:rPr/>
        <w:t>公司内部研究开发项目的支出分为研究阶段支出和开发阶段支出。</w:t>
      </w:r>
      <w:r>
        <w:rPr>
          <w:w w:val="100"/>
        </w:rPr>
        <w:t> </w:t>
      </w:r>
      <w:r>
        <w:rPr>
          <w:spacing w:val="-3"/>
        </w:rPr>
        <w:t>研究阶段：为获取并理解新的科学或技术知识等而进行的独创性的有计划调查、研究活动的</w:t>
      </w:r>
      <w:r>
        <w:rPr>
          <w:spacing w:val="-30"/>
        </w:rPr>
        <w:t> </w:t>
      </w:r>
      <w:r>
        <w:rPr>
          <w:spacing w:val="-30"/>
        </w:rPr>
      </w:r>
      <w:r>
        <w:rPr/>
        <w:t>阶段。</w:t>
      </w:r>
      <w:r>
        <w:rPr>
          <w:spacing w:val="-102"/>
        </w:rPr>
        <w:t> </w:t>
      </w:r>
      <w:r>
        <w:rPr>
          <w:spacing w:val="-3"/>
        </w:rPr>
        <w:t>开发阶段：在进行商业性生产或使用前，将研究成果或其他知识应用于某项计划或设计，以</w:t>
      </w:r>
      <w:r>
        <w:rPr>
          <w:spacing w:val="-35"/>
        </w:rPr>
        <w:t> </w:t>
      </w:r>
      <w:r>
        <w:rPr>
          <w:spacing w:val="-35"/>
        </w:rPr>
      </w:r>
      <w:r>
        <w:rPr/>
        <w:t>生产出新的或具有实质性改进的材料、装置、产品等活动的阶段。</w:t>
      </w:r>
    </w:p>
    <w:p>
      <w:pPr>
        <w:spacing w:line="240" w:lineRule="auto" w:before="6"/>
        <w:rPr>
          <w:rFonts w:ascii="宋体" w:hAnsi="宋体" w:cs="宋体" w:eastAsia="宋体" w:hint="default"/>
          <w:sz w:val="24"/>
          <w:szCs w:val="24"/>
        </w:rPr>
      </w:pPr>
    </w:p>
    <w:p>
      <w:pPr>
        <w:pStyle w:val="BodyText"/>
        <w:spacing w:line="240" w:lineRule="auto"/>
        <w:ind w:left="1373" w:right="1133"/>
        <w:jc w:val="left"/>
      </w:pPr>
      <w:r>
        <w:rPr/>
        <w:t>内部研究开发项目开发阶段的支出，同时满足下列条件时确认为无形资产：</w:t>
      </w:r>
    </w:p>
    <w:p>
      <w:pPr>
        <w:pStyle w:val="BodyText"/>
        <w:spacing w:line="240" w:lineRule="auto" w:before="37"/>
        <w:ind w:left="137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137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left="1373" w:right="1133"/>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w:t>
      </w:r>
      <w:r>
        <w:rPr>
          <w:spacing w:val="-32"/>
        </w:rPr>
        <w:t> </w:t>
      </w:r>
      <w:r>
        <w:rPr>
          <w:spacing w:val="-32"/>
        </w:rPr>
      </w:r>
      <w:r>
        <w:rPr/>
        <w:t>无形资产自身存在市场，无形资产将在内部使用的，能够证明其有用性；</w:t>
      </w:r>
    </w:p>
    <w:p>
      <w:pPr>
        <w:pStyle w:val="BodyText"/>
        <w:spacing w:line="259" w:lineRule="auto" w:before="22"/>
        <w:ind w:left="1373" w:right="1133"/>
        <w:jc w:val="left"/>
      </w:pPr>
      <w:r>
        <w:rPr>
          <w:spacing w:val="-2"/>
        </w:rPr>
        <w:t>（</w:t>
      </w:r>
      <w:r>
        <w:rPr>
          <w:rFonts w:ascii="Times New Roman" w:hAnsi="Times New Roman" w:cs="Times New Roman" w:eastAsia="Times New Roman" w:hint="default"/>
          <w:spacing w:val="-2"/>
        </w:rPr>
        <w:t>4</w:t>
      </w:r>
      <w:r>
        <w:rPr>
          <w:spacing w:val="-2"/>
        </w:rPr>
        <w:t>）有足够的技术、财务资源和其他资源支持，以完成该无形资产的开发，并有能力使用</w:t>
      </w:r>
      <w:r>
        <w:rPr>
          <w:spacing w:val="-32"/>
        </w:rPr>
        <w:t> </w:t>
      </w:r>
      <w:r>
        <w:rPr>
          <w:spacing w:val="-32"/>
        </w:rPr>
      </w:r>
      <w:r>
        <w:rPr/>
        <w:t>或出售该无形资产；</w:t>
      </w:r>
    </w:p>
    <w:p>
      <w:pPr>
        <w:pStyle w:val="BodyText"/>
        <w:spacing w:line="264" w:lineRule="auto" w:before="20"/>
        <w:ind w:right="1133" w:hanging="17"/>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3"/>
        </w:rPr>
        <w:t>开发阶段的支出，若不满足上列条件的，于发生时计入当期损益。研究阶段的支出，在发生</w:t>
      </w:r>
      <w:r>
        <w:rPr>
          <w:spacing w:val="-49"/>
        </w:rPr>
        <w:t> </w:t>
      </w:r>
      <w:r>
        <w:rPr>
          <w:spacing w:val="-49"/>
        </w:rPr>
      </w:r>
      <w:r>
        <w:rPr/>
        <w:t>时计入当期损益。</w:t>
      </w:r>
    </w:p>
    <w:p>
      <w:pPr>
        <w:spacing w:line="240" w:lineRule="auto" w:before="2"/>
        <w:rPr>
          <w:rFonts w:ascii="宋体" w:hAnsi="宋体" w:cs="宋体" w:eastAsia="宋体" w:hint="default"/>
          <w:sz w:val="24"/>
          <w:szCs w:val="24"/>
        </w:rPr>
      </w:pPr>
    </w:p>
    <w:p>
      <w:pPr>
        <w:pStyle w:val="Heading6"/>
        <w:spacing w:line="240" w:lineRule="auto"/>
        <w:ind w:right="1133"/>
        <w:jc w:val="left"/>
        <w:rPr>
          <w:b w:val="0"/>
          <w:bCs w:val="0"/>
        </w:rPr>
      </w:pPr>
      <w:bookmarkStart w:name="31、长期资产减值" w:id="207"/>
      <w:bookmarkEnd w:id="207"/>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2" w:right="1133"/>
        <w:jc w:val="left"/>
      </w:pPr>
      <w:r>
        <w:rPr>
          <w:spacing w:val="-2"/>
        </w:rPr>
        <w:t>长期股权投资、采用成本模式计量的投资性房地产、固定资产、在建工程、使用寿命有限的无形资产等长</w:t>
      </w:r>
      <w:r>
        <w:rPr>
          <w:spacing w:val="-44"/>
        </w:rPr>
        <w:t> </w:t>
      </w:r>
      <w:r>
        <w:rPr>
          <w:spacing w:val="-44"/>
        </w:rPr>
      </w:r>
      <w:r>
        <w:rPr>
          <w:spacing w:val="-2"/>
        </w:rPr>
        <w:t>期资产，于资产负债表日存在减值迹象的，进行减值测试。减值测试结果表明资产的可收回金额低于其账</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left="112" w:right="1133"/>
        <w:jc w:val="left"/>
      </w:pPr>
      <w:r>
        <w:rPr>
          <w:spacing w:val="-2"/>
        </w:rPr>
        <w:t>面价值的，按其差额计提减值准备并计入减值损失。可收回金额为资产的公允价值减去处置费用后的净额</w:t>
      </w:r>
      <w:r>
        <w:rPr>
          <w:spacing w:val="-43"/>
        </w:rPr>
        <w:t> </w:t>
      </w:r>
      <w:r>
        <w:rPr>
          <w:spacing w:val="-43"/>
        </w:rPr>
      </w:r>
      <w:r>
        <w:rPr>
          <w:spacing w:val="-2"/>
        </w:rPr>
        <w:t>与资产预计未来现金流量的现值两者之间的较高者。资产减值准备按单项资产为基础计算并确认，如果难</w:t>
      </w:r>
      <w:r>
        <w:rPr>
          <w:spacing w:val="-44"/>
        </w:rPr>
        <w:t> </w:t>
      </w:r>
      <w:r>
        <w:rPr>
          <w:spacing w:val="-44"/>
        </w:rPr>
      </w:r>
      <w:r>
        <w:rPr>
          <w:spacing w:val="-2"/>
        </w:rPr>
        <w:t>以对单项资产的可收回金额进行估计的，以该资产所属的资产组确定资产组的可收回金额。资产组是能够</w:t>
      </w:r>
      <w:r>
        <w:rPr>
          <w:spacing w:val="-42"/>
        </w:rPr>
        <w:t> </w:t>
      </w:r>
      <w:r>
        <w:rPr>
          <w:spacing w:val="-42"/>
        </w:rPr>
      </w:r>
      <w:r>
        <w:rPr/>
        <w:t>独立产生现金流入的最小资产组合。</w:t>
      </w:r>
      <w:r>
        <w:rPr>
          <w:w w:val="100"/>
        </w:rPr>
        <w:t> </w:t>
      </w:r>
      <w:r>
        <w:rPr>
          <w:spacing w:val="-2"/>
        </w:rPr>
        <w:t>商誉、使用寿命不确定的无形资产、尚未达到可使用状态的无形资产至少在每年年度终了进行减值测试。</w:t>
      </w:r>
      <w:r>
        <w:rPr>
          <w:spacing w:val="-24"/>
        </w:rPr>
        <w:t> </w:t>
      </w:r>
      <w:r>
        <w:rPr>
          <w:spacing w:val="-24"/>
        </w:rPr>
      </w:r>
      <w:r>
        <w:rPr>
          <w:spacing w:val="-2"/>
        </w:rPr>
        <w:t>本公司进行商誉减值测试，对于因企业合并形成的商誉的账面价值，自购买日起按照合理的方法分摊至相</w:t>
      </w:r>
      <w:r>
        <w:rPr>
          <w:spacing w:val="-44"/>
        </w:rPr>
        <w:t> </w:t>
      </w:r>
      <w:r>
        <w:rPr>
          <w:spacing w:val="-44"/>
        </w:rPr>
      </w:r>
      <w:r>
        <w:rPr>
          <w:spacing w:val="-2"/>
        </w:rPr>
        <w:t>关的资产组；难以分摊至相关的资产组的，将其分摊至相关的资产组组合。本公司在分摊商誉的账面价值</w:t>
      </w:r>
      <w:r>
        <w:rPr>
          <w:spacing w:val="-43"/>
        </w:rPr>
        <w:t> </w:t>
      </w:r>
      <w:r>
        <w:rPr>
          <w:spacing w:val="-43"/>
        </w:rPr>
      </w:r>
      <w:r>
        <w:rPr>
          <w:spacing w:val="-2"/>
        </w:rPr>
        <w:t>时，根据相关资产组或资产组组合能够从企业合并的协同效应中获得的相对受益情况进行分摊，在此基础</w:t>
      </w:r>
      <w:r>
        <w:rPr>
          <w:spacing w:val="-43"/>
        </w:rPr>
        <w:t> </w:t>
      </w:r>
      <w:r>
        <w:rPr>
          <w:spacing w:val="-43"/>
        </w:rPr>
      </w:r>
      <w:r>
        <w:rPr/>
        <w:t>上进行商誉减值测试。</w:t>
      </w:r>
      <w:r>
        <w:rPr>
          <w:w w:val="100"/>
        </w:rPr>
        <w:t> </w:t>
      </w:r>
      <w:r>
        <w:rPr>
          <w:spacing w:val="-2"/>
        </w:rPr>
        <w:t>在对包含商誉的相关资产组或者资产组组合进行减值测试时，如与商誉相关的资产组或者资产组组合存在</w:t>
      </w:r>
      <w:r>
        <w:rPr>
          <w:spacing w:val="-43"/>
        </w:rPr>
        <w:t> </w:t>
      </w:r>
      <w:r>
        <w:rPr>
          <w:spacing w:val="-43"/>
        </w:rPr>
      </w:r>
      <w:r>
        <w:rPr>
          <w:spacing w:val="-2"/>
        </w:rPr>
        <w:t>减值迹象的，先对不包含商誉的资产组或者资产组组合进行减值测试，计算可收回金额，并与相关账面价</w:t>
      </w:r>
      <w:r>
        <w:rPr>
          <w:spacing w:val="-42"/>
        </w:rPr>
        <w:t> </w:t>
      </w:r>
      <w:r>
        <w:rPr>
          <w:spacing w:val="-42"/>
        </w:rPr>
      </w:r>
      <w:r>
        <w:rPr>
          <w:spacing w:val="-2"/>
        </w:rPr>
        <w:t>值相比较，确认相应的减值损失。再对包含商誉的资产组或者资产组组合进行减值测试，比较这些相关资</w:t>
      </w:r>
      <w:r>
        <w:rPr>
          <w:spacing w:val="-43"/>
        </w:rPr>
        <w:t> </w:t>
      </w:r>
      <w:r>
        <w:rPr>
          <w:spacing w:val="-43"/>
        </w:rPr>
      </w:r>
      <w:r>
        <w:rPr>
          <w:spacing w:val="-2"/>
        </w:rPr>
        <w:t>产组或者资产组组合的账面价值（包括所分摊的商誉的账面价值部分）与其可收回金额，如相关资产组或</w:t>
      </w:r>
      <w:r>
        <w:rPr>
          <w:spacing w:val="-42"/>
        </w:rPr>
        <w:t> </w:t>
      </w:r>
      <w:r>
        <w:rPr>
          <w:spacing w:val="-42"/>
        </w:rPr>
      </w:r>
      <w:r>
        <w:rPr>
          <w:spacing w:val="-2"/>
        </w:rPr>
        <w:t>者资产组组合的可收回金额低于其账面价值的，确认商誉的减值损失。上述资产减值损失一经确认，在以</w:t>
      </w:r>
      <w:r>
        <w:rPr>
          <w:spacing w:val="-43"/>
        </w:rPr>
        <w:t> </w:t>
      </w:r>
      <w:r>
        <w:rPr>
          <w:spacing w:val="-43"/>
        </w:rPr>
      </w:r>
      <w:r>
        <w:rPr/>
        <w:t>后会计期间不予转回。</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32、长期待摊费用" w:id="208"/>
      <w:bookmarkEnd w:id="208"/>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12" w:right="2114"/>
        <w:jc w:val="left"/>
        <w:rPr>
          <w:rFonts w:ascii="宋体" w:hAnsi="宋体" w:cs="宋体" w:eastAsia="宋体" w:hint="default"/>
        </w:rPr>
      </w:pPr>
      <w:r>
        <w:rPr>
          <w:spacing w:val="-2"/>
        </w:rPr>
        <w:t>长期待摊费用为已经发生但应由本期和以后各期负担的分摊期限在一年以上的各项费用。</w:t>
      </w:r>
      <w:r>
        <w:rPr>
          <w:spacing w:val="-31"/>
        </w:rPr>
        <w:t> </w:t>
      </w:r>
      <w:r>
        <w:rPr>
          <w:spacing w:val="-31"/>
        </w:rPr>
      </w:r>
      <w:r>
        <w:rPr>
          <w:rFonts w:ascii="宋体" w:hAnsi="宋体" w:cs="宋体" w:eastAsia="宋体" w:hint="default"/>
          <w:b/>
          <w:bCs/>
        </w:rPr>
        <w:t>摊销方法</w:t>
      </w:r>
      <w:r>
        <w:rPr>
          <w:rFonts w:ascii="宋体" w:hAnsi="宋体" w:cs="宋体" w:eastAsia="宋体" w:hint="default"/>
        </w:rPr>
      </w:r>
    </w:p>
    <w:p>
      <w:pPr>
        <w:pStyle w:val="BodyText"/>
        <w:spacing w:line="240" w:lineRule="auto" w:before="7"/>
        <w:ind w:left="254" w:right="1133"/>
        <w:jc w:val="left"/>
      </w:pPr>
      <w:r>
        <w:rPr/>
        <w:t>长期待摊费用在受益期内平均摊销</w:t>
      </w:r>
    </w:p>
    <w:p>
      <w:pPr>
        <w:spacing w:line="240" w:lineRule="auto" w:before="9"/>
        <w:rPr>
          <w:rFonts w:ascii="宋体" w:hAnsi="宋体" w:cs="宋体" w:eastAsia="宋体" w:hint="default"/>
          <w:sz w:val="26"/>
          <w:szCs w:val="26"/>
        </w:rPr>
      </w:pPr>
    </w:p>
    <w:p>
      <w:pPr>
        <w:pStyle w:val="BodyText"/>
        <w:spacing w:line="273" w:lineRule="auto"/>
        <w:ind w:left="324" w:right="2654" w:hanging="212"/>
        <w:jc w:val="left"/>
      </w:pPr>
      <w:r>
        <w:rPr>
          <w:rFonts w:ascii="宋体" w:hAnsi="宋体" w:cs="宋体" w:eastAsia="宋体" w:hint="default"/>
          <w:b/>
          <w:bCs/>
        </w:rPr>
        <w:t>摊销年限</w:t>
      </w:r>
      <w:r>
        <w:rPr>
          <w:rFonts w:ascii="宋体" w:hAnsi="宋体" w:cs="宋体" w:eastAsia="宋体" w:hint="default"/>
          <w:b/>
          <w:bCs/>
          <w:w w:val="100"/>
        </w:rPr>
        <w:t> </w:t>
      </w:r>
      <w:r>
        <w:rPr>
          <w:spacing w:val="-2"/>
        </w:rPr>
        <w:t>经营租赁方式租入的固定资产改良支出，按最佳预期经济利益实现方式合理摊销。</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33、合同负债" w:id="209"/>
      <w:bookmarkEnd w:id="209"/>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34、职工薪酬" w:id="210"/>
      <w:bookmarkEnd w:id="210"/>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短期薪酬的会计处理方法" w:id="211"/>
      <w:bookmarkEnd w:id="21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12" w:right="1133"/>
        <w:jc w:val="left"/>
      </w:pPr>
      <w:r>
        <w:rPr>
          <w:spacing w:val="-2"/>
        </w:rPr>
        <w:t>本公司在职工为本公司提供服务的会计期间，将实际发生的短期薪酬确认为负债，并计入当期损益或相关</w:t>
      </w:r>
      <w:r>
        <w:rPr>
          <w:spacing w:val="-42"/>
        </w:rPr>
        <w:t> </w:t>
      </w:r>
      <w:r>
        <w:rPr>
          <w:spacing w:val="-42"/>
        </w:rPr>
      </w:r>
      <w:r>
        <w:rPr/>
        <w:t>资产成本。</w:t>
      </w:r>
      <w:r>
        <w:rPr>
          <w:spacing w:val="-102"/>
        </w:rPr>
        <w:t> </w:t>
      </w:r>
      <w:r>
        <w:rPr>
          <w:spacing w:val="-102"/>
        </w:rPr>
      </w:r>
      <w:r>
        <w:rPr>
          <w:spacing w:val="-2"/>
        </w:rPr>
        <w:t>本公司为职工缴纳的社会保险费和住房公积金，以及按规定提取的工会经费和职工教育经费，在职工为本</w:t>
      </w:r>
      <w:r>
        <w:rPr>
          <w:spacing w:val="-44"/>
        </w:rPr>
        <w:t> </w:t>
      </w:r>
      <w:r>
        <w:rPr>
          <w:spacing w:val="-44"/>
        </w:rPr>
      </w:r>
      <w:r>
        <w:rPr/>
        <w:t>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600" w:lineRule="atLeast" w:before="0"/>
        <w:ind w:left="112" w:right="7712" w:firstLine="0"/>
        <w:jc w:val="left"/>
        <w:rPr>
          <w:rFonts w:ascii="宋体" w:hAnsi="宋体" w:cs="宋体" w:eastAsia="宋体" w:hint="default"/>
          <w:sz w:val="21"/>
          <w:szCs w:val="21"/>
        </w:rPr>
      </w:pPr>
      <w:bookmarkStart w:name="（2）离职后福利的会计处理方法" w:id="212"/>
      <w:bookmarkEnd w:id="212"/>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）离职后福利的会计处理方法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设定提存计划</w:t>
      </w:r>
    </w:p>
    <w:p>
      <w:pPr>
        <w:pStyle w:val="BodyText"/>
        <w:spacing w:line="273" w:lineRule="auto" w:before="37"/>
        <w:ind w:left="112" w:right="1133"/>
        <w:jc w:val="left"/>
      </w:pPr>
      <w:r>
        <w:rPr>
          <w:spacing w:val="-2"/>
        </w:rPr>
        <w:t>本公司按当地政府的相关规定为职工缴纳基本养老保险和失业保险，在职工为本公司提供服务的会计期</w:t>
      </w:r>
      <w:r>
        <w:rPr>
          <w:spacing w:val="-21"/>
        </w:rPr>
        <w:t> </w:t>
      </w:r>
      <w:r>
        <w:rPr>
          <w:spacing w:val="-21"/>
        </w:rPr>
      </w:r>
      <w:r>
        <w:rPr>
          <w:spacing w:val="-2"/>
        </w:rPr>
        <w:t>间，按以当地规定的缴纳基数和比例计算应缴纳金额，确认为负债，并计入当期损益或相关资产成本。</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3）辞退福利的会计处理方法" w:id="213"/>
      <w:bookmarkEnd w:id="21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112" w:right="1133"/>
        <w:jc w:val="left"/>
      </w:pPr>
      <w:r>
        <w:rPr>
          <w:spacing w:val="-2"/>
        </w:rPr>
        <w:t>本公司在不能单方面撤回因解除劳动关系计划或裁减建议所提供的辞退福利时，或确认与涉及支付辞退福</w:t>
      </w:r>
      <w:r>
        <w:rPr>
          <w:spacing w:val="-43"/>
        </w:rPr>
        <w:t> </w:t>
      </w:r>
      <w:r>
        <w:rPr>
          <w:spacing w:val="-43"/>
        </w:rPr>
      </w:r>
      <w:r>
        <w:rPr>
          <w:spacing w:val="-4"/>
          <w:w w:val="100"/>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6"/>
        <w:spacing w:line="240" w:lineRule="auto"/>
        <w:ind w:right="1133"/>
        <w:jc w:val="left"/>
        <w:rPr>
          <w:b w:val="0"/>
          <w:bCs w:val="0"/>
        </w:rPr>
      </w:pPr>
      <w:bookmarkStart w:name="（4）其他长期职工福利的会计处理方法" w:id="214"/>
      <w:bookmarkEnd w:id="21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35、租赁负债" w:id="215"/>
      <w:bookmarkEnd w:id="215"/>
      <w:r>
        <w:rPr>
          <w:b w:val="0"/>
          <w:bCs w:val="0"/>
        </w:rPr>
      </w:r>
      <w:r>
        <w:rPr>
          <w:rFonts w:ascii="Times New Roman" w:hAnsi="Times New Roman" w:cs="Times New Roman" w:eastAsia="Times New Roman" w:hint="default"/>
        </w:rPr>
        <w:t>35</w:t>
      </w:r>
      <w:r>
        <w:rPr/>
        <w:t>、租赁负债</w:t>
      </w:r>
      <w:r>
        <w:rPr>
          <w:b w:val="0"/>
          <w:bCs w:val="0"/>
        </w:rPr>
      </w:r>
    </w:p>
    <w:p>
      <w:pPr>
        <w:pStyle w:val="Heading6"/>
        <w:spacing w:line="590" w:lineRule="atLeast" w:before="24"/>
        <w:ind w:right="8857"/>
        <w:jc w:val="left"/>
        <w:rPr>
          <w:b w:val="0"/>
          <w:bCs w:val="0"/>
        </w:rPr>
      </w:pPr>
      <w:bookmarkStart w:name="36、预计负债" w:id="216"/>
      <w:bookmarkEnd w:id="216"/>
      <w:r>
        <w:rPr>
          <w:b w:val="0"/>
          <w:bCs w:val="0"/>
        </w:rPr>
      </w:r>
      <w:r>
        <w:rPr>
          <w:rFonts w:ascii="Times New Roman" w:hAnsi="Times New Roman" w:cs="Times New Roman" w:eastAsia="Times New Roman" w:hint="default"/>
        </w:rPr>
        <w:t>36</w:t>
      </w:r>
      <w:r>
        <w:rPr/>
        <w:t>、预计负债</w:t>
      </w:r>
      <w:r>
        <w:rPr>
          <w:w w:val="100"/>
        </w:rPr>
        <w:t> </w:t>
      </w:r>
      <w:r>
        <w:rPr/>
        <w:t>预计负债的确认标准</w:t>
      </w:r>
      <w:r>
        <w:rPr>
          <w:b w:val="0"/>
          <w:bCs w:val="0"/>
        </w:rPr>
      </w:r>
    </w:p>
    <w:p>
      <w:pPr>
        <w:pStyle w:val="BodyText"/>
        <w:spacing w:line="273" w:lineRule="auto" w:before="37"/>
        <w:ind w:left="254" w:right="1133"/>
        <w:jc w:val="left"/>
      </w:pPr>
      <w:r>
        <w:rPr>
          <w:spacing w:val="-1"/>
        </w:rPr>
        <w:t>与诉讼、债务担保、亏损合同、重组事项等或有事项相关的义务同时满足下列条件时，本公司确认为预</w:t>
      </w:r>
      <w:r>
        <w:rPr>
          <w:spacing w:val="-18"/>
        </w:rPr>
        <w:t> </w:t>
      </w:r>
      <w:r>
        <w:rPr>
          <w:spacing w:val="-18"/>
        </w:rPr>
      </w:r>
      <w:r>
        <w:rPr/>
        <w:t>计负债：</w:t>
      </w:r>
    </w:p>
    <w:p>
      <w:pPr>
        <w:pStyle w:val="BodyText"/>
        <w:spacing w:line="240" w:lineRule="auto" w:before="7"/>
        <w:ind w:left="254" w:right="113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21"/>
        <w:ind w:left="254" w:right="113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left="254" w:right="1133"/>
        <w:jc w:val="left"/>
      </w:pPr>
      <w:r>
        <w:rPr/>
        <w:t>（</w:t>
      </w:r>
      <w:r>
        <w:rPr>
          <w:rFonts w:ascii="Times New Roman" w:hAnsi="Times New Roman" w:cs="Times New Roman" w:eastAsia="Times New Roman" w:hint="default"/>
        </w:rPr>
        <w:t>3</w:t>
      </w:r>
      <w:r>
        <w:rPr/>
        <w:t>）该义务的金额能够可靠地计量。</w:t>
      </w:r>
    </w:p>
    <w:p>
      <w:pPr>
        <w:spacing w:line="240" w:lineRule="auto" w:before="6"/>
        <w:rPr>
          <w:rFonts w:ascii="宋体" w:hAnsi="宋体" w:cs="宋体" w:eastAsia="宋体" w:hint="default"/>
          <w:sz w:val="25"/>
          <w:szCs w:val="25"/>
        </w:rPr>
      </w:pPr>
    </w:p>
    <w:p>
      <w:pPr>
        <w:spacing w:line="273" w:lineRule="auto" w:before="0"/>
        <w:ind w:left="189" w:right="2654" w:hanging="77"/>
        <w:jc w:val="left"/>
        <w:rPr>
          <w:rFonts w:ascii="宋体" w:hAnsi="宋体" w:cs="宋体" w:eastAsia="宋体" w:hint="default"/>
          <w:sz w:val="21"/>
          <w:szCs w:val="21"/>
        </w:rPr>
      </w:pPr>
      <w:r>
        <w:rPr>
          <w:rFonts w:ascii="宋体" w:hAnsi="宋体" w:cs="宋体" w:eastAsia="宋体" w:hint="default"/>
          <w:b/>
          <w:bCs/>
          <w:sz w:val="21"/>
          <w:szCs w:val="21"/>
        </w:rPr>
        <w:t>各类预计负债的计量方法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本公司预计负债按履行相关现时义务所需的支出的最佳估计数进行初始计量。</w:t>
      </w:r>
    </w:p>
    <w:p>
      <w:pPr>
        <w:pStyle w:val="BodyText"/>
        <w:spacing w:line="273" w:lineRule="auto" w:before="7"/>
        <w:ind w:left="189" w:right="1133"/>
        <w:jc w:val="left"/>
      </w:pPr>
      <w:r>
        <w:rPr>
          <w:spacing w:val="-4"/>
        </w:rPr>
        <w:t>本公司在确定最佳估计数时，综合考虑与或有事项有关的风险、不确定性和货币时间价值等因素。对于货</w:t>
      </w:r>
      <w:r>
        <w:rPr>
          <w:spacing w:val="-28"/>
        </w:rPr>
        <w:t> </w:t>
      </w:r>
      <w:r>
        <w:rPr>
          <w:spacing w:val="-28"/>
        </w:rPr>
      </w:r>
      <w:r>
        <w:rPr/>
        <w:t>币时间价值影响重大的，通过对相关未来现金流出进行折现后确定最佳估计数。</w:t>
      </w:r>
      <w:r>
        <w:rPr>
          <w:w w:val="100"/>
        </w:rPr>
        <w:t> </w:t>
      </w:r>
      <w:r>
        <w:rPr/>
        <w:t>最佳估计数分别以下情况处理：</w:t>
      </w:r>
    </w:p>
    <w:p>
      <w:pPr>
        <w:pStyle w:val="BodyText"/>
        <w:spacing w:line="273" w:lineRule="auto" w:before="8"/>
        <w:ind w:left="490" w:right="986"/>
        <w:jc w:val="left"/>
      </w:pPr>
      <w:r>
        <w:rPr>
          <w:spacing w:val="-6"/>
          <w:w w:val="100"/>
        </w:rPr>
        <w:t>所需支出存在一个连续范围（或区间），且该范围内各种结果发生的可能性相同的，则最佳估计数按照</w:t>
      </w:r>
      <w:r>
        <w:rPr>
          <w:spacing w:val="-86"/>
          <w:w w:val="100"/>
        </w:rPr>
        <w:t> </w:t>
      </w:r>
      <w:r>
        <w:rPr>
          <w:spacing w:val="-86"/>
          <w:w w:val="100"/>
        </w:rPr>
      </w:r>
      <w:r>
        <w:rPr/>
        <w:t>该范围的中间值即上下限金额的平均数确定。</w:t>
      </w:r>
      <w:r>
        <w:rPr>
          <w:w w:val="100"/>
        </w:rPr>
        <w:t> </w:t>
      </w:r>
      <w:r>
        <w:rPr>
          <w:spacing w:val="-6"/>
          <w:w w:val="100"/>
        </w:rPr>
        <w:t>所需支出不存在一个连续范围（或区间），或虽然存在一个连续范围但该范围内各种结果发生的可能性</w:t>
      </w:r>
      <w:r>
        <w:rPr>
          <w:spacing w:val="-87"/>
          <w:w w:val="100"/>
        </w:rPr>
        <w:t> </w:t>
      </w:r>
      <w:r>
        <w:rPr>
          <w:spacing w:val="-87"/>
          <w:w w:val="100"/>
        </w:rPr>
      </w:r>
      <w:r>
        <w:rPr>
          <w:spacing w:val="-1"/>
        </w:rPr>
        <w:t>不相同的，如或有事项涉及单个项目的，则最佳估计数按照最可能发生金额确定；如或有事项涉及多</w:t>
      </w:r>
      <w:r>
        <w:rPr>
          <w:spacing w:val="-42"/>
        </w:rPr>
        <w:t> </w:t>
      </w:r>
      <w:r>
        <w:rPr>
          <w:spacing w:val="-42"/>
        </w:rPr>
      </w:r>
      <w:r>
        <w:rPr/>
        <w:t>个项目的，则最佳估计数按各种可能结果及相关概率计算确定。</w:t>
      </w:r>
    </w:p>
    <w:p>
      <w:pPr>
        <w:pStyle w:val="BodyText"/>
        <w:spacing w:line="273" w:lineRule="auto" w:before="7"/>
        <w:ind w:left="112" w:right="1133"/>
        <w:jc w:val="left"/>
      </w:pPr>
      <w:r>
        <w:rPr>
          <w:spacing w:val="-2"/>
        </w:rPr>
        <w:t>本公司清偿预计负债所需支出全部或部分预期由第三方补偿的，补偿金额在基本确定能够收到时，作为资</w:t>
      </w:r>
      <w:r>
        <w:rPr>
          <w:spacing w:val="-43"/>
        </w:rPr>
        <w:t> </w:t>
      </w:r>
      <w:r>
        <w:rPr>
          <w:spacing w:val="-43"/>
        </w:rPr>
      </w:r>
      <w:r>
        <w:rPr/>
        <w:t>产单独确认，确认的补偿金额不超过预计负债的账面价值。</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37、股份支付" w:id="217"/>
      <w:bookmarkEnd w:id="217"/>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826" w:right="1130"/>
        <w:jc w:val="left"/>
      </w:pPr>
      <w:r>
        <w:rPr/>
        <w:t>本公司的股份支付是为了获取职工或其他方提供服务而授予权益工具或者承担以权益工具为基础</w:t>
      </w:r>
      <w:r>
        <w:rPr>
          <w:spacing w:val="-9"/>
        </w:rPr>
        <w:t> </w:t>
      </w:r>
      <w:r>
        <w:rPr>
          <w:spacing w:val="-9"/>
        </w:rPr>
      </w:r>
      <w:r>
        <w:rPr/>
        <w:t>确定的负债的交易。本公司的股份支付分为以权益结算的股份支付和以现金结算的股份支付。</w:t>
      </w:r>
      <w:r>
        <w:rPr>
          <w:w w:val="100"/>
        </w:rPr>
        <w:t> </w:t>
      </w:r>
      <w:r>
        <w:rPr/>
        <w:t>以权益结算的股份支付换取职工提供服务的，以授予职工权益工具的公允价值计量。本公司以限</w:t>
      </w:r>
      <w:r>
        <w:rPr>
          <w:spacing w:val="-9"/>
        </w:rPr>
        <w:t> </w:t>
      </w:r>
      <w:r>
        <w:rPr>
          <w:spacing w:val="-9"/>
        </w:rPr>
      </w:r>
      <w:r>
        <w:rPr/>
        <w:t>制性股票进行股份支付的，职工出资认购股票，股票在达到解锁条件并解锁前不得上市流通或转</w:t>
      </w:r>
      <w:r>
        <w:rPr>
          <w:spacing w:val="-9"/>
        </w:rPr>
        <w:t> </w:t>
      </w:r>
      <w:r>
        <w:rPr>
          <w:spacing w:val="-9"/>
        </w:rPr>
      </w:r>
      <w:r>
        <w:rPr/>
        <w:t>让；如果最终股权激励计划规定的解锁条件未能达到，则本公司按照事先约定的价格回购股票。</w:t>
      </w:r>
      <w:r>
        <w:rPr>
          <w:spacing w:val="-4"/>
        </w:rPr>
        <w:t> </w:t>
      </w:r>
      <w:r>
        <w:rPr>
          <w:spacing w:val="-4"/>
        </w:rPr>
      </w:r>
      <w:r>
        <w:rPr/>
        <w:t>本公司取得职工认购限制性股票支付的款项时，按照取得的认股款确认股本和资本公积（股本溢</w:t>
      </w:r>
      <w:r>
        <w:rPr>
          <w:spacing w:val="-9"/>
        </w:rPr>
        <w:t> </w:t>
      </w:r>
      <w:r>
        <w:rPr>
          <w:spacing w:val="-9"/>
        </w:rPr>
      </w:r>
      <w:r>
        <w:rPr>
          <w:spacing w:val="-4"/>
          <w:w w:val="100"/>
        </w:rPr>
        <w:t>价），同时就回购义务全额确认一项负债并确认库存股。在等待期内每个资产负债表日，本公司根</w:t>
      </w:r>
      <w:r>
        <w:rPr>
          <w:spacing w:val="-103"/>
          <w:w w:val="100"/>
        </w:rPr>
        <w:t> </w:t>
      </w:r>
      <w:r>
        <w:rPr>
          <w:spacing w:val="-103"/>
          <w:w w:val="100"/>
        </w:rPr>
      </w:r>
      <w:r>
        <w:rPr/>
        <w:t>据最新取得的可行权职工人数变动、是否达到规定业绩条件等后续信息对可行权权益工具数量作</w:t>
      </w:r>
      <w:r>
        <w:rPr>
          <w:spacing w:val="-9"/>
        </w:rPr>
        <w:t> </w:t>
      </w:r>
      <w:r>
        <w:rPr>
          <w:spacing w:val="-9"/>
        </w:rPr>
      </w:r>
      <w:r>
        <w:rPr/>
        <w:t>出最佳估计，以此为基础，按照授予日的公允价值，将当期取得的服务计入相关成本或费用，相</w:t>
      </w:r>
      <w:r>
        <w:rPr>
          <w:spacing w:val="-9"/>
        </w:rPr>
        <w:t> </w:t>
      </w:r>
      <w:r>
        <w:rPr>
          <w:spacing w:val="-9"/>
        </w:rPr>
      </w:r>
      <w:r>
        <w:rPr/>
        <w:t>应增加资本公积。在可行权日之后不再对已确认的相关成本或费用和所有者权益总额进行调整。</w:t>
      </w:r>
      <w:r>
        <w:rPr>
          <w:spacing w:val="-9"/>
        </w:rPr>
        <w:t> </w:t>
      </w:r>
      <w:r>
        <w:rPr>
          <w:spacing w:val="-9"/>
        </w:rPr>
      </w:r>
      <w:r>
        <w:rPr/>
        <w:t>但授予后立即可行权的，在授予日按照公允价值计入相关成本或费用，相应增加资本公积。</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left="826" w:right="1133"/>
        <w:jc w:val="left"/>
      </w:pPr>
      <w:r>
        <w:rPr/>
        <w:t>对于最终未能行权的股份支付，不确认成本或费用，除非行权条件是市场条件或非可行权条件，</w:t>
      </w:r>
      <w:r>
        <w:rPr>
          <w:spacing w:val="-9"/>
        </w:rPr>
        <w:t> </w:t>
      </w:r>
      <w:r>
        <w:rPr>
          <w:spacing w:val="-9"/>
        </w:rPr>
      </w:r>
      <w:r>
        <w:rPr/>
        <w:t>此时无论是否满足市场条件或非可行权条件，只要满足所有可行权条件中的非市场条件，即视为</w:t>
      </w:r>
      <w:r>
        <w:rPr>
          <w:spacing w:val="-9"/>
        </w:rPr>
        <w:t> </w:t>
      </w:r>
      <w:r>
        <w:rPr>
          <w:spacing w:val="-9"/>
        </w:rPr>
      </w:r>
      <w:r>
        <w:rPr/>
        <w:t>可行权。</w:t>
      </w:r>
      <w:r>
        <w:rPr>
          <w:w w:val="100"/>
        </w:rPr>
        <w:t> </w:t>
      </w:r>
      <w:r>
        <w:rPr/>
        <w:t>如果修改了以权益结算的股份支付的条款，至少按照未修改条款的情况确认取得的服务。此外，</w:t>
      </w:r>
      <w:r>
        <w:rPr>
          <w:spacing w:val="-9"/>
        </w:rPr>
        <w:t> </w:t>
      </w:r>
      <w:r>
        <w:rPr>
          <w:spacing w:val="-9"/>
        </w:rPr>
      </w:r>
      <w:r>
        <w:rPr/>
        <w:t>任何增加所授予权益工具公允价值的修改，或在修改日对职工有利的变更，均确认取得服务的增</w:t>
      </w:r>
      <w:r>
        <w:rPr>
          <w:spacing w:val="-9"/>
        </w:rPr>
        <w:t> </w:t>
      </w:r>
      <w:r>
        <w:rPr>
          <w:spacing w:val="-9"/>
        </w:rPr>
      </w:r>
      <w:r>
        <w:rPr/>
        <w:t>加。</w:t>
      </w:r>
      <w:r>
        <w:rPr>
          <w:spacing w:val="-103"/>
        </w:rPr>
        <w:t> </w:t>
      </w:r>
      <w:r>
        <w:rPr/>
        <w:t>如果取消了以权益结算的股份支付，则于取消日作为加速行权处理，立即确认尚未确认的金额。</w:t>
      </w:r>
      <w:r>
        <w:rPr>
          <w:spacing w:val="-9"/>
        </w:rPr>
        <w:t> </w:t>
      </w:r>
      <w:r>
        <w:rPr>
          <w:spacing w:val="-9"/>
        </w:rPr>
      </w:r>
      <w:r>
        <w:rPr/>
        <w:t>职工或其他方能够选择满足非可行权条件但在等待期内未满足的，作为取消以权益结算的股份支</w:t>
      </w:r>
      <w:r>
        <w:rPr>
          <w:spacing w:val="-5"/>
        </w:rPr>
        <w:t> </w:t>
      </w:r>
      <w:r>
        <w:rPr>
          <w:spacing w:val="-5"/>
        </w:rPr>
      </w:r>
      <w:r>
        <w:rPr/>
        <w:t>付处理。但是，如果授予新的权益工具，并在新权益工具授予日认定所授予的新权益工具是用于</w:t>
      </w:r>
      <w:r>
        <w:rPr>
          <w:spacing w:val="-9"/>
        </w:rPr>
        <w:t> </w:t>
      </w:r>
      <w:r>
        <w:rPr>
          <w:spacing w:val="-9"/>
        </w:rPr>
      </w:r>
      <w:r>
        <w:rPr/>
        <w:t>替代被取消的权益工具的，则以与处理原权益工具条款和条件修改相同的方式，对所授予的替代</w:t>
      </w:r>
      <w:r>
        <w:rPr>
          <w:spacing w:val="-9"/>
        </w:rPr>
        <w:t> </w:t>
      </w:r>
      <w:r>
        <w:rPr>
          <w:spacing w:val="-9"/>
        </w:rPr>
      </w:r>
      <w:r>
        <w:rPr/>
        <w:t>权益工具进行处理。</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38、优先股、永续债等其他金融工具" w:id="218"/>
      <w:bookmarkEnd w:id="218"/>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39、收入" w:id="219"/>
      <w:bookmarkEnd w:id="219"/>
      <w:r>
        <w:rPr>
          <w:b w:val="0"/>
          <w:bCs w:val="0"/>
        </w:rPr>
      </w: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8" w:lineRule="auto" w:before="117"/>
        <w:ind w:left="112" w:right="8054" w:firstLine="0"/>
        <w:jc w:val="left"/>
        <w:rPr>
          <w:rFonts w:ascii="宋体" w:hAnsi="宋体" w:cs="宋体" w:eastAsia="宋体" w:hint="default"/>
          <w:sz w:val="21"/>
          <w:szCs w:val="21"/>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收入确认和计量所采用的会计政策 </w:t>
      </w:r>
      <w:r>
        <w:rPr>
          <w:rFonts w:ascii="宋体" w:hAnsi="宋体" w:cs="宋体" w:eastAsia="宋体" w:hint="default"/>
          <w:b/>
          <w:bCs/>
          <w:sz w:val="21"/>
          <w:szCs w:val="21"/>
        </w:rPr>
        <w:t>1</w:t>
      </w:r>
      <w:r>
        <w:rPr>
          <w:rFonts w:ascii="宋体" w:hAnsi="宋体" w:cs="宋体" w:eastAsia="宋体" w:hint="default"/>
          <w:b/>
          <w:bCs/>
          <w:sz w:val="21"/>
          <w:szCs w:val="21"/>
        </w:rPr>
        <w:t>、销售商品收入的确认标准</w:t>
      </w:r>
      <w:r>
        <w:rPr>
          <w:rFonts w:ascii="宋体" w:hAnsi="宋体" w:cs="宋体" w:eastAsia="宋体" w:hint="default"/>
          <w:sz w:val="21"/>
          <w:szCs w:val="21"/>
        </w:rPr>
      </w:r>
    </w:p>
    <w:p>
      <w:pPr>
        <w:pStyle w:val="BodyText"/>
        <w:spacing w:line="218" w:lineRule="exact"/>
        <w:ind w:left="473" w:right="1133"/>
        <w:jc w:val="left"/>
      </w:pPr>
      <w:r>
        <w:rPr/>
        <w:t>公司已将商品所有权上的主要风险和报酬转移给购买方；公司既没有保留与所有权相联系的继续管理</w:t>
      </w:r>
    </w:p>
    <w:p>
      <w:pPr>
        <w:pStyle w:val="BodyText"/>
        <w:spacing w:line="273" w:lineRule="auto" w:before="37"/>
        <w:ind w:left="473" w:right="1133"/>
        <w:jc w:val="left"/>
      </w:pPr>
      <w:r>
        <w:rPr>
          <w:spacing w:val="-2"/>
        </w:rPr>
        <w:t>权，也没有对已售出的商品实施有效控制；收入的金额能够可靠地计量；相关的经济利益很可能流入</w:t>
      </w:r>
      <w:r>
        <w:rPr>
          <w:spacing w:val="-21"/>
        </w:rPr>
        <w:t> </w:t>
      </w:r>
      <w:r>
        <w:rPr>
          <w:spacing w:val="-21"/>
        </w:rPr>
      </w:r>
      <w:r>
        <w:rPr/>
        <w:t>公司；相关的已发生或将发生的成本能够可靠地计量时，确认商品销售收入实现。</w:t>
      </w:r>
    </w:p>
    <w:p>
      <w:pPr>
        <w:spacing w:line="240" w:lineRule="auto" w:before="6"/>
        <w:rPr>
          <w:rFonts w:ascii="宋体" w:hAnsi="宋体" w:cs="宋体" w:eastAsia="宋体" w:hint="default"/>
          <w:sz w:val="24"/>
          <w:szCs w:val="24"/>
        </w:rPr>
      </w:pPr>
    </w:p>
    <w:p>
      <w:pPr>
        <w:spacing w:line="273" w:lineRule="auto" w:before="0"/>
        <w:ind w:left="473" w:right="1133" w:hanging="306"/>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与交易相关的经济利益很可能流入公司，收入的金额能够可靠地计量时。分别下列情况确定让渡资产</w:t>
      </w:r>
      <w:r>
        <w:rPr>
          <w:rFonts w:ascii="宋体" w:hAnsi="宋体" w:cs="宋体" w:eastAsia="宋体" w:hint="default"/>
          <w:w w:val="100"/>
          <w:sz w:val="21"/>
          <w:szCs w:val="21"/>
        </w:rPr>
        <w:t> </w:t>
      </w:r>
      <w:r>
        <w:rPr>
          <w:rFonts w:ascii="宋体" w:hAnsi="宋体" w:cs="宋体" w:eastAsia="宋体" w:hint="default"/>
          <w:sz w:val="21"/>
          <w:szCs w:val="21"/>
        </w:rPr>
        <w:t>使用权收入金额：</w:t>
      </w:r>
    </w:p>
    <w:p>
      <w:pPr>
        <w:pStyle w:val="BodyText"/>
        <w:spacing w:line="240" w:lineRule="auto" w:before="7"/>
        <w:ind w:left="473" w:right="1133"/>
        <w:jc w:val="left"/>
      </w:pPr>
      <w:r>
        <w:rPr/>
        <w:t>（</w:t>
      </w:r>
      <w:r>
        <w:rPr>
          <w:rFonts w:ascii="Times New Roman" w:hAnsi="Times New Roman" w:cs="Times New Roman" w:eastAsia="Times New Roman" w:hint="default"/>
        </w:rPr>
        <w:t>1</w:t>
      </w:r>
      <w:r>
        <w:rPr/>
        <w:t>）利息收入金额，按照他人使用本公司货币资金的时间和实际利率计算确定。</w:t>
      </w:r>
    </w:p>
    <w:p>
      <w:pPr>
        <w:pStyle w:val="BodyText"/>
        <w:spacing w:line="240" w:lineRule="auto" w:before="21"/>
        <w:ind w:left="473"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6"/>
        <w:rPr>
          <w:rFonts w:ascii="宋体" w:hAnsi="宋体" w:cs="宋体" w:eastAsia="宋体" w:hint="default"/>
          <w:sz w:val="25"/>
          <w:szCs w:val="25"/>
        </w:rPr>
      </w:pPr>
    </w:p>
    <w:p>
      <w:pPr>
        <w:pStyle w:val="BodyText"/>
        <w:spacing w:line="273" w:lineRule="auto"/>
        <w:ind w:left="473" w:right="1133" w:hanging="306"/>
        <w:jc w:val="left"/>
      </w:pPr>
      <w:r>
        <w:rPr>
          <w:rFonts w:ascii="宋体" w:hAnsi="宋体" w:cs="宋体" w:eastAsia="宋体" w:hint="default"/>
          <w:b/>
          <w:bCs/>
        </w:rPr>
        <w:t>3</w:t>
      </w:r>
      <w:r>
        <w:rPr>
          <w:rFonts w:ascii="宋体" w:hAnsi="宋体" w:cs="宋体" w:eastAsia="宋体" w:hint="default"/>
          <w:b/>
          <w:bCs/>
        </w:rPr>
        <w:t>、按完工百分比法确认提供劳务的收入时，确定合同完工进度的依据和方法</w:t>
      </w:r>
      <w:r>
        <w:rPr>
          <w:rFonts w:ascii="宋体" w:hAnsi="宋体" w:cs="宋体" w:eastAsia="宋体" w:hint="default"/>
          <w:b/>
          <w:bCs/>
          <w:w w:val="100"/>
        </w:rPr>
        <w:t> </w:t>
      </w:r>
      <w:r>
        <w:rPr>
          <w:spacing w:val="-2"/>
        </w:rPr>
        <w:t>在资产负债表日提供劳务交易的结果能够可靠估计的，采用完工百分比法确认提供劳务收入。提供劳</w:t>
      </w:r>
      <w:r>
        <w:rPr>
          <w:w w:val="100"/>
        </w:rPr>
        <w:t> </w:t>
      </w:r>
      <w:r>
        <w:rPr>
          <w:spacing w:val="-2"/>
        </w:rPr>
        <w:t>务交易的完工进度，依据已完工作的测量（或已经提供的劳务占应提供劳务总量的比例或已经发生的</w:t>
      </w:r>
      <w:r>
        <w:rPr>
          <w:w w:val="100"/>
        </w:rPr>
        <w:t> </w:t>
      </w:r>
      <w:r>
        <w:rPr/>
        <w:t>成本占估计总成本的比例）确定。</w:t>
      </w:r>
      <w:r>
        <w:rPr>
          <w:w w:val="100"/>
        </w:rPr>
        <w:t> </w:t>
      </w:r>
      <w:r>
        <w:rPr>
          <w:spacing w:val="-2"/>
        </w:rPr>
        <w:t>按照已收或应收的合同或协议价款确定提供劳务收入总额，但已收或应收的合同或协议价款不公允的</w:t>
      </w:r>
      <w:r>
        <w:rPr>
          <w:w w:val="100"/>
        </w:rPr>
        <w:t> </w:t>
      </w:r>
      <w:r>
        <w:rPr>
          <w:spacing w:val="-2"/>
        </w:rPr>
        <w:t>除外。资产负债表日按照提供劳务收入总额乘以完工进度扣除以前会计期间累计已确认提供劳务收入</w:t>
      </w:r>
      <w:r>
        <w:rPr>
          <w:w w:val="100"/>
        </w:rPr>
        <w:t> </w:t>
      </w:r>
      <w:r>
        <w:rPr>
          <w:spacing w:val="-2"/>
        </w:rPr>
        <w:t>后的金额，确认当期提供劳务收入；同时，按照提供劳务估计总成本乘以完工进度扣除以前会计期间</w:t>
      </w:r>
      <w:r>
        <w:rPr>
          <w:w w:val="100"/>
        </w:rPr>
        <w:t> </w:t>
      </w:r>
      <w:r>
        <w:rPr/>
        <w:t>累计已确认劳务成本后的金额，结转当期劳务成本。</w:t>
      </w:r>
      <w:r>
        <w:rPr>
          <w:w w:val="100"/>
        </w:rPr>
        <w:t> </w:t>
      </w:r>
      <w:r>
        <w:rPr/>
        <w:t>在资产负债表日提供劳务交易结果不能够可靠估计的，分别下列情况处理：</w:t>
      </w:r>
    </w:p>
    <w:p>
      <w:pPr>
        <w:pStyle w:val="BodyText"/>
        <w:spacing w:line="256" w:lineRule="auto" w:before="7"/>
        <w:ind w:left="473" w:right="1133"/>
        <w:jc w:val="left"/>
      </w:pPr>
      <w:r>
        <w:rPr>
          <w:spacing w:val="-3"/>
        </w:rPr>
        <w:t>（</w:t>
      </w:r>
      <w:r>
        <w:rPr>
          <w:rFonts w:ascii="Times New Roman" w:hAnsi="Times New Roman" w:cs="Times New Roman" w:eastAsia="Times New Roman" w:hint="default"/>
          <w:spacing w:val="-3"/>
        </w:rPr>
        <w:t>1</w:t>
      </w:r>
      <w:r>
        <w:rPr>
          <w:spacing w:val="-3"/>
        </w:rPr>
        <w:t>）已经发生的劳务成本预计能够得到补偿的，按照已经发生的劳务成本金额确认提供劳务收入，并</w:t>
      </w:r>
      <w:r>
        <w:rPr>
          <w:spacing w:val="-49"/>
        </w:rPr>
        <w:t> </w:t>
      </w:r>
      <w:r>
        <w:rPr>
          <w:spacing w:val="-49"/>
        </w:rPr>
      </w:r>
      <w:r>
        <w:rPr/>
        <w:t>按相同金额结转劳务成本。</w:t>
      </w:r>
    </w:p>
    <w:p>
      <w:pPr>
        <w:pStyle w:val="BodyText"/>
        <w:spacing w:line="256" w:lineRule="auto" w:before="22"/>
        <w:ind w:left="473" w:right="1133"/>
        <w:jc w:val="left"/>
      </w:pPr>
      <w:r>
        <w:rPr>
          <w:spacing w:val="-3"/>
        </w:rPr>
        <w:t>（</w:t>
      </w:r>
      <w:r>
        <w:rPr>
          <w:rFonts w:ascii="Times New Roman" w:hAnsi="Times New Roman" w:cs="Times New Roman" w:eastAsia="Times New Roman" w:hint="default"/>
          <w:spacing w:val="-3"/>
        </w:rPr>
        <w:t>2</w:t>
      </w:r>
      <w:r>
        <w:rPr>
          <w:spacing w:val="-3"/>
        </w:rPr>
        <w:t>）已经发生的劳务成本预计不能够得到补偿的，将已经发生的劳务成本计入当期损益，不确认提供</w:t>
      </w:r>
      <w:r>
        <w:rPr>
          <w:spacing w:val="-49"/>
        </w:rPr>
        <w:t> </w:t>
      </w:r>
      <w:r>
        <w:rPr>
          <w:spacing w:val="-49"/>
        </w:rPr>
      </w:r>
      <w:r>
        <w:rPr/>
        <w:t>劳务收入。</w:t>
      </w:r>
    </w:p>
    <w:p>
      <w:pPr>
        <w:spacing w:after="0" w:line="25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273" w:lineRule="auto" w:before="36"/>
        <w:ind w:left="473" w:right="1133" w:hanging="306"/>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、公司收入的具体确认标准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本公司的业务主要分为应用软件开发与销售、系统集成、技术支持与服务三部分。</w:t>
      </w:r>
    </w:p>
    <w:p>
      <w:pPr>
        <w:pStyle w:val="BodyText"/>
        <w:spacing w:line="264" w:lineRule="auto" w:before="7"/>
        <w:ind w:left="473" w:right="1126"/>
        <w:jc w:val="both"/>
      </w:pPr>
      <w:r>
        <w:rPr>
          <w:spacing w:val="-3"/>
        </w:rPr>
        <w:t>（</w:t>
      </w:r>
      <w:r>
        <w:rPr>
          <w:rFonts w:ascii="Times New Roman" w:hAnsi="Times New Roman" w:cs="Times New Roman" w:eastAsia="Times New Roman" w:hint="default"/>
          <w:spacing w:val="-3"/>
        </w:rPr>
        <w:t>1</w:t>
      </w:r>
      <w:r>
        <w:rPr>
          <w:spacing w:val="-3"/>
        </w:rPr>
        <w:t>）应用软件开发与销售，是指根据客户的需求，利用开发工具为客户提供一整套实现某种功能的软</w:t>
      </w:r>
      <w:r>
        <w:rPr>
          <w:spacing w:val="-46"/>
        </w:rPr>
        <w:t> </w:t>
      </w:r>
      <w:r>
        <w:rPr>
          <w:spacing w:val="-46"/>
        </w:rPr>
      </w:r>
      <w:r>
        <w:rPr>
          <w:spacing w:val="-2"/>
        </w:rPr>
        <w:t>件产品或者利用已有产品进行的二次开发以满足客户的某种特定需求。该类收入按照合同约定、在项</w:t>
      </w:r>
      <w:r>
        <w:rPr>
          <w:spacing w:val="-21"/>
        </w:rPr>
        <w:t> </w:t>
      </w:r>
      <w:r>
        <w:rPr>
          <w:spacing w:val="-21"/>
        </w:rPr>
      </w:r>
      <w:r>
        <w:rPr/>
        <w:t>目实施完成并经对方验收合格后确认收入的实现。</w:t>
      </w:r>
    </w:p>
    <w:p>
      <w:pPr>
        <w:pStyle w:val="BodyText"/>
        <w:spacing w:line="266" w:lineRule="auto" w:before="16"/>
        <w:ind w:left="473" w:right="986"/>
        <w:jc w:val="left"/>
      </w:pPr>
      <w:r>
        <w:rPr>
          <w:spacing w:val="-2"/>
        </w:rPr>
        <w:t>（</w:t>
      </w:r>
      <w:r>
        <w:rPr>
          <w:rFonts w:ascii="Times New Roman" w:hAnsi="Times New Roman" w:cs="Times New Roman" w:eastAsia="Times New Roman" w:hint="default"/>
          <w:spacing w:val="-2"/>
        </w:rPr>
        <w:t>2</w:t>
      </w:r>
      <w:r>
        <w:rPr>
          <w:spacing w:val="-2"/>
        </w:rPr>
        <w:t>）技术支持与服务，是指利用软硬件专业知识向客户提供的有偿软硬件后续服务，包括系统维护、</w:t>
      </w:r>
      <w:r>
        <w:rPr>
          <w:spacing w:val="-22"/>
        </w:rPr>
        <w:t> </w:t>
      </w:r>
      <w:r>
        <w:rPr>
          <w:spacing w:val="-22"/>
        </w:rPr>
      </w:r>
      <w:r>
        <w:rPr/>
        <w:t>软硬件应用与支持、软件产品维护与升级。该类收入中对服务内容、服务期限、收入总额、收款条件</w:t>
      </w:r>
      <w:r>
        <w:rPr>
          <w:w w:val="100"/>
        </w:rPr>
        <w:t> </w:t>
      </w:r>
      <w:r>
        <w:rPr/>
        <w:t>均有明确约定的服务合同，根据合同规定在服务期间内分期确认收入的实现；其他服务合同在提供服</w:t>
      </w:r>
      <w:r>
        <w:rPr>
          <w:w w:val="100"/>
        </w:rPr>
        <w:t> </w:t>
      </w:r>
      <w:r>
        <w:rPr/>
        <w:t>务的结果能够可靠估计的情况下，在合同约定的服务期限内，经用户确认后确认收入的实现。</w:t>
      </w:r>
    </w:p>
    <w:p>
      <w:pPr>
        <w:pStyle w:val="BodyText"/>
        <w:spacing w:line="268" w:lineRule="auto" w:before="14"/>
        <w:ind w:left="112" w:right="1133" w:firstLine="317"/>
        <w:jc w:val="left"/>
      </w:pPr>
      <w:r>
        <w:rPr>
          <w:spacing w:val="-2"/>
        </w:rPr>
        <w:t>（</w:t>
      </w:r>
      <w:r>
        <w:rPr>
          <w:rFonts w:ascii="Times New Roman" w:hAnsi="Times New Roman" w:cs="Times New Roman" w:eastAsia="Times New Roman" w:hint="default"/>
          <w:spacing w:val="-2"/>
        </w:rPr>
        <w:t>3</w:t>
      </w:r>
      <w:r>
        <w:rPr>
          <w:spacing w:val="-2"/>
        </w:rPr>
        <w:t>）系统集成项目业务，是指按照客户需求提供档案、食品流通追索、政法等领域信息化整体解决方</w:t>
      </w:r>
      <w:r>
        <w:rPr>
          <w:w w:val="100"/>
        </w:rPr>
        <w:t> </w:t>
      </w:r>
      <w:r>
        <w:rPr>
          <w:spacing w:val="-4"/>
          <w:w w:val="100"/>
        </w:rPr>
        <w:t>案，通过本公司自制软件产品和外购硬件（原材料、设备等），以工程项目的形式对整体方案予以实现。</w:t>
      </w:r>
      <w:r>
        <w:rPr>
          <w:spacing w:val="-90"/>
          <w:w w:val="100"/>
        </w:rPr>
        <w:t> </w:t>
      </w:r>
      <w:r>
        <w:rPr>
          <w:spacing w:val="-90"/>
          <w:w w:val="100"/>
        </w:rPr>
      </w:r>
      <w:r>
        <w:rPr>
          <w:spacing w:val="-2"/>
        </w:rPr>
        <w:t>其收入确认的具体方法为：对于系统集成项目，公司根据合同的约定，在系统集成项目中的软件产品和外</w:t>
      </w:r>
      <w:r>
        <w:rPr>
          <w:spacing w:val="-43"/>
        </w:rPr>
        <w:t> </w:t>
      </w:r>
      <w:r>
        <w:rPr>
          <w:spacing w:val="-43"/>
        </w:rPr>
      </w:r>
      <w:r>
        <w:rPr>
          <w:spacing w:val="-2"/>
        </w:rPr>
        <w:t>购硬件（原材料、设备等）已交付给客户，系统已按合同约定的条件完成安装调试，通过客户验收完成后</w:t>
      </w:r>
      <w:r>
        <w:rPr>
          <w:spacing w:val="-43"/>
        </w:rPr>
        <w:t> </w:t>
      </w:r>
      <w:r>
        <w:rPr>
          <w:spacing w:val="-43"/>
        </w:rPr>
      </w:r>
      <w:r>
        <w:rPr/>
        <w:t>确认收入的实现。</w:t>
      </w:r>
    </w:p>
    <w:p>
      <w:pPr>
        <w:spacing w:before="73"/>
        <w:ind w:left="112" w:right="1133" w:firstLine="0"/>
        <w:jc w:val="left"/>
        <w:rPr>
          <w:rFonts w:ascii="宋体" w:hAnsi="宋体" w:cs="宋体" w:eastAsia="宋体" w:hint="default"/>
          <w:sz w:val="18"/>
          <w:szCs w:val="18"/>
        </w:rPr>
      </w:pPr>
      <w:r>
        <w:rPr>
          <w:rFonts w:ascii="宋体" w:hAnsi="宋体" w:cs="宋体" w:eastAsia="宋体" w:hint="default"/>
          <w:sz w:val="18"/>
          <w:szCs w:val="18"/>
        </w:rPr>
        <w:t>同类业务采用不同经营模式导致收入确认会计政策存在差异的情况</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0、政府补助" w:id="220"/>
      <w:bookmarkEnd w:id="220"/>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13"/>
        <w:rPr>
          <w:rFonts w:ascii="宋体" w:hAnsi="宋体" w:cs="宋体" w:eastAsia="宋体" w:hint="default"/>
          <w:b/>
          <w:bCs/>
          <w:sz w:val="21"/>
          <w:szCs w:val="21"/>
        </w:rPr>
      </w:pPr>
    </w:p>
    <w:p>
      <w:pPr>
        <w:pStyle w:val="Heading6"/>
        <w:spacing w:line="240" w:lineRule="auto" w:before="36"/>
        <w:ind w:left="888" w:right="1133"/>
        <w:jc w:val="left"/>
        <w:rPr>
          <w:b w:val="0"/>
          <w:bCs w:val="0"/>
        </w:rPr>
      </w:pPr>
      <w:r>
        <w:rPr/>
        <w:t>类型</w:t>
      </w:r>
      <w:r>
        <w:rPr>
          <w:b w:val="0"/>
          <w:bCs w:val="0"/>
        </w:rPr>
      </w:r>
    </w:p>
    <w:p>
      <w:pPr>
        <w:pStyle w:val="BodyText"/>
        <w:spacing w:line="273" w:lineRule="auto" w:before="37"/>
        <w:ind w:right="1133"/>
        <w:jc w:val="left"/>
      </w:pPr>
      <w:r>
        <w:rPr>
          <w:spacing w:val="-3"/>
        </w:rPr>
        <w:t>政府补助，是本公司从政府无偿取得的货币性资产与非货币性资产。分为与资产相关的政府</w:t>
      </w:r>
      <w:r>
        <w:rPr>
          <w:spacing w:val="-30"/>
        </w:rPr>
        <w:t> </w:t>
      </w:r>
      <w:r>
        <w:rPr>
          <w:spacing w:val="-30"/>
        </w:rPr>
      </w:r>
      <w:r>
        <w:rPr/>
        <w:t>补助和与收益相关的政府补助。</w:t>
      </w:r>
      <w:r>
        <w:rPr>
          <w:w w:val="100"/>
        </w:rPr>
        <w:t> </w:t>
      </w:r>
      <w:r>
        <w:rPr>
          <w:spacing w:val="-3"/>
        </w:rPr>
        <w:t>与资产相关的政府补助，是指本公司取得的、用于购建或以其他方式形成长期资产的政府补</w:t>
      </w:r>
      <w:r>
        <w:rPr>
          <w:spacing w:val="-29"/>
        </w:rPr>
        <w:t> </w:t>
      </w:r>
      <w:r>
        <w:rPr>
          <w:spacing w:val="-29"/>
        </w:rPr>
      </w:r>
      <w:r>
        <w:rPr/>
        <w:t>助。与收益相关的政府补助，是指除与资产相关的政府补助之外的政府补助。</w:t>
      </w:r>
      <w:r>
        <w:rPr>
          <w:w w:val="100"/>
        </w:rPr>
        <w:t> </w:t>
      </w:r>
      <w:r>
        <w:rPr>
          <w:spacing w:val="-3"/>
        </w:rPr>
        <w:t>本公司将政府补助划分为与资产相关的具体标准为：企业取得的，用于购建或以其他方式形</w:t>
      </w:r>
      <w:r>
        <w:rPr>
          <w:spacing w:val="-30"/>
        </w:rPr>
        <w:t> </w:t>
      </w:r>
      <w:r>
        <w:rPr>
          <w:spacing w:val="-30"/>
        </w:rPr>
      </w:r>
      <w:r>
        <w:rPr/>
        <w:t>成长期资产的政府补助；</w:t>
      </w:r>
      <w:r>
        <w:rPr>
          <w:w w:val="100"/>
        </w:rPr>
        <w:t> </w:t>
      </w:r>
      <w:r>
        <w:rPr>
          <w:spacing w:val="-3"/>
        </w:rPr>
        <w:t>本公司将政府补助划分为与收益相关的具体标准为：除与资产相关的政府补助之外的政府补</w:t>
      </w:r>
      <w:r>
        <w:rPr>
          <w:spacing w:val="-30"/>
        </w:rPr>
        <w:t> </w:t>
      </w:r>
      <w:r>
        <w:rPr>
          <w:spacing w:val="-30"/>
        </w:rPr>
      </w:r>
      <w:r>
        <w:rPr/>
        <w:t>助；</w:t>
      </w:r>
      <w:r>
        <w:rPr>
          <w:spacing w:val="-103"/>
        </w:rPr>
        <w:t> </w:t>
      </w:r>
      <w:r>
        <w:rPr>
          <w:spacing w:val="-3"/>
        </w:rPr>
        <w:t>对于政府文件未明确规定补助对象的，本公司将该政府补助划分为与资产相关或与收益相关</w:t>
      </w:r>
      <w:r>
        <w:rPr>
          <w:spacing w:val="-30"/>
        </w:rPr>
        <w:t> </w:t>
      </w:r>
      <w:r>
        <w:rPr>
          <w:spacing w:val="-30"/>
        </w:rPr>
      </w:r>
      <w:r>
        <w:rPr/>
        <w:t>的判断依据为：是否用于购建或以其他方式形成长期资产。</w:t>
      </w:r>
    </w:p>
    <w:p>
      <w:pPr>
        <w:spacing w:line="240" w:lineRule="auto" w:before="9"/>
        <w:rPr>
          <w:rFonts w:ascii="宋体" w:hAnsi="宋体" w:cs="宋体" w:eastAsia="宋体" w:hint="default"/>
          <w:sz w:val="21"/>
          <w:szCs w:val="21"/>
        </w:rPr>
      </w:pPr>
    </w:p>
    <w:p>
      <w:pPr>
        <w:pStyle w:val="Heading6"/>
        <w:spacing w:line="240" w:lineRule="auto" w:before="36"/>
        <w:ind w:left="888" w:right="1133"/>
        <w:jc w:val="left"/>
        <w:rPr>
          <w:b w:val="0"/>
          <w:bCs w:val="0"/>
        </w:rPr>
      </w:pPr>
      <w:r>
        <w:rPr/>
        <w:t>确认时点</w:t>
      </w:r>
      <w:r>
        <w:rPr>
          <w:b w:val="0"/>
          <w:bCs w:val="0"/>
        </w:rPr>
      </w:r>
    </w:p>
    <w:p>
      <w:pPr>
        <w:pStyle w:val="BodyText"/>
        <w:spacing w:line="240" w:lineRule="auto" w:before="37"/>
        <w:ind w:right="1133"/>
        <w:jc w:val="left"/>
      </w:pPr>
      <w:r>
        <w:rPr/>
        <w:t>公司实际取得政府补助款项作为确认时点。</w:t>
      </w:r>
    </w:p>
    <w:p>
      <w:pPr>
        <w:spacing w:line="240" w:lineRule="auto" w:before="9"/>
        <w:rPr>
          <w:rFonts w:ascii="宋体" w:hAnsi="宋体" w:cs="宋体" w:eastAsia="宋体" w:hint="default"/>
          <w:sz w:val="26"/>
          <w:szCs w:val="26"/>
        </w:rPr>
      </w:pPr>
    </w:p>
    <w:p>
      <w:pPr>
        <w:pStyle w:val="Heading6"/>
        <w:spacing w:line="240" w:lineRule="auto"/>
        <w:ind w:left="888" w:right="1133"/>
        <w:jc w:val="left"/>
        <w:rPr>
          <w:b w:val="0"/>
          <w:bCs w:val="0"/>
        </w:rPr>
      </w:pPr>
      <w:r>
        <w:rPr/>
        <w:t>会计处理</w:t>
      </w:r>
      <w:r>
        <w:rPr>
          <w:b w:val="0"/>
          <w:bCs w:val="0"/>
        </w:rPr>
      </w:r>
    </w:p>
    <w:p>
      <w:pPr>
        <w:pStyle w:val="BodyText"/>
        <w:spacing w:line="273" w:lineRule="auto" w:before="37"/>
        <w:ind w:right="986"/>
        <w:jc w:val="left"/>
      </w:pPr>
      <w:r>
        <w:rPr/>
        <w:t>本公司对政府补助采用总额法进行核算。</w:t>
      </w:r>
      <w:r>
        <w:rPr>
          <w:w w:val="100"/>
        </w:rPr>
        <w:t> </w:t>
      </w:r>
      <w:r>
        <w:rPr>
          <w:spacing w:val="-3"/>
        </w:rPr>
        <w:t>与资产相关的政府补助，冲减相关资产账面价值或确认为递延收益。确认为递延收益的，在</w:t>
      </w:r>
      <w:r>
        <w:rPr>
          <w:spacing w:val="-33"/>
        </w:rPr>
        <w:t> </w:t>
      </w:r>
      <w:r>
        <w:rPr>
          <w:spacing w:val="-33"/>
        </w:rPr>
      </w:r>
      <w:r>
        <w:rPr/>
        <w:t>相关资产使用寿命内按照合理、系统的方法分期计入当期损益（与本公司日常活动相关的，</w:t>
      </w:r>
      <w:r>
        <w:rPr>
          <w:w w:val="100"/>
        </w:rPr>
        <w:t> </w:t>
      </w:r>
      <w:r>
        <w:rPr>
          <w:spacing w:val="-5"/>
          <w:w w:val="100"/>
        </w:rPr>
        <w:t>计入其他收益；与本公司日常活动无关的，计入营业外收入）；</w:t>
      </w:r>
      <w:r>
        <w:rPr>
          <w:w w:val="100"/>
        </w:rPr>
        <w:t> </w:t>
      </w:r>
      <w:r>
        <w:rPr>
          <w:spacing w:val="-3"/>
        </w:rPr>
        <w:t>与收益相关的政府补助，用于补偿本公司以后期间的相关成本费用或损失的，确认为递延收</w:t>
      </w:r>
      <w:r>
        <w:rPr>
          <w:spacing w:val="-30"/>
        </w:rPr>
        <w:t> </w:t>
      </w:r>
      <w:r>
        <w:rPr>
          <w:spacing w:val="-30"/>
        </w:rPr>
      </w:r>
      <w:r>
        <w:rPr>
          <w:spacing w:val="-3"/>
        </w:rPr>
        <w:t>益，并在确认相关成本费用或损失的期间，计入当期损益（与本公司日常活动相关的，计入</w:t>
      </w:r>
      <w:r>
        <w:rPr>
          <w:spacing w:val="-31"/>
        </w:rPr>
        <w:t> </w:t>
      </w:r>
      <w:r>
        <w:rPr>
          <w:spacing w:val="-31"/>
        </w:rPr>
      </w:r>
      <w:r>
        <w:rPr>
          <w:spacing w:val="-3"/>
        </w:rPr>
        <w:t>其他收益；与本公司日常活动无关的，计入营业外收入）或冲减相关成本费用或损失；用于</w:t>
      </w:r>
      <w:r>
        <w:rPr>
          <w:spacing w:val="-31"/>
        </w:rPr>
        <w:t> </w:t>
      </w:r>
      <w:r>
        <w:rPr>
          <w:spacing w:val="-31"/>
        </w:rPr>
      </w:r>
      <w:r>
        <w:rPr>
          <w:spacing w:val="-5"/>
        </w:rPr>
        <w:t>补偿本公司已发生的相关成本费用或损失的，直接计入当期损益（与本公司日常活动相关的，</w:t>
      </w:r>
      <w:r>
        <w:rPr>
          <w:spacing w:val="-51"/>
        </w:rPr>
        <w:t> </w:t>
      </w:r>
      <w:r>
        <w:rPr>
          <w:spacing w:val="-51"/>
        </w:rPr>
      </w:r>
      <w:r>
        <w:rPr/>
        <w:t>计入其他收益；与本公司日常活动无关的，计入营业外收入）或冲减相关成本费用或损失。</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right="1133"/>
        <w:jc w:val="left"/>
      </w:pPr>
      <w:r>
        <w:rPr/>
        <w:t>本公司取得的政策性优惠贷款贴息，区分以下两种情况，分别进行会计处理：</w:t>
      </w:r>
    </w:p>
    <w:p>
      <w:pPr>
        <w:spacing w:line="240" w:lineRule="auto" w:before="9"/>
        <w:rPr>
          <w:rFonts w:ascii="宋体" w:hAnsi="宋体" w:cs="宋体" w:eastAsia="宋体" w:hint="default"/>
          <w:sz w:val="26"/>
          <w:szCs w:val="26"/>
        </w:rPr>
      </w:pPr>
    </w:p>
    <w:p>
      <w:pPr>
        <w:pStyle w:val="BodyText"/>
        <w:spacing w:line="264" w:lineRule="auto"/>
        <w:ind w:right="986"/>
        <w:jc w:val="left"/>
      </w:pPr>
      <w:r>
        <w:rPr>
          <w:spacing w:val="-3"/>
        </w:rPr>
        <w:t>（</w:t>
      </w:r>
      <w:r>
        <w:rPr>
          <w:rFonts w:ascii="Times New Roman" w:hAnsi="Times New Roman" w:cs="Times New Roman" w:eastAsia="Times New Roman" w:hint="default"/>
          <w:spacing w:val="-3"/>
        </w:rPr>
        <w:t>1</w:t>
      </w:r>
      <w:r>
        <w:rPr>
          <w:spacing w:val="-3"/>
        </w:rPr>
        <w:t>）财政将贴息资金拨付给贷款银行，由贷款银行以政策性优惠利率向本公司提供贷款的，</w:t>
      </w:r>
      <w:r>
        <w:rPr>
          <w:spacing w:val="-27"/>
        </w:rPr>
        <w:t> </w:t>
      </w:r>
      <w:r>
        <w:rPr>
          <w:spacing w:val="-27"/>
        </w:rPr>
      </w:r>
      <w:r>
        <w:rPr>
          <w:spacing w:val="-3"/>
        </w:rPr>
        <w:t>本公司以实际收到的借款金额作为借款的入账价值，按照借款本金和该政策性优惠利率计算</w:t>
      </w:r>
      <w:r>
        <w:rPr>
          <w:spacing w:val="-30"/>
        </w:rPr>
        <w:t> </w:t>
      </w:r>
      <w:r>
        <w:rPr>
          <w:spacing w:val="-30"/>
        </w:rPr>
      </w:r>
      <w:r>
        <w:rPr/>
        <w:t>相关借款费用。</w:t>
      </w:r>
    </w:p>
    <w:p>
      <w:pPr>
        <w:pStyle w:val="BodyText"/>
        <w:spacing w:line="240" w:lineRule="auto" w:before="16"/>
        <w:ind w:left="1375" w:right="1133"/>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10"/>
        <w:rPr>
          <w:rFonts w:ascii="宋体" w:hAnsi="宋体" w:cs="宋体" w:eastAsia="宋体" w:hint="default"/>
          <w:sz w:val="25"/>
          <w:szCs w:val="25"/>
        </w:rPr>
      </w:pPr>
    </w:p>
    <w:p>
      <w:pPr>
        <w:pStyle w:val="Heading6"/>
        <w:spacing w:line="240" w:lineRule="auto"/>
        <w:ind w:right="1133"/>
        <w:jc w:val="left"/>
        <w:rPr>
          <w:b w:val="0"/>
          <w:bCs w:val="0"/>
        </w:rPr>
      </w:pPr>
      <w:bookmarkStart w:name="41、递延所得税资产/递延所得税负债" w:id="221"/>
      <w:bookmarkEnd w:id="221"/>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826" w:right="1133"/>
        <w:jc w:val="left"/>
      </w:pPr>
      <w:r>
        <w:rPr/>
        <w:t>对于可抵扣暂时性差异确认递延所得税资产，以未来期间很可能取得的用来抵扣可抵扣暂时性差</w:t>
      </w:r>
      <w:r>
        <w:rPr>
          <w:spacing w:val="-9"/>
        </w:rPr>
        <w:t> </w:t>
      </w:r>
      <w:r>
        <w:rPr>
          <w:spacing w:val="-9"/>
        </w:rPr>
      </w:r>
      <w:r>
        <w:rPr/>
        <w:t>异的应纳税所得额为限。对于能够结转以后年度的可抵扣亏损和税款抵减，以很可能获得用来抵</w:t>
      </w:r>
      <w:r>
        <w:rPr>
          <w:spacing w:val="-9"/>
        </w:rPr>
        <w:t> </w:t>
      </w:r>
      <w:r>
        <w:rPr>
          <w:spacing w:val="-9"/>
        </w:rPr>
      </w:r>
      <w:r>
        <w:rPr/>
        <w:t>扣可抵扣亏损和税款抵减的未来应纳税所得额为限，确认相应的递延所得税资产。</w:t>
      </w:r>
      <w:r>
        <w:rPr>
          <w:w w:val="100"/>
        </w:rPr>
        <w:t> </w:t>
      </w:r>
      <w:r>
        <w:rPr/>
        <w:t>对于应纳税暂时性差异，除特殊情况外，确认递延所得税负债。</w:t>
      </w:r>
      <w:r>
        <w:rPr>
          <w:w w:val="100"/>
        </w:rPr>
        <w:t> </w:t>
      </w:r>
      <w:r>
        <w:rPr/>
        <w:t>不确认递延所得税资产或递延所得税负债的特殊情况包括：商誉的初始确认；除企业合并以外的</w:t>
      </w:r>
      <w:r>
        <w:rPr>
          <w:spacing w:val="-9"/>
        </w:rPr>
        <w:t> </w:t>
      </w:r>
      <w:r>
        <w:rPr>
          <w:spacing w:val="-9"/>
        </w:rPr>
      </w:r>
      <w:r>
        <w:rPr/>
        <w:t>发生时既不影响会计利润也不影响应纳税所得额（或可抵扣亏损）的其他交易或事项。</w:t>
      </w:r>
      <w:r>
        <w:rPr>
          <w:w w:val="100"/>
        </w:rPr>
        <w:t> </w:t>
      </w:r>
      <w:r>
        <w:rPr/>
        <w:t>当拥有以净额结算的法定权利，且意图以净额结算或取得资产、清偿负债同时进行时，当期所得</w:t>
      </w:r>
      <w:r>
        <w:rPr>
          <w:spacing w:val="-7"/>
        </w:rPr>
        <w:t> </w:t>
      </w:r>
      <w:r>
        <w:rPr>
          <w:spacing w:val="-7"/>
        </w:rPr>
      </w:r>
      <w:r>
        <w:rPr/>
        <w:t>税资产及当期所得税负债以抵销后的净额列报。</w:t>
      </w:r>
      <w:r>
        <w:rPr>
          <w:w w:val="100"/>
        </w:rPr>
        <w:t> </w:t>
      </w:r>
      <w:r>
        <w:rPr/>
        <w:t>当拥有以净额结算当期所得税资产及当期所得税负债的法定权利，且递延所得税资产及递延所得</w:t>
      </w:r>
      <w:r>
        <w:rPr>
          <w:spacing w:val="-9"/>
        </w:rPr>
        <w:t> </w:t>
      </w:r>
      <w:r>
        <w:rPr>
          <w:spacing w:val="-9"/>
        </w:rPr>
      </w:r>
      <w:r>
        <w:rPr/>
        <w:t>税负债是与同一税收征管部门对同一纳税主体征收的所得税相关或者是对不同的纳税主体相关，</w:t>
      </w:r>
      <w:r>
        <w:rPr>
          <w:spacing w:val="-9"/>
        </w:rPr>
        <w:t> </w:t>
      </w:r>
      <w:r>
        <w:rPr>
          <w:spacing w:val="-9"/>
        </w:rPr>
      </w:r>
      <w:r>
        <w:rPr/>
        <w:t>但在未来每一具有重要性的递延所得税资产及负债转回的期间内，涉及的纳税主体意图以净额结</w:t>
      </w:r>
      <w:r>
        <w:rPr>
          <w:spacing w:val="-9"/>
        </w:rPr>
        <w:t> </w:t>
      </w:r>
      <w:r>
        <w:rPr>
          <w:spacing w:val="-9"/>
        </w:rPr>
      </w:r>
      <w:r>
        <w:rPr/>
        <w:t>算当期所得税资产和负债或是同时取得资产、清偿负债时，递延所得税资产及递延所得税负债以</w:t>
      </w:r>
      <w:r>
        <w:rPr>
          <w:spacing w:val="-9"/>
        </w:rPr>
        <w:t> </w:t>
      </w:r>
      <w:r>
        <w:rPr>
          <w:spacing w:val="-9"/>
        </w:rPr>
      </w:r>
      <w:r>
        <w:rPr/>
        <w:t>抵销后的净额列报。</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42、租赁" w:id="222"/>
      <w:bookmarkEnd w:id="222"/>
      <w:r>
        <w:rPr>
          <w:b w:val="0"/>
          <w:bCs w:val="0"/>
        </w:rPr>
      </w:r>
      <w:r>
        <w:rPr>
          <w:rFonts w:ascii="Times New Roman" w:hAnsi="Times New Roman" w:cs="Times New Roman" w:eastAsia="Times New Roman" w:hint="default"/>
        </w:rPr>
        <w:t>42</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bookmarkStart w:name="（1）经营租赁的会计处理方法" w:id="223"/>
      <w:bookmarkEnd w:id="22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66" w:lineRule="auto"/>
        <w:ind w:left="112" w:right="1133"/>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25"/>
        </w:rPr>
        <w:t> </w:t>
      </w:r>
      <w:r>
        <w:rPr>
          <w:spacing w:val="-25"/>
        </w:rPr>
      </w:r>
      <w:r>
        <w:rPr/>
        <w:t>用。公司支付的与租赁交易相关的初始直接费用，计入当期费用。</w:t>
      </w:r>
      <w:r>
        <w:rPr>
          <w:w w:val="100"/>
        </w:rPr>
        <w:t> </w:t>
      </w:r>
      <w:r>
        <w:rPr>
          <w:spacing w:val="-2"/>
        </w:rPr>
        <w:t>资产出租方承担了应由公司承担的与租赁相关的费用时，公司将该部分费用从租金总额中扣除，按扣除后</w:t>
      </w:r>
      <w:r>
        <w:rPr>
          <w:spacing w:val="-42"/>
        </w:rPr>
        <w:t> </w:t>
      </w:r>
      <w:r>
        <w:rPr>
          <w:spacing w:val="-42"/>
        </w:rPr>
      </w:r>
      <w:r>
        <w:rPr/>
        <w:t>的租金费用在租赁期内分摊，计入当期费用。</w:t>
      </w:r>
    </w:p>
    <w:p>
      <w:pPr>
        <w:pStyle w:val="BodyText"/>
        <w:spacing w:line="268" w:lineRule="auto" w:before="14"/>
        <w:ind w:left="112" w:right="1133"/>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25"/>
        </w:rPr>
        <w:t> </w:t>
      </w:r>
      <w:r>
        <w:rPr>
          <w:spacing w:val="-25"/>
        </w:rPr>
      </w:r>
      <w:r>
        <w:rPr>
          <w:spacing w:val="-2"/>
        </w:rPr>
        <w:t>相关收入。公司支付的与租赁交易相关的初始直接费用，计入当期费用；如金额较大的，则予以资本化，</w:t>
      </w:r>
      <w:r>
        <w:rPr>
          <w:spacing w:val="-21"/>
        </w:rPr>
        <w:t> </w:t>
      </w:r>
      <w:r>
        <w:rPr>
          <w:spacing w:val="-21"/>
        </w:rPr>
      </w:r>
      <w:r>
        <w:rPr/>
        <w:t>在整个租赁期间内按照与租赁相关收入确认相同的基础分期计入当期收益。</w:t>
      </w:r>
      <w:r>
        <w:rPr>
          <w:w w:val="100"/>
        </w:rPr>
        <w:t> </w:t>
      </w:r>
      <w:r>
        <w:rPr>
          <w:spacing w:val="-2"/>
        </w:rPr>
        <w:t>公司承担了应由承租方承担的与租赁相关的费用时，公司将该部分费用从租金收入总额中扣除，按扣除后</w:t>
      </w:r>
      <w:r>
        <w:rPr>
          <w:spacing w:val="-43"/>
        </w:rPr>
        <w:t> </w:t>
      </w:r>
      <w:r>
        <w:rPr>
          <w:spacing w:val="-43"/>
        </w:rPr>
      </w:r>
      <w:r>
        <w:rPr/>
        <w:t>的租金费用在租赁期内分配。</w:t>
      </w:r>
    </w:p>
    <w:p>
      <w:pPr>
        <w:spacing w:line="240" w:lineRule="auto" w:before="11"/>
        <w:rPr>
          <w:rFonts w:ascii="宋体" w:hAnsi="宋体" w:cs="宋体" w:eastAsia="宋体" w:hint="default"/>
          <w:sz w:val="23"/>
          <w:szCs w:val="23"/>
        </w:rPr>
      </w:pPr>
    </w:p>
    <w:p>
      <w:pPr>
        <w:pStyle w:val="Heading6"/>
        <w:spacing w:line="240" w:lineRule="auto"/>
        <w:ind w:right="1133"/>
        <w:jc w:val="left"/>
        <w:rPr>
          <w:b w:val="0"/>
          <w:bCs w:val="0"/>
        </w:rPr>
      </w:pPr>
      <w:bookmarkStart w:name="（2）融资租赁的会计处理方法" w:id="224"/>
      <w:bookmarkEnd w:id="22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112" w:right="1126"/>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25"/>
        </w:rPr>
        <w:t> </w:t>
      </w:r>
      <w:r>
        <w:rPr>
          <w:spacing w:val="-25"/>
        </w:rPr>
      </w:r>
      <w:r>
        <w:rPr>
          <w:spacing w:val="-2"/>
        </w:rPr>
        <w:t>租入资产的入账价值，将最低租赁付款额作为长期应付款的入账价值，其差额作为未确认的融资费用。公</w:t>
      </w:r>
      <w:r>
        <w:rPr>
          <w:spacing w:val="-43"/>
        </w:rPr>
        <w:t> </w:t>
      </w:r>
      <w:r>
        <w:rPr>
          <w:spacing w:val="-43"/>
        </w:rPr>
      </w:r>
      <w:r>
        <w:rPr>
          <w:spacing w:val="-2"/>
        </w:rPr>
        <w:t>司采用实际利率法对未确认的融资费用，在资产租赁期间内摊销，计入财务费用。公司发生的初始直接费</w:t>
      </w:r>
      <w:r>
        <w:rPr>
          <w:spacing w:val="-45"/>
        </w:rPr>
        <w:t> </w:t>
      </w:r>
      <w:r>
        <w:rPr>
          <w:spacing w:val="-45"/>
        </w:rPr>
      </w:r>
      <w:r>
        <w:rPr/>
        <w:t>用，计入租入资产价值。</w:t>
      </w:r>
    </w:p>
    <w:p>
      <w:pPr>
        <w:pStyle w:val="BodyText"/>
        <w:spacing w:line="273" w:lineRule="auto" w:before="14"/>
        <w:ind w:left="112" w:right="986"/>
        <w:jc w:val="left"/>
      </w:pPr>
      <w:r>
        <w:rPr/>
        <w:t>（</w:t>
      </w:r>
      <w:r>
        <w:rPr>
          <w:rFonts w:ascii="宋体" w:hAnsi="宋体" w:cs="宋体" w:eastAsia="宋体" w:hint="default"/>
        </w:rPr>
        <w:t>2</w:t>
      </w:r>
      <w:r>
        <w:rPr/>
        <w:t>）融资租出资产：公司在租赁开始日，将应收融资租赁款，未担保余值之和与其现值的差额确认为未</w:t>
      </w:r>
      <w:r>
        <w:rPr>
          <w:w w:val="100"/>
        </w:rPr>
        <w:t> </w:t>
      </w:r>
      <w:r>
        <w:rPr>
          <w:spacing w:val="-5"/>
        </w:rPr>
        <w:t>实现融资收益，在将来收到租金的各期间内确认为租赁收入。公司发生的与出租交易相关的初始直接费用，</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112" w:right="1133"/>
        <w:jc w:val="left"/>
      </w:pPr>
      <w:r>
        <w:rPr/>
        <w:t>计入应收融资租赁款的初始计量中，并减少租赁期内确认的收益金额。</w:t>
      </w:r>
    </w:p>
    <w:p>
      <w:pPr>
        <w:pStyle w:val="Heading6"/>
        <w:spacing w:line="600" w:lineRule="atLeast" w:before="28"/>
        <w:ind w:left="852" w:right="6794" w:hanging="740"/>
        <w:jc w:val="left"/>
        <w:rPr>
          <w:b w:val="0"/>
          <w:bCs w:val="0"/>
        </w:rPr>
      </w:pPr>
      <w:bookmarkStart w:name="43、其他重要的会计政策和会计估计" w:id="225"/>
      <w:bookmarkEnd w:id="225"/>
      <w:r>
        <w:rPr>
          <w:b w:val="0"/>
          <w:bCs w:val="0"/>
        </w:rPr>
      </w:r>
      <w:r>
        <w:rPr>
          <w:rFonts w:ascii="Times New Roman" w:hAnsi="Times New Roman" w:cs="Times New Roman" w:eastAsia="Times New Roman" w:hint="default"/>
          <w:spacing w:val="-1"/>
        </w:rPr>
        <w:t>43</w:t>
      </w:r>
      <w:r>
        <w:rPr>
          <w:spacing w:val="-1"/>
        </w:rPr>
        <w:t>、其他重要的会计政策和会计估计</w:t>
      </w:r>
      <w:r>
        <w:rPr>
          <w:spacing w:val="-87"/>
        </w:rPr>
        <w:t> </w:t>
      </w:r>
      <w:r>
        <w:rPr>
          <w:spacing w:val="-87"/>
        </w:rPr>
      </w:r>
      <w:r>
        <w:rPr/>
        <w:t>回购本公司股份</w:t>
      </w:r>
      <w:r>
        <w:rPr>
          <w:b w:val="0"/>
          <w:bCs w:val="0"/>
        </w:rPr>
      </w:r>
    </w:p>
    <w:p>
      <w:pPr>
        <w:pStyle w:val="BodyText"/>
        <w:spacing w:line="273" w:lineRule="auto" w:before="37"/>
        <w:ind w:left="826" w:right="1130"/>
        <w:jc w:val="left"/>
      </w:pPr>
      <w:r>
        <w:rPr/>
        <w:t>公司按法定程序报经批准采用收购本公司股票方式减资的，按注销股票面值总额减少股本，购回</w:t>
      </w:r>
      <w:r>
        <w:rPr>
          <w:spacing w:val="-9"/>
        </w:rPr>
        <w:t> </w:t>
      </w:r>
      <w:r>
        <w:rPr>
          <w:spacing w:val="-9"/>
        </w:rPr>
      </w:r>
      <w:r>
        <w:rPr/>
        <w:t>股票支付的价款（含交易费用）与股票面值的差额调整所有者权益，超过面值总额的部分，依次</w:t>
      </w:r>
      <w:r>
        <w:rPr>
          <w:spacing w:val="-9"/>
        </w:rPr>
        <w:t> </w:t>
      </w:r>
      <w:r>
        <w:rPr>
          <w:spacing w:val="-9"/>
        </w:rPr>
      </w:r>
      <w:r>
        <w:rPr>
          <w:spacing w:val="-4"/>
          <w:w w:val="100"/>
        </w:rPr>
        <w:t>冲减资本公积（股本溢价）、盈余公积和未分配利润；低于面值总额的，低于面值总额的部分增加</w:t>
      </w:r>
      <w:r>
        <w:rPr>
          <w:spacing w:val="-103"/>
          <w:w w:val="100"/>
        </w:rPr>
        <w:t> </w:t>
      </w:r>
      <w:r>
        <w:rPr>
          <w:spacing w:val="-103"/>
          <w:w w:val="100"/>
        </w:rPr>
      </w:r>
      <w:r>
        <w:rPr>
          <w:spacing w:val="-11"/>
          <w:w w:val="100"/>
        </w:rPr>
        <w:t>资本公积（股本溢价）。</w:t>
      </w:r>
      <w:r>
        <w:rPr>
          <w:spacing w:val="-103"/>
          <w:w w:val="100"/>
        </w:rPr>
        <w:t> </w:t>
      </w:r>
      <w:r>
        <w:rPr>
          <w:spacing w:val="-103"/>
          <w:w w:val="100"/>
        </w:rPr>
      </w:r>
      <w:r>
        <w:rPr/>
        <w:t>公司回购的股份在注销或者转让之前，作为库存股管理，回购股份的全部支出转作库存股成本。</w:t>
      </w:r>
      <w:r>
        <w:rPr>
          <w:w w:val="100"/>
        </w:rPr>
        <w:t> </w:t>
      </w:r>
      <w:r>
        <w:rPr>
          <w:spacing w:val="-4"/>
          <w:w w:val="100"/>
        </w:rPr>
        <w:t>库存股转让时，转让收入高于库存股成本的部分，增加资本公积（股本溢价）；低于库存股成本的</w:t>
      </w:r>
      <w:r>
        <w:rPr>
          <w:spacing w:val="-102"/>
          <w:w w:val="100"/>
        </w:rPr>
        <w:t> </w:t>
      </w:r>
      <w:r>
        <w:rPr>
          <w:spacing w:val="-102"/>
          <w:w w:val="100"/>
        </w:rPr>
      </w:r>
      <w:r>
        <w:rPr>
          <w:spacing w:val="-4"/>
          <w:w w:val="100"/>
        </w:rPr>
        <w:t>部分，依次冲减资本公积（股本溢价）、盈余公积、未分配利润。公司回购其普通股形成的库存股</w:t>
      </w:r>
      <w:r>
        <w:rPr>
          <w:spacing w:val="-103"/>
          <w:w w:val="100"/>
        </w:rPr>
        <w:t> </w:t>
      </w:r>
      <w:r>
        <w:rPr>
          <w:spacing w:val="-103"/>
          <w:w w:val="100"/>
        </w:rPr>
      </w:r>
      <w:r>
        <w:rPr/>
        <w:t>不得参与公司利润分配，在资产负债表中所有者权益的备抵项目列示。</w:t>
      </w:r>
      <w:r>
        <w:rPr>
          <w:w w:val="100"/>
        </w:rPr>
        <w:t> </w:t>
      </w:r>
      <w:r>
        <w:rPr/>
        <w:t>因实行股权激励回购公司股份的，在回购时，按照回购股份的全部支出作为库存股处理，同时进</w:t>
      </w:r>
      <w:r>
        <w:rPr>
          <w:spacing w:val="-9"/>
        </w:rPr>
        <w:t> </w:t>
      </w:r>
      <w:r>
        <w:rPr>
          <w:spacing w:val="-9"/>
        </w:rPr>
      </w:r>
      <w:r>
        <w:rPr/>
        <w:t>行备查登记。</w:t>
      </w:r>
    </w:p>
    <w:p>
      <w:pPr>
        <w:spacing w:line="240" w:lineRule="auto" w:before="7"/>
        <w:rPr>
          <w:rFonts w:ascii="宋体" w:hAnsi="宋体" w:cs="宋体" w:eastAsia="宋体" w:hint="default"/>
          <w:sz w:val="23"/>
          <w:szCs w:val="23"/>
        </w:rPr>
      </w:pPr>
    </w:p>
    <w:p>
      <w:pPr>
        <w:pStyle w:val="Heading6"/>
        <w:spacing w:line="240" w:lineRule="auto"/>
        <w:ind w:right="1133"/>
        <w:jc w:val="left"/>
        <w:rPr>
          <w:b w:val="0"/>
          <w:bCs w:val="0"/>
        </w:rPr>
      </w:pPr>
      <w:bookmarkStart w:name="44、重要会计政策和会计估计变更" w:id="226"/>
      <w:bookmarkEnd w:id="226"/>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1）重要会计政策变更" w:id="227"/>
      <w:bookmarkEnd w:id="22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03" w:right="1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）资产负债表中“应收票据及应收 </w:t>
            </w:r>
            <w:r>
              <w:rPr>
                <w:rFonts w:ascii="宋体" w:hAnsi="宋体" w:cs="宋体" w:eastAsia="宋体" w:hint="default"/>
                <w:spacing w:val="-6"/>
                <w:sz w:val="18"/>
                <w:szCs w:val="18"/>
              </w:rPr>
              <w:t>账款”拆分为“应收票据”和“应收账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款”列示；“应付票据及应付账款”拆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分为“应付票据”和“应付账款”列示；</w:t>
            </w:r>
            <w:r>
              <w:rPr>
                <w:rFonts w:ascii="宋体" w:hAnsi="宋体" w:cs="宋体" w:eastAsia="宋体" w:hint="default"/>
                <w:sz w:val="18"/>
                <w:szCs w:val="18"/>
              </w:rPr>
              <w:t> 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5" w:right="12"/>
              <w:jc w:val="left"/>
              <w:rPr>
                <w:rFonts w:ascii="宋体" w:hAnsi="宋体" w:cs="宋体" w:eastAsia="宋体" w:hint="default"/>
                <w:sz w:val="18"/>
                <w:szCs w:val="18"/>
              </w:rPr>
            </w:pPr>
            <w:r>
              <w:rPr>
                <w:rFonts w:ascii="宋体" w:hAnsi="宋体" w:cs="宋体" w:eastAsia="宋体" w:hint="default"/>
                <w:spacing w:val="-6"/>
                <w:sz w:val="18"/>
                <w:szCs w:val="18"/>
              </w:rPr>
              <w:t>“应收票据及应收账款”拆分为“应收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票据”和“应收账款”，年初余额无影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5"/>
                <w:sz w:val="18"/>
                <w:szCs w:val="18"/>
              </w:rPr>
              <w:t>响；“应付票据及应付账款”拆分为“应</w:t>
            </w:r>
            <w:r>
              <w:rPr>
                <w:rFonts w:ascii="宋体" w:hAnsi="宋体" w:cs="宋体" w:eastAsia="宋体" w:hint="default"/>
                <w:sz w:val="18"/>
                <w:szCs w:val="18"/>
              </w:rPr>
              <w:t> </w:t>
            </w:r>
            <w:r>
              <w:rPr>
                <w:rFonts w:ascii="宋体" w:hAnsi="宋体" w:cs="宋体" w:eastAsia="宋体" w:hint="default"/>
                <w:spacing w:val="-11"/>
                <w:sz w:val="18"/>
                <w:szCs w:val="18"/>
              </w:rPr>
              <w:t>付票据”和“应付账款”，“应付票据”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上年年末余额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49,375,341.80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44"/>
                <w:sz w:val="18"/>
                <w:szCs w:val="18"/>
              </w:rPr>
              <w:t> </w:t>
            </w:r>
            <w:r>
              <w:rPr>
                <w:rFonts w:ascii="宋体" w:hAnsi="宋体" w:cs="宋体" w:eastAsia="宋体" w:hint="default"/>
                <w:sz w:val="18"/>
                <w:szCs w:val="18"/>
              </w:rPr>
              <w:t>“应</w:t>
            </w:r>
            <w:r>
              <w:rPr>
                <w:rFonts w:ascii="宋体" w:hAnsi="宋体" w:cs="宋体" w:eastAsia="宋体" w:hint="default"/>
                <w:sz w:val="18"/>
                <w:szCs w:val="18"/>
              </w:rPr>
              <w:t> 付账款”上年年末余额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178,913,005.63 </w:t>
            </w:r>
            <w:r>
              <w:rPr>
                <w:rFonts w:ascii="宋体" w:hAnsi="宋体" w:cs="宋体" w:eastAsia="宋体" w:hint="default"/>
                <w:sz w:val="18"/>
                <w:szCs w:val="18"/>
              </w:rPr>
              <w:t>元。</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both"/>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）在利润表中投资收益项下新增“其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中：以摊余成本计量的金融资产终止确</w:t>
            </w:r>
            <w:r>
              <w:rPr>
                <w:rFonts w:ascii="宋体" w:hAnsi="宋体" w:cs="宋体" w:eastAsia="宋体" w:hint="default"/>
                <w:sz w:val="18"/>
                <w:szCs w:val="18"/>
              </w:rPr>
              <w:t> 认收益”项目。比较数据不调整。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94"/>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 认收益”</w:t>
            </w:r>
            <w:r>
              <w:rPr>
                <w:rFonts w:ascii="宋体" w:hAnsi="宋体" w:cs="宋体" w:eastAsia="宋体" w:hint="default"/>
                <w:spacing w:val="1"/>
                <w:sz w:val="18"/>
                <w:szCs w:val="18"/>
              </w:rPr>
              <w:t> </w:t>
            </w:r>
            <w:r>
              <w:rPr>
                <w:rFonts w:ascii="宋体" w:hAnsi="宋体" w:cs="宋体" w:eastAsia="宋体" w:hint="default"/>
                <w:sz w:val="18"/>
                <w:szCs w:val="18"/>
              </w:rPr>
              <w:t>本期发生额无影响。</w:t>
            </w:r>
          </w:p>
        </w:tc>
      </w:tr>
      <w:tr>
        <w:trPr>
          <w:trHeight w:val="102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）可供出售权益工具投资重分类为 “以公允价值计量且其变动计入当期 损益的金融资产”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5" w:right="99"/>
              <w:jc w:val="left"/>
              <w:rPr>
                <w:rFonts w:ascii="宋体" w:hAnsi="宋体" w:cs="宋体" w:eastAsia="宋体" w:hint="default"/>
                <w:sz w:val="18"/>
                <w:szCs w:val="18"/>
              </w:rPr>
            </w:pPr>
            <w:r>
              <w:rPr>
                <w:rFonts w:ascii="宋体" w:hAnsi="宋体" w:cs="宋体" w:eastAsia="宋体" w:hint="default"/>
                <w:spacing w:val="-8"/>
                <w:sz w:val="18"/>
                <w:szCs w:val="18"/>
              </w:rPr>
              <w:t>可供出售金融资产：减少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23,000,000.00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元；其他非流动金融资产：增加 </w:t>
            </w:r>
            <w:r>
              <w:rPr>
                <w:rFonts w:ascii="Times New Roman" w:hAnsi="Times New Roman" w:cs="Times New Roman" w:eastAsia="Times New Roman" w:hint="default"/>
                <w:sz w:val="18"/>
                <w:szCs w:val="18"/>
              </w:rPr>
              <w:t>23,149,232.00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pStyle w:val="Heading6"/>
        <w:spacing w:line="262" w:lineRule="exact"/>
        <w:ind w:left="888" w:right="1133"/>
        <w:jc w:val="left"/>
        <w:rPr>
          <w:b w:val="0"/>
          <w:bCs w:val="0"/>
        </w:rPr>
      </w:pPr>
      <w:r>
        <w:rPr/>
        <w:t>重要会计政策变更</w:t>
      </w:r>
      <w:r>
        <w:rPr>
          <w:b w:val="0"/>
          <w:bCs w:val="0"/>
        </w:rPr>
      </w:r>
    </w:p>
    <w:p>
      <w:pPr>
        <w:pStyle w:val="BodyText"/>
        <w:spacing w:line="256" w:lineRule="auto" w:before="37"/>
        <w:ind w:right="1129"/>
        <w:jc w:val="both"/>
      </w:pPr>
      <w:r>
        <w:rPr/>
        <w:t>（</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2019</w:t>
      </w:r>
      <w:r>
        <w:rPr/>
        <w:t>年度一般企业财务报表格式的通知》和《关于修订印</w:t>
      </w:r>
      <w:r>
        <w:rPr>
          <w:spacing w:val="-38"/>
        </w:rPr>
        <w:t> </w:t>
      </w:r>
      <w:r>
        <w:rPr>
          <w:spacing w:val="-38"/>
        </w:rPr>
      </w:r>
      <w:r>
        <w:rPr/>
        <w:t>发合并财务报表格式（</w:t>
      </w:r>
      <w:r>
        <w:rPr>
          <w:rFonts w:ascii="Times New Roman" w:hAnsi="Times New Roman" w:cs="Times New Roman" w:eastAsia="Times New Roman" w:hint="default"/>
        </w:rPr>
        <w:t>2019</w:t>
      </w:r>
      <w:r>
        <w:rPr/>
        <w:t>版）的通知》</w:t>
      </w:r>
    </w:p>
    <w:p>
      <w:pPr>
        <w:pStyle w:val="BodyText"/>
        <w:spacing w:line="256" w:lineRule="auto" w:before="5"/>
        <w:ind w:right="1126"/>
        <w:jc w:val="both"/>
      </w:pPr>
      <w:r>
        <w:rPr/>
        <w:t>财政部分别于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w:t>
      </w:r>
      <w:r>
        <w:rPr>
          <w:spacing w:val="45"/>
        </w:rPr>
        <w:t> </w:t>
      </w:r>
      <w:r>
        <w:rPr/>
        <w:t>发布了《关于修订印发</w:t>
      </w:r>
      <w:r>
        <w:rPr>
          <w:rFonts w:ascii="Times New Roman" w:hAnsi="Times New Roman" w:cs="Times New Roman" w:eastAsia="Times New Roman" w:hint="default"/>
        </w:rPr>
        <w:t>2019</w:t>
      </w:r>
      <w:r>
        <w:rPr/>
        <w:t>年度一般企业财</w:t>
      </w:r>
      <w:r>
        <w:rPr>
          <w:spacing w:val="-91"/>
        </w:rPr>
        <w:t> </w:t>
      </w:r>
      <w:r>
        <w:rPr>
          <w:spacing w:val="-91"/>
        </w:rPr>
      </w:r>
      <w:r>
        <w:rPr>
          <w:spacing w:val="-5"/>
          <w:w w:val="100"/>
        </w:rPr>
        <w:t>务报表格式的通知》（财会（</w:t>
      </w:r>
      <w:r>
        <w:rPr>
          <w:rFonts w:ascii="Times New Roman" w:hAnsi="Times New Roman" w:cs="Times New Roman" w:eastAsia="Times New Roman" w:hint="default"/>
          <w:spacing w:val="-5"/>
          <w:w w:val="100"/>
        </w:rPr>
        <w:t>2019</w:t>
      </w:r>
      <w:r>
        <w:rPr>
          <w:spacing w:val="-5"/>
          <w:w w:val="100"/>
        </w:rPr>
        <w:t>）</w:t>
      </w:r>
      <w:r>
        <w:rPr>
          <w:rFonts w:ascii="Times New Roman" w:hAnsi="Times New Roman" w:cs="Times New Roman" w:eastAsia="Times New Roman" w:hint="default"/>
          <w:spacing w:val="-5"/>
          <w:w w:val="100"/>
        </w:rPr>
        <w:t>6</w:t>
      </w:r>
      <w:r>
        <w:rPr>
          <w:spacing w:val="-5"/>
          <w:w w:val="100"/>
        </w:rPr>
        <w:t>号）和《关于修订印发合并财务报表格式（</w:t>
      </w:r>
      <w:r>
        <w:rPr>
          <w:rFonts w:ascii="Times New Roman" w:hAnsi="Times New Roman" w:cs="Times New Roman" w:eastAsia="Times New Roman" w:hint="default"/>
          <w:spacing w:val="-5"/>
          <w:w w:val="100"/>
        </w:rPr>
        <w:t>2019</w:t>
      </w:r>
      <w:r>
        <w:rPr>
          <w:spacing w:val="-5"/>
          <w:w w:val="100"/>
        </w:rPr>
        <w:t>版）的</w:t>
      </w:r>
      <w:r>
        <w:rPr>
          <w:spacing w:val="-83"/>
          <w:w w:val="100"/>
        </w:rPr>
        <w:t> </w:t>
      </w:r>
      <w:r>
        <w:rPr>
          <w:spacing w:val="-83"/>
          <w:w w:val="100"/>
        </w:rPr>
      </w:r>
      <w:r>
        <w:rPr>
          <w:spacing w:val="-8"/>
          <w:w w:val="100"/>
        </w:rPr>
        <w:t>通知》（财会（</w:t>
      </w:r>
      <w:r>
        <w:rPr>
          <w:rFonts w:ascii="Times New Roman" w:hAnsi="Times New Roman" w:cs="Times New Roman" w:eastAsia="Times New Roman" w:hint="default"/>
          <w:spacing w:val="-8"/>
          <w:w w:val="100"/>
        </w:rPr>
        <w:t>2019</w:t>
      </w:r>
      <w:r>
        <w:rPr>
          <w:spacing w:val="-8"/>
          <w:w w:val="100"/>
        </w:rPr>
        <w:t>）</w:t>
      </w:r>
      <w:r>
        <w:rPr>
          <w:rFonts w:ascii="Times New Roman" w:hAnsi="Times New Roman" w:cs="Times New Roman" w:eastAsia="Times New Roman" w:hint="default"/>
          <w:spacing w:val="-8"/>
          <w:w w:val="100"/>
        </w:rPr>
        <w:t>16</w:t>
      </w:r>
      <w:r>
        <w:rPr>
          <w:spacing w:val="-8"/>
          <w:w w:val="100"/>
        </w:rPr>
        <w:t>号），对一般企业财务报表格式进行了修订。本公司执行上述规定的</w:t>
      </w:r>
      <w:r>
        <w:rPr>
          <w:spacing w:val="-65"/>
          <w:w w:val="100"/>
        </w:rPr>
        <w:t> </w:t>
      </w:r>
      <w:r>
        <w:rPr>
          <w:spacing w:val="-65"/>
          <w:w w:val="100"/>
        </w:rPr>
      </w:r>
      <w:r>
        <w:rPr/>
        <w:t>主要影响如下：</w:t>
      </w:r>
    </w:p>
    <w:p>
      <w:pPr>
        <w:spacing w:after="0" w:line="256" w:lineRule="auto"/>
        <w:jc w:val="both"/>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821" w:type="dxa"/>
        <w:tblLayout w:type="fixed"/>
        <w:tblCellMar>
          <w:top w:w="0" w:type="dxa"/>
          <w:left w:w="0" w:type="dxa"/>
          <w:bottom w:w="0" w:type="dxa"/>
          <w:right w:w="0" w:type="dxa"/>
        </w:tblCellMar>
        <w:tblLook w:val="01E0"/>
      </w:tblPr>
      <w:tblGrid>
        <w:gridCol w:w="3142"/>
        <w:gridCol w:w="2350"/>
        <w:gridCol w:w="2069"/>
      </w:tblGrid>
      <w:tr>
        <w:trPr>
          <w:trHeight w:val="348" w:hRule="exact"/>
        </w:trPr>
        <w:tc>
          <w:tcPr>
            <w:tcW w:w="3142" w:type="dxa"/>
            <w:vMerge w:val="restart"/>
            <w:tcBorders>
              <w:top w:val="single" w:sz="6" w:space="0" w:color="000000"/>
              <w:left w:val="single" w:sz="6" w:space="0" w:color="000000"/>
              <w:right w:val="single" w:sz="6"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44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35"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346" w:hRule="exact"/>
        </w:trPr>
        <w:tc>
          <w:tcPr>
            <w:tcW w:w="3142" w:type="dxa"/>
            <w:vMerge/>
            <w:tcBorders>
              <w:left w:val="single" w:sz="6" w:space="0" w:color="000000"/>
              <w:bottom w:val="single" w:sz="6" w:space="0" w:color="000000"/>
              <w:right w:val="single" w:sz="6" w:space="0" w:color="000000"/>
            </w:tcBorders>
          </w:tcPr>
          <w:p>
            <w:pP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781"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）资产负债表中“应收票据及</w:t>
            </w:r>
            <w:r>
              <w:rPr>
                <w:rFonts w:ascii="宋体" w:hAnsi="宋体" w:cs="宋体" w:eastAsia="宋体" w:hint="default"/>
                <w:w w:val="100"/>
                <w:sz w:val="21"/>
                <w:szCs w:val="21"/>
              </w:rPr>
              <w:t> </w:t>
            </w:r>
            <w:r>
              <w:rPr>
                <w:rFonts w:ascii="宋体" w:hAnsi="宋体" w:cs="宋体" w:eastAsia="宋体" w:hint="default"/>
                <w:spacing w:val="-4"/>
                <w:sz w:val="21"/>
                <w:szCs w:val="21"/>
              </w:rPr>
              <w:t>应收账款”拆分为“应收票据”和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“应收账款”列示；“应付票据及</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应付账款”拆分为“应付票据”和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“应付账款”列示；比较数据相应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调整。</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w w:val="100"/>
                <w:sz w:val="21"/>
                <w:szCs w:val="21"/>
              </w:rPr>
              <w:t> </w:t>
            </w:r>
            <w:r>
              <w:rPr>
                <w:rFonts w:ascii="宋体" w:hAnsi="宋体" w:cs="宋体" w:eastAsia="宋体" w:hint="default"/>
                <w:spacing w:val="-17"/>
                <w:sz w:val="21"/>
                <w:szCs w:val="21"/>
              </w:rPr>
              <w:t>拆分为“应收票据”和“应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1"/>
                <w:w w:val="100"/>
                <w:sz w:val="21"/>
                <w:szCs w:val="21"/>
              </w:rPr>
              <w:t>收账款”，年初余额无影</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响；</w:t>
            </w:r>
            <w:r>
              <w:rPr>
                <w:rFonts w:ascii="宋体" w:hAnsi="宋体" w:cs="宋体" w:eastAsia="宋体" w:hint="default"/>
                <w:spacing w:val="-103"/>
                <w:sz w:val="21"/>
                <w:szCs w:val="21"/>
              </w:rPr>
              <w:t> </w:t>
            </w:r>
            <w:r>
              <w:rPr>
                <w:rFonts w:ascii="宋体" w:hAnsi="宋体" w:cs="宋体" w:eastAsia="宋体" w:hint="default"/>
                <w:sz w:val="21"/>
                <w:szCs w:val="21"/>
              </w:rPr>
              <w:t>“应付票据及应付账款”</w:t>
            </w:r>
            <w:r>
              <w:rPr>
                <w:rFonts w:ascii="宋体" w:hAnsi="宋体" w:cs="宋体" w:eastAsia="宋体" w:hint="default"/>
                <w:w w:val="100"/>
                <w:sz w:val="21"/>
                <w:szCs w:val="21"/>
              </w:rPr>
              <w:t> </w:t>
            </w:r>
            <w:r>
              <w:rPr>
                <w:rFonts w:ascii="宋体" w:hAnsi="宋体" w:cs="宋体" w:eastAsia="宋体" w:hint="default"/>
                <w:spacing w:val="-17"/>
                <w:sz w:val="21"/>
                <w:szCs w:val="21"/>
              </w:rPr>
              <w:t>拆分为“应付票据”和“应</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9"/>
                <w:w w:val="100"/>
                <w:sz w:val="21"/>
                <w:szCs w:val="21"/>
              </w:rPr>
              <w:t>付账款”，“应付票据”上</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年年末余额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49,375,341.80</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“应</w:t>
            </w:r>
          </w:p>
          <w:p>
            <w:pPr>
              <w:pStyle w:val="TableParagraph"/>
              <w:spacing w:line="273" w:lineRule="auto" w:before="7"/>
              <w:ind w:left="2" w:right="228"/>
              <w:jc w:val="left"/>
              <w:rPr>
                <w:rFonts w:ascii="宋体" w:hAnsi="宋体" w:cs="宋体" w:eastAsia="宋体" w:hint="default"/>
                <w:sz w:val="21"/>
                <w:szCs w:val="21"/>
              </w:rPr>
            </w:pPr>
            <w:r>
              <w:rPr>
                <w:rFonts w:ascii="宋体" w:hAnsi="宋体" w:cs="宋体" w:eastAsia="宋体" w:hint="default"/>
                <w:sz w:val="21"/>
                <w:szCs w:val="21"/>
              </w:rPr>
              <w:t>付账款”上年年末余额</w:t>
            </w:r>
            <w:r>
              <w:rPr>
                <w:rFonts w:ascii="宋体" w:hAnsi="宋体" w:cs="宋体" w:eastAsia="宋体" w:hint="default"/>
                <w:w w:val="100"/>
                <w:sz w:val="21"/>
                <w:szCs w:val="21"/>
              </w:rPr>
              <w:t> </w:t>
            </w:r>
            <w:r>
              <w:rPr>
                <w:rFonts w:ascii="宋体" w:hAnsi="宋体" w:cs="宋体" w:eastAsia="宋体" w:hint="default"/>
                <w:sz w:val="21"/>
                <w:szCs w:val="21"/>
              </w:rPr>
              <w:t>178,913,005.63</w:t>
            </w:r>
            <w:r>
              <w:rPr>
                <w:rFonts w:ascii="宋体" w:hAnsi="宋体" w:cs="宋体" w:eastAsia="宋体" w:hint="default"/>
                <w:sz w:val="21"/>
                <w:szCs w:val="21"/>
              </w:rPr>
              <w:t>元。</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“应收票据及应收账</w:t>
            </w:r>
            <w:r>
              <w:rPr>
                <w:rFonts w:ascii="宋体" w:hAnsi="宋体" w:cs="宋体" w:eastAsia="宋体" w:hint="default"/>
                <w:w w:val="100"/>
                <w:sz w:val="21"/>
                <w:szCs w:val="21"/>
              </w:rPr>
              <w:t> </w:t>
            </w:r>
            <w:r>
              <w:rPr>
                <w:rFonts w:ascii="宋体" w:hAnsi="宋体" w:cs="宋体" w:eastAsia="宋体" w:hint="default"/>
                <w:spacing w:val="-17"/>
                <w:sz w:val="21"/>
                <w:szCs w:val="21"/>
              </w:rPr>
              <w:t>款”拆分为“应收票据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2"/>
                <w:w w:val="100"/>
                <w:sz w:val="21"/>
                <w:szCs w:val="21"/>
              </w:rPr>
              <w:t>和“应收账款”，年初</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余额无影响；</w:t>
            </w:r>
            <w:r>
              <w:rPr>
                <w:rFonts w:ascii="宋体" w:hAnsi="宋体" w:cs="宋体" w:eastAsia="宋体" w:hint="default"/>
                <w:w w:val="100"/>
                <w:sz w:val="21"/>
                <w:szCs w:val="21"/>
              </w:rPr>
              <w:t> </w:t>
            </w:r>
            <w:r>
              <w:rPr>
                <w:rFonts w:ascii="宋体" w:hAnsi="宋体" w:cs="宋体" w:eastAsia="宋体" w:hint="default"/>
                <w:sz w:val="21"/>
                <w:szCs w:val="21"/>
              </w:rPr>
              <w:t>“应付票据及应付账</w:t>
            </w:r>
            <w:r>
              <w:rPr>
                <w:rFonts w:ascii="宋体" w:hAnsi="宋体" w:cs="宋体" w:eastAsia="宋体" w:hint="default"/>
                <w:w w:val="100"/>
                <w:sz w:val="21"/>
                <w:szCs w:val="21"/>
              </w:rPr>
              <w:t> </w:t>
            </w:r>
            <w:r>
              <w:rPr>
                <w:rFonts w:ascii="宋体" w:hAnsi="宋体" w:cs="宋体" w:eastAsia="宋体" w:hint="default"/>
                <w:spacing w:val="-17"/>
                <w:sz w:val="21"/>
                <w:szCs w:val="21"/>
              </w:rPr>
              <w:t>款”拆分为“应付票据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6"/>
                <w:w w:val="100"/>
                <w:sz w:val="21"/>
                <w:szCs w:val="21"/>
              </w:rPr>
              <w:t>和“应付账款”，“应付</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票据”上年年末余额</w:t>
            </w:r>
            <w:r>
              <w:rPr>
                <w:rFonts w:ascii="宋体" w:hAnsi="宋体" w:cs="宋体" w:eastAsia="宋体" w:hint="default"/>
                <w:w w:val="100"/>
                <w:sz w:val="21"/>
                <w:szCs w:val="21"/>
              </w:rPr>
              <w:t> </w:t>
            </w:r>
            <w:r>
              <w:rPr>
                <w:rFonts w:ascii="宋体" w:hAnsi="宋体" w:cs="宋体" w:eastAsia="宋体" w:hint="default"/>
                <w:sz w:val="21"/>
                <w:szCs w:val="21"/>
              </w:rPr>
              <w:t>59,375,341.80</w:t>
            </w:r>
            <w:r>
              <w:rPr>
                <w:rFonts w:ascii="宋体" w:hAnsi="宋体" w:cs="宋体" w:eastAsia="宋体" w:hint="default"/>
                <w:sz w:val="21"/>
                <w:szCs w:val="21"/>
              </w:rPr>
              <w:t>元，</w:t>
            </w:r>
          </w:p>
          <w:p>
            <w:pPr>
              <w:pStyle w:val="TableParagraph"/>
              <w:spacing w:line="273" w:lineRule="auto" w:before="7"/>
              <w:ind w:left="4" w:right="-2"/>
              <w:jc w:val="left"/>
              <w:rPr>
                <w:rFonts w:ascii="宋体" w:hAnsi="宋体" w:cs="宋体" w:eastAsia="宋体" w:hint="default"/>
                <w:sz w:val="21"/>
                <w:szCs w:val="21"/>
              </w:rPr>
            </w:pPr>
            <w:r>
              <w:rPr>
                <w:rFonts w:ascii="宋体" w:hAnsi="宋体" w:cs="宋体" w:eastAsia="宋体" w:hint="default"/>
                <w:spacing w:val="-7"/>
                <w:sz w:val="21"/>
                <w:szCs w:val="21"/>
              </w:rPr>
              <w:t>“应付账款”上年年末</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余额</w:t>
            </w:r>
            <w:r>
              <w:rPr>
                <w:rFonts w:ascii="宋体" w:hAnsi="宋体" w:cs="宋体" w:eastAsia="宋体" w:hint="default"/>
                <w:sz w:val="21"/>
                <w:szCs w:val="21"/>
              </w:rPr>
              <w:t>139,156,560.17</w:t>
            </w:r>
          </w:p>
          <w:p>
            <w:pPr>
              <w:pStyle w:val="TableParagraph"/>
              <w:spacing w:line="240" w:lineRule="auto" w:before="7"/>
              <w:ind w:left="4"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1284" w:hRule="exact"/>
        </w:trPr>
        <w:tc>
          <w:tcPr>
            <w:tcW w:w="31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）在利润表中投资收益项下新</w:t>
            </w:r>
            <w:r>
              <w:rPr>
                <w:rFonts w:ascii="宋体" w:hAnsi="宋体" w:cs="宋体" w:eastAsia="宋体" w:hint="default"/>
                <w:w w:val="100"/>
                <w:sz w:val="21"/>
                <w:szCs w:val="21"/>
              </w:rPr>
              <w:t> </w:t>
            </w:r>
            <w:r>
              <w:rPr>
                <w:rFonts w:ascii="宋体" w:hAnsi="宋体" w:cs="宋体" w:eastAsia="宋体" w:hint="default"/>
                <w:spacing w:val="-4"/>
                <w:sz w:val="21"/>
                <w:szCs w:val="21"/>
              </w:rPr>
              <w:t>增“其中：以摊余成本计量的金融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资产终止确认收益”项目。比较数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据不调整。</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“以摊余成本计量的金融</w:t>
            </w:r>
            <w:r>
              <w:rPr>
                <w:rFonts w:ascii="宋体" w:hAnsi="宋体" w:cs="宋体" w:eastAsia="宋体" w:hint="default"/>
                <w:w w:val="100"/>
                <w:sz w:val="21"/>
                <w:szCs w:val="21"/>
              </w:rPr>
              <w:t> </w:t>
            </w:r>
            <w:r>
              <w:rPr>
                <w:rFonts w:ascii="宋体" w:hAnsi="宋体" w:cs="宋体" w:eastAsia="宋体" w:hint="default"/>
                <w:sz w:val="21"/>
                <w:szCs w:val="21"/>
              </w:rPr>
              <w:t>资产终止确认收益”</w:t>
            </w:r>
            <w:r>
              <w:rPr>
                <w:rFonts w:ascii="宋体" w:hAnsi="宋体" w:cs="宋体" w:eastAsia="宋体" w:hint="default"/>
                <w:spacing w:val="-86"/>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发生额无影响。</w:t>
            </w:r>
          </w:p>
        </w:tc>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1"/>
              <w:jc w:val="left"/>
              <w:rPr>
                <w:rFonts w:ascii="宋体" w:hAnsi="宋体" w:cs="宋体" w:eastAsia="宋体" w:hint="default"/>
                <w:sz w:val="21"/>
                <w:szCs w:val="21"/>
              </w:rPr>
            </w:pPr>
            <w:r>
              <w:rPr>
                <w:rFonts w:ascii="宋体" w:hAnsi="宋体" w:cs="宋体" w:eastAsia="宋体" w:hint="default"/>
                <w:sz w:val="21"/>
                <w:szCs w:val="21"/>
              </w:rPr>
              <w:t>“以摊余成本计量的</w:t>
            </w:r>
            <w:r>
              <w:rPr>
                <w:rFonts w:ascii="宋体" w:hAnsi="宋体" w:cs="宋体" w:eastAsia="宋体" w:hint="default"/>
                <w:w w:val="100"/>
                <w:sz w:val="21"/>
                <w:szCs w:val="21"/>
              </w:rPr>
              <w:t> </w:t>
            </w:r>
            <w:r>
              <w:rPr>
                <w:rFonts w:ascii="宋体" w:hAnsi="宋体" w:cs="宋体" w:eastAsia="宋体" w:hint="default"/>
                <w:sz w:val="21"/>
                <w:szCs w:val="21"/>
              </w:rPr>
              <w:t>金融资产终止确认收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1"/>
                <w:sz w:val="21"/>
                <w:szCs w:val="21"/>
              </w:rPr>
              <w:t> </w:t>
            </w:r>
            <w:r>
              <w:rPr>
                <w:rFonts w:ascii="宋体" w:hAnsi="宋体" w:cs="宋体" w:eastAsia="宋体" w:hint="default"/>
                <w:sz w:val="21"/>
                <w:szCs w:val="21"/>
              </w:rPr>
              <w:t>本期发生额无影</w:t>
            </w:r>
            <w:r>
              <w:rPr>
                <w:rFonts w:ascii="宋体" w:hAnsi="宋体" w:cs="宋体" w:eastAsia="宋体" w:hint="default"/>
                <w:w w:val="100"/>
                <w:sz w:val="21"/>
                <w:szCs w:val="21"/>
              </w:rPr>
              <w:t> </w:t>
            </w:r>
            <w:r>
              <w:rPr>
                <w:rFonts w:ascii="宋体" w:hAnsi="宋体" w:cs="宋体" w:eastAsia="宋体" w:hint="default"/>
                <w:sz w:val="21"/>
                <w:szCs w:val="21"/>
              </w:rPr>
              <w:t>响。</w:t>
            </w:r>
          </w:p>
        </w:tc>
      </w:tr>
    </w:tbl>
    <w:p>
      <w:pPr>
        <w:spacing w:line="240" w:lineRule="auto" w:before="2"/>
        <w:rPr>
          <w:rFonts w:ascii="宋体" w:hAnsi="宋体" w:cs="宋体" w:eastAsia="宋体" w:hint="default"/>
          <w:sz w:val="20"/>
          <w:szCs w:val="20"/>
        </w:rPr>
      </w:pPr>
    </w:p>
    <w:p>
      <w:pPr>
        <w:pStyle w:val="BodyText"/>
        <w:spacing w:line="256" w:lineRule="auto" w:before="36"/>
        <w:ind w:left="1373" w:right="1114" w:firstLine="16"/>
        <w:jc w:val="left"/>
      </w:pPr>
      <w:r>
        <w:rPr>
          <w:spacing w:val="2"/>
          <w:w w:val="100"/>
        </w:rPr>
        <w:t>（</w:t>
      </w:r>
      <w:r>
        <w:rPr>
          <w:rFonts w:ascii="Times New Roman" w:hAnsi="Times New Roman" w:cs="Times New Roman" w:eastAsia="Times New Roman" w:hint="default"/>
          <w:w w:val="100"/>
        </w:rPr>
        <w:t>2</w:t>
      </w:r>
      <w:r>
        <w:rPr>
          <w:w w:val="100"/>
        </w:rPr>
        <w:t>）执行</w:t>
      </w:r>
      <w:r>
        <w:rPr>
          <w:spacing w:val="2"/>
          <w:w w:val="100"/>
        </w:rPr>
        <w:t>《</w:t>
      </w:r>
      <w:r>
        <w:rPr>
          <w:w w:val="100"/>
        </w:rPr>
        <w:t>企业会</w:t>
      </w:r>
      <w:r>
        <w:rPr>
          <w:spacing w:val="2"/>
          <w:w w:val="100"/>
        </w:rPr>
        <w:t>计</w:t>
      </w:r>
      <w:r>
        <w:rPr>
          <w:w w:val="100"/>
        </w:rPr>
        <w:t>准则</w:t>
      </w:r>
      <w:r>
        <w:rPr>
          <w:spacing w:val="3"/>
          <w:w w:val="100"/>
        </w:rPr>
        <w:t>第</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spacing w:val="2"/>
          <w:w w:val="100"/>
        </w:rPr>
        <w:t>2</w:t>
      </w:r>
      <w:r>
        <w:rPr>
          <w:w w:val="100"/>
        </w:rPr>
        <w:t>号——金</w:t>
      </w:r>
      <w:r>
        <w:rPr>
          <w:spacing w:val="2"/>
          <w:w w:val="100"/>
        </w:rPr>
        <w:t>融</w:t>
      </w:r>
      <w:r>
        <w:rPr>
          <w:w w:val="100"/>
        </w:rPr>
        <w:t>工具确认和</w:t>
      </w:r>
      <w:r>
        <w:rPr>
          <w:spacing w:val="2"/>
          <w:w w:val="100"/>
        </w:rPr>
        <w:t>计</w:t>
      </w:r>
      <w:r>
        <w:rPr>
          <w:w w:val="100"/>
        </w:rPr>
        <w:t>量</w:t>
      </w:r>
      <w:r>
        <w:rPr>
          <w:spacing w:val="-104"/>
          <w:w w:val="100"/>
        </w:rPr>
        <w:t>》</w:t>
      </w:r>
      <w:r>
        <w:rPr>
          <w:spacing w:val="-106"/>
          <w:w w:val="100"/>
        </w:rPr>
        <w:t>、</w:t>
      </w:r>
      <w:r>
        <w:rPr>
          <w:w w:val="100"/>
        </w:rPr>
        <w:t>《企业</w:t>
      </w:r>
      <w:r>
        <w:rPr>
          <w:spacing w:val="2"/>
          <w:w w:val="100"/>
        </w:rPr>
        <w:t>会</w:t>
      </w:r>
      <w:r>
        <w:rPr>
          <w:w w:val="100"/>
        </w:rPr>
        <w:t>计准则</w:t>
      </w:r>
      <w:r>
        <w:rPr>
          <w:spacing w:val="4"/>
          <w:w w:val="100"/>
        </w:rPr>
        <w:t>第</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spacing w:val="2"/>
          <w:w w:val="100"/>
        </w:rPr>
        <w:t>3</w:t>
      </w:r>
      <w:r>
        <w:rPr>
          <w:w w:val="100"/>
        </w:rPr>
        <w:t>号—</w:t>
      </w:r>
      <w:r>
        <w:rPr>
          <w:spacing w:val="2"/>
          <w:w w:val="100"/>
        </w:rPr>
        <w:t>—</w:t>
      </w:r>
      <w:r>
        <w:rPr>
          <w:w w:val="100"/>
        </w:rPr>
        <w:t>金</w:t>
      </w:r>
      <w:r>
        <w:rPr>
          <w:w w:val="100"/>
        </w:rPr>
        <w:t> 融资</w:t>
      </w:r>
      <w:r>
        <w:rPr>
          <w:spacing w:val="-3"/>
          <w:w w:val="100"/>
        </w:rPr>
        <w:t>产</w:t>
      </w:r>
      <w:r>
        <w:rPr>
          <w:w w:val="100"/>
        </w:rPr>
        <w:t>转</w:t>
      </w:r>
      <w:r>
        <w:rPr>
          <w:spacing w:val="-3"/>
          <w:w w:val="100"/>
        </w:rPr>
        <w:t>移</w:t>
      </w:r>
      <w:r>
        <w:rPr>
          <w:spacing w:val="-106"/>
          <w:w w:val="100"/>
        </w:rPr>
        <w:t>》</w:t>
      </w:r>
      <w:r>
        <w:rPr>
          <w:spacing w:val="-120"/>
          <w:w w:val="100"/>
        </w:rPr>
        <w:t>、</w:t>
      </w:r>
      <w:r>
        <w:rPr>
          <w:w w:val="100"/>
        </w:rPr>
        <w:t>《</w:t>
      </w:r>
      <w:r>
        <w:rPr>
          <w:spacing w:val="-3"/>
          <w:w w:val="100"/>
        </w:rPr>
        <w:t>企</w:t>
      </w:r>
      <w:r>
        <w:rPr>
          <w:w w:val="100"/>
        </w:rPr>
        <w:t>业</w:t>
      </w:r>
      <w:r>
        <w:rPr>
          <w:spacing w:val="-3"/>
          <w:w w:val="100"/>
        </w:rPr>
        <w:t>会计</w:t>
      </w:r>
      <w:r>
        <w:rPr>
          <w:w w:val="100"/>
        </w:rPr>
        <w:t>准则</w:t>
      </w:r>
      <w:r>
        <w:rPr>
          <w:spacing w:val="-3"/>
          <w:w w:val="100"/>
        </w:rPr>
        <w:t>第</w:t>
      </w:r>
      <w:r>
        <w:rPr>
          <w:rFonts w:ascii="Times New Roman" w:hAnsi="Times New Roman" w:cs="Times New Roman" w:eastAsia="Times New Roman" w:hint="default"/>
          <w:w w:val="100"/>
        </w:rPr>
        <w:t>24</w:t>
      </w:r>
      <w:r>
        <w:rPr>
          <w:spacing w:val="-3"/>
          <w:w w:val="100"/>
        </w:rPr>
        <w:t>号</w:t>
      </w:r>
      <w:r>
        <w:rPr>
          <w:w w:val="100"/>
        </w:rPr>
        <w:t>—</w:t>
      </w:r>
      <w:r>
        <w:rPr>
          <w:spacing w:val="-3"/>
          <w:w w:val="100"/>
        </w:rPr>
        <w:t>—</w:t>
      </w:r>
      <w:r>
        <w:rPr>
          <w:w w:val="100"/>
        </w:rPr>
        <w:t>套</w:t>
      </w:r>
      <w:r>
        <w:rPr>
          <w:spacing w:val="-3"/>
          <w:w w:val="100"/>
        </w:rPr>
        <w:t>期</w:t>
      </w:r>
      <w:r>
        <w:rPr>
          <w:w w:val="100"/>
        </w:rPr>
        <w:t>会</w:t>
      </w:r>
      <w:r>
        <w:rPr>
          <w:spacing w:val="-3"/>
          <w:w w:val="100"/>
        </w:rPr>
        <w:t>计</w:t>
      </w:r>
      <w:r>
        <w:rPr>
          <w:spacing w:val="-13"/>
          <w:w w:val="100"/>
        </w:rPr>
        <w:t>》</w:t>
      </w:r>
      <w:r>
        <w:rPr>
          <w:spacing w:val="-15"/>
          <w:w w:val="100"/>
        </w:rPr>
        <w:t>和</w:t>
      </w:r>
      <w:r>
        <w:rPr>
          <w:spacing w:val="-3"/>
          <w:w w:val="100"/>
        </w:rPr>
        <w:t>《</w:t>
      </w:r>
      <w:r>
        <w:rPr>
          <w:w w:val="100"/>
        </w:rPr>
        <w:t>企</w:t>
      </w:r>
      <w:r>
        <w:rPr>
          <w:spacing w:val="-3"/>
          <w:w w:val="100"/>
        </w:rPr>
        <w:t>业</w:t>
      </w:r>
      <w:r>
        <w:rPr>
          <w:w w:val="100"/>
        </w:rPr>
        <w:t>会</w:t>
      </w:r>
      <w:r>
        <w:rPr>
          <w:spacing w:val="-3"/>
          <w:w w:val="100"/>
        </w:rPr>
        <w:t>计</w:t>
      </w:r>
      <w:r>
        <w:rPr>
          <w:w w:val="100"/>
        </w:rPr>
        <w:t>准则</w:t>
      </w:r>
      <w:r>
        <w:rPr>
          <w:spacing w:val="-2"/>
          <w:w w:val="100"/>
        </w:rPr>
        <w:t>第</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7</w:t>
      </w:r>
      <w:r>
        <w:rPr>
          <w:w w:val="100"/>
        </w:rPr>
        <w:t>号—</w:t>
      </w:r>
      <w:r>
        <w:rPr>
          <w:spacing w:val="-3"/>
          <w:w w:val="100"/>
        </w:rPr>
        <w:t>—</w:t>
      </w:r>
      <w:r>
        <w:rPr>
          <w:w w:val="100"/>
        </w:rPr>
        <w:t>金</w:t>
      </w:r>
      <w:r>
        <w:rPr>
          <w:spacing w:val="-3"/>
          <w:w w:val="100"/>
        </w:rPr>
        <w:t>融</w:t>
      </w:r>
      <w:r>
        <w:rPr>
          <w:w w:val="100"/>
        </w:rPr>
        <w:t>工具</w:t>
      </w:r>
      <w:r>
        <w:rPr>
          <w:w w:val="100"/>
        </w:rPr>
        <w:t> 列报</w:t>
      </w:r>
      <w:r>
        <w:rPr>
          <w:spacing w:val="-108"/>
          <w:w w:val="100"/>
        </w:rPr>
        <w:t>》</w:t>
      </w:r>
      <w:r>
        <w:rPr>
          <w:spacing w:val="-1"/>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spacing w:val="-1"/>
          <w:w w:val="100"/>
        </w:rPr>
        <w:t>7</w:t>
      </w:r>
      <w:r>
        <w:rPr>
          <w:spacing w:val="-3"/>
          <w:w w:val="100"/>
        </w:rPr>
        <w:t>年</w:t>
      </w:r>
      <w:r>
        <w:rPr>
          <w:w w:val="100"/>
        </w:rPr>
        <w:t>修</w:t>
      </w:r>
      <w:r>
        <w:rPr>
          <w:spacing w:val="-3"/>
          <w:w w:val="100"/>
        </w:rPr>
        <w:t>订</w:t>
      </w:r>
      <w:r>
        <w:rPr>
          <w:w w:val="100"/>
        </w:rPr>
        <w:t>）</w:t>
      </w:r>
      <w:r>
        <w:rPr>
          <w:w w:val="100"/>
        </w:rPr>
        <w:t> 财政</w:t>
      </w:r>
      <w:r>
        <w:rPr>
          <w:spacing w:val="-3"/>
          <w:w w:val="100"/>
        </w:rPr>
        <w:t>部</w:t>
      </w:r>
      <w:r>
        <w:rPr>
          <w:spacing w:val="-1"/>
          <w:w w:val="100"/>
        </w:rPr>
        <w:t>于</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7</w:t>
      </w:r>
      <w:r>
        <w:rPr>
          <w:spacing w:val="-3"/>
          <w:w w:val="100"/>
        </w:rPr>
        <w:t>年</w:t>
      </w:r>
      <w:r>
        <w:rPr>
          <w:w w:val="100"/>
        </w:rPr>
        <w:t>度</w:t>
      </w:r>
      <w:r>
        <w:rPr>
          <w:spacing w:val="-3"/>
          <w:w w:val="100"/>
        </w:rPr>
        <w:t>修</w:t>
      </w:r>
      <w:r>
        <w:rPr>
          <w:w w:val="100"/>
        </w:rPr>
        <w:t>订</w:t>
      </w:r>
      <w:r>
        <w:rPr>
          <w:spacing w:val="-15"/>
          <w:w w:val="100"/>
        </w:rPr>
        <w:t>了</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2</w:t>
      </w:r>
      <w:r>
        <w:rPr>
          <w:w w:val="100"/>
        </w:rPr>
        <w:t>号</w:t>
      </w:r>
      <w:r>
        <w:rPr>
          <w:spacing w:val="-3"/>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106"/>
          <w:w w:val="100"/>
        </w:rPr>
        <w:t>》</w:t>
      </w:r>
      <w:r>
        <w:rPr>
          <w:spacing w:val="-120"/>
          <w:w w:val="100"/>
        </w:rPr>
        <w:t>、</w:t>
      </w:r>
      <w:r>
        <w:rPr>
          <w:w w:val="100"/>
        </w:rPr>
        <w:t>《企</w:t>
      </w:r>
      <w:r>
        <w:rPr>
          <w:spacing w:val="-3"/>
          <w:w w:val="100"/>
        </w:rPr>
        <w:t>业</w:t>
      </w:r>
      <w:r>
        <w:rPr>
          <w:w w:val="100"/>
        </w:rPr>
        <w:t>会</w:t>
      </w:r>
      <w:r>
        <w:rPr>
          <w:spacing w:val="-3"/>
          <w:w w:val="100"/>
        </w:rPr>
        <w:t>计</w:t>
      </w:r>
      <w:r>
        <w:rPr>
          <w:w w:val="100"/>
        </w:rPr>
        <w:t>准则</w:t>
      </w:r>
      <w:r>
        <w:rPr>
          <w:w w:val="100"/>
        </w:rPr>
        <w:t> 第</w:t>
      </w:r>
      <w:r>
        <w:rPr>
          <w:rFonts w:ascii="Times New Roman" w:hAnsi="Times New Roman" w:cs="Times New Roman" w:eastAsia="Times New Roman" w:hint="default"/>
          <w:w w:val="100"/>
        </w:rPr>
        <w:t>23</w:t>
      </w:r>
      <w:r>
        <w:rPr>
          <w:spacing w:val="-3"/>
          <w:w w:val="100"/>
        </w:rPr>
        <w:t>号</w:t>
      </w:r>
      <w:r>
        <w:rPr>
          <w:w w:val="100"/>
        </w:rPr>
        <w:t>—</w:t>
      </w:r>
      <w:r>
        <w:rPr>
          <w:spacing w:val="-3"/>
          <w:w w:val="100"/>
        </w:rPr>
        <w:t>—</w:t>
      </w:r>
      <w:r>
        <w:rPr>
          <w:w w:val="100"/>
        </w:rPr>
        <w:t>金</w:t>
      </w:r>
      <w:r>
        <w:rPr>
          <w:spacing w:val="-3"/>
          <w:w w:val="100"/>
        </w:rPr>
        <w:t>融</w:t>
      </w:r>
      <w:r>
        <w:rPr>
          <w:w w:val="100"/>
        </w:rPr>
        <w:t>资</w:t>
      </w:r>
      <w:r>
        <w:rPr>
          <w:spacing w:val="-3"/>
          <w:w w:val="100"/>
        </w:rPr>
        <w:t>产</w:t>
      </w:r>
      <w:r>
        <w:rPr>
          <w:w w:val="100"/>
        </w:rPr>
        <w:t>转</w:t>
      </w:r>
      <w:r>
        <w:rPr>
          <w:spacing w:val="-3"/>
          <w:w w:val="100"/>
        </w:rPr>
        <w:t>移</w:t>
      </w:r>
      <w:r>
        <w:rPr>
          <w:spacing w:val="-108"/>
          <w:w w:val="100"/>
        </w:rPr>
        <w:t>》</w:t>
      </w:r>
      <w:r>
        <w:rPr>
          <w:spacing w:val="-113"/>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spacing w:val="-3"/>
          <w:w w:val="100"/>
        </w:rPr>
        <w:t>号—</w:t>
      </w:r>
      <w:r>
        <w:rPr>
          <w:w w:val="100"/>
        </w:rPr>
        <w:t>—套</w:t>
      </w:r>
      <w:r>
        <w:rPr>
          <w:spacing w:val="-3"/>
          <w:w w:val="100"/>
        </w:rPr>
        <w:t>期</w:t>
      </w:r>
      <w:r>
        <w:rPr>
          <w:w w:val="100"/>
        </w:rPr>
        <w:t>会</w:t>
      </w:r>
      <w:r>
        <w:rPr>
          <w:spacing w:val="-3"/>
          <w:w w:val="100"/>
        </w:rPr>
        <w:t>计</w:t>
      </w:r>
      <w:r>
        <w:rPr>
          <w:spacing w:val="-10"/>
          <w:w w:val="100"/>
        </w:rPr>
        <w:t>》</w:t>
      </w:r>
      <w:r>
        <w:rPr>
          <w:spacing w:val="-8"/>
          <w:w w:val="100"/>
        </w:rPr>
        <w:t>和</w:t>
      </w:r>
      <w:r>
        <w:rPr>
          <w:spacing w:val="-3"/>
          <w:w w:val="100"/>
        </w:rPr>
        <w:t>《</w:t>
      </w:r>
      <w:r>
        <w:rPr>
          <w:w w:val="100"/>
        </w:rPr>
        <w:t>企</w:t>
      </w:r>
      <w:r>
        <w:rPr>
          <w:spacing w:val="-3"/>
          <w:w w:val="100"/>
        </w:rPr>
        <w:t>业会</w:t>
      </w:r>
      <w:r>
        <w:rPr>
          <w:w w:val="100"/>
        </w:rPr>
        <w:t>计准</w:t>
      </w:r>
      <w:r>
        <w:rPr>
          <w:spacing w:val="-3"/>
          <w:w w:val="100"/>
        </w:rPr>
        <w:t>则</w:t>
      </w:r>
      <w:r>
        <w:rPr>
          <w:w w:val="100"/>
        </w:rPr>
        <w:t>第</w:t>
      </w:r>
      <w:r>
        <w:rPr>
          <w:rFonts w:ascii="Times New Roman" w:hAnsi="Times New Roman" w:cs="Times New Roman" w:eastAsia="Times New Roman" w:hint="default"/>
          <w:w w:val="100"/>
        </w:rPr>
        <w:t>3</w:t>
      </w:r>
      <w:r>
        <w:rPr>
          <w:rFonts w:ascii="Times New Roman" w:hAnsi="Times New Roman" w:cs="Times New Roman" w:eastAsia="Times New Roman" w:hint="default"/>
          <w:spacing w:val="-3"/>
          <w:w w:val="100"/>
        </w:rPr>
        <w:t>7</w:t>
      </w:r>
      <w:r>
        <w:rPr>
          <w:w w:val="100"/>
        </w:rPr>
        <w:t>号</w:t>
      </w:r>
    </w:p>
    <w:p>
      <w:pPr>
        <w:pStyle w:val="BodyText"/>
        <w:spacing w:line="268" w:lineRule="auto" w:before="5"/>
        <w:ind w:left="1373" w:right="1125"/>
        <w:jc w:val="left"/>
      </w:pPr>
      <w:r>
        <w:rPr>
          <w:spacing w:val="-2"/>
          <w:w w:val="100"/>
        </w:rPr>
        <w:t>——金融工具列报》。修订后的准则规定，对于首次执行日尚未终止确认的金融工具，之前</w:t>
      </w:r>
      <w:r>
        <w:rPr>
          <w:spacing w:val="-102"/>
          <w:w w:val="100"/>
        </w:rPr>
        <w:t> </w:t>
      </w:r>
      <w:r>
        <w:rPr>
          <w:spacing w:val="-102"/>
          <w:w w:val="100"/>
        </w:rPr>
      </w:r>
      <w:r>
        <w:rPr>
          <w:spacing w:val="-2"/>
        </w:rPr>
        <w:t>的确认和计量与修订后的准则要求不一致的，应当追溯调整。涉及前期比较财务报表数据与</w:t>
      </w:r>
      <w:r>
        <w:rPr>
          <w:spacing w:val="-52"/>
        </w:rPr>
        <w:t> </w:t>
      </w:r>
      <w:r>
        <w:rPr>
          <w:spacing w:val="-52"/>
        </w:rPr>
      </w:r>
      <w:r>
        <w:rPr>
          <w:spacing w:val="-2"/>
        </w:rPr>
        <w:t>修订后的准则要求不一致的，无需调整。本公司将因追溯调整产生的累积影响数调整当年年</w:t>
      </w:r>
      <w:r>
        <w:rPr>
          <w:spacing w:val="-54"/>
        </w:rPr>
        <w:t> </w:t>
      </w:r>
      <w:r>
        <w:rPr>
          <w:spacing w:val="-54"/>
        </w:rPr>
      </w:r>
      <w:r>
        <w:rPr/>
        <w:t>初留存收益和其他综合收益。</w:t>
      </w:r>
      <w:r>
        <w:rPr>
          <w:w w:val="100"/>
        </w:rPr>
        <w:t> </w:t>
      </w: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号的规定调整后的上年年末余额为基础，执行上</w:t>
      </w:r>
      <w:r>
        <w:rPr>
          <w:spacing w:val="-42"/>
        </w:rPr>
        <w:t> </w:t>
      </w:r>
      <w:r>
        <w:rPr>
          <w:spacing w:val="-42"/>
        </w:rPr>
      </w:r>
      <w:r>
        <w:rPr/>
        <w:t>述新金融工具准则的主要影响如下：</w:t>
      </w:r>
    </w:p>
    <w:p>
      <w:pPr>
        <w:spacing w:line="240" w:lineRule="auto" w:before="0"/>
        <w:rPr>
          <w:rFonts w:ascii="宋体" w:hAnsi="宋体" w:cs="宋体" w:eastAsia="宋体" w:hint="default"/>
          <w:sz w:val="2"/>
          <w:szCs w:val="2"/>
        </w:rPr>
      </w:pPr>
    </w:p>
    <w:tbl>
      <w:tblPr>
        <w:tblW w:w="0" w:type="auto"/>
        <w:jc w:val="left"/>
        <w:tblInd w:w="821" w:type="dxa"/>
        <w:tblLayout w:type="fixed"/>
        <w:tblCellMar>
          <w:top w:w="0" w:type="dxa"/>
          <w:left w:w="0" w:type="dxa"/>
          <w:bottom w:w="0" w:type="dxa"/>
          <w:right w:w="0" w:type="dxa"/>
        </w:tblCellMar>
        <w:tblLook w:val="01E0"/>
      </w:tblPr>
      <w:tblGrid>
        <w:gridCol w:w="2165"/>
        <w:gridCol w:w="3200"/>
        <w:gridCol w:w="2948"/>
      </w:tblGrid>
      <w:tr>
        <w:trPr>
          <w:trHeight w:val="346" w:hRule="exact"/>
        </w:trPr>
        <w:tc>
          <w:tcPr>
            <w:tcW w:w="2165" w:type="dxa"/>
            <w:vMerge w:val="restart"/>
            <w:tcBorders>
              <w:top w:val="single" w:sz="6" w:space="0" w:color="000000"/>
              <w:left w:val="single" w:sz="6" w:space="0" w:color="000000"/>
              <w:right w:val="single" w:sz="6" w:space="0" w:color="000000"/>
            </w:tcBorders>
          </w:tcPr>
          <w:p>
            <w:pPr>
              <w:pStyle w:val="TableParagraph"/>
              <w:spacing w:line="273" w:lineRule="auto"/>
              <w:ind w:left="863" w:right="22" w:hanging="840"/>
              <w:jc w:val="left"/>
              <w:rPr>
                <w:rFonts w:ascii="宋体" w:hAnsi="宋体" w:cs="宋体" w:eastAsia="宋体" w:hint="default"/>
                <w:sz w:val="21"/>
                <w:szCs w:val="21"/>
              </w:rPr>
            </w:pPr>
            <w:r>
              <w:rPr>
                <w:rFonts w:ascii="宋体" w:hAnsi="宋体" w:cs="宋体" w:eastAsia="宋体" w:hint="default"/>
                <w:sz w:val="21"/>
                <w:szCs w:val="21"/>
              </w:rPr>
              <w:t>会计政策变更的内容和</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61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01" w:right="0"/>
              <w:jc w:val="left"/>
              <w:rPr>
                <w:rFonts w:ascii="宋体" w:hAnsi="宋体" w:cs="宋体" w:eastAsia="宋体" w:hint="default"/>
                <w:sz w:val="21"/>
                <w:szCs w:val="21"/>
              </w:rPr>
            </w:pPr>
            <w:r>
              <w:rPr>
                <w:rFonts w:ascii="宋体" w:hAnsi="宋体" w:cs="宋体" w:eastAsia="宋体" w:hint="default"/>
                <w:sz w:val="21"/>
                <w:szCs w:val="21"/>
              </w:rPr>
              <w:t>受影响的报表项目名称和金额</w:t>
            </w:r>
          </w:p>
        </w:tc>
      </w:tr>
      <w:tr>
        <w:trPr>
          <w:trHeight w:val="348" w:hRule="exact"/>
        </w:trPr>
        <w:tc>
          <w:tcPr>
            <w:tcW w:w="2165" w:type="dxa"/>
            <w:vMerge/>
            <w:tcBorders>
              <w:left w:val="single" w:sz="6" w:space="0" w:color="000000"/>
              <w:bottom w:val="single" w:sz="6" w:space="0" w:color="000000"/>
              <w:right w:val="single" w:sz="6" w:space="0" w:color="000000"/>
            </w:tcBorders>
          </w:tcPr>
          <w:p>
            <w:pP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3157" w:hRule="exact"/>
        </w:trPr>
        <w:tc>
          <w:tcPr>
            <w:tcW w:w="21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）可供出售权益工具</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投资重分类为“以公允</w:t>
            </w:r>
            <w:r>
              <w:rPr>
                <w:rFonts w:ascii="宋体" w:hAnsi="宋体" w:cs="宋体" w:eastAsia="宋体" w:hint="default"/>
                <w:w w:val="100"/>
                <w:sz w:val="21"/>
                <w:szCs w:val="21"/>
              </w:rPr>
              <w:t> </w:t>
            </w:r>
            <w:r>
              <w:rPr>
                <w:rFonts w:ascii="宋体" w:hAnsi="宋体" w:cs="宋体" w:eastAsia="宋体" w:hint="default"/>
                <w:sz w:val="21"/>
                <w:szCs w:val="21"/>
              </w:rPr>
              <w:t>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864"/>
              <w:jc w:val="left"/>
              <w:rPr>
                <w:rFonts w:ascii="宋体" w:hAnsi="宋体" w:cs="宋体" w:eastAsia="宋体" w:hint="default"/>
                <w:sz w:val="21"/>
                <w:szCs w:val="21"/>
              </w:rPr>
            </w:pPr>
            <w:r>
              <w:rPr>
                <w:rFonts w:ascii="宋体" w:hAnsi="宋体" w:cs="宋体" w:eastAsia="宋体" w:hint="default"/>
                <w:sz w:val="21"/>
                <w:szCs w:val="21"/>
              </w:rPr>
              <w:t>可供出售金融资产：减少</w:t>
            </w:r>
            <w:r>
              <w:rPr>
                <w:rFonts w:ascii="宋体" w:hAnsi="宋体" w:cs="宋体" w:eastAsia="宋体" w:hint="default"/>
                <w:w w:val="100"/>
                <w:sz w:val="21"/>
                <w:szCs w:val="21"/>
              </w:rPr>
              <w:t> </w:t>
            </w:r>
            <w:r>
              <w:rPr>
                <w:rFonts w:ascii="宋体" w:hAnsi="宋体" w:cs="宋体" w:eastAsia="宋体" w:hint="default"/>
                <w:sz w:val="21"/>
                <w:szCs w:val="21"/>
              </w:rPr>
              <w:t>23,000,000.00</w:t>
            </w:r>
            <w:r>
              <w:rPr>
                <w:rFonts w:ascii="宋体" w:hAnsi="宋体" w:cs="宋体" w:eastAsia="宋体" w:hint="default"/>
                <w:sz w:val="21"/>
                <w:szCs w:val="21"/>
              </w:rPr>
              <w:t>元；</w:t>
            </w:r>
          </w:p>
          <w:p>
            <w:pPr>
              <w:pStyle w:val="TableParagraph"/>
              <w:spacing w:line="273" w:lineRule="auto" w:before="8"/>
              <w:ind w:left="4" w:right="655"/>
              <w:jc w:val="left"/>
              <w:rPr>
                <w:rFonts w:ascii="宋体" w:hAnsi="宋体" w:cs="宋体" w:eastAsia="宋体" w:hint="default"/>
                <w:sz w:val="21"/>
                <w:szCs w:val="21"/>
              </w:rPr>
            </w:pPr>
            <w:r>
              <w:rPr>
                <w:rFonts w:ascii="宋体" w:hAnsi="宋体" w:cs="宋体" w:eastAsia="宋体" w:hint="default"/>
                <w:spacing w:val="-2"/>
                <w:sz w:val="21"/>
                <w:szCs w:val="21"/>
              </w:rPr>
              <w:t>其他非流动金融资产：增加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23,149,232.00</w:t>
            </w:r>
            <w:r>
              <w:rPr>
                <w:rFonts w:ascii="宋体" w:hAnsi="宋体" w:cs="宋体" w:eastAsia="宋体" w:hint="default"/>
                <w:sz w:val="21"/>
                <w:szCs w:val="21"/>
              </w:rPr>
              <w:t>元；</w:t>
            </w:r>
          </w:p>
          <w:p>
            <w:pPr>
              <w:pStyle w:val="TableParagraph"/>
              <w:spacing w:line="273" w:lineRule="auto" w:before="7"/>
              <w:ind w:left="4" w:right="131"/>
              <w:jc w:val="left"/>
              <w:rPr>
                <w:rFonts w:ascii="宋体" w:hAnsi="宋体" w:cs="宋体" w:eastAsia="宋体" w:hint="default"/>
                <w:sz w:val="21"/>
                <w:szCs w:val="21"/>
              </w:rPr>
            </w:pPr>
            <w:r>
              <w:rPr>
                <w:rFonts w:ascii="宋体" w:hAnsi="宋体" w:cs="宋体" w:eastAsia="宋体" w:hint="default"/>
                <w:spacing w:val="-1"/>
                <w:sz w:val="21"/>
                <w:szCs w:val="21"/>
              </w:rPr>
              <w:t>递延所得税资产：增加</w:t>
            </w:r>
            <w:r>
              <w:rPr>
                <w:rFonts w:ascii="宋体" w:hAnsi="宋体" w:cs="宋体" w:eastAsia="宋体" w:hint="default"/>
                <w:spacing w:val="-1"/>
                <w:sz w:val="21"/>
                <w:szCs w:val="21"/>
              </w:rPr>
              <w:t>53,948.70</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pacing w:val="-1"/>
                <w:sz w:val="21"/>
                <w:szCs w:val="21"/>
              </w:rPr>
              <w:t>递延所得税负债：增加</w:t>
            </w:r>
            <w:r>
              <w:rPr>
                <w:rFonts w:ascii="宋体" w:hAnsi="宋体" w:cs="宋体" w:eastAsia="宋体" w:hint="default"/>
                <w:spacing w:val="-1"/>
                <w:sz w:val="21"/>
                <w:szCs w:val="21"/>
              </w:rPr>
              <w:t>76,333.50</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元；</w:t>
            </w:r>
            <w:r>
              <w:rPr>
                <w:rFonts w:ascii="宋体" w:hAnsi="宋体" w:cs="宋体" w:eastAsia="宋体" w:hint="default"/>
                <w:spacing w:val="-103"/>
                <w:sz w:val="21"/>
                <w:szCs w:val="21"/>
              </w:rPr>
              <w:t> </w:t>
            </w:r>
            <w:r>
              <w:rPr>
                <w:rFonts w:ascii="宋体" w:hAnsi="宋体" w:cs="宋体" w:eastAsia="宋体" w:hint="default"/>
                <w:sz w:val="21"/>
                <w:szCs w:val="21"/>
              </w:rPr>
              <w:t>盈余公积：增加</w:t>
            </w:r>
            <w:r>
              <w:rPr>
                <w:rFonts w:ascii="宋体" w:hAnsi="宋体" w:cs="宋体" w:eastAsia="宋体" w:hint="default"/>
                <w:sz w:val="21"/>
                <w:szCs w:val="21"/>
              </w:rPr>
              <w:t>43,255.65</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1"/>
                <w:sz w:val="21"/>
                <w:szCs w:val="21"/>
              </w:rPr>
              <w:t>未分配利润：增加</w:t>
            </w:r>
            <w:r>
              <w:rPr>
                <w:rFonts w:ascii="宋体" w:hAnsi="宋体" w:cs="宋体" w:eastAsia="宋体" w:hint="default"/>
                <w:spacing w:val="-1"/>
                <w:sz w:val="21"/>
                <w:szCs w:val="21"/>
              </w:rPr>
              <w:t>83,591.55</w:t>
            </w:r>
            <w:r>
              <w:rPr>
                <w:rFonts w:ascii="宋体" w:hAnsi="宋体" w:cs="宋体" w:eastAsia="宋体" w:hint="default"/>
                <w:spacing w:val="-1"/>
                <w:sz w:val="21"/>
                <w:szCs w:val="21"/>
              </w:rPr>
              <w:t>元。</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612"/>
              <w:jc w:val="left"/>
              <w:rPr>
                <w:rFonts w:ascii="宋体" w:hAnsi="宋体" w:cs="宋体" w:eastAsia="宋体" w:hint="default"/>
                <w:sz w:val="21"/>
                <w:szCs w:val="21"/>
              </w:rPr>
            </w:pPr>
            <w:r>
              <w:rPr>
                <w:rFonts w:ascii="宋体" w:hAnsi="宋体" w:cs="宋体" w:eastAsia="宋体" w:hint="default"/>
                <w:sz w:val="21"/>
                <w:szCs w:val="21"/>
              </w:rPr>
              <w:t>可供出售金融资产：减少</w:t>
            </w:r>
            <w:r>
              <w:rPr>
                <w:rFonts w:ascii="宋体" w:hAnsi="宋体" w:cs="宋体" w:eastAsia="宋体" w:hint="default"/>
                <w:w w:val="100"/>
                <w:sz w:val="21"/>
                <w:szCs w:val="21"/>
              </w:rPr>
              <w:t> </w:t>
            </w:r>
            <w:r>
              <w:rPr>
                <w:rFonts w:ascii="宋体" w:hAnsi="宋体" w:cs="宋体" w:eastAsia="宋体" w:hint="default"/>
                <w:sz w:val="21"/>
                <w:szCs w:val="21"/>
              </w:rPr>
              <w:t>3,000,000.00</w:t>
            </w:r>
            <w:r>
              <w:rPr>
                <w:rFonts w:ascii="宋体" w:hAnsi="宋体" w:cs="宋体" w:eastAsia="宋体" w:hint="default"/>
                <w:sz w:val="21"/>
                <w:szCs w:val="21"/>
              </w:rPr>
              <w:t>元；</w:t>
            </w:r>
          </w:p>
          <w:p>
            <w:pPr>
              <w:pStyle w:val="TableParagraph"/>
              <w:spacing w:line="273" w:lineRule="auto" w:before="8"/>
              <w:ind w:left="4" w:right="403"/>
              <w:jc w:val="left"/>
              <w:rPr>
                <w:rFonts w:ascii="宋体" w:hAnsi="宋体" w:cs="宋体" w:eastAsia="宋体" w:hint="default"/>
                <w:sz w:val="21"/>
                <w:szCs w:val="21"/>
              </w:rPr>
            </w:pPr>
            <w:r>
              <w:rPr>
                <w:rFonts w:ascii="宋体" w:hAnsi="宋体" w:cs="宋体" w:eastAsia="宋体" w:hint="default"/>
                <w:spacing w:val="-2"/>
                <w:sz w:val="21"/>
                <w:szCs w:val="21"/>
              </w:rPr>
              <w:t>其他非流动金融资产：增加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3,508,889.97</w:t>
            </w:r>
            <w:r>
              <w:rPr>
                <w:rFonts w:ascii="宋体" w:hAnsi="宋体" w:cs="宋体" w:eastAsia="宋体" w:hint="default"/>
                <w:sz w:val="21"/>
                <w:szCs w:val="21"/>
              </w:rPr>
              <w:t>元；</w:t>
            </w:r>
          </w:p>
          <w:p>
            <w:pPr>
              <w:pStyle w:val="TableParagraph"/>
              <w:spacing w:line="273" w:lineRule="auto" w:before="7"/>
              <w:ind w:left="4" w:right="823"/>
              <w:jc w:val="left"/>
              <w:rPr>
                <w:rFonts w:ascii="宋体" w:hAnsi="宋体" w:cs="宋体" w:eastAsia="宋体" w:hint="default"/>
                <w:sz w:val="21"/>
                <w:szCs w:val="21"/>
              </w:rPr>
            </w:pPr>
            <w:r>
              <w:rPr>
                <w:rFonts w:ascii="宋体" w:hAnsi="宋体" w:cs="宋体" w:eastAsia="宋体" w:hint="default"/>
                <w:sz w:val="21"/>
                <w:szCs w:val="21"/>
              </w:rPr>
              <w:t>递延所得税负债：增加</w:t>
            </w:r>
            <w:r>
              <w:rPr>
                <w:rFonts w:ascii="宋体" w:hAnsi="宋体" w:cs="宋体" w:eastAsia="宋体" w:hint="default"/>
                <w:w w:val="100"/>
                <w:sz w:val="21"/>
                <w:szCs w:val="21"/>
              </w:rPr>
              <w:t> </w:t>
            </w:r>
            <w:r>
              <w:rPr>
                <w:rFonts w:ascii="宋体" w:hAnsi="宋体" w:cs="宋体" w:eastAsia="宋体" w:hint="default"/>
                <w:sz w:val="21"/>
                <w:szCs w:val="21"/>
              </w:rPr>
              <w:t>76,333.50</w:t>
            </w:r>
            <w:r>
              <w:rPr>
                <w:rFonts w:ascii="宋体" w:hAnsi="宋体" w:cs="宋体" w:eastAsia="宋体" w:hint="default"/>
                <w:sz w:val="21"/>
                <w:szCs w:val="21"/>
              </w:rPr>
              <w:t>元；</w:t>
            </w:r>
          </w:p>
          <w:p>
            <w:pPr>
              <w:pStyle w:val="TableParagraph"/>
              <w:spacing w:line="273" w:lineRule="auto" w:before="7"/>
              <w:ind w:left="4" w:right="89"/>
              <w:jc w:val="left"/>
              <w:rPr>
                <w:rFonts w:ascii="宋体" w:hAnsi="宋体" w:cs="宋体" w:eastAsia="宋体" w:hint="default"/>
                <w:sz w:val="21"/>
                <w:szCs w:val="21"/>
              </w:rPr>
            </w:pPr>
            <w:r>
              <w:rPr>
                <w:rFonts w:ascii="宋体" w:hAnsi="宋体" w:cs="宋体" w:eastAsia="宋体" w:hint="default"/>
                <w:spacing w:val="-1"/>
                <w:sz w:val="21"/>
                <w:szCs w:val="21"/>
              </w:rPr>
              <w:t>盈余公积：增加</w:t>
            </w:r>
            <w:r>
              <w:rPr>
                <w:rFonts w:ascii="宋体" w:hAnsi="宋体" w:cs="宋体" w:eastAsia="宋体" w:hint="default"/>
                <w:spacing w:val="-1"/>
                <w:sz w:val="21"/>
                <w:szCs w:val="21"/>
              </w:rPr>
              <w:t>43,255.65</w:t>
            </w:r>
            <w:r>
              <w:rPr>
                <w:rFonts w:ascii="宋体" w:hAnsi="宋体" w:cs="宋体" w:eastAsia="宋体" w:hint="default"/>
                <w:spacing w:val="-1"/>
                <w:sz w:val="21"/>
                <w:szCs w:val="21"/>
              </w:rPr>
              <w:t>元；</w:t>
            </w:r>
            <w:r>
              <w:rPr>
                <w:rFonts w:ascii="宋体" w:hAnsi="宋体" w:cs="宋体" w:eastAsia="宋体" w:hint="default"/>
                <w:spacing w:val="-88"/>
                <w:sz w:val="21"/>
                <w:szCs w:val="21"/>
              </w:rPr>
              <w:t> </w:t>
            </w:r>
            <w:r>
              <w:rPr>
                <w:rFonts w:ascii="宋体" w:hAnsi="宋体" w:cs="宋体" w:eastAsia="宋体" w:hint="default"/>
                <w:sz w:val="21"/>
                <w:szCs w:val="21"/>
              </w:rPr>
              <w:t>未分配利润：增加</w:t>
            </w:r>
            <w:r>
              <w:rPr>
                <w:rFonts w:ascii="宋体" w:hAnsi="宋体" w:cs="宋体" w:eastAsia="宋体" w:hint="default"/>
                <w:sz w:val="21"/>
                <w:szCs w:val="21"/>
              </w:rPr>
              <w:t>389,300.82</w:t>
            </w:r>
            <w:r>
              <w:rPr>
                <w:rFonts w:ascii="宋体" w:hAnsi="宋体" w:cs="宋体" w:eastAsia="宋体" w:hint="default"/>
                <w:w w:val="100"/>
                <w:sz w:val="21"/>
                <w:szCs w:val="21"/>
              </w:rPr>
              <w:t> </w:t>
            </w:r>
            <w:r>
              <w:rPr>
                <w:rFonts w:ascii="宋体" w:hAnsi="宋体" w:cs="宋体" w:eastAsia="宋体" w:hint="default"/>
                <w:sz w:val="21"/>
                <w:szCs w:val="21"/>
              </w:rPr>
              <w:t>元。</w:t>
            </w:r>
          </w:p>
        </w:tc>
      </w:tr>
    </w:tbl>
    <w:p>
      <w:pPr>
        <w:spacing w:after="0" w:line="273" w:lineRule="auto"/>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64" w:lineRule="auto" w:before="36"/>
        <w:ind w:right="1128"/>
        <w:jc w:val="both"/>
      </w:pPr>
      <w:r>
        <w:rPr/>
        <w:t>以按照财会〔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号的规定调整后的上年年末余额为基础，各项金</w:t>
      </w:r>
      <w:r>
        <w:rPr>
          <w:spacing w:val="-42"/>
        </w:rPr>
        <w:t> </w:t>
      </w:r>
      <w:r>
        <w:rPr>
          <w:spacing w:val="-42"/>
        </w:rPr>
      </w:r>
      <w:r>
        <w:rPr>
          <w:spacing w:val="2"/>
        </w:rPr>
        <w:t>融资产和金融负债按照修订前后金融工具确认计量准则的规定进行分类和计量结果对比如</w:t>
      </w:r>
      <w:r>
        <w:rPr>
          <w:spacing w:val="-33"/>
        </w:rPr>
        <w:t> </w:t>
      </w:r>
      <w:r>
        <w:rPr>
          <w:spacing w:val="-33"/>
        </w:rPr>
      </w:r>
      <w:r>
        <w:rPr/>
        <w:t>下：</w:t>
      </w:r>
    </w:p>
    <w:p>
      <w:pPr>
        <w:pStyle w:val="Heading6"/>
        <w:spacing w:line="240" w:lineRule="auto" w:before="16"/>
        <w:ind w:left="1373" w:right="0"/>
        <w:jc w:val="both"/>
        <w:rPr>
          <w:b w:val="0"/>
          <w:bCs w:val="0"/>
        </w:rPr>
      </w:pPr>
      <w:r>
        <w:rPr/>
        <w:pict>
          <v:shape style="position:absolute;margin-left:92.064003pt;margin-top:17.023657pt;width:504.7pt;height:69.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5"/>
                    <w:gridCol w:w="2269"/>
                    <w:gridCol w:w="1700"/>
                    <w:gridCol w:w="1985"/>
                    <w:gridCol w:w="2549"/>
                  </w:tblGrid>
                  <w:tr>
                    <w:trPr>
                      <w:trHeight w:val="355" w:hRule="exact"/>
                    </w:trPr>
                    <w:tc>
                      <w:tcPr>
                        <w:tcW w:w="552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原金融工具准则</w:t>
                        </w:r>
                      </w:p>
                    </w:tc>
                    <w:tc>
                      <w:tcPr>
                        <w:tcW w:w="4535" w:type="dxa"/>
                        <w:gridSpan w:val="2"/>
                        <w:tcBorders>
                          <w:top w:val="single" w:sz="6" w:space="0" w:color="000000"/>
                          <w:left w:val="single" w:sz="6" w:space="0" w:color="000000"/>
                          <w:bottom w:val="single" w:sz="12" w:space="0" w:color="000000"/>
                          <w:right w:val="nil" w:sz="6" w:space="0" w:color="auto"/>
                        </w:tcBorders>
                      </w:tcPr>
                      <w:p>
                        <w:pPr>
                          <w:pStyle w:val="TableParagraph"/>
                          <w:spacing w:line="272" w:lineRule="exact"/>
                          <w:ind w:left="2856"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50" w:hRule="exact"/>
                    </w:trPr>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1274" w:right="0"/>
                          <w:jc w:val="left"/>
                          <w:rPr>
                            <w:rFonts w:ascii="宋体" w:hAnsi="宋体" w:cs="宋体" w:eastAsia="宋体" w:hint="default"/>
                            <w:sz w:val="21"/>
                            <w:szCs w:val="21"/>
                          </w:rPr>
                        </w:pPr>
                        <w:r>
                          <w:rPr>
                            <w:rFonts w:ascii="宋体" w:hAnsi="宋体" w:cs="宋体" w:eastAsia="宋体" w:hint="default"/>
                            <w:sz w:val="21"/>
                            <w:szCs w:val="21"/>
                          </w:rPr>
                          <w:t>计量类别</w:t>
                        </w:r>
                      </w:p>
                    </w:tc>
                  </w:tr>
                  <w:tr>
                    <w:trPr>
                      <w:trHeight w:val="665" w:hRule="exact"/>
                    </w:trPr>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62"/>
                          <w:jc w:val="left"/>
                          <w:rPr>
                            <w:rFonts w:ascii="宋体" w:hAnsi="宋体" w:cs="宋体" w:eastAsia="宋体" w:hint="default"/>
                            <w:sz w:val="21"/>
                            <w:szCs w:val="21"/>
                          </w:rPr>
                        </w:pPr>
                        <w:r>
                          <w:rPr>
                            <w:rFonts w:ascii="宋体" w:hAnsi="宋体" w:cs="宋体" w:eastAsia="宋体" w:hint="default"/>
                            <w:sz w:val="21"/>
                            <w:szCs w:val="21"/>
                          </w:rPr>
                          <w:t>可供出售金融资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以成本计量</w:t>
                        </w:r>
                        <w:r>
                          <w:rPr>
                            <w:rFonts w:ascii="宋体" w:hAnsi="宋体" w:cs="宋体" w:eastAsia="宋体" w:hint="default"/>
                            <w:sz w:val="21"/>
                            <w:szCs w:val="21"/>
                          </w:rPr>
                          <w:t>(</w:t>
                        </w:r>
                        <w:r>
                          <w:rPr>
                            <w:rFonts w:ascii="宋体" w:hAnsi="宋体" w:cs="宋体" w:eastAsia="宋体" w:hint="default"/>
                            <w:sz w:val="21"/>
                            <w:szCs w:val="21"/>
                          </w:rPr>
                          <w:t>权益工具</w:t>
                        </w:r>
                        <w:r>
                          <w:rPr>
                            <w:rFonts w:ascii="宋体" w:hAnsi="宋体" w:cs="宋体" w:eastAsia="宋体" w:hint="default"/>
                            <w:sz w:val="21"/>
                            <w:szCs w:val="21"/>
                          </w:rPr>
                          <w:t>)</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16" w:right="0"/>
                          <w:jc w:val="left"/>
                          <w:rPr>
                            <w:rFonts w:ascii="宋体" w:hAnsi="宋体" w:cs="宋体" w:eastAsia="宋体" w:hint="default"/>
                            <w:sz w:val="21"/>
                            <w:szCs w:val="21"/>
                          </w:rPr>
                        </w:pPr>
                        <w:r>
                          <w:rPr>
                            <w:rFonts w:ascii="宋体"/>
                            <w:sz w:val="21"/>
                          </w:rPr>
                          <w:t>23,000,000.00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65"/>
                          <w:jc w:val="center"/>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1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w:t>
                        </w:r>
                      </w:p>
                    </w:tc>
                  </w:tr>
                </w:tbl>
                <w:p>
                  <w:pPr/>
                </w:p>
              </w:txbxContent>
            </v:textbox>
            <w10:wrap type="none"/>
          </v:shape>
        </w:pict>
      </w:r>
      <w:r>
        <w:rPr/>
        <w:t>合并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6"/>
        <w:spacing w:line="240" w:lineRule="auto" w:before="171"/>
        <w:ind w:left="1373" w:right="1133"/>
        <w:jc w:val="left"/>
        <w:rPr>
          <w:b w:val="0"/>
          <w:bCs w:val="0"/>
        </w:rPr>
      </w:pPr>
      <w:r>
        <w:rPr/>
        <w:pict>
          <v:shape style="position:absolute;margin-left:92.064003pt;margin-top:24.77367pt;width:504.7pt;height:69.7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5"/>
                    <w:gridCol w:w="2269"/>
                    <w:gridCol w:w="1700"/>
                    <w:gridCol w:w="1985"/>
                    <w:gridCol w:w="2549"/>
                  </w:tblGrid>
                  <w:tr>
                    <w:trPr>
                      <w:trHeight w:val="356" w:hRule="exact"/>
                    </w:trPr>
                    <w:tc>
                      <w:tcPr>
                        <w:tcW w:w="5523" w:type="dxa"/>
                        <w:gridSpan w:val="3"/>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原金融工具准则</w:t>
                        </w:r>
                      </w:p>
                    </w:tc>
                    <w:tc>
                      <w:tcPr>
                        <w:tcW w:w="4535" w:type="dxa"/>
                        <w:gridSpan w:val="2"/>
                        <w:tcBorders>
                          <w:top w:val="single" w:sz="6" w:space="0" w:color="000000"/>
                          <w:left w:val="single" w:sz="6" w:space="0" w:color="000000"/>
                          <w:bottom w:val="single" w:sz="12" w:space="0" w:color="000000"/>
                          <w:right w:val="nil" w:sz="6" w:space="0" w:color="auto"/>
                        </w:tcBorders>
                      </w:tcPr>
                      <w:p>
                        <w:pPr>
                          <w:pStyle w:val="TableParagraph"/>
                          <w:spacing w:line="274" w:lineRule="exact"/>
                          <w:ind w:left="2856"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53" w:hRule="exact"/>
                    </w:trPr>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708"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1274" w:right="0"/>
                          <w:jc w:val="left"/>
                          <w:rPr>
                            <w:rFonts w:ascii="宋体" w:hAnsi="宋体" w:cs="宋体" w:eastAsia="宋体" w:hint="default"/>
                            <w:sz w:val="21"/>
                            <w:szCs w:val="21"/>
                          </w:rPr>
                        </w:pPr>
                        <w:r>
                          <w:rPr>
                            <w:rFonts w:ascii="宋体" w:hAnsi="宋体" w:cs="宋体" w:eastAsia="宋体" w:hint="default"/>
                            <w:sz w:val="21"/>
                            <w:szCs w:val="21"/>
                          </w:rPr>
                          <w:t>计量类别</w:t>
                        </w:r>
                      </w:p>
                    </w:tc>
                  </w:tr>
                  <w:tr>
                    <w:trPr>
                      <w:trHeight w:val="665" w:hRule="exact"/>
                    </w:trPr>
                    <w:tc>
                      <w:tcPr>
                        <w:tcW w:w="155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62"/>
                          <w:jc w:val="left"/>
                          <w:rPr>
                            <w:rFonts w:ascii="宋体" w:hAnsi="宋体" w:cs="宋体" w:eastAsia="宋体" w:hint="default"/>
                            <w:sz w:val="21"/>
                            <w:szCs w:val="21"/>
                          </w:rPr>
                        </w:pPr>
                        <w:r>
                          <w:rPr>
                            <w:rFonts w:ascii="宋体" w:hAnsi="宋体" w:cs="宋体" w:eastAsia="宋体" w:hint="default"/>
                            <w:sz w:val="21"/>
                            <w:szCs w:val="21"/>
                          </w:rPr>
                          <w:t>可供出售金融资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以成本计量</w:t>
                        </w:r>
                        <w:r>
                          <w:rPr>
                            <w:rFonts w:ascii="宋体" w:hAnsi="宋体" w:cs="宋体" w:eastAsia="宋体" w:hint="default"/>
                            <w:sz w:val="21"/>
                            <w:szCs w:val="21"/>
                          </w:rPr>
                          <w:t>(</w:t>
                        </w:r>
                        <w:r>
                          <w:rPr>
                            <w:rFonts w:ascii="宋体" w:hAnsi="宋体" w:cs="宋体" w:eastAsia="宋体" w:hint="default"/>
                            <w:sz w:val="21"/>
                            <w:szCs w:val="21"/>
                          </w:rPr>
                          <w:t>权益工具</w:t>
                        </w:r>
                        <w:r>
                          <w:rPr>
                            <w:rFonts w:ascii="宋体" w:hAnsi="宋体" w:cs="宋体" w:eastAsia="宋体" w:hint="default"/>
                            <w:sz w:val="21"/>
                            <w:szCs w:val="21"/>
                          </w:rPr>
                          <w:t>)</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22" w:right="0"/>
                          <w:jc w:val="left"/>
                          <w:rPr>
                            <w:rFonts w:ascii="宋体" w:hAnsi="宋体" w:cs="宋体" w:eastAsia="宋体" w:hint="default"/>
                            <w:sz w:val="21"/>
                            <w:szCs w:val="21"/>
                          </w:rPr>
                        </w:pPr>
                        <w:r>
                          <w:rPr>
                            <w:rFonts w:ascii="宋体"/>
                            <w:sz w:val="21"/>
                          </w:rPr>
                          <w:t>3,000,000.00</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549"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 w:right="1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w:t>
                        </w:r>
                      </w:p>
                    </w:tc>
                  </w:tr>
                </w:tbl>
                <w:p>
                  <w:pPr/>
                </w:p>
              </w:txbxContent>
            </v:textbox>
            <w10:wrap type="none"/>
          </v:shape>
        </w:pict>
      </w:r>
      <w:r>
        <w:rPr/>
        <w:t>母公司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61" w:lineRule="auto" w:before="174"/>
        <w:ind w:right="986"/>
        <w:jc w:val="left"/>
      </w:pPr>
      <w:r>
        <w:rPr>
          <w:spacing w:val="-5"/>
          <w:w w:val="100"/>
        </w:rPr>
        <w:t>（</w:t>
      </w:r>
      <w:r>
        <w:rPr>
          <w:rFonts w:ascii="Times New Roman" w:hAnsi="Times New Roman" w:cs="Times New Roman" w:eastAsia="Times New Roman" w:hint="default"/>
          <w:spacing w:val="-5"/>
          <w:w w:val="100"/>
        </w:rPr>
        <w:t>3</w:t>
      </w:r>
      <w:r>
        <w:rPr>
          <w:spacing w:val="-5"/>
          <w:w w:val="100"/>
        </w:rPr>
        <w:t>）执行《企业会计准则第</w:t>
      </w:r>
      <w:r>
        <w:rPr>
          <w:rFonts w:ascii="Times New Roman" w:hAnsi="Times New Roman" w:cs="Times New Roman" w:eastAsia="Times New Roman" w:hint="default"/>
          <w:spacing w:val="-5"/>
          <w:w w:val="100"/>
        </w:rPr>
        <w:t>7</w:t>
      </w:r>
      <w:r>
        <w:rPr>
          <w:spacing w:val="-5"/>
          <w:w w:val="100"/>
        </w:rPr>
        <w:t>号——非货币性资产交换》（</w:t>
      </w:r>
      <w:r>
        <w:rPr>
          <w:rFonts w:ascii="Times New Roman" w:hAnsi="Times New Roman" w:cs="Times New Roman" w:eastAsia="Times New Roman" w:hint="default"/>
          <w:spacing w:val="-5"/>
          <w:w w:val="100"/>
        </w:rPr>
        <w:t>2019</w:t>
      </w:r>
      <w:r>
        <w:rPr>
          <w:spacing w:val="-5"/>
          <w:w w:val="100"/>
        </w:rPr>
        <w:t>修订）</w:t>
      </w:r>
      <w:r>
        <w:rPr>
          <w:spacing w:val="-87"/>
          <w:w w:val="100"/>
        </w:rPr>
        <w:t> </w:t>
      </w:r>
      <w:r>
        <w:rPr>
          <w:spacing w:val="-87"/>
          <w:w w:val="100"/>
        </w:rPr>
      </w:r>
      <w:r>
        <w:rPr>
          <w:spacing w:val="-9"/>
          <w:w w:val="100"/>
        </w:rPr>
        <w:t>财政部于</w:t>
      </w:r>
      <w:r>
        <w:rPr>
          <w:rFonts w:ascii="Times New Roman" w:hAnsi="Times New Roman" w:cs="Times New Roman" w:eastAsia="Times New Roman" w:hint="default"/>
          <w:spacing w:val="-9"/>
          <w:w w:val="100"/>
        </w:rPr>
        <w:t>2019</w:t>
      </w:r>
      <w:r>
        <w:rPr>
          <w:spacing w:val="-9"/>
          <w:w w:val="100"/>
        </w:rPr>
        <w:t>年</w:t>
      </w:r>
      <w:r>
        <w:rPr>
          <w:rFonts w:ascii="Times New Roman" w:hAnsi="Times New Roman" w:cs="Times New Roman" w:eastAsia="Times New Roman" w:hint="default"/>
          <w:spacing w:val="-9"/>
          <w:w w:val="100"/>
        </w:rPr>
        <w:t>5</w:t>
      </w:r>
      <w:r>
        <w:rPr>
          <w:spacing w:val="-9"/>
          <w:w w:val="100"/>
        </w:rPr>
        <w:t>月</w:t>
      </w:r>
      <w:r>
        <w:rPr>
          <w:rFonts w:ascii="Times New Roman" w:hAnsi="Times New Roman" w:cs="Times New Roman" w:eastAsia="Times New Roman" w:hint="default"/>
          <w:spacing w:val="-9"/>
          <w:w w:val="100"/>
        </w:rPr>
        <w:t>9</w:t>
      </w:r>
      <w:r>
        <w:rPr>
          <w:spacing w:val="-9"/>
          <w:w w:val="100"/>
        </w:rPr>
        <w:t>日发布了《企业会计准则第</w:t>
      </w:r>
      <w:r>
        <w:rPr>
          <w:rFonts w:ascii="Times New Roman" w:hAnsi="Times New Roman" w:cs="Times New Roman" w:eastAsia="Times New Roman" w:hint="default"/>
          <w:spacing w:val="-9"/>
          <w:w w:val="100"/>
        </w:rPr>
        <w:t>7</w:t>
      </w:r>
      <w:r>
        <w:rPr>
          <w:spacing w:val="-9"/>
          <w:w w:val="100"/>
        </w:rPr>
        <w:t>号——非货币性资产交换》（</w:t>
      </w:r>
      <w:r>
        <w:rPr>
          <w:rFonts w:ascii="Times New Roman" w:hAnsi="Times New Roman" w:cs="Times New Roman" w:eastAsia="Times New Roman" w:hint="default"/>
          <w:spacing w:val="-9"/>
          <w:w w:val="100"/>
        </w:rPr>
        <w:t>2019</w:t>
      </w:r>
      <w:r>
        <w:rPr>
          <w:spacing w:val="-9"/>
          <w:w w:val="100"/>
        </w:rPr>
        <w:t>修订）（财</w:t>
      </w:r>
      <w:r>
        <w:rPr>
          <w:spacing w:val="-98"/>
          <w:w w:val="100"/>
        </w:rPr>
        <w:t> </w:t>
      </w:r>
      <w:r>
        <w:rPr>
          <w:spacing w:val="-98"/>
          <w:w w:val="100"/>
        </w:rPr>
      </w:r>
      <w:r>
        <w:rPr>
          <w:spacing w:val="-2"/>
          <w:w w:val="100"/>
        </w:rPr>
        <w:t>会〔</w:t>
      </w:r>
      <w:r>
        <w:rPr>
          <w:rFonts w:ascii="Times New Roman" w:hAnsi="Times New Roman" w:cs="Times New Roman" w:eastAsia="Times New Roman" w:hint="default"/>
          <w:spacing w:val="-2"/>
          <w:w w:val="100"/>
        </w:rPr>
        <w:t>2019</w:t>
      </w:r>
      <w:r>
        <w:rPr>
          <w:spacing w:val="-2"/>
          <w:w w:val="100"/>
        </w:rPr>
        <w:t>〕</w:t>
      </w:r>
      <w:r>
        <w:rPr>
          <w:rFonts w:ascii="Times New Roman" w:hAnsi="Times New Roman" w:cs="Times New Roman" w:eastAsia="Times New Roman" w:hint="default"/>
          <w:spacing w:val="-2"/>
          <w:w w:val="100"/>
        </w:rPr>
        <w:t>8</w:t>
      </w:r>
      <w:r>
        <w:rPr>
          <w:spacing w:val="-2"/>
          <w:w w:val="100"/>
        </w:rPr>
        <w:t>号），修订后的准则自</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6</w:t>
      </w:r>
      <w:r>
        <w:rPr>
          <w:spacing w:val="-2"/>
          <w:w w:val="100"/>
        </w:rPr>
        <w:t>月</w:t>
      </w:r>
      <w:r>
        <w:rPr>
          <w:rFonts w:ascii="Times New Roman" w:hAnsi="Times New Roman" w:cs="Times New Roman" w:eastAsia="Times New Roman" w:hint="default"/>
          <w:spacing w:val="-2"/>
          <w:w w:val="100"/>
        </w:rPr>
        <w:t>10</w:t>
      </w:r>
      <w:r>
        <w:rPr>
          <w:spacing w:val="-2"/>
          <w:w w:val="100"/>
        </w:rPr>
        <w:t>日起施行，对</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1</w:t>
      </w:r>
      <w:r>
        <w:rPr>
          <w:spacing w:val="-2"/>
          <w:w w:val="100"/>
        </w:rPr>
        <w:t>月</w:t>
      </w:r>
      <w:r>
        <w:rPr>
          <w:rFonts w:ascii="Times New Roman" w:hAnsi="Times New Roman" w:cs="Times New Roman" w:eastAsia="Times New Roman" w:hint="default"/>
          <w:spacing w:val="-2"/>
          <w:w w:val="100"/>
        </w:rPr>
        <w:t>1</w:t>
      </w:r>
      <w:r>
        <w:rPr>
          <w:spacing w:val="-2"/>
          <w:w w:val="100"/>
        </w:rPr>
        <w:t>日至本准则施行日</w:t>
      </w:r>
      <w:r>
        <w:rPr>
          <w:spacing w:val="-99"/>
          <w:w w:val="100"/>
        </w:rPr>
        <w:t> </w:t>
      </w:r>
      <w:r>
        <w:rPr>
          <w:spacing w:val="-99"/>
          <w:w w:val="100"/>
        </w:rPr>
      </w:r>
      <w:r>
        <w:rPr>
          <w:spacing w:val="-3"/>
        </w:rPr>
        <w:t>之间发生的非货币性资产交换，应根据本准则进行调整。对</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日之前发生的非货币</w:t>
      </w:r>
      <w:r>
        <w:rPr>
          <w:spacing w:val="-20"/>
        </w:rPr>
        <w:t> </w:t>
      </w:r>
      <w:r>
        <w:rPr>
          <w:spacing w:val="-20"/>
        </w:rPr>
      </w:r>
      <w:r>
        <w:rPr>
          <w:spacing w:val="-3"/>
        </w:rPr>
        <w:t>性资产交换，不需要按照本准则的规定进行追溯调整。本公司执行上述准则在本报告期内无</w:t>
      </w:r>
      <w:r>
        <w:rPr>
          <w:spacing w:val="-31"/>
        </w:rPr>
        <w:t> </w:t>
      </w:r>
      <w:r>
        <w:rPr>
          <w:spacing w:val="-31"/>
        </w:rPr>
      </w:r>
      <w:r>
        <w:rPr/>
        <w:t>重大影响。</w:t>
      </w:r>
    </w:p>
    <w:p>
      <w:pPr>
        <w:spacing w:line="240" w:lineRule="auto" w:before="4"/>
        <w:rPr>
          <w:rFonts w:ascii="宋体" w:hAnsi="宋体" w:cs="宋体" w:eastAsia="宋体" w:hint="default"/>
          <w:sz w:val="25"/>
          <w:szCs w:val="25"/>
        </w:rPr>
      </w:pPr>
    </w:p>
    <w:p>
      <w:pPr>
        <w:pStyle w:val="BodyText"/>
        <w:spacing w:line="268" w:lineRule="auto"/>
        <w:ind w:left="112" w:right="1133" w:firstLine="1277"/>
        <w:jc w:val="left"/>
      </w:pPr>
      <w:r>
        <w:rPr>
          <w:spacing w:val="-5"/>
          <w:w w:val="100"/>
        </w:rPr>
        <w:t>（</w:t>
      </w:r>
      <w:r>
        <w:rPr>
          <w:rFonts w:ascii="Times New Roman" w:hAnsi="Times New Roman" w:cs="Times New Roman" w:eastAsia="Times New Roman" w:hint="default"/>
          <w:spacing w:val="-5"/>
          <w:w w:val="100"/>
        </w:rPr>
        <w:t>4</w:t>
      </w:r>
      <w:r>
        <w:rPr>
          <w:spacing w:val="-5"/>
          <w:w w:val="100"/>
        </w:rPr>
        <w:t>）执行《企业会计准则第</w:t>
      </w:r>
      <w:r>
        <w:rPr>
          <w:rFonts w:ascii="Times New Roman" w:hAnsi="Times New Roman" w:cs="Times New Roman" w:eastAsia="Times New Roman" w:hint="default"/>
          <w:spacing w:val="-5"/>
          <w:w w:val="100"/>
        </w:rPr>
        <w:t>12</w:t>
      </w:r>
      <w:r>
        <w:rPr>
          <w:spacing w:val="-5"/>
          <w:w w:val="100"/>
        </w:rPr>
        <w:t>号——债务重组》（</w:t>
      </w:r>
      <w:r>
        <w:rPr>
          <w:rFonts w:ascii="Times New Roman" w:hAnsi="Times New Roman" w:cs="Times New Roman" w:eastAsia="Times New Roman" w:hint="default"/>
          <w:spacing w:val="-5"/>
          <w:w w:val="100"/>
        </w:rPr>
        <w:t>2019</w:t>
      </w:r>
      <w:r>
        <w:rPr>
          <w:spacing w:val="-5"/>
          <w:w w:val="100"/>
        </w:rPr>
        <w:t>修订）</w:t>
      </w:r>
      <w:r>
        <w:rPr>
          <w:w w:val="100"/>
        </w:rPr>
        <w:t> </w:t>
      </w:r>
      <w:r>
        <w:rPr>
          <w:spacing w:val="-7"/>
          <w:w w:val="100"/>
        </w:rPr>
        <w:t>财政部于</w:t>
      </w:r>
      <w:r>
        <w:rPr>
          <w:rFonts w:ascii="宋体" w:hAnsi="宋体" w:cs="宋体" w:eastAsia="宋体" w:hint="default"/>
          <w:spacing w:val="-7"/>
          <w:w w:val="100"/>
        </w:rPr>
        <w:t>2019</w:t>
      </w:r>
      <w:r>
        <w:rPr>
          <w:spacing w:val="-7"/>
          <w:w w:val="100"/>
        </w:rPr>
        <w:t>年</w:t>
      </w:r>
      <w:r>
        <w:rPr>
          <w:rFonts w:ascii="宋体" w:hAnsi="宋体" w:cs="宋体" w:eastAsia="宋体" w:hint="default"/>
          <w:spacing w:val="-7"/>
          <w:w w:val="100"/>
        </w:rPr>
        <w:t>5</w:t>
      </w:r>
      <w:r>
        <w:rPr>
          <w:spacing w:val="-7"/>
          <w:w w:val="100"/>
        </w:rPr>
        <w:t>月</w:t>
      </w:r>
      <w:r>
        <w:rPr>
          <w:rFonts w:ascii="宋体" w:hAnsi="宋体" w:cs="宋体" w:eastAsia="宋体" w:hint="default"/>
          <w:spacing w:val="-7"/>
          <w:w w:val="100"/>
        </w:rPr>
        <w:t>16</w:t>
      </w:r>
      <w:r>
        <w:rPr>
          <w:spacing w:val="-7"/>
          <w:w w:val="100"/>
        </w:rPr>
        <w:t>日发布了《企业会计准则第</w:t>
      </w:r>
      <w:r>
        <w:rPr>
          <w:rFonts w:ascii="宋体" w:hAnsi="宋体" w:cs="宋体" w:eastAsia="宋体" w:hint="default"/>
          <w:spacing w:val="-7"/>
          <w:w w:val="100"/>
        </w:rPr>
        <w:t>12</w:t>
      </w:r>
      <w:r>
        <w:rPr>
          <w:spacing w:val="-7"/>
          <w:w w:val="100"/>
        </w:rPr>
        <w:t>号——债务重组》（</w:t>
      </w:r>
      <w:r>
        <w:rPr>
          <w:rFonts w:ascii="宋体" w:hAnsi="宋体" w:cs="宋体" w:eastAsia="宋体" w:hint="default"/>
          <w:spacing w:val="-7"/>
          <w:w w:val="100"/>
        </w:rPr>
        <w:t>2019</w:t>
      </w:r>
      <w:r>
        <w:rPr>
          <w:spacing w:val="-7"/>
          <w:w w:val="100"/>
        </w:rPr>
        <w:t>修订）（财会〔</w:t>
      </w:r>
      <w:r>
        <w:rPr>
          <w:rFonts w:ascii="宋体" w:hAnsi="宋体" w:cs="宋体" w:eastAsia="宋体" w:hint="default"/>
          <w:spacing w:val="-7"/>
          <w:w w:val="100"/>
        </w:rPr>
        <w:t>2019</w:t>
      </w:r>
      <w:r>
        <w:rPr>
          <w:spacing w:val="-7"/>
          <w:w w:val="100"/>
        </w:rPr>
        <w:t>〕</w:t>
      </w:r>
      <w:r>
        <w:rPr>
          <w:rFonts w:ascii="宋体" w:hAnsi="宋体" w:cs="宋体" w:eastAsia="宋体" w:hint="default"/>
          <w:spacing w:val="-7"/>
          <w:w w:val="100"/>
        </w:rPr>
        <w:t>9</w:t>
      </w:r>
      <w:r>
        <w:rPr>
          <w:spacing w:val="-7"/>
          <w:w w:val="100"/>
        </w:rPr>
        <w:t>号），</w:t>
      </w:r>
      <w:r>
        <w:rPr>
          <w:spacing w:val="-99"/>
          <w:w w:val="100"/>
        </w:rPr>
        <w:t> </w:t>
      </w:r>
      <w:r>
        <w:rPr>
          <w:spacing w:val="-99"/>
          <w:w w:val="100"/>
        </w:rPr>
      </w:r>
      <w:r>
        <w:rPr/>
        <w:t>修订后的准则自</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日起施行，对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日至本准则施行日之间发生的债务重组，应根据本</w:t>
      </w:r>
      <w:r>
        <w:rPr>
          <w:w w:val="100"/>
        </w:rPr>
        <w:t> </w:t>
      </w:r>
      <w:r>
        <w:rPr>
          <w:spacing w:val="-2"/>
        </w:rPr>
        <w:t>准则进行调整。对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日之前发生的债务重组，不需要按照本准则的规定进行追溯调整。本公司执</w:t>
      </w:r>
      <w:r>
        <w:rPr>
          <w:spacing w:val="-43"/>
        </w:rPr>
        <w:t> </w:t>
      </w:r>
      <w:r>
        <w:rPr>
          <w:spacing w:val="-43"/>
        </w:rPr>
      </w:r>
      <w:r>
        <w:rPr/>
        <w:t>行上述准则在本报告期内无重大影响。</w:t>
      </w:r>
    </w:p>
    <w:p>
      <w:pPr>
        <w:spacing w:line="240" w:lineRule="auto" w:before="11"/>
        <w:rPr>
          <w:rFonts w:ascii="宋体" w:hAnsi="宋体" w:cs="宋体" w:eastAsia="宋体" w:hint="default"/>
          <w:sz w:val="23"/>
          <w:szCs w:val="23"/>
        </w:rPr>
      </w:pPr>
    </w:p>
    <w:p>
      <w:pPr>
        <w:pStyle w:val="Heading6"/>
        <w:spacing w:line="240" w:lineRule="auto"/>
        <w:ind w:right="1133"/>
        <w:jc w:val="left"/>
        <w:rPr>
          <w:b w:val="0"/>
          <w:bCs w:val="0"/>
        </w:rPr>
      </w:pPr>
      <w:bookmarkStart w:name="（2）重要会计估计变更" w:id="228"/>
      <w:bookmarkEnd w:id="22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986"/>
        <w:jc w:val="left"/>
        <w:rPr>
          <w:b w:val="0"/>
          <w:bCs w:val="0"/>
        </w:rPr>
      </w:pPr>
      <w:bookmarkStart w:name="（3）2019年起执行新金融工具准则、新收入准则或新租赁准则调整执行当年年初财务" w:id="229"/>
      <w:bookmarkEnd w:id="229"/>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line="360" w:lineRule="auto"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647" w:space="7273"/>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7" w:right="0"/>
              <w:jc w:val="left"/>
              <w:rPr>
                <w:rFonts w:ascii="Times New Roman" w:hAnsi="Times New Roman" w:cs="Times New Roman" w:eastAsia="Times New Roman" w:hint="default"/>
                <w:sz w:val="18"/>
                <w:szCs w:val="18"/>
              </w:rPr>
            </w:pPr>
            <w:r>
              <w:rPr>
                <w:rFonts w:ascii="Times New Roman"/>
                <w:sz w:val="18"/>
              </w:rPr>
              <w:t>213,633,815.74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7" w:right="0"/>
              <w:jc w:val="left"/>
              <w:rPr>
                <w:rFonts w:ascii="Times New Roman" w:hAnsi="Times New Roman" w:cs="Times New Roman" w:eastAsia="Times New Roman" w:hint="default"/>
                <w:sz w:val="18"/>
                <w:szCs w:val="18"/>
              </w:rPr>
            </w:pPr>
            <w:r>
              <w:rPr>
                <w:rFonts w:ascii="Times New Roman"/>
                <w:sz w:val="18"/>
              </w:rPr>
              <w:t>213,633,815.74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354,806,506.77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354,806,506.77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12,179,590.36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12,179,590.36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52,280,954.83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52,280,954.83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348,998,005.46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348,998,005.46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6,986,539.26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6,986,539.26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988,885,412.42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988,885,412.42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14,984,423.74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14,984,423.74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23,149,232.00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16,417,086.39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16,417,086.39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274,414,892.58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274,414,892.58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30,798,905.11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30,798,905.11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10,737,367.68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10,737,367.68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15,804,938.19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15,804,938.19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53,948.70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386,157,613.69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386,360,794.39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203,180.70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1,375,043,026.11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1,375,246,206.81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203,180.70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222,500,000.00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49,375,341.80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49,375,341.80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178,913,005.63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178,913,005.63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139,240,861.02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139,240,861.02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23,398,600.12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23,398,600.12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58,170,839.43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58,170,839.43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39,257,223.57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39,257,223.57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516,104.23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516,104.23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713,855,871.57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713,855,871.57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162,000,000.00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17,312,000.00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17,312,000.00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95,000.02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95,000.02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76,333.50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179,407,000.02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179,483,333.52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76,333.50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893,262,871.59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893,339,205.09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76,333.50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121,993,920.00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121,993,920.00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140,065,907.86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140,065,907.86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37,410,991.66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37,410,991.66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21,158,362.78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21,201,618.43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43,255.65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206,776,284.56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206,859,876.11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83,591.55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205"/>
        <w:gridCol w:w="2453"/>
        <w:gridCol w:w="2456"/>
        <w:gridCol w:w="2453"/>
      </w:tblGrid>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1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452,583,483.54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452,710,330.74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126,847.20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29,196,670.98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29,196,670.98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481,780,154.52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481,907,001.72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126,847.20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1,375,043,026.11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1,375,246,206.81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203,180.70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357" w:lineRule="auto"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553" w:space="7367"/>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115,391,728.89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115,391,728.89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345,340,462.61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345,340,462.61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64,654,672.58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64,654,672.58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95,687,524.76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95,687,524.76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226,031,599.28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226,031,599.28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6,986,539.26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6,986,539.26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854,092,527.38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854,092,527.38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90"/>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5" w:right="0"/>
              <w:jc w:val="left"/>
              <w:rPr>
                <w:rFonts w:ascii="Times New Roman" w:hAnsi="Times New Roman" w:cs="Times New Roman" w:eastAsia="Times New Roman" w:hint="default"/>
                <w:sz w:val="18"/>
                <w:szCs w:val="18"/>
              </w:rPr>
            </w:pPr>
            <w:r>
              <w:rPr>
                <w:rFonts w:ascii="Times New Roman"/>
                <w:sz w:val="18"/>
              </w:rPr>
              <w:t>-3,000,000.00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14,984,423.74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14,984,423.74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106,100,000.00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106,100,000.00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3,508,889.97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3,508,889.97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7,475,417.68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7,475,417.68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10,150,343.70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10,150,343.70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1,897,025.37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1,897,025.37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12,819,513.01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12,819,513.01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156,426,723.50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156,935,613.47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508,889.97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1,010,519,250.88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1,011,028,140.85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508,889.97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212,500,000.00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0"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59,375,341.80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59,375,341.80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139,156,560.17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139,156,560.17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116,948,392.35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116,948,392.35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17,588,754.71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17,588,754.71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53,285,260.10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53,285,260.10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37,509,357.43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37,509,357.43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298,395.90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298,395.90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6"/>
        <w:gridCol w:w="2453"/>
        <w:gridCol w:w="2456"/>
        <w:gridCol w:w="2453"/>
      </w:tblGrid>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636,363,666.56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636,363,666.56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14,257,000.00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14,257,000.00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76,333.50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76,333.50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14,257,000.00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14,333,333.50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76,333.50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650,620,666.56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650,697,000.06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76,333.50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121,993,920.00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121,993,920.00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140,055,568.49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140,055,568.49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37,410,991.66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37,410,991.66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21,158,362.78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21,201,618.43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43,255.65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114,101,724.71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114,491,025.53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389,300.82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359,898,584.32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360,331,140.79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432,556.47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1,010,519,250.88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1,011,028,140.85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508,889.97</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2019年起执行新金融工具准则或新租赁准则追溯调整前期比较数据说明" w:id="230"/>
      <w:bookmarkEnd w:id="230"/>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487" w:lineRule="auto" w:before="36"/>
        <w:ind w:left="112" w:right="8968" w:firstLine="0"/>
        <w:jc w:val="left"/>
        <w:rPr>
          <w:rFonts w:ascii="宋体" w:hAnsi="宋体" w:cs="宋体" w:eastAsia="宋体" w:hint="default"/>
          <w:sz w:val="21"/>
          <w:szCs w:val="21"/>
        </w:rPr>
      </w:pPr>
      <w:bookmarkStart w:name="45、其他" w:id="231"/>
      <w:bookmarkEnd w:id="231"/>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32"/>
      <w:bookmarkEnd w:id="232"/>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3"/>
      <w:bookmarkEnd w:id="2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3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上海中信信息发展股份有限公司（即本公司）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光典信息发展有限公司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上海追索信息科技有限公司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追溯云（上海）信用科技有限公司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追溯云信息发展股份有限公司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免征</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税收优惠" w:id="234"/>
      <w:bookmarkEnd w:id="23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3"/>
        <w:rPr>
          <w:rFonts w:ascii="宋体" w:hAnsi="宋体" w:cs="宋体" w:eastAsia="宋体" w:hint="default"/>
          <w:b/>
          <w:bCs/>
          <w:sz w:val="21"/>
          <w:szCs w:val="21"/>
        </w:rPr>
      </w:pPr>
    </w:p>
    <w:p>
      <w:pPr>
        <w:pStyle w:val="BodyText"/>
        <w:spacing w:line="266" w:lineRule="auto" w:before="36"/>
        <w:ind w:left="1368" w:right="986" w:firstLine="12"/>
        <w:jc w:val="left"/>
      </w:pPr>
      <w:r>
        <w:rPr>
          <w:rFonts w:ascii="宋体" w:hAnsi="宋体" w:cs="宋体" w:eastAsia="宋体" w:hint="default"/>
          <w:b/>
          <w:bCs/>
        </w:rPr>
        <w:t>1</w:t>
      </w:r>
      <w:r>
        <w:rPr>
          <w:rFonts w:ascii="宋体" w:hAnsi="宋体" w:cs="宋体" w:eastAsia="宋体" w:hint="default"/>
          <w:b/>
          <w:bCs/>
        </w:rPr>
        <w:t>、增值税</w:t>
      </w:r>
      <w:r>
        <w:rPr>
          <w:rFonts w:ascii="宋体" w:hAnsi="宋体" w:cs="宋体" w:eastAsia="宋体" w:hint="default"/>
          <w:b/>
          <w:bCs/>
          <w:w w:val="100"/>
        </w:rPr>
        <w:t> </w:t>
      </w:r>
      <w:r>
        <w:rPr>
          <w:spacing w:val="-7"/>
          <w:w w:val="100"/>
        </w:rPr>
        <w:t>根据国务院发布的《关于印发进一步鼓励软件产业和集成电路产业发展若干政策的通知》（国</w:t>
      </w:r>
      <w:r>
        <w:rPr>
          <w:w w:val="100"/>
        </w:rPr>
        <w:t> </w:t>
      </w:r>
      <w:r>
        <w:rPr>
          <w:spacing w:val="-3"/>
        </w:rPr>
        <w:t>发</w:t>
      </w:r>
      <w:r>
        <w:rPr>
          <w:rFonts w:ascii="Times New Roman" w:hAnsi="Times New Roman" w:cs="Times New Roman" w:eastAsia="Times New Roman" w:hint="default"/>
          <w:spacing w:val="-3"/>
        </w:rPr>
        <w:t>[2011]4</w:t>
      </w:r>
      <w:r>
        <w:rPr>
          <w:spacing w:val="-3"/>
        </w:rPr>
        <w:t>号）的规定，对增值税一般纳税人销售其自行开发生产的软件产品，按法定税率征</w:t>
      </w:r>
      <w:r>
        <w:rPr>
          <w:spacing w:val="-37"/>
        </w:rPr>
        <w:t> </w:t>
      </w:r>
      <w:r>
        <w:rPr>
          <w:spacing w:val="-37"/>
        </w:rPr>
      </w:r>
      <w:r>
        <w:rPr>
          <w:spacing w:val="-4"/>
        </w:rPr>
        <w:t>收增值税后，对增值税实际税负超过</w:t>
      </w:r>
      <w:r>
        <w:rPr>
          <w:rFonts w:ascii="Times New Roman" w:hAnsi="Times New Roman" w:cs="Times New Roman" w:eastAsia="Times New Roman" w:hint="default"/>
          <w:spacing w:val="-4"/>
        </w:rPr>
        <w:t>3%</w:t>
      </w:r>
      <w:r>
        <w:rPr>
          <w:spacing w:val="-4"/>
        </w:rPr>
        <w:t>的部分实行即征即退政策。本公司销售的软件产品符</w:t>
      </w:r>
      <w:r>
        <w:rPr>
          <w:spacing w:val="-42"/>
        </w:rPr>
        <w:t> </w:t>
      </w:r>
      <w:r>
        <w:rPr>
          <w:spacing w:val="-42"/>
        </w:rPr>
      </w:r>
      <w:r>
        <w:rPr/>
        <w:t>合该项优惠政策。</w:t>
      </w:r>
      <w:r>
        <w:rPr>
          <w:w w:val="100"/>
        </w:rPr>
        <w:t> </w:t>
      </w:r>
      <w:r>
        <w:rPr>
          <w:spacing w:val="-2"/>
        </w:rPr>
        <w:t>根据财政部、国家税务总局《关于在上海开展交通运输业和部分现代服务业营业税改征增值</w:t>
      </w:r>
      <w:r>
        <w:rPr>
          <w:spacing w:val="-54"/>
        </w:rPr>
        <w:t> </w:t>
      </w:r>
      <w:r>
        <w:rPr>
          <w:spacing w:val="-54"/>
        </w:rPr>
      </w:r>
      <w:r>
        <w:rPr>
          <w:spacing w:val="-14"/>
          <w:w w:val="100"/>
        </w:rPr>
        <w:t>税试点的通知》（财税【</w:t>
      </w:r>
      <w:r>
        <w:rPr>
          <w:rFonts w:ascii="Times New Roman" w:hAnsi="Times New Roman" w:cs="Times New Roman" w:eastAsia="Times New Roman" w:hint="default"/>
          <w:spacing w:val="-14"/>
          <w:w w:val="100"/>
        </w:rPr>
        <w:t>2011</w:t>
      </w:r>
      <w:r>
        <w:rPr>
          <w:spacing w:val="-14"/>
          <w:w w:val="100"/>
        </w:rPr>
        <w:t>】</w:t>
      </w:r>
      <w:r>
        <w:rPr>
          <w:rFonts w:ascii="Times New Roman" w:hAnsi="Times New Roman" w:cs="Times New Roman" w:eastAsia="Times New Roman" w:hint="default"/>
          <w:spacing w:val="-14"/>
          <w:w w:val="100"/>
        </w:rPr>
        <w:t>111</w:t>
      </w:r>
      <w:r>
        <w:rPr>
          <w:spacing w:val="-14"/>
          <w:w w:val="100"/>
        </w:rPr>
        <w:t>号）、《营业税改征增值税免税优惠政策过渡操作意见》，本</w:t>
      </w:r>
      <w:r>
        <w:rPr>
          <w:spacing w:val="-74"/>
          <w:w w:val="100"/>
        </w:rPr>
        <w:t> </w:t>
      </w:r>
      <w:r>
        <w:rPr>
          <w:spacing w:val="-74"/>
          <w:w w:val="100"/>
        </w:rPr>
      </w:r>
      <w:r>
        <w:rPr/>
        <w:t>公司及各子公司经主管税务机关审核并按规定程序审批后的技术开发业务免征增值税。</w:t>
      </w:r>
    </w:p>
    <w:p>
      <w:pPr>
        <w:spacing w:line="240" w:lineRule="auto" w:before="12"/>
        <w:rPr>
          <w:rFonts w:ascii="宋体" w:hAnsi="宋体" w:cs="宋体" w:eastAsia="宋体" w:hint="default"/>
          <w:sz w:val="24"/>
          <w:szCs w:val="24"/>
        </w:rPr>
      </w:pPr>
    </w:p>
    <w:p>
      <w:pPr>
        <w:pStyle w:val="Heading6"/>
        <w:spacing w:line="240" w:lineRule="auto"/>
        <w:ind w:left="1368" w:right="0"/>
        <w:jc w:val="both"/>
        <w:rPr>
          <w:b w:val="0"/>
          <w:bCs w:val="0"/>
        </w:rPr>
      </w:pPr>
      <w:r>
        <w:rPr>
          <w:rFonts w:ascii="Times New Roman" w:hAnsi="Times New Roman" w:cs="Times New Roman" w:eastAsia="Times New Roman" w:hint="default"/>
        </w:rPr>
        <w:t>2</w:t>
      </w:r>
      <w:r>
        <w:rPr/>
        <w:t>、企业所得税</w:t>
      </w:r>
      <w:r>
        <w:rPr>
          <w:b w:val="0"/>
          <w:bCs w:val="0"/>
        </w:rPr>
      </w:r>
    </w:p>
    <w:p>
      <w:pPr>
        <w:pStyle w:val="BodyText"/>
        <w:spacing w:line="264" w:lineRule="auto" w:before="21"/>
        <w:ind w:left="1387" w:right="113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日，本公司取得上海市科学技术委员会、上海市财政局、上海市国家税</w:t>
      </w:r>
      <w:r>
        <w:rPr>
          <w:spacing w:val="-38"/>
        </w:rPr>
        <w:t> </w:t>
      </w:r>
      <w:r>
        <w:rPr>
          <w:spacing w:val="-38"/>
        </w:rPr>
      </w:r>
      <w:r>
        <w:rPr>
          <w:spacing w:val="-3"/>
          <w:w w:val="100"/>
        </w:rPr>
        <w:t>务局和上海市地方税务局颁发的《高新技术企业证书》，本公司通过复审，继续被认定高新</w:t>
      </w:r>
      <w:r>
        <w:rPr>
          <w:spacing w:val="-70"/>
          <w:w w:val="100"/>
        </w:rPr>
        <w:t> </w:t>
      </w:r>
      <w:r>
        <w:rPr>
          <w:spacing w:val="-70"/>
          <w:w w:val="100"/>
        </w:rPr>
      </w:r>
      <w:r>
        <w:rPr/>
        <w:t>技术企业，有效期为</w:t>
      </w:r>
      <w:r>
        <w:rPr>
          <w:rFonts w:ascii="Times New Roman" w:hAnsi="Times New Roman" w:cs="Times New Roman" w:eastAsia="Times New Roman" w:hint="default"/>
        </w:rPr>
        <w:t>3</w:t>
      </w:r>
      <w:r>
        <w:rPr/>
        <w:t>年。因此，本公司</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的税率缴纳企业所得税。</w:t>
      </w:r>
    </w:p>
    <w:p>
      <w:pPr>
        <w:pStyle w:val="BodyText"/>
        <w:spacing w:line="264" w:lineRule="auto"/>
        <w:ind w:left="1387" w:right="1023"/>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日，子公司上海金档信息技术有限公司取得上海市科学技术委员会、上</w:t>
      </w:r>
      <w:r>
        <w:rPr>
          <w:spacing w:val="-38"/>
        </w:rPr>
        <w:t> </w:t>
      </w:r>
      <w:r>
        <w:rPr>
          <w:spacing w:val="-38"/>
        </w:rPr>
      </w:r>
      <w:r>
        <w:rPr>
          <w:spacing w:val="-3"/>
          <w:w w:val="100"/>
        </w:rPr>
        <w:t>海市财政局、上海市国家税务局、上海市地方税务局颁发的《高新技术企业证书》，被认定</w:t>
      </w:r>
      <w:r>
        <w:rPr>
          <w:spacing w:val="-69"/>
          <w:w w:val="100"/>
        </w:rPr>
        <w:t> </w:t>
      </w:r>
      <w:r>
        <w:rPr>
          <w:spacing w:val="-69"/>
          <w:w w:val="100"/>
        </w:rPr>
      </w:r>
      <w:r>
        <w:rPr>
          <w:spacing w:val="-2"/>
        </w:rPr>
        <w:t>为高新技术企业，有效期为</w:t>
      </w:r>
      <w:r>
        <w:rPr>
          <w:rFonts w:ascii="Times New Roman" w:hAnsi="Times New Roman" w:cs="Times New Roman" w:eastAsia="Times New Roman" w:hint="default"/>
          <w:spacing w:val="-2"/>
        </w:rPr>
        <w:t>3</w:t>
      </w:r>
      <w:r>
        <w:rPr>
          <w:spacing w:val="-2"/>
        </w:rPr>
        <w:t>年。因此，该子公司</w:t>
      </w:r>
      <w:r>
        <w:rPr>
          <w:rFonts w:ascii="Times New Roman" w:hAnsi="Times New Roman" w:cs="Times New Roman" w:eastAsia="Times New Roman" w:hint="default"/>
          <w:spacing w:val="-2"/>
        </w:rPr>
        <w:t>2019</w:t>
      </w:r>
      <w:r>
        <w:rPr>
          <w:spacing w:val="-2"/>
        </w:rPr>
        <w:t>年度减按</w:t>
      </w:r>
      <w:r>
        <w:rPr>
          <w:rFonts w:ascii="Times New Roman" w:hAnsi="Times New Roman" w:cs="Times New Roman" w:eastAsia="Times New Roman" w:hint="default"/>
          <w:spacing w:val="-2"/>
        </w:rPr>
        <w:t>15%</w:t>
      </w:r>
      <w:r>
        <w:rPr>
          <w:spacing w:val="-2"/>
        </w:rPr>
        <w:t>的税率征收企业所得税。</w:t>
      </w:r>
    </w:p>
    <w:p>
      <w:pPr>
        <w:spacing w:after="0" w:line="264"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66" w:lineRule="auto" w:before="36"/>
        <w:ind w:left="1387" w:right="1131"/>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日，子公司光典信息发展有限公司取得上海市科学技术委员会、上海市</w:t>
      </w:r>
      <w:r>
        <w:rPr>
          <w:spacing w:val="-38"/>
        </w:rPr>
        <w:t> </w:t>
      </w:r>
      <w:r>
        <w:rPr>
          <w:spacing w:val="-38"/>
        </w:rPr>
      </w:r>
      <w:r>
        <w:rPr>
          <w:spacing w:val="-3"/>
          <w:w w:val="100"/>
        </w:rPr>
        <w:t>财政局、上海市国家税务局、上海市地方税务局颁发的《高新技术企业证书》，被认定为高</w:t>
      </w:r>
      <w:r>
        <w:rPr>
          <w:spacing w:val="-70"/>
          <w:w w:val="100"/>
        </w:rPr>
        <w:t> </w:t>
      </w:r>
      <w:r>
        <w:rPr>
          <w:spacing w:val="-70"/>
          <w:w w:val="100"/>
        </w:rPr>
      </w:r>
      <w:r>
        <w:rPr/>
        <w:t>新技术企业，有效期为</w:t>
      </w:r>
      <w:r>
        <w:rPr>
          <w:rFonts w:ascii="Times New Roman" w:hAnsi="Times New Roman" w:cs="Times New Roman" w:eastAsia="Times New Roman" w:hint="default"/>
        </w:rPr>
        <w:t>3</w:t>
      </w:r>
      <w:r>
        <w:rPr/>
        <w:t>年。因此，该子公司</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的税率征收企业所得税。</w:t>
      </w:r>
    </w:p>
    <w:p>
      <w:pPr>
        <w:pStyle w:val="BodyText"/>
        <w:spacing w:line="261" w:lineRule="auto"/>
        <w:ind w:left="1387" w:right="986"/>
        <w:jc w:val="left"/>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日，控股子公司上海追索信息科技有限公司取得上海市科学技术委员会、</w:t>
      </w:r>
      <w:r>
        <w:rPr>
          <w:spacing w:val="-13"/>
        </w:rPr>
        <w:t> </w:t>
      </w:r>
      <w:r>
        <w:rPr>
          <w:spacing w:val="-13"/>
        </w:rPr>
      </w:r>
      <w:r>
        <w:rPr>
          <w:spacing w:val="-3"/>
          <w:w w:val="100"/>
        </w:rPr>
        <w:t>上海市财政局、上海市国家税务局、上海市地方税务局颁发的《高新技术企业证书》，被认</w:t>
      </w:r>
      <w:r>
        <w:rPr>
          <w:spacing w:val="-69"/>
          <w:w w:val="100"/>
        </w:rPr>
        <w:t> </w:t>
      </w:r>
      <w:r>
        <w:rPr>
          <w:spacing w:val="-69"/>
          <w:w w:val="100"/>
        </w:rPr>
      </w:r>
      <w:r>
        <w:rPr/>
        <w:t>定为高新技术企业，有效期为</w:t>
      </w:r>
      <w:r>
        <w:rPr>
          <w:rFonts w:ascii="Times New Roman" w:hAnsi="Times New Roman" w:cs="Times New Roman" w:eastAsia="Times New Roman" w:hint="default"/>
        </w:rPr>
        <w:t>3</w:t>
      </w:r>
      <w:r>
        <w:rPr/>
        <w:t>年。因此，该子公司</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的税率缴纳企业所得</w:t>
      </w:r>
      <w:r>
        <w:rPr>
          <w:spacing w:val="-6"/>
        </w:rPr>
        <w:t> </w:t>
      </w:r>
      <w:r>
        <w:rPr>
          <w:spacing w:val="-6"/>
        </w:rPr>
      </w:r>
      <w:r>
        <w:rPr/>
        <w:t>税。</w:t>
      </w:r>
    </w:p>
    <w:p>
      <w:pPr>
        <w:pStyle w:val="BodyText"/>
        <w:spacing w:line="256" w:lineRule="auto" w:before="18"/>
        <w:ind w:left="1387" w:right="1126"/>
        <w:jc w:val="both"/>
      </w:pPr>
      <w:r>
        <w:rPr>
          <w:spacing w:val="-6"/>
        </w:rPr>
        <w:t>（</w:t>
      </w:r>
      <w:r>
        <w:rPr>
          <w:rFonts w:ascii="Times New Roman" w:hAnsi="Times New Roman" w:cs="Times New Roman" w:eastAsia="Times New Roman" w:hint="default"/>
          <w:spacing w:val="-6"/>
        </w:rPr>
        <w:t>5</w:t>
      </w:r>
      <w:r>
        <w:rPr>
          <w:spacing w:val="-6"/>
        </w:rPr>
        <w:t>）根据《财政部</w:t>
      </w:r>
      <w:r>
        <w:rPr>
          <w:spacing w:val="9"/>
        </w:rPr>
        <w:t> </w:t>
      </w:r>
      <w:r>
        <w:rPr/>
        <w:t>国家税务总局关于进一步鼓励软件产业和集成电路产业发展企业所得税</w:t>
      </w:r>
      <w:r>
        <w:rPr>
          <w:spacing w:val="-103"/>
        </w:rPr>
        <w:t> </w:t>
      </w:r>
      <w:r>
        <w:rPr>
          <w:spacing w:val="-103"/>
        </w:rPr>
      </w:r>
      <w:r>
        <w:rPr>
          <w:spacing w:val="-1"/>
        </w:rPr>
        <w:t>政策的通知》财税</w:t>
      </w:r>
      <w:r>
        <w:rPr>
          <w:rFonts w:ascii="Times New Roman" w:hAnsi="Times New Roman" w:cs="Times New Roman" w:eastAsia="Times New Roman" w:hint="default"/>
          <w:spacing w:val="-1"/>
        </w:rPr>
        <w:t>[2012]27</w:t>
      </w:r>
      <w:r>
        <w:rPr>
          <w:spacing w:val="-1"/>
        </w:rPr>
        <w:t>号第三条，控股子公司追溯云信息发展股份有限公司属于境内符</w:t>
      </w:r>
      <w:r>
        <w:rPr>
          <w:spacing w:val="-29"/>
        </w:rPr>
        <w:t> </w:t>
      </w:r>
      <w:r>
        <w:rPr>
          <w:spacing w:val="-29"/>
        </w:rPr>
      </w:r>
      <w:r>
        <w:rPr>
          <w:spacing w:val="-3"/>
        </w:rPr>
        <w:t>合条件的软件企业，经认定后，在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日前自获利年度起计算优惠期，第一年至第</w:t>
      </w:r>
      <w:r>
        <w:rPr>
          <w:spacing w:val="-17"/>
        </w:rPr>
        <w:t> </w:t>
      </w:r>
      <w:r>
        <w:rPr>
          <w:spacing w:val="-17"/>
        </w:rPr>
      </w:r>
      <w:r>
        <w:rPr>
          <w:spacing w:val="-2"/>
        </w:rPr>
        <w:t>二年免征企业所得税，第三年至第五年按照</w:t>
      </w:r>
      <w:r>
        <w:rPr>
          <w:rFonts w:ascii="Times New Roman" w:hAnsi="Times New Roman" w:cs="Times New Roman" w:eastAsia="Times New Roman" w:hint="default"/>
          <w:spacing w:val="-2"/>
        </w:rPr>
        <w:t>25%</w:t>
      </w:r>
      <w:r>
        <w:rPr>
          <w:spacing w:val="-2"/>
        </w:rPr>
        <w:t>的法定税率减半征收企业所得税，并享受至</w:t>
      </w:r>
      <w:r>
        <w:rPr>
          <w:spacing w:val="-33"/>
        </w:rPr>
        <w:t> </w:t>
      </w:r>
      <w:r>
        <w:rPr>
          <w:spacing w:val="-33"/>
        </w:rPr>
      </w:r>
      <w:r>
        <w:rPr>
          <w:spacing w:val="-3"/>
        </w:rPr>
        <w:t>期满为止。追溯云信息发展股份有限公司已办理企业所得税优惠备案，因此，该子公司</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年度免征企业所得税。</w:t>
      </w:r>
    </w:p>
    <w:p>
      <w:pPr>
        <w:pStyle w:val="BodyText"/>
        <w:spacing w:line="264" w:lineRule="auto" w:before="22"/>
        <w:ind w:left="1387" w:right="1125"/>
        <w:jc w:val="both"/>
      </w:pPr>
      <w:r>
        <w:rPr>
          <w:spacing w:val="-3"/>
        </w:rPr>
        <w:t>（</w:t>
      </w:r>
      <w:r>
        <w:rPr>
          <w:rFonts w:ascii="宋体" w:hAnsi="宋体" w:cs="宋体" w:eastAsia="宋体" w:hint="default"/>
          <w:spacing w:val="-3"/>
        </w:rPr>
        <w:t>6</w:t>
      </w:r>
      <w:r>
        <w:rPr>
          <w:spacing w:val="-3"/>
        </w:rPr>
        <w:t>）子公司追溯云（上海）信用科技有限公司根据财政部与税务总局共同发布的</w:t>
      </w:r>
      <w:r>
        <w:rPr>
          <w:spacing w:val="52"/>
        </w:rPr>
        <w:t> </w:t>
      </w:r>
      <w:r>
        <w:rPr/>
        <w:t>“关于进</w:t>
      </w:r>
      <w:r>
        <w:rPr>
          <w:spacing w:val="-92"/>
        </w:rPr>
        <w:t> </w:t>
      </w:r>
      <w:r>
        <w:rPr>
          <w:spacing w:val="-92"/>
        </w:rPr>
      </w:r>
      <w:r>
        <w:rPr>
          <w:spacing w:val="-6"/>
        </w:rPr>
        <w:t>一步扩大小型微利企业所得税优惠政策范围的通知”财税〔</w:t>
      </w:r>
      <w:r>
        <w:rPr>
          <w:rFonts w:ascii="Times New Roman" w:hAnsi="Times New Roman" w:cs="Times New Roman" w:eastAsia="Times New Roman" w:hint="default"/>
          <w:spacing w:val="-6"/>
        </w:rPr>
        <w:t>2018</w:t>
      </w:r>
      <w:r>
        <w:rPr>
          <w:spacing w:val="-6"/>
        </w:rPr>
        <w:t>〕</w:t>
      </w:r>
      <w:r>
        <w:rPr>
          <w:rFonts w:ascii="Times New Roman" w:hAnsi="Times New Roman" w:cs="Times New Roman" w:eastAsia="Times New Roman" w:hint="default"/>
          <w:spacing w:val="-6"/>
        </w:rPr>
        <w:t>77</w:t>
      </w:r>
      <w:r>
        <w:rPr>
          <w:spacing w:val="-6"/>
        </w:rPr>
        <w:t>号文，对其所得减按</w:t>
      </w:r>
      <w:r>
        <w:rPr>
          <w:rFonts w:ascii="Times New Roman" w:hAnsi="Times New Roman" w:cs="Times New Roman" w:eastAsia="Times New Roman" w:hint="default"/>
          <w:spacing w:val="-6"/>
        </w:rPr>
        <w:t>50%</w:t>
      </w:r>
      <w:r>
        <w:rPr>
          <w:rFonts w:ascii="Times New Roman" w:hAnsi="Times New Roman" w:cs="Times New Roman" w:eastAsia="Times New Roman" w:hint="default"/>
          <w:spacing w:val="-2"/>
        </w:rPr>
        <w:t> </w:t>
      </w:r>
      <w:r>
        <w:rPr/>
        <w:t>计入应纳税所得税额，按</w:t>
      </w:r>
      <w:r>
        <w:rPr>
          <w:rFonts w:ascii="Times New Roman" w:hAnsi="Times New Roman" w:cs="Times New Roman" w:eastAsia="Times New Roman" w:hint="default"/>
        </w:rPr>
        <w:t>20%</w:t>
      </w:r>
      <w:r>
        <w:rPr/>
        <w:t>的税率计征企业所得税。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line="487" w:lineRule="auto" w:before="36"/>
        <w:ind w:left="112" w:right="7863" w:firstLine="0"/>
        <w:jc w:val="left"/>
        <w:rPr>
          <w:rFonts w:ascii="宋体" w:hAnsi="宋体" w:cs="宋体" w:eastAsia="宋体" w:hint="default"/>
          <w:sz w:val="21"/>
          <w:szCs w:val="21"/>
        </w:rPr>
      </w:pPr>
      <w:bookmarkStart w:name="3、其他" w:id="235"/>
      <w:bookmarkEnd w:id="2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6"/>
      <w:bookmarkEnd w:id="236"/>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7"/>
      <w:bookmarkEnd w:id="23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225,943.23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140,676.69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203,735,709.17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202,386,762.20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10,245,772.40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11,106,376.85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214,207,424.80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213,633,815.74</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firstLine="720"/>
              <w:jc w:val="left"/>
              <w:rPr>
                <w:rFonts w:ascii="宋体" w:hAnsi="宋体" w:cs="宋体" w:eastAsia="宋体" w:hint="default"/>
                <w:sz w:val="18"/>
                <w:szCs w:val="18"/>
              </w:rPr>
            </w:pPr>
            <w:r>
              <w:rPr>
                <w:rFonts w:ascii="宋体" w:hAnsi="宋体" w:cs="宋体" w:eastAsia="宋体" w:hint="default"/>
                <w:spacing w:val="-7"/>
                <w:sz w:val="18"/>
                <w:szCs w:val="18"/>
              </w:rPr>
              <w:t>因抵押、质押或冻结等对使用</w:t>
            </w:r>
            <w:r>
              <w:rPr>
                <w:rFonts w:ascii="宋体" w:hAnsi="宋体" w:cs="宋体" w:eastAsia="宋体" w:hint="default"/>
                <w:sz w:val="18"/>
                <w:szCs w:val="18"/>
              </w:rPr>
              <w:t> 有限制的款项总额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10,244,236.70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7,568,759.10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7"/>
        <w:ind w:left="826" w:right="1133"/>
        <w:jc w:val="left"/>
      </w:pPr>
      <w:r>
        <w:rPr/>
        <w:t>其他货币资金明细如下：</w:t>
      </w:r>
    </w:p>
    <w:p>
      <w:pPr>
        <w:spacing w:line="240" w:lineRule="auto" w:before="10"/>
        <w:rPr>
          <w:rFonts w:ascii="宋体" w:hAnsi="宋体" w:cs="宋体" w:eastAsia="宋体" w:hint="default"/>
          <w:sz w:val="3"/>
          <w:szCs w:val="3"/>
        </w:rPr>
      </w:pPr>
    </w:p>
    <w:tbl>
      <w:tblPr>
        <w:tblW w:w="0" w:type="auto"/>
        <w:jc w:val="left"/>
        <w:tblInd w:w="821" w:type="dxa"/>
        <w:tblLayout w:type="fixed"/>
        <w:tblCellMar>
          <w:top w:w="0" w:type="dxa"/>
          <w:left w:w="0" w:type="dxa"/>
          <w:bottom w:w="0" w:type="dxa"/>
          <w:right w:w="0" w:type="dxa"/>
        </w:tblCellMar>
        <w:tblLook w:val="01E0"/>
      </w:tblPr>
      <w:tblGrid>
        <w:gridCol w:w="3281"/>
        <w:gridCol w:w="2218"/>
        <w:gridCol w:w="2115"/>
      </w:tblGrid>
      <w:tr>
        <w:trPr>
          <w:trHeight w:val="353" w:hRule="exact"/>
        </w:trPr>
        <w:tc>
          <w:tcPr>
            <w:tcW w:w="328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8"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8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15"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63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328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2218" w:type="dxa"/>
            <w:tcBorders>
              <w:top w:val="single" w:sz="12" w:space="0" w:color="000000"/>
              <w:left w:val="single" w:sz="6" w:space="0" w:color="000000"/>
              <w:bottom w:val="single" w:sz="12" w:space="0" w:color="000000"/>
              <w:right w:val="single" w:sz="6" w:space="0" w:color="000000"/>
            </w:tcBorders>
          </w:tcPr>
          <w:p>
            <w:pPr/>
          </w:p>
        </w:tc>
        <w:tc>
          <w:tcPr>
            <w:tcW w:w="2115"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3,536,758.25</w:t>
            </w:r>
          </w:p>
        </w:tc>
      </w:tr>
      <w:tr>
        <w:trPr>
          <w:trHeight w:val="353" w:hRule="exact"/>
        </w:trPr>
        <w:tc>
          <w:tcPr>
            <w:tcW w:w="328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21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2,850,000.00</w:t>
            </w:r>
          </w:p>
        </w:tc>
        <w:tc>
          <w:tcPr>
            <w:tcW w:w="2115"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3,000,000.00</w:t>
            </w:r>
          </w:p>
        </w:tc>
      </w:tr>
      <w:tr>
        <w:trPr>
          <w:trHeight w:val="350" w:hRule="exact"/>
        </w:trPr>
        <w:tc>
          <w:tcPr>
            <w:tcW w:w="328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保函保证金及相应利息</w:t>
            </w:r>
          </w:p>
        </w:tc>
        <w:tc>
          <w:tcPr>
            <w:tcW w:w="221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7,395,772.40</w:t>
            </w:r>
          </w:p>
        </w:tc>
        <w:tc>
          <w:tcPr>
            <w:tcW w:w="2115"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4,569,618.60</w:t>
            </w:r>
          </w:p>
        </w:tc>
      </w:tr>
      <w:tr>
        <w:trPr>
          <w:trHeight w:val="353" w:hRule="exact"/>
        </w:trPr>
        <w:tc>
          <w:tcPr>
            <w:tcW w:w="328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1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10,245,772.40</w:t>
            </w:r>
          </w:p>
        </w:tc>
        <w:tc>
          <w:tcPr>
            <w:tcW w:w="2115"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11,106,376.85</w:t>
            </w:r>
          </w:p>
        </w:tc>
      </w:tr>
    </w:tbl>
    <w:p>
      <w:pPr>
        <w:spacing w:line="240" w:lineRule="auto" w:before="2"/>
        <w:rPr>
          <w:rFonts w:ascii="宋体" w:hAnsi="宋体" w:cs="宋体" w:eastAsia="宋体" w:hint="default"/>
          <w:sz w:val="20"/>
          <w:szCs w:val="20"/>
        </w:rPr>
      </w:pPr>
    </w:p>
    <w:p>
      <w:pPr>
        <w:pStyle w:val="BodyText"/>
        <w:spacing w:line="240" w:lineRule="auto" w:before="36"/>
        <w:ind w:left="826" w:right="1133"/>
        <w:jc w:val="left"/>
      </w:pPr>
      <w:r>
        <w:rPr/>
        <w:t>其中对使用有限制的货币资金明细如下：</w:t>
      </w:r>
    </w:p>
    <w:p>
      <w:pPr>
        <w:spacing w:after="0" w:line="240" w:lineRule="auto"/>
        <w:jc w:val="left"/>
        <w:sectPr>
          <w:footerReference w:type="default" r:id="rId20"/>
          <w:pgSz w:w="11910" w:h="16840"/>
          <w:pgMar w:footer="1021" w:header="906" w:top="1100" w:bottom="1220" w:left="1020" w:right="0"/>
          <w:pgNumType w:start="167"/>
        </w:sectPr>
      </w:pPr>
    </w:p>
    <w:p>
      <w:pPr>
        <w:spacing w:line="240" w:lineRule="auto" w:before="7"/>
        <w:rPr>
          <w:rFonts w:ascii="宋体" w:hAnsi="宋体" w:cs="宋体" w:eastAsia="宋体" w:hint="default"/>
          <w:sz w:val="25"/>
          <w:szCs w:val="25"/>
        </w:rPr>
      </w:pPr>
    </w:p>
    <w:tbl>
      <w:tblPr>
        <w:tblW w:w="0" w:type="auto"/>
        <w:jc w:val="left"/>
        <w:tblInd w:w="821" w:type="dxa"/>
        <w:tblLayout w:type="fixed"/>
        <w:tblCellMar>
          <w:top w:w="0" w:type="dxa"/>
          <w:left w:w="0" w:type="dxa"/>
          <w:bottom w:w="0" w:type="dxa"/>
          <w:right w:w="0" w:type="dxa"/>
        </w:tblCellMar>
        <w:tblLook w:val="01E0"/>
      </w:tblPr>
      <w:tblGrid>
        <w:gridCol w:w="3226"/>
        <w:gridCol w:w="2196"/>
        <w:gridCol w:w="2192"/>
      </w:tblGrid>
      <w:tr>
        <w:trPr>
          <w:trHeight w:val="356" w:hRule="exact"/>
        </w:trPr>
        <w:tc>
          <w:tcPr>
            <w:tcW w:w="322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6"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7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92"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460" w:right="0"/>
              <w:jc w:val="left"/>
              <w:rPr>
                <w:rFonts w:ascii="宋体" w:hAnsi="宋体" w:cs="宋体" w:eastAsia="宋体" w:hint="default"/>
                <w:sz w:val="21"/>
                <w:szCs w:val="21"/>
              </w:rPr>
            </w:pPr>
            <w:r>
              <w:rPr>
                <w:rFonts w:ascii="宋体" w:hAnsi="宋体" w:cs="宋体" w:eastAsia="宋体" w:hint="default"/>
                <w:sz w:val="21"/>
                <w:szCs w:val="21"/>
              </w:rPr>
              <w:t>上年年末余额</w:t>
            </w:r>
          </w:p>
        </w:tc>
      </w:tr>
      <w:tr>
        <w:trPr>
          <w:trHeight w:val="350" w:hRule="exact"/>
        </w:trPr>
        <w:tc>
          <w:tcPr>
            <w:tcW w:w="322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2,850,000.00</w:t>
            </w:r>
          </w:p>
        </w:tc>
        <w:tc>
          <w:tcPr>
            <w:tcW w:w="2192"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3,000,000.00</w:t>
            </w:r>
          </w:p>
        </w:tc>
      </w:tr>
      <w:tr>
        <w:trPr>
          <w:trHeight w:val="353" w:hRule="exact"/>
        </w:trPr>
        <w:tc>
          <w:tcPr>
            <w:tcW w:w="322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保函保证金（注）</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7,394,236.70</w:t>
            </w:r>
          </w:p>
        </w:tc>
        <w:tc>
          <w:tcPr>
            <w:tcW w:w="219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4,568,759.10</w:t>
            </w:r>
          </w:p>
        </w:tc>
      </w:tr>
      <w:tr>
        <w:trPr>
          <w:trHeight w:val="353" w:hRule="exact"/>
        </w:trPr>
        <w:tc>
          <w:tcPr>
            <w:tcW w:w="322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6"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10,244,236.70</w:t>
            </w:r>
          </w:p>
        </w:tc>
        <w:tc>
          <w:tcPr>
            <w:tcW w:w="2192"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7,568,759.10</w:t>
            </w:r>
          </w:p>
        </w:tc>
      </w:tr>
    </w:tbl>
    <w:p>
      <w:pPr>
        <w:pStyle w:val="BodyText"/>
        <w:spacing w:line="264" w:lineRule="auto"/>
        <w:ind w:left="826" w:right="1133"/>
        <w:jc w:val="left"/>
      </w:pPr>
      <w:r>
        <w:rPr>
          <w:spacing w:val="-2"/>
        </w:rPr>
        <w:t>注：截止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日，其他货币资金中保函保证金</w:t>
      </w:r>
      <w:r>
        <w:rPr>
          <w:rFonts w:ascii="Times New Roman" w:hAnsi="Times New Roman" w:cs="Times New Roman" w:eastAsia="Times New Roman" w:hint="default"/>
          <w:spacing w:val="-2"/>
        </w:rPr>
        <w:t>7,394,236.70</w:t>
      </w:r>
      <w:r>
        <w:rPr>
          <w:spacing w:val="-2"/>
        </w:rPr>
        <w:t>元，为本公司向银行申请开具</w:t>
      </w:r>
      <w:r>
        <w:rPr>
          <w:spacing w:val="-10"/>
        </w:rPr>
        <w:t> </w:t>
      </w:r>
      <w:r>
        <w:rPr>
          <w:spacing w:val="-10"/>
        </w:rPr>
      </w:r>
      <w:r>
        <w:rPr/>
        <w:t>无条件、不可撤销的担保函所存入的保证金存款。</w:t>
      </w:r>
      <w:r>
        <w:rPr>
          <w:w w:val="100"/>
        </w:rPr>
        <w:t> </w:t>
      </w:r>
      <w:r>
        <w:rPr/>
        <w:t>上述受限制的货币资金在编制现金流量表时已经从</w:t>
      </w:r>
      <w:r>
        <w:rPr>
          <w:rFonts w:ascii="Times New Roman" w:hAnsi="Times New Roman" w:cs="Times New Roman" w:eastAsia="Times New Roman" w:hint="default"/>
        </w:rPr>
        <w:t>“</w:t>
      </w:r>
      <w:r>
        <w:rPr/>
        <w:t>现金及现金等价物余额</w:t>
      </w:r>
      <w:r>
        <w:rPr>
          <w:rFonts w:ascii="Times New Roman" w:hAnsi="Times New Roman" w:cs="Times New Roman" w:eastAsia="Times New Roman" w:hint="default"/>
        </w:rPr>
        <w:t>”</w:t>
      </w:r>
      <w:r>
        <w:rPr/>
        <w:t>中剔除。</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bookmarkStart w:name="2、交易性金融资产" w:id="238"/>
      <w:bookmarkEnd w:id="238"/>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衍生金融资产" w:id="239"/>
      <w:bookmarkEnd w:id="23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4、应收票据" w:id="240"/>
      <w:bookmarkEnd w:id="24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收票据分类列示" w:id="241"/>
      <w:bookmarkEnd w:id="24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302"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04" w:right="12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本期计提、收回或转回的坏账准备情况" w:id="242"/>
      <w:bookmarkEnd w:id="24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期末公司已质押的应收票据" w:id="243"/>
      <w:bookmarkEnd w:id="243"/>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4）期末公司已背书或贴现且在资产负债表日尚未到期的应收票据" w:id="244"/>
      <w:bookmarkEnd w:id="244"/>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6"/>
        <w:spacing w:line="240" w:lineRule="auto" w:before="36"/>
        <w:ind w:right="1133"/>
        <w:jc w:val="left"/>
        <w:rPr>
          <w:b w:val="0"/>
          <w:bCs w:val="0"/>
        </w:rPr>
      </w:pPr>
      <w:bookmarkStart w:name="（5）期末公司因出票人未履约而将其转应收账款的票据" w:id="245"/>
      <w:bookmarkEnd w:id="245"/>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1"/>
        <w:ind w:right="1133"/>
        <w:jc w:val="left"/>
        <w:rPr>
          <w:b w:val="0"/>
          <w:bCs w:val="0"/>
        </w:rPr>
      </w:pPr>
      <w:bookmarkStart w:name="（6）本期实际核销的应收票据情况" w:id="246"/>
      <w:bookmarkEnd w:id="246"/>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60" w:right="0"/>
              <w:jc w:val="left"/>
              <w:rPr>
                <w:rFonts w:ascii="宋体" w:hAnsi="宋体" w:cs="宋体" w:eastAsia="宋体" w:hint="default"/>
                <w:sz w:val="18"/>
                <w:szCs w:val="18"/>
              </w:rPr>
            </w:pPr>
            <w:r>
              <w:rPr>
                <w:rFonts w:ascii="宋体" w:hAnsi="宋体" w:cs="宋体" w:eastAsia="宋体" w:hint="default"/>
                <w:sz w:val="18"/>
                <w:szCs w:val="18"/>
              </w:rPr>
              <w:t>款项是否由关联</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交易产生</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应收账款" w:id="247"/>
      <w:bookmarkEnd w:id="24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收账款分类披露" w:id="248"/>
      <w:bookmarkEnd w:id="24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1,178,7</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18.87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0.28%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1,178,7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18.87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415,75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9,343.0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99.72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72,426,</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262.95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343,33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3,080.0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411,73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5,717.8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56,929,</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211.12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354,806,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506.77</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416,93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8,061.9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73,604,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981.82</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343,33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3,080.0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411,73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5,717.8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56,929,</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211.12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354,806,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506.77</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银川北环蔬菜果品综 合批发市场管理有限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1,178,718.87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1,178,718.87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180"/>
              <w:jc w:val="left"/>
              <w:rPr>
                <w:rFonts w:ascii="宋体" w:hAnsi="宋体" w:cs="宋体" w:eastAsia="宋体" w:hint="default"/>
                <w:sz w:val="18"/>
                <w:szCs w:val="18"/>
              </w:rPr>
            </w:pPr>
            <w:r>
              <w:rPr>
                <w:rFonts w:ascii="宋体" w:hAnsi="宋体" w:cs="宋体" w:eastAsia="宋体" w:hint="default"/>
                <w:sz w:val="18"/>
                <w:szCs w:val="18"/>
              </w:rPr>
              <w:t>预计可收回金额与账 面价值的差异</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4" w:right="0"/>
              <w:jc w:val="left"/>
              <w:rPr>
                <w:rFonts w:ascii="Times New Roman" w:hAnsi="Times New Roman" w:cs="Times New Roman" w:eastAsia="Times New Roman" w:hint="default"/>
                <w:sz w:val="18"/>
                <w:szCs w:val="18"/>
              </w:rPr>
            </w:pPr>
            <w:r>
              <w:rPr>
                <w:rFonts w:ascii="Times New Roman"/>
                <w:sz w:val="18"/>
              </w:rPr>
              <w:t>212,816,729.86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8" w:right="0"/>
              <w:jc w:val="left"/>
              <w:rPr>
                <w:rFonts w:ascii="Times New Roman" w:hAnsi="Times New Roman" w:cs="Times New Roman" w:eastAsia="Times New Roman" w:hint="default"/>
                <w:sz w:val="18"/>
                <w:szCs w:val="18"/>
              </w:rPr>
            </w:pPr>
            <w:r>
              <w:rPr>
                <w:rFonts w:ascii="Times New Roman"/>
                <w:sz w:val="18"/>
              </w:rPr>
              <w:t>10,640,836.50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99,635,453.54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9,963,545.35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43,917,465.24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13,175,239.57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35,007,320.46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17,503,660.23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10,797,975.45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7,558,582.82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13,584,398.48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13,584,398.48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415,759,343.03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72,426,262.95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357" w:lineRule="auto"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3" w:space="673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9"/>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187,166,943.28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125,285,240.11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45,096,184.12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59,389,694.39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35,007,320.46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10,797,975.45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13,584,398.48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416,938,061.90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本期计提、收回或转回的坏账准备情况" w:id="249"/>
      <w:bookmarkEnd w:id="24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按单项计提坏 账准备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1,178,718.87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1,178,718.87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按账龄组合计 提坏账准备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56,929,211.12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15,626,808.26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-129,756.43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72,426,262.95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7" w:right="0"/>
              <w:jc w:val="left"/>
              <w:rPr>
                <w:rFonts w:ascii="Times New Roman" w:hAnsi="Times New Roman" w:cs="Times New Roman" w:eastAsia="Times New Roman" w:hint="default"/>
                <w:sz w:val="18"/>
                <w:szCs w:val="18"/>
              </w:rPr>
            </w:pPr>
            <w:r>
              <w:rPr>
                <w:rFonts w:ascii="Times New Roman"/>
                <w:sz w:val="18"/>
              </w:rPr>
              <w:t>56,929,211.12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16,805,527.13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-129,756.43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73,604,981.82</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本期实际核销的应收账款情况" w:id="250"/>
      <w:bookmarkEnd w:id="25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按欠款方归集的期末余额前五名的应收账款情况" w:id="251"/>
      <w:bookmarkEnd w:id="25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91" w:right="177"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15,839,430.99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3.80%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1,504,753.19</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14,678,269.73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733,913.49</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12,265,257.95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2.94%</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613,262.90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11,709,351.26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752,607.56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11,310,639.97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2.71%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1,099,052.75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65,802,949.90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15.78%</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5）因金融资产转移而终止确认的应收账款" w:id="252"/>
      <w:bookmarkEnd w:id="25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6）转移应收账款且继续涉入形成的资产、负债金额" w:id="253"/>
      <w:bookmarkEnd w:id="25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6、应收款项融资" w:id="254"/>
      <w:bookmarkEnd w:id="254"/>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如是按照预期信用损失一般模型计提应收款项融资减值准备，请参照其他应收款的披露方式披露减值准备的相关信息：</w:t>
      </w:r>
    </w:p>
    <w:p>
      <w:pPr>
        <w:spacing w:line="357" w:lineRule="auto" w:before="117"/>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7、预付款项" w:id="255"/>
      <w:bookmarkEnd w:id="255"/>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预付款项按账龄列示" w:id="256"/>
      <w:bookmarkEnd w:id="25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45,370,658.42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97.72%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11,347,486.94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93.17%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1,059,527.04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264,315.12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265,927.47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301,860.83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46,430,185.46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12,179,590.36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bookmarkStart w:name="（2）按预付对象归集的期末余额前五名的预付款情况" w:id="257"/>
      <w:bookmarkEnd w:id="25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821" w:type="dxa"/>
        <w:tblLayout w:type="fixed"/>
        <w:tblCellMar>
          <w:top w:w="0" w:type="dxa"/>
          <w:left w:w="0" w:type="dxa"/>
          <w:bottom w:w="0" w:type="dxa"/>
          <w:right w:w="0" w:type="dxa"/>
        </w:tblCellMar>
        <w:tblLook w:val="01E0"/>
      </w:tblPr>
      <w:tblGrid>
        <w:gridCol w:w="3409"/>
        <w:gridCol w:w="2074"/>
        <w:gridCol w:w="2079"/>
      </w:tblGrid>
      <w:tr>
        <w:trPr>
          <w:trHeight w:val="668" w:hRule="exact"/>
        </w:trPr>
        <w:tc>
          <w:tcPr>
            <w:tcW w:w="3409"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07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0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079"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244" w:right="89" w:hanging="159"/>
              <w:jc w:val="left"/>
              <w:rPr>
                <w:rFonts w:ascii="宋体" w:hAnsi="宋体" w:cs="宋体" w:eastAsia="宋体" w:hint="default"/>
                <w:sz w:val="21"/>
                <w:szCs w:val="21"/>
              </w:rPr>
            </w:pPr>
            <w:r>
              <w:rPr>
                <w:rFonts w:ascii="宋体" w:hAnsi="宋体" w:cs="宋体" w:eastAsia="宋体" w:hint="default"/>
                <w:spacing w:val="-1"/>
                <w:sz w:val="21"/>
                <w:szCs w:val="21"/>
              </w:rPr>
              <w:t>占预付款项期末余额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合计数的比例</w:t>
            </w:r>
            <w:r>
              <w:rPr>
                <w:rFonts w:ascii="宋体" w:hAnsi="宋体" w:cs="宋体" w:eastAsia="宋体" w:hint="default"/>
                <w:sz w:val="21"/>
                <w:szCs w:val="21"/>
              </w:rPr>
              <w:t>(%)</w:t>
            </w:r>
          </w:p>
        </w:tc>
      </w:tr>
      <w:tr>
        <w:trPr>
          <w:trHeight w:val="350" w:hRule="exact"/>
        </w:trPr>
        <w:tc>
          <w:tcPr>
            <w:tcW w:w="340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43,222,713.00</w:t>
            </w:r>
          </w:p>
        </w:tc>
        <w:tc>
          <w:tcPr>
            <w:tcW w:w="207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6"/>
              <w:jc w:val="right"/>
              <w:rPr>
                <w:rFonts w:ascii="宋体" w:hAnsi="宋体" w:cs="宋体" w:eastAsia="宋体" w:hint="default"/>
                <w:sz w:val="21"/>
                <w:szCs w:val="21"/>
              </w:rPr>
            </w:pPr>
            <w:r>
              <w:rPr>
                <w:rFonts w:ascii="宋体"/>
                <w:sz w:val="21"/>
              </w:rPr>
              <w:t>93.09</w:t>
            </w:r>
          </w:p>
        </w:tc>
      </w:tr>
      <w:tr>
        <w:trPr>
          <w:trHeight w:val="353" w:hRule="exact"/>
        </w:trPr>
        <w:tc>
          <w:tcPr>
            <w:tcW w:w="340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345,500.00</w:t>
            </w:r>
          </w:p>
        </w:tc>
        <w:tc>
          <w:tcPr>
            <w:tcW w:w="207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6"/>
              <w:jc w:val="right"/>
              <w:rPr>
                <w:rFonts w:ascii="宋体" w:hAnsi="宋体" w:cs="宋体" w:eastAsia="宋体" w:hint="default"/>
                <w:sz w:val="21"/>
                <w:szCs w:val="21"/>
              </w:rPr>
            </w:pPr>
            <w:r>
              <w:rPr>
                <w:rFonts w:ascii="宋体"/>
                <w:sz w:val="21"/>
              </w:rPr>
              <w:t>0.74</w:t>
            </w:r>
          </w:p>
        </w:tc>
      </w:tr>
      <w:tr>
        <w:trPr>
          <w:trHeight w:val="353" w:hRule="exact"/>
        </w:trPr>
        <w:tc>
          <w:tcPr>
            <w:tcW w:w="340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182,400.00</w:t>
            </w:r>
          </w:p>
        </w:tc>
        <w:tc>
          <w:tcPr>
            <w:tcW w:w="207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6"/>
              <w:jc w:val="right"/>
              <w:rPr>
                <w:rFonts w:ascii="宋体" w:hAnsi="宋体" w:cs="宋体" w:eastAsia="宋体" w:hint="default"/>
                <w:sz w:val="21"/>
                <w:szCs w:val="21"/>
              </w:rPr>
            </w:pPr>
            <w:r>
              <w:rPr>
                <w:rFonts w:ascii="宋体"/>
                <w:sz w:val="21"/>
              </w:rPr>
              <w:t>0.39</w:t>
            </w:r>
          </w:p>
        </w:tc>
      </w:tr>
      <w:tr>
        <w:trPr>
          <w:trHeight w:val="350" w:hRule="exact"/>
        </w:trPr>
        <w:tc>
          <w:tcPr>
            <w:tcW w:w="340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179,928.00</w:t>
            </w:r>
          </w:p>
        </w:tc>
        <w:tc>
          <w:tcPr>
            <w:tcW w:w="207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6"/>
              <w:jc w:val="right"/>
              <w:rPr>
                <w:rFonts w:ascii="宋体" w:hAnsi="宋体" w:cs="宋体" w:eastAsia="宋体" w:hint="default"/>
                <w:sz w:val="21"/>
                <w:szCs w:val="21"/>
              </w:rPr>
            </w:pPr>
            <w:r>
              <w:rPr>
                <w:rFonts w:ascii="宋体"/>
                <w:sz w:val="21"/>
              </w:rPr>
              <w:t>0.39</w:t>
            </w:r>
          </w:p>
        </w:tc>
      </w:tr>
      <w:tr>
        <w:trPr>
          <w:trHeight w:val="353" w:hRule="exact"/>
        </w:trPr>
        <w:tc>
          <w:tcPr>
            <w:tcW w:w="3409"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170,364.00</w:t>
            </w:r>
          </w:p>
        </w:tc>
        <w:tc>
          <w:tcPr>
            <w:tcW w:w="2079"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6"/>
              <w:jc w:val="right"/>
              <w:rPr>
                <w:rFonts w:ascii="宋体" w:hAnsi="宋体" w:cs="宋体" w:eastAsia="宋体" w:hint="default"/>
                <w:sz w:val="21"/>
                <w:szCs w:val="21"/>
              </w:rPr>
            </w:pPr>
            <w:r>
              <w:rPr>
                <w:rFonts w:ascii="宋体"/>
                <w:sz w:val="21"/>
              </w:rPr>
              <w:t>0.37</w:t>
            </w:r>
          </w:p>
        </w:tc>
      </w:tr>
      <w:tr>
        <w:trPr>
          <w:trHeight w:val="353" w:hRule="exact"/>
        </w:trPr>
        <w:tc>
          <w:tcPr>
            <w:tcW w:w="3409"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74"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44,100,905.00</w:t>
            </w:r>
          </w:p>
        </w:tc>
        <w:tc>
          <w:tcPr>
            <w:tcW w:w="207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6"/>
              <w:jc w:val="right"/>
              <w:rPr>
                <w:rFonts w:ascii="宋体" w:hAnsi="宋体" w:cs="宋体" w:eastAsia="宋体" w:hint="default"/>
                <w:sz w:val="21"/>
                <w:szCs w:val="21"/>
              </w:rPr>
            </w:pPr>
            <w:r>
              <w:rPr>
                <w:rFonts w:ascii="宋体"/>
                <w:sz w:val="21"/>
              </w:rPr>
              <w:t>94.98</w:t>
            </w:r>
          </w:p>
        </w:tc>
      </w:tr>
    </w:tbl>
    <w:p>
      <w:pPr>
        <w:spacing w:line="240" w:lineRule="auto" w:before="2"/>
        <w:rPr>
          <w:rFonts w:ascii="宋体" w:hAnsi="宋体" w:cs="宋体" w:eastAsia="宋体" w:hint="default"/>
          <w:b/>
          <w:bCs/>
          <w:sz w:val="24"/>
          <w:szCs w:val="24"/>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8、其他应收款" w:id="258"/>
      <w:bookmarkEnd w:id="258"/>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3,643,181.71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90,837,933.60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52,280,954.83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116,481,115.31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52,280,954.83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1）应收利息" w:id="259"/>
      <w:bookmarkEnd w:id="25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收利息分类" w:id="260"/>
      <w:bookmarkEnd w:id="260"/>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3,643,181.71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3,643,181.71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重要逾期利息" w:id="261"/>
      <w:bookmarkEnd w:id="261"/>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坏账准备计提情况" w:id="262"/>
      <w:bookmarkEnd w:id="26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应收股利" w:id="263"/>
      <w:bookmarkEnd w:id="26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收股利分类" w:id="264"/>
      <w:bookmarkEnd w:id="26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重要的账龄超过1年的应收股利" w:id="265"/>
      <w:bookmarkEnd w:id="265"/>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坏账准备计提情况" w:id="266"/>
      <w:bookmarkEnd w:id="26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3）其他应收款" w:id="267"/>
      <w:bookmarkEnd w:id="26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其他应收款按款项性质分类情况" w:id="268"/>
      <w:bookmarkEnd w:id="26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53,028,057.72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55,288,218.35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3,103,032.30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4,899,185.23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1,957,702.98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1,638,942.28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企业间借款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111,938,793.00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66,826,345.86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坏账准备计提情况" w:id="269"/>
      <w:bookmarkEnd w:id="26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14,545,391.03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14,545,391.03</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4,850,000.00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6,742,787.48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6,742,787.48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-187,319.11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-187,319.11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16,250,859.40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21,100,859.40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22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3893" w:space="493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102,132,705.56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1,932,769.30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5,600,028.09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2,273,290.05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441,748.00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621,906.00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1,209,636.05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111,938,793.00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本期计提、收回或转回的坏账准备情况" w:id="270"/>
      <w:bookmarkEnd w:id="27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按单项计提坏 账准备</w:t>
            </w:r>
          </w:p>
        </w:tc>
        <w:tc>
          <w:tcPr>
            <w:tcW w:w="109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4,850,000.00</w:t>
            </w:r>
          </w:p>
        </w:tc>
      </w:tr>
      <w:tr>
        <w:trPr>
          <w:trHeight w:val="715"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按账龄组合计 提坏账准备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14,545,391.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1,892,787.48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-187,319.11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16,250,859.40</w:t>
            </w: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14,545,391.</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6,742,787.48</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-187,319.11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21,100,859.40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4）本期实际核销的其他应收款情况" w:id="271"/>
      <w:bookmarkEnd w:id="271"/>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4" w:right="15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5）按欠款方归集的期末余额前五名的其他应收款情况" w:id="272"/>
      <w:bookmarkEnd w:id="272"/>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3" w:right="159"/>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5" w:right="15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企业间借款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35.73%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企业间借款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4,850,000.00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2,046,383.00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306,957.45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58,896,383.00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52.61%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8,056,957.45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6）涉及政府补助的应收款项" w:id="273"/>
      <w:bookmarkEnd w:id="273"/>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143"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line="240" w:lineRule="auto" w:before="4"/>
        <w:rPr>
          <w:rFonts w:ascii="宋体" w:hAnsi="宋体" w:cs="宋体" w:eastAsia="宋体" w:hint="default"/>
          <w:sz w:val="19"/>
          <w:szCs w:val="19"/>
        </w:rPr>
      </w:pPr>
    </w:p>
    <w:p>
      <w:pPr>
        <w:pStyle w:val="Heading6"/>
        <w:spacing w:line="240" w:lineRule="auto" w:before="36"/>
        <w:ind w:right="1133"/>
        <w:jc w:val="left"/>
        <w:rPr>
          <w:b w:val="0"/>
          <w:bCs w:val="0"/>
        </w:rPr>
      </w:pPr>
      <w:bookmarkStart w:name="7）因金融资产转移而终止确认的其他应收款" w:id="274"/>
      <w:bookmarkEnd w:id="274"/>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bookmarkStart w:name="8）转移其他应收款且继续涉入形成的资产、负债金额" w:id="275"/>
      <w:bookmarkEnd w:id="275"/>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9、存货" w:id="276"/>
      <w:bookmarkEnd w:id="276"/>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1）存货分类" w:id="277"/>
      <w:bookmarkEnd w:id="27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203,520,251.25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28,716,236.09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174,804,015.16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348,596,866.26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348,596,866.26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295,489.16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295,489.16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401,139.20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401,139.20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203,815,740.41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28,716,236.09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175,099,504.32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348,998,005.46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348,998,005.46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存货跌价准备" w:id="278"/>
      <w:bookmarkEnd w:id="27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28,964,789.01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248,552.92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28,716,236.09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28,964,789.01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Times New Roman" w:hAnsi="Times New Roman" w:cs="Times New Roman" w:eastAsia="Times New Roman" w:hint="default"/>
                <w:sz w:val="18"/>
                <w:szCs w:val="18"/>
              </w:rPr>
            </w:pPr>
            <w:r>
              <w:rPr>
                <w:rFonts w:ascii="Times New Roman"/>
                <w:sz w:val="18"/>
              </w:rPr>
              <w:t>248,552.92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28,716,236.09</w:t>
            </w:r>
          </w:p>
        </w:tc>
      </w:tr>
    </w:tbl>
    <w:p>
      <w:pPr>
        <w:pStyle w:val="BodyText"/>
        <w:spacing w:line="278" w:lineRule="exact"/>
        <w:ind w:left="112" w:right="1133"/>
        <w:jc w:val="left"/>
      </w:pPr>
      <w:r>
        <w:rPr/>
        <w:t>注：其他为</w:t>
      </w:r>
      <w:r>
        <w:rPr>
          <w:rFonts w:ascii="Times New Roman" w:hAnsi="Times New Roman" w:cs="Times New Roman" w:eastAsia="Times New Roman" w:hint="default"/>
        </w:rPr>
        <w:t>2019</w:t>
      </w:r>
      <w:r>
        <w:rPr/>
        <w:t>年度上海金档信息技术有限公司退出合并报表范围导致的存货跌价准备变动。</w:t>
      </w:r>
    </w:p>
    <w:p>
      <w:pPr>
        <w:spacing w:after="0" w:line="278" w:lineRule="exact"/>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3）存货期末余额含有借款费用资本化金额的说明" w:id="279"/>
      <w:bookmarkEnd w:id="27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4）期末建造合同形成的已完工未结算资产情况" w:id="280"/>
      <w:bookmarkEnd w:id="28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10、合同资产" w:id="281"/>
      <w:bookmarkEnd w:id="281"/>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4"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60" w:lineRule="auto" w:before="115"/>
        <w:ind w:left="112" w:right="82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本期合同资产计提减值准备情况</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11、持有待售资产" w:id="282"/>
      <w:bookmarkEnd w:id="282"/>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12、一年内到期的非流动资产" w:id="283"/>
      <w:bookmarkEnd w:id="28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7,318,399.87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6,986,539.26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7,318,399.87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6,986,539.26</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13、其他流动资产" w:id="284"/>
      <w:bookmarkEnd w:id="284"/>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14、债权投资" w:id="285"/>
      <w:bookmarkEnd w:id="285"/>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913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4"/>
        <w:rPr>
          <w:rFonts w:ascii="宋体" w:hAnsi="宋体" w:cs="宋体" w:eastAsia="宋体" w:hint="default"/>
          <w:sz w:val="20"/>
          <w:szCs w:val="20"/>
        </w:rPr>
      </w:pPr>
    </w:p>
    <w:p>
      <w:pPr>
        <w:pStyle w:val="Heading6"/>
        <w:spacing w:line="240" w:lineRule="auto"/>
        <w:ind w:right="1133"/>
        <w:jc w:val="left"/>
        <w:rPr>
          <w:b w:val="0"/>
          <w:bCs w:val="0"/>
        </w:rPr>
      </w:pPr>
      <w:bookmarkStart w:name="15、其他债权投资" w:id="286"/>
      <w:bookmarkEnd w:id="286"/>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651"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3" w:right="149"/>
              <w:jc w:val="left"/>
              <w:rPr>
                <w:rFonts w:ascii="宋体" w:hAnsi="宋体" w:cs="宋体" w:eastAsia="宋体" w:hint="default"/>
                <w:sz w:val="18"/>
                <w:szCs w:val="18"/>
              </w:rPr>
            </w:pPr>
            <w:r>
              <w:rPr>
                <w:rFonts w:ascii="宋体" w:hAnsi="宋体" w:cs="宋体" w:eastAsia="宋体" w:hint="default"/>
                <w:sz w:val="18"/>
                <w:szCs w:val="18"/>
              </w:rPr>
              <w:t>本期公允 价值变动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51" w:right="149"/>
              <w:jc w:val="left"/>
              <w:rPr>
                <w:rFonts w:ascii="宋体" w:hAnsi="宋体" w:cs="宋体" w:eastAsia="宋体" w:hint="default"/>
                <w:sz w:val="18"/>
                <w:szCs w:val="18"/>
              </w:rPr>
            </w:pPr>
            <w:r>
              <w:rPr>
                <w:rFonts w:ascii="宋体" w:hAnsi="宋体" w:cs="宋体" w:eastAsia="宋体" w:hint="default"/>
                <w:sz w:val="18"/>
                <w:szCs w:val="18"/>
              </w:rPr>
              <w:t>累计公允 价值变动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3" w:right="149"/>
              <w:jc w:val="center"/>
              <w:rPr>
                <w:rFonts w:ascii="宋体" w:hAnsi="宋体" w:cs="宋体" w:eastAsia="宋体" w:hint="default"/>
                <w:sz w:val="18"/>
                <w:szCs w:val="18"/>
              </w:rPr>
            </w:pPr>
            <w:r>
              <w:rPr>
                <w:rFonts w:ascii="宋体" w:hAnsi="宋体" w:cs="宋体" w:eastAsia="宋体" w:hint="default"/>
                <w:sz w:val="18"/>
                <w:szCs w:val="18"/>
              </w:rPr>
              <w:t>累计在其 他综合收 益中确认 的损失准 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bookmarkStart w:name="16、长期应收款" w:id="287"/>
      <w:bookmarkEnd w:id="28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长期应收款情况" w:id="288"/>
      <w:bookmarkEnd w:id="28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9"/>
              <w:jc w:val="left"/>
              <w:rPr>
                <w:rFonts w:ascii="宋体" w:hAnsi="宋体" w:cs="宋体" w:eastAsia="宋体" w:hint="default"/>
                <w:sz w:val="18"/>
                <w:szCs w:val="18"/>
              </w:rPr>
            </w:pPr>
            <w:r>
              <w:rPr>
                <w:rFonts w:ascii="宋体" w:hAnsi="宋体" w:cs="宋体" w:eastAsia="宋体" w:hint="default"/>
                <w:sz w:val="18"/>
                <w:szCs w:val="18"/>
              </w:rPr>
              <w:t>分期收款销售 商品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8,069,498.81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403,474.94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7,666,023.87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15,773,077.6</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788,653.88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14,984,423.7</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8,069,498.81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403,474.94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7,666,023.87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15,773,077.6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788,653.88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14,984,423.7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788,653.88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788,653.88</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-385,178.94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-385,178.94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403,474.94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403,474.94</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因金融资产转移而终止确认的长期应收款" w:id="289"/>
      <w:bookmarkEnd w:id="28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3）转移长期应收款且继续涉入形成的资产、负债金额" w:id="290"/>
      <w:bookmarkEnd w:id="29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17、长期股权投资" w:id="291"/>
      <w:bookmarkEnd w:id="291"/>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12" w:right="12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9"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18、其他权益工具投资" w:id="292"/>
      <w:bookmarkEnd w:id="292"/>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65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0" w:right="135" w:hanging="449"/>
              <w:jc w:val="left"/>
              <w:rPr>
                <w:rFonts w:ascii="宋体" w:hAnsi="宋体" w:cs="宋体" w:eastAsia="宋体" w:hint="default"/>
                <w:sz w:val="18"/>
                <w:szCs w:val="18"/>
              </w:rPr>
            </w:pPr>
            <w:r>
              <w:rPr>
                <w:rFonts w:ascii="宋体" w:hAnsi="宋体" w:cs="宋体" w:eastAsia="宋体" w:hint="default"/>
                <w:sz w:val="18"/>
                <w:szCs w:val="18"/>
              </w:rPr>
              <w:t>确认的股利收 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center"/>
              <w:rPr>
                <w:rFonts w:ascii="宋体" w:hAnsi="宋体" w:cs="宋体" w:eastAsia="宋体" w:hint="default"/>
                <w:sz w:val="18"/>
                <w:szCs w:val="18"/>
              </w:rPr>
            </w:pPr>
            <w:r>
              <w:rPr>
                <w:rFonts w:ascii="宋体" w:hAnsi="宋体" w:cs="宋体" w:eastAsia="宋体" w:hint="default"/>
                <w:sz w:val="18"/>
                <w:szCs w:val="18"/>
              </w:rPr>
              <w:t>指定为以公允 价值计量且其 变动计入其他 综合收益的原 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1" w:right="134"/>
              <w:jc w:val="center"/>
              <w:rPr>
                <w:rFonts w:ascii="宋体" w:hAnsi="宋体" w:cs="宋体" w:eastAsia="宋体" w:hint="default"/>
                <w:sz w:val="18"/>
                <w:szCs w:val="18"/>
              </w:rPr>
            </w:pPr>
            <w:r>
              <w:rPr>
                <w:rFonts w:ascii="宋体" w:hAnsi="宋体" w:cs="宋体" w:eastAsia="宋体" w:hint="default"/>
                <w:sz w:val="18"/>
                <w:szCs w:val="18"/>
              </w:rPr>
              <w:t>其他综合收益 转入留存收益 的原因</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19、其他非流动金融资产" w:id="293"/>
      <w:bookmarkEnd w:id="293"/>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13,027,637.13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13,027,637.13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0、投资性房地产" w:id="294"/>
      <w:bookmarkEnd w:id="294"/>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采用成本计量模式的投资性房地产" w:id="295"/>
      <w:bookmarkEnd w:id="29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采用公允价值计量模式的投资性房地产" w:id="296"/>
      <w:bookmarkEnd w:id="29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未办妥产权证书的投资性房地产情况" w:id="297"/>
      <w:bookmarkEnd w:id="29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1、固定资产" w:id="298"/>
      <w:bookmarkEnd w:id="298"/>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11,550,824.02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16,417,086.39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11,550,824.02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16,417,086.39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1）固定资产情况" w:id="299"/>
      <w:bookmarkEnd w:id="29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3,307,146.69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3,930,215.08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42,567,291.35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49,804,653.12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4,097,159.27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4,097,159.27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4,097,159.27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4,097,159.27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931,078.72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11,860,838.92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12,791,917.64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634,773.00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634,773.00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合并范围变化</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296,305.72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11,860,838.92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12,157,144.64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3,307,146.69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2,999,136.36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34,803,611.70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41,109,894.75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2,513,067.19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30,874,499.54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33,387,566.73</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314,178.96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77,274.50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6,751,822.26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7,143,275.72</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314,178.96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77,274.50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6,751,822.26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7,143,275.72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820,362.55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10,151,409.17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10,971,771.72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580,086.44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580,086.44</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合并范围变化</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240,276.11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10,151,409.17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10,391,685.28</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314,178.96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1,769,979.14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27,474,912.63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29,559,070.73</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2,992,967.73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1,229,157.22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7,328,699.07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11,550,824.02</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3,307,146.69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1,417,147.89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11,692,791.81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16,417,086.39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暂时闲置的固定资产情况" w:id="300"/>
      <w:bookmarkEnd w:id="30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通过融资租赁租入的固定资产情况" w:id="301"/>
      <w:bookmarkEnd w:id="30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4）通过经营租赁租出的固定资产" w:id="302"/>
      <w:bookmarkEnd w:id="30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5）未办妥产权证书的固定资产情况" w:id="303"/>
      <w:bookmarkEnd w:id="30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6）固定资产清理" w:id="304"/>
      <w:bookmarkEnd w:id="304"/>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7"/>
        <w:ind w:left="112" w:right="1133"/>
        <w:jc w:val="left"/>
      </w:pPr>
      <w:r>
        <w:rPr>
          <w:spacing w:val="-2"/>
        </w:rPr>
        <w:t>合并范围变化系</w:t>
      </w:r>
      <w:r>
        <w:rPr>
          <w:rFonts w:ascii="Times New Roman" w:hAnsi="Times New Roman" w:cs="Times New Roman" w:eastAsia="Times New Roman" w:hint="default"/>
          <w:spacing w:val="-2"/>
        </w:rPr>
        <w:t>2019</w:t>
      </w:r>
      <w:r>
        <w:rPr>
          <w:spacing w:val="-2"/>
        </w:rPr>
        <w:t>年度上海金档信息技术有限公司退出合并报表范围减少固定资产原值</w:t>
      </w:r>
      <w:r>
        <w:rPr>
          <w:rFonts w:ascii="Times New Roman" w:hAnsi="Times New Roman" w:cs="Times New Roman" w:eastAsia="Times New Roman" w:hint="default"/>
          <w:spacing w:val="-2"/>
        </w:rPr>
        <w:t>12,157,144.64</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t>元，减少累计折旧</w:t>
      </w:r>
      <w:r>
        <w:rPr>
          <w:rFonts w:ascii="Times New Roman" w:hAnsi="Times New Roman" w:cs="Times New Roman" w:eastAsia="Times New Roman" w:hint="default"/>
        </w:rPr>
        <w:t>10,391,685.28</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6"/>
        <w:spacing w:line="240" w:lineRule="auto"/>
        <w:ind w:right="1133"/>
        <w:jc w:val="left"/>
        <w:rPr>
          <w:b w:val="0"/>
          <w:bCs w:val="0"/>
        </w:rPr>
      </w:pPr>
      <w:bookmarkStart w:name="22、在建工程" w:id="305"/>
      <w:bookmarkEnd w:id="305"/>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289,907,584.02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274,414,892.58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289,907,584.02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274,414,892.58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1）在建工程情况" w:id="306"/>
      <w:bookmarkEnd w:id="30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光典厂房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274,376,848.54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274,376,848.54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264,264,548.88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264,264,548.88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15,530,735.48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15,530,735.48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10,150,343.70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10,150,343.70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289,907,584.02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289,907,584.02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274,414,892.58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274,414,892.58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重要在建工程项目本期变动情况" w:id="307"/>
      <w:bookmarkEnd w:id="30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961"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79"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2"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57"/>
              <w:jc w:val="left"/>
              <w:rPr>
                <w:rFonts w:ascii="宋体" w:hAnsi="宋体" w:cs="宋体" w:eastAsia="宋体" w:hint="default"/>
                <w:sz w:val="18"/>
                <w:szCs w:val="18"/>
              </w:rPr>
            </w:pPr>
            <w:r>
              <w:rPr>
                <w:rFonts w:ascii="宋体" w:hAnsi="宋体" w:cs="宋体" w:eastAsia="宋体" w:hint="default"/>
                <w:sz w:val="18"/>
                <w:szCs w:val="18"/>
              </w:rPr>
              <w:t>光典 厂房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264,26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4,548.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10,112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,299.6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274,37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6,848.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91.46</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59"/>
              <w:jc w:val="both"/>
              <w:rPr>
                <w:rFonts w:ascii="宋体" w:hAnsi="宋体" w:cs="宋体" w:eastAsia="宋体" w:hint="default"/>
                <w:sz w:val="18"/>
                <w:szCs w:val="18"/>
              </w:rPr>
            </w:pPr>
            <w:r>
              <w:rPr>
                <w:rFonts w:ascii="宋体" w:hAnsi="宋体" w:cs="宋体" w:eastAsia="宋体" w:hint="default"/>
                <w:sz w:val="18"/>
                <w:szCs w:val="18"/>
              </w:rPr>
              <w:t>主体 建房 工程 已完 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13,355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,041.7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665.34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259"/>
              <w:jc w:val="both"/>
              <w:rPr>
                <w:rFonts w:ascii="宋体" w:hAnsi="宋体" w:cs="宋体" w:eastAsia="宋体" w:hint="default"/>
                <w:sz w:val="18"/>
                <w:szCs w:val="18"/>
              </w:rPr>
            </w:pPr>
            <w:r>
              <w:rPr>
                <w:rFonts w:ascii="宋体" w:hAnsi="宋体" w:cs="宋体" w:eastAsia="宋体" w:hint="default"/>
                <w:sz w:val="18"/>
                <w:szCs w:val="18"/>
              </w:rPr>
              <w:t>金融 机构 贷款</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257"/>
              <w:jc w:val="left"/>
              <w:rPr>
                <w:rFonts w:ascii="宋体" w:hAnsi="宋体" w:cs="宋体" w:eastAsia="宋体" w:hint="default"/>
                <w:sz w:val="18"/>
                <w:szCs w:val="18"/>
              </w:rPr>
            </w:pPr>
            <w:r>
              <w:rPr>
                <w:rFonts w:ascii="宋体" w:hAnsi="宋体" w:cs="宋体" w:eastAsia="宋体" w:hint="default"/>
                <w:sz w:val="18"/>
                <w:szCs w:val="18"/>
              </w:rPr>
              <w:t>厂房 装修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10,150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,343.7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5,380,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391.78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15,530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,735.4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15.53</w:t>
            </w:r>
          </w:p>
          <w:p>
            <w:pPr>
              <w:pStyle w:val="TableParagraph"/>
              <w:spacing w:line="240" w:lineRule="auto" w:before="102"/>
              <w:ind w:left="47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259"/>
              <w:jc w:val="left"/>
              <w:rPr>
                <w:rFonts w:ascii="宋体" w:hAnsi="宋体" w:cs="宋体" w:eastAsia="宋体" w:hint="default"/>
                <w:sz w:val="18"/>
                <w:szCs w:val="18"/>
              </w:rPr>
            </w:pPr>
            <w:r>
              <w:rPr>
                <w:rFonts w:ascii="宋体" w:hAnsi="宋体" w:cs="宋体" w:eastAsia="宋体" w:hint="default"/>
                <w:sz w:val="18"/>
                <w:szCs w:val="18"/>
              </w:rPr>
              <w:t>装修 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259"/>
              <w:jc w:val="left"/>
              <w:rPr>
                <w:rFonts w:ascii="宋体" w:hAnsi="宋体" w:cs="宋体" w:eastAsia="宋体" w:hint="default"/>
                <w:sz w:val="18"/>
                <w:szCs w:val="18"/>
              </w:rPr>
            </w:pPr>
            <w:r>
              <w:rPr>
                <w:rFonts w:ascii="宋体" w:hAnsi="宋体" w:cs="宋体" w:eastAsia="宋体" w:hint="default"/>
                <w:sz w:val="18"/>
                <w:szCs w:val="18"/>
              </w:rPr>
              <w:t>募股 资金</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274,41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4,892.</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15,492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,691.4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289,90</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7,584.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13,355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,041.7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2,671,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665.34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本期计提在建工程减值准备情况" w:id="308"/>
      <w:bookmarkEnd w:id="30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工程物资" w:id="309"/>
      <w:bookmarkEnd w:id="309"/>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112" w:right="986"/>
        <w:jc w:val="left"/>
        <w:rPr>
          <w:rFonts w:ascii="Times New Roman" w:hAnsi="Times New Roman" w:cs="Times New Roman" w:eastAsia="Times New Roman" w:hint="default"/>
        </w:rPr>
      </w:pPr>
      <w:r>
        <w:rPr>
          <w:w w:val="100"/>
        </w:rPr>
        <w:t>期末</w:t>
      </w:r>
      <w:r>
        <w:rPr>
          <w:spacing w:val="-3"/>
          <w:w w:val="100"/>
        </w:rPr>
        <w:t>用</w:t>
      </w:r>
      <w:r>
        <w:rPr>
          <w:w w:val="100"/>
        </w:rPr>
        <w:t>于</w:t>
      </w:r>
      <w:r>
        <w:rPr>
          <w:spacing w:val="-3"/>
          <w:w w:val="100"/>
        </w:rPr>
        <w:t>抵</w:t>
      </w:r>
      <w:r>
        <w:rPr>
          <w:w w:val="100"/>
        </w:rPr>
        <w:t>押</w:t>
      </w:r>
      <w:r>
        <w:rPr>
          <w:spacing w:val="-3"/>
          <w:w w:val="100"/>
        </w:rPr>
        <w:t>或</w:t>
      </w:r>
      <w:r>
        <w:rPr>
          <w:w w:val="100"/>
        </w:rPr>
        <w:t>担</w:t>
      </w:r>
      <w:r>
        <w:rPr>
          <w:spacing w:val="-3"/>
          <w:w w:val="100"/>
        </w:rPr>
        <w:t>保</w:t>
      </w:r>
      <w:r>
        <w:rPr>
          <w:w w:val="100"/>
        </w:rPr>
        <w:t>的</w:t>
      </w:r>
      <w:r>
        <w:rPr>
          <w:spacing w:val="-3"/>
          <w:w w:val="100"/>
        </w:rPr>
        <w:t>在</w:t>
      </w:r>
      <w:r>
        <w:rPr>
          <w:w w:val="100"/>
        </w:rPr>
        <w:t>建工</w:t>
      </w:r>
      <w:r>
        <w:rPr>
          <w:spacing w:val="-3"/>
          <w:w w:val="100"/>
        </w:rPr>
        <w:t>程</w:t>
      </w:r>
      <w:r>
        <w:rPr>
          <w:w w:val="100"/>
        </w:rPr>
        <w:t>账</w:t>
      </w:r>
      <w:r>
        <w:rPr>
          <w:spacing w:val="-3"/>
          <w:w w:val="100"/>
        </w:rPr>
        <w:t>面</w:t>
      </w:r>
      <w:r>
        <w:rPr>
          <w:w w:val="100"/>
        </w:rPr>
        <w:t>价</w:t>
      </w:r>
      <w:r>
        <w:rPr>
          <w:spacing w:val="-3"/>
          <w:w w:val="100"/>
        </w:rPr>
        <w:t>值</w:t>
      </w:r>
      <w:r>
        <w:rPr>
          <w:w w:val="100"/>
        </w:rPr>
        <w:t>为</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4,3</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848.5</w:t>
      </w:r>
      <w:r>
        <w:rPr>
          <w:rFonts w:ascii="Times New Roman" w:hAnsi="Times New Roman" w:cs="Times New Roman" w:eastAsia="Times New Roman" w:hint="default"/>
          <w:spacing w:val="-3"/>
          <w:w w:val="100"/>
        </w:rPr>
        <w:t>4</w:t>
      </w:r>
      <w:r>
        <w:rPr>
          <w:spacing w:val="-3"/>
          <w:w w:val="100"/>
        </w:rPr>
        <w:t>元</w:t>
      </w:r>
      <w:r>
        <w:rPr>
          <w:spacing w:val="-15"/>
          <w:w w:val="100"/>
        </w:rPr>
        <w:t>，</w:t>
      </w:r>
      <w:r>
        <w:rPr>
          <w:spacing w:val="-3"/>
          <w:w w:val="100"/>
        </w:rPr>
        <w:t>详</w:t>
      </w:r>
      <w:r>
        <w:rPr>
          <w:spacing w:val="-15"/>
          <w:w w:val="100"/>
        </w:rPr>
        <w:t>见</w:t>
      </w:r>
      <w:r>
        <w:rPr>
          <w:spacing w:val="-3"/>
          <w:w w:val="100"/>
        </w:rPr>
        <w:t>“</w:t>
      </w:r>
      <w:r>
        <w:rPr>
          <w:w w:val="100"/>
        </w:rPr>
        <w:t>附</w:t>
      </w:r>
      <w:r>
        <w:rPr>
          <w:spacing w:val="-3"/>
          <w:w w:val="100"/>
        </w:rPr>
        <w:t>注</w:t>
      </w:r>
      <w:r>
        <w:rPr>
          <w:w w:val="100"/>
        </w:rPr>
        <w:t>十</w:t>
      </w:r>
      <w:r>
        <w:rPr>
          <w:spacing w:val="-3"/>
          <w:w w:val="100"/>
        </w:rPr>
        <w:t>二</w:t>
      </w:r>
      <w:r>
        <w:rPr>
          <w:spacing w:val="-15"/>
          <w:w w:val="100"/>
        </w:rPr>
        <w:t>、</w:t>
      </w:r>
      <w:r>
        <w:rPr>
          <w:spacing w:val="-3"/>
          <w:w w:val="100"/>
        </w:rPr>
        <w:t>承</w:t>
      </w:r>
      <w:r>
        <w:rPr>
          <w:w w:val="100"/>
        </w:rPr>
        <w:t>诺</w:t>
      </w:r>
      <w:r>
        <w:rPr>
          <w:spacing w:val="-3"/>
          <w:w w:val="100"/>
        </w:rPr>
        <w:t>及</w:t>
      </w:r>
      <w:r>
        <w:rPr>
          <w:w w:val="100"/>
        </w:rPr>
        <w:t>或</w:t>
      </w:r>
      <w:r>
        <w:rPr>
          <w:spacing w:val="-3"/>
          <w:w w:val="100"/>
        </w:rPr>
        <w:t>有</w:t>
      </w:r>
      <w:r>
        <w:rPr>
          <w:w w:val="100"/>
        </w:rPr>
        <w:t>事项</w:t>
      </w:r>
      <w:r>
        <w:rPr>
          <w:spacing w:val="-123"/>
          <w:w w:val="100"/>
        </w:rPr>
        <w:t>”</w:t>
      </w:r>
      <w:r>
        <w:rPr>
          <w:spacing w:val="-3"/>
          <w:w w:val="100"/>
        </w:rPr>
        <w:t>（</w:t>
      </w:r>
      <w:r>
        <w:rPr>
          <w:w w:val="100"/>
        </w:rPr>
        <w:t>一</w:t>
      </w:r>
      <w:r>
        <w:rPr>
          <w:spacing w:val="-17"/>
          <w:w w:val="100"/>
        </w:rPr>
        <w:t>）</w:t>
      </w:r>
      <w:r>
        <w:rPr>
          <w:rFonts w:ascii="Times New Roman" w:hAnsi="Times New Roman" w:cs="Times New Roman" w:eastAsia="Times New Roman" w:hint="default"/>
          <w:w w:val="100"/>
        </w:rPr>
        <w:t>1</w:t>
      </w:r>
    </w:p>
    <w:p>
      <w:pPr>
        <w:pStyle w:val="BodyText"/>
        <w:spacing w:line="240" w:lineRule="auto" w:before="21"/>
        <w:ind w:left="112" w:right="1133"/>
        <w:jc w:val="left"/>
      </w:pPr>
      <w:r>
        <w:rPr>
          <w:w w:val="100"/>
        </w:rPr>
        <w:t>（</w:t>
      </w:r>
      <w:r>
        <w:rPr>
          <w:rFonts w:ascii="Times New Roman" w:hAnsi="Times New Roman" w:cs="Times New Roman" w:eastAsia="Times New Roman" w:hint="default"/>
          <w:w w:val="100"/>
        </w:rPr>
        <w:t>2</w:t>
      </w:r>
      <w:r>
        <w:rPr>
          <w:spacing w:val="-106"/>
          <w:w w:val="100"/>
        </w:rPr>
        <w:t>）。</w:t>
      </w:r>
      <w:r>
        <w:rPr>
          <w:w w:val="100"/>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8"/>
          <w:szCs w:val="28"/>
        </w:rPr>
      </w:pPr>
    </w:p>
    <w:p>
      <w:pPr>
        <w:pStyle w:val="Heading6"/>
        <w:spacing w:line="240" w:lineRule="auto"/>
        <w:ind w:right="1133"/>
        <w:jc w:val="left"/>
        <w:rPr>
          <w:b w:val="0"/>
          <w:bCs w:val="0"/>
        </w:rPr>
      </w:pPr>
      <w:bookmarkStart w:name="23、生产性生物资产" w:id="310"/>
      <w:bookmarkEnd w:id="31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1）采用成本计量模式的生产性生物资产" w:id="311"/>
      <w:bookmarkEnd w:id="31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采用公允价值计量模式的生产性生物资产" w:id="312"/>
      <w:bookmarkEnd w:id="31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4、油气资产" w:id="313"/>
      <w:bookmarkEnd w:id="31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5、使用权资产" w:id="314"/>
      <w:bookmarkEnd w:id="314"/>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6、无形资产" w:id="315"/>
      <w:bookmarkEnd w:id="315"/>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无形资产情况" w:id="316"/>
      <w:bookmarkEnd w:id="31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32,388,620.00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4,067,948.48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36,456,568.48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5,226,041.15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5,226,041.15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5,226,041.15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5,226,041.15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27"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32,388,620.00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9,293,989.63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41,682,609.63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3,238,861.99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2,418,801.38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5,657,663.37</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647,772.36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935,512.96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1,583,285.32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647,772.36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935,512.96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1,583,285.32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3,886,634.35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3,354,314.34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7,240,948.69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28,501,985.65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5,939,675.29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34,441,660.94</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29,149,758.01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1,649,147.10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30,798,905.11</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未办妥产权证书的土地使用权情况" w:id="317"/>
      <w:bookmarkEnd w:id="31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112" w:right="1133"/>
        <w:jc w:val="left"/>
      </w:pPr>
      <w:r>
        <w:rPr/>
        <w:t>期末用于抵押或担保的无形资产的原值人民币</w:t>
      </w:r>
      <w:r>
        <w:rPr>
          <w:rFonts w:ascii="Times New Roman" w:hAnsi="Times New Roman" w:cs="Times New Roman" w:eastAsia="Times New Roman" w:hint="default"/>
        </w:rPr>
        <w:t>32,388,620.00</w:t>
      </w:r>
      <w:r>
        <w:rPr/>
        <w:t>元、净值人民币</w:t>
      </w:r>
      <w:r>
        <w:rPr>
          <w:rFonts w:ascii="Times New Roman" w:hAnsi="Times New Roman" w:cs="Times New Roman" w:eastAsia="Times New Roman" w:hint="default"/>
        </w:rPr>
        <w:t>28,501,985.65</w:t>
      </w:r>
      <w:r>
        <w:rPr/>
        <w:t>元，详见“附注</w:t>
      </w:r>
      <w:r>
        <w:rPr>
          <w:spacing w:val="-29"/>
        </w:rPr>
        <w:t> </w:t>
      </w:r>
      <w:r>
        <w:rPr>
          <w:spacing w:val="-29"/>
        </w:rPr>
      </w:r>
      <w:r>
        <w:rPr>
          <w:spacing w:val="-18"/>
          <w:w w:val="100"/>
        </w:rPr>
        <w:t>十二、承诺及或有事项”（一）</w:t>
      </w:r>
      <w:r>
        <w:rPr>
          <w:rFonts w:ascii="Times New Roman" w:hAnsi="Times New Roman" w:cs="Times New Roman" w:eastAsia="Times New Roman" w:hint="default"/>
          <w:spacing w:val="-18"/>
          <w:w w:val="100"/>
        </w:rPr>
        <w:t>1</w:t>
      </w:r>
      <w:r>
        <w:rPr>
          <w:spacing w:val="-18"/>
          <w:w w:val="100"/>
        </w:rPr>
        <w:t>（</w:t>
      </w:r>
      <w:r>
        <w:rPr>
          <w:rFonts w:ascii="Times New Roman" w:hAnsi="Times New Roman" w:cs="Times New Roman" w:eastAsia="Times New Roman" w:hint="default"/>
          <w:spacing w:val="-18"/>
          <w:w w:val="100"/>
        </w:rPr>
        <w:t>2</w:t>
      </w:r>
      <w:r>
        <w:rPr>
          <w:spacing w:val="-18"/>
          <w:w w:val="100"/>
        </w:rPr>
        <w:t>）。</w:t>
      </w:r>
      <w:r>
        <w:rPr>
          <w:w w:val="100"/>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6"/>
        <w:spacing w:line="240" w:lineRule="auto"/>
        <w:ind w:right="1133"/>
        <w:jc w:val="left"/>
        <w:rPr>
          <w:b w:val="0"/>
          <w:bCs w:val="0"/>
        </w:rPr>
      </w:pPr>
      <w:bookmarkStart w:name="27、开发支出" w:id="318"/>
      <w:bookmarkEnd w:id="318"/>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4"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167"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3"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8、商誉" w:id="319"/>
      <w:bookmarkEnd w:id="319"/>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商誉账面原值" w:id="320"/>
      <w:bookmarkEnd w:id="32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134" w:hanging="449"/>
              <w:jc w:val="left"/>
              <w:rPr>
                <w:rFonts w:ascii="宋体" w:hAnsi="宋体" w:cs="宋体" w:eastAsia="宋体" w:hint="default"/>
                <w:sz w:val="18"/>
                <w:szCs w:val="18"/>
              </w:rPr>
            </w:pPr>
            <w:r>
              <w:rPr>
                <w:rFonts w:ascii="宋体" w:hAnsi="宋体" w:cs="宋体" w:eastAsia="宋体" w:hint="default"/>
                <w:sz w:val="18"/>
                <w:szCs w:val="18"/>
              </w:rPr>
              <w:t>企业合并形成 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上海追索信息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10,737,367.68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10,737,367.68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10,737,367.68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10,737,367.68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商誉减值准备" w:id="321"/>
      <w:bookmarkEnd w:id="32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50"/>
        <w:ind w:left="112" w:right="1133"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360" w:lineRule="auto" w:before="57"/>
        <w:ind w:left="112" w:right="913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pStyle w:val="BodyText"/>
        <w:spacing w:line="273" w:lineRule="auto" w:before="6"/>
        <w:ind w:right="1133"/>
        <w:jc w:val="left"/>
      </w:pPr>
      <w:r>
        <w:rPr>
          <w:spacing w:val="2"/>
        </w:rPr>
        <w:t>系公司在以前年度收购上海追索信息科技有限公司股权时支付对价大于购买日取得的上海</w:t>
      </w:r>
      <w:r>
        <w:rPr>
          <w:spacing w:val="-33"/>
        </w:rPr>
        <w:t> </w:t>
      </w:r>
      <w:r>
        <w:rPr>
          <w:spacing w:val="-33"/>
        </w:rPr>
      </w:r>
      <w:r>
        <w:rPr/>
        <w:t>追索信息科技有限公司可辨认净资产公允价值份额产生的商誉。</w:t>
      </w:r>
      <w:r>
        <w:rPr>
          <w:w w:val="100"/>
        </w:rPr>
        <w:t> </w:t>
      </w:r>
      <w:r>
        <w:rPr>
          <w:spacing w:val="-3"/>
        </w:rPr>
        <w:t>公司期末对与商誉相关的各资产组进行了减值测试，首先将该商誉及归属于少数股东权益的</w:t>
      </w:r>
      <w:r>
        <w:rPr>
          <w:spacing w:val="-30"/>
        </w:rPr>
        <w:t> </w:t>
      </w:r>
      <w:r>
        <w:rPr>
          <w:spacing w:val="-30"/>
        </w:rPr>
      </w:r>
      <w:r>
        <w:rPr>
          <w:spacing w:val="-3"/>
        </w:rPr>
        <w:t>商誉包括在内，调整各资产组的账面价值，然后将调整后的各资产组账面价值与其可收回金</w:t>
      </w:r>
      <w:r>
        <w:rPr>
          <w:spacing w:val="-30"/>
        </w:rPr>
        <w:t> </w:t>
      </w:r>
      <w:r>
        <w:rPr>
          <w:spacing w:val="-30"/>
        </w:rPr>
      </w:r>
      <w:r>
        <w:rPr/>
        <w:t>额进行比较，以确定各资产组（包括商誉）是否发生了减值。</w:t>
      </w:r>
    </w:p>
    <w:p>
      <w:pPr>
        <w:pStyle w:val="BodyText"/>
        <w:spacing w:line="240" w:lineRule="auto" w:before="7"/>
        <w:ind w:right="1133"/>
        <w:jc w:val="left"/>
      </w:pPr>
      <w:r>
        <w:rPr/>
        <w:t>商誉减值测试如下：</w:t>
      </w:r>
    </w:p>
    <w:p>
      <w:pPr>
        <w:spacing w:line="240" w:lineRule="auto" w:before="10"/>
        <w:rPr>
          <w:rFonts w:ascii="宋体" w:hAnsi="宋体" w:cs="宋体" w:eastAsia="宋体" w:hint="default"/>
          <w:sz w:val="3"/>
          <w:szCs w:val="3"/>
        </w:rPr>
      </w:pPr>
    </w:p>
    <w:tbl>
      <w:tblPr>
        <w:tblW w:w="0" w:type="auto"/>
        <w:jc w:val="left"/>
        <w:tblInd w:w="821" w:type="dxa"/>
        <w:tblLayout w:type="fixed"/>
        <w:tblCellMar>
          <w:top w:w="0" w:type="dxa"/>
          <w:left w:w="0" w:type="dxa"/>
          <w:bottom w:w="0" w:type="dxa"/>
          <w:right w:w="0" w:type="dxa"/>
        </w:tblCellMar>
        <w:tblLook w:val="01E0"/>
      </w:tblPr>
      <w:tblGrid>
        <w:gridCol w:w="4801"/>
        <w:gridCol w:w="2813"/>
      </w:tblGrid>
      <w:tr>
        <w:trPr>
          <w:trHeight w:val="353" w:hRule="exact"/>
        </w:trPr>
        <w:tc>
          <w:tcPr>
            <w:tcW w:w="480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3"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上海追索信息科技有限公司</w:t>
            </w:r>
          </w:p>
        </w:tc>
      </w:tr>
      <w:tr>
        <w:trPr>
          <w:trHeight w:val="353"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商誉账面余额①</w:t>
            </w:r>
          </w:p>
        </w:tc>
        <w:tc>
          <w:tcPr>
            <w:tcW w:w="2813"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10,737,367.68</w:t>
            </w:r>
          </w:p>
        </w:tc>
      </w:tr>
      <w:tr>
        <w:trPr>
          <w:trHeight w:val="353"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商誉减值准备余额②</w:t>
            </w:r>
          </w:p>
        </w:tc>
        <w:tc>
          <w:tcPr>
            <w:tcW w:w="281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商誉的账面价值③</w:t>
            </w:r>
            <w:r>
              <w:rPr>
                <w:rFonts w:ascii="宋体" w:hAnsi="宋体" w:cs="宋体" w:eastAsia="宋体" w:hint="default"/>
                <w:sz w:val="21"/>
                <w:szCs w:val="21"/>
              </w:rPr>
              <w:t>=</w:t>
            </w:r>
            <w:r>
              <w:rPr>
                <w:rFonts w:ascii="宋体" w:hAnsi="宋体" w:cs="宋体" w:eastAsia="宋体" w:hint="default"/>
                <w:sz w:val="21"/>
                <w:szCs w:val="21"/>
              </w:rPr>
              <w:t>①</w:t>
            </w:r>
            <w:r>
              <w:rPr>
                <w:rFonts w:ascii="Times New Roman" w:hAnsi="Times New Roman" w:cs="Times New Roman" w:eastAsia="Times New Roman" w:hint="default"/>
                <w:sz w:val="21"/>
                <w:szCs w:val="21"/>
              </w:rPr>
              <w:t>-</w:t>
            </w:r>
            <w:r>
              <w:rPr>
                <w:rFonts w:ascii="宋体" w:hAnsi="宋体" w:cs="宋体" w:eastAsia="宋体" w:hint="default"/>
                <w:sz w:val="21"/>
                <w:szCs w:val="21"/>
              </w:rPr>
              <w:t>②</w:t>
            </w:r>
          </w:p>
        </w:tc>
        <w:tc>
          <w:tcPr>
            <w:tcW w:w="2813"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10,737,367.68</w:t>
            </w:r>
          </w:p>
        </w:tc>
      </w:tr>
      <w:tr>
        <w:trPr>
          <w:trHeight w:val="353"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未确认归属于少数股东权益的商誉价值④</w:t>
            </w:r>
          </w:p>
        </w:tc>
        <w:tc>
          <w:tcPr>
            <w:tcW w:w="2813"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10,316,294.44</w:t>
            </w:r>
          </w:p>
        </w:tc>
      </w:tr>
      <w:tr>
        <w:trPr>
          <w:trHeight w:val="353"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包含未确认归属于少数股东权益的商誉价值⑤</w:t>
            </w:r>
            <w:r>
              <w:rPr>
                <w:rFonts w:ascii="宋体" w:hAnsi="宋体" w:cs="宋体" w:eastAsia="宋体" w:hint="default"/>
                <w:sz w:val="21"/>
                <w:szCs w:val="21"/>
              </w:rPr>
              <w:t>=</w:t>
            </w:r>
            <w:r>
              <w:rPr>
                <w:rFonts w:ascii="宋体" w:hAnsi="宋体" w:cs="宋体" w:eastAsia="宋体" w:hint="default"/>
                <w:sz w:val="21"/>
                <w:szCs w:val="21"/>
              </w:rPr>
              <w:t>④</w:t>
            </w:r>
            <w:r>
              <w:rPr>
                <w:rFonts w:ascii="宋体" w:hAnsi="宋体" w:cs="宋体" w:eastAsia="宋体" w:hint="default"/>
                <w:sz w:val="21"/>
                <w:szCs w:val="21"/>
              </w:rPr>
              <w:t>+</w:t>
            </w:r>
          </w:p>
        </w:tc>
        <w:tc>
          <w:tcPr>
            <w:tcW w:w="2813"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21,053,662.12</w:t>
            </w:r>
          </w:p>
        </w:tc>
      </w:tr>
    </w:tbl>
    <w:p>
      <w:pPr>
        <w:spacing w:after="0" w:line="262" w:lineRule="exact"/>
        <w:jc w:val="right"/>
        <w:rPr>
          <w:rFonts w:ascii="宋体" w:hAnsi="宋体" w:cs="宋体" w:eastAsia="宋体" w:hint="default"/>
          <w:sz w:val="21"/>
          <w:szCs w:val="21"/>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821" w:type="dxa"/>
        <w:tblLayout w:type="fixed"/>
        <w:tblCellMar>
          <w:top w:w="0" w:type="dxa"/>
          <w:left w:w="0" w:type="dxa"/>
          <w:bottom w:w="0" w:type="dxa"/>
          <w:right w:w="0" w:type="dxa"/>
        </w:tblCellMar>
        <w:tblLook w:val="01E0"/>
      </w:tblPr>
      <w:tblGrid>
        <w:gridCol w:w="4801"/>
        <w:gridCol w:w="2813"/>
      </w:tblGrid>
      <w:tr>
        <w:trPr>
          <w:trHeight w:val="356" w:hRule="exact"/>
        </w:trPr>
        <w:tc>
          <w:tcPr>
            <w:tcW w:w="4801"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③</w:t>
            </w:r>
          </w:p>
        </w:tc>
        <w:tc>
          <w:tcPr>
            <w:tcW w:w="2813" w:type="dxa"/>
            <w:tcBorders>
              <w:top w:val="single" w:sz="6" w:space="0" w:color="000000"/>
              <w:left w:val="single" w:sz="6" w:space="0" w:color="000000"/>
              <w:bottom w:val="single" w:sz="12" w:space="0" w:color="000000"/>
              <w:right w:val="nil" w:sz="6" w:space="0" w:color="auto"/>
            </w:tcBorders>
          </w:tcPr>
          <w:p>
            <w:pPr/>
          </w:p>
        </w:tc>
      </w:tr>
      <w:tr>
        <w:trPr>
          <w:trHeight w:val="350"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资产组的账面价值⑥</w:t>
            </w:r>
          </w:p>
        </w:tc>
        <w:tc>
          <w:tcPr>
            <w:tcW w:w="2813"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451,864.29</w:t>
            </w:r>
          </w:p>
        </w:tc>
      </w:tr>
      <w:tr>
        <w:trPr>
          <w:trHeight w:val="353"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包含整体商誉的资产组的公允价值⑦</w:t>
            </w:r>
            <w:r>
              <w:rPr>
                <w:rFonts w:ascii="宋体" w:hAnsi="宋体" w:cs="宋体" w:eastAsia="宋体" w:hint="default"/>
                <w:sz w:val="21"/>
                <w:szCs w:val="21"/>
              </w:rPr>
              <w:t>=</w:t>
            </w:r>
            <w:r>
              <w:rPr>
                <w:rFonts w:ascii="宋体" w:hAnsi="宋体" w:cs="宋体" w:eastAsia="宋体" w:hint="default"/>
                <w:sz w:val="21"/>
                <w:szCs w:val="21"/>
              </w:rPr>
              <w:t>⑤</w:t>
            </w:r>
            <w:r>
              <w:rPr>
                <w:rFonts w:ascii="宋体" w:hAnsi="宋体" w:cs="宋体" w:eastAsia="宋体" w:hint="default"/>
                <w:sz w:val="21"/>
                <w:szCs w:val="21"/>
              </w:rPr>
              <w:t>+</w:t>
            </w:r>
            <w:r>
              <w:rPr>
                <w:rFonts w:ascii="宋体" w:hAnsi="宋体" w:cs="宋体" w:eastAsia="宋体" w:hint="default"/>
                <w:sz w:val="21"/>
                <w:szCs w:val="21"/>
              </w:rPr>
              <w:t>⑥</w:t>
            </w:r>
          </w:p>
        </w:tc>
        <w:tc>
          <w:tcPr>
            <w:tcW w:w="2813"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21,505,526.41</w:t>
            </w:r>
          </w:p>
        </w:tc>
      </w:tr>
      <w:tr>
        <w:trPr>
          <w:trHeight w:val="353"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资产组预计未来现金流量的现值（可收回金额）⑧</w:t>
            </w:r>
          </w:p>
        </w:tc>
        <w:tc>
          <w:tcPr>
            <w:tcW w:w="2813"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27,500,000.00</w:t>
            </w:r>
          </w:p>
        </w:tc>
      </w:tr>
      <w:tr>
        <w:trPr>
          <w:trHeight w:val="353" w:hRule="exact"/>
        </w:trPr>
        <w:tc>
          <w:tcPr>
            <w:tcW w:w="4801"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商誉减值损失（大于</w:t>
            </w:r>
            <w:r>
              <w:rPr>
                <w:rFonts w:ascii="Times New Roman" w:hAnsi="Times New Roman" w:cs="Times New Roman" w:eastAsia="Times New Roman" w:hint="default"/>
                <w:sz w:val="21"/>
                <w:szCs w:val="21"/>
              </w:rPr>
              <w:t>0</w:t>
            </w:r>
            <w:r>
              <w:rPr>
                <w:rFonts w:ascii="宋体" w:hAnsi="宋体" w:cs="宋体" w:eastAsia="宋体" w:hint="default"/>
                <w:sz w:val="21"/>
                <w:szCs w:val="21"/>
              </w:rPr>
              <w:t>时）⑨</w:t>
            </w:r>
            <w:r>
              <w:rPr>
                <w:rFonts w:ascii="宋体" w:hAnsi="宋体" w:cs="宋体" w:eastAsia="宋体" w:hint="default"/>
                <w:sz w:val="21"/>
                <w:szCs w:val="21"/>
              </w:rPr>
              <w:t>=</w:t>
            </w:r>
            <w:r>
              <w:rPr>
                <w:rFonts w:ascii="宋体" w:hAnsi="宋体" w:cs="宋体" w:eastAsia="宋体" w:hint="default"/>
                <w:sz w:val="21"/>
                <w:szCs w:val="21"/>
              </w:rPr>
              <w:t>⑦</w:t>
            </w:r>
            <w:r>
              <w:rPr>
                <w:rFonts w:ascii="Times New Roman" w:hAnsi="Times New Roman" w:cs="Times New Roman" w:eastAsia="Times New Roman" w:hint="default"/>
                <w:sz w:val="21"/>
                <w:szCs w:val="21"/>
              </w:rPr>
              <w:t>-</w:t>
            </w:r>
            <w:r>
              <w:rPr>
                <w:rFonts w:ascii="宋体" w:hAnsi="宋体" w:cs="宋体" w:eastAsia="宋体" w:hint="default"/>
                <w:sz w:val="21"/>
                <w:szCs w:val="21"/>
              </w:rPr>
              <w:t>⑧</w:t>
            </w:r>
          </w:p>
        </w:tc>
        <w:tc>
          <w:tcPr>
            <w:tcW w:w="2813"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BodyText"/>
        <w:spacing w:line="271" w:lineRule="auto" w:before="36"/>
        <w:ind w:right="1133" w:hanging="502"/>
        <w:jc w:val="left"/>
      </w:pPr>
      <w:r>
        <w:rPr>
          <w:rFonts w:ascii="宋体" w:hAnsi="宋体" w:cs="宋体" w:eastAsia="宋体" w:hint="default"/>
          <w:b/>
          <w:bCs/>
        </w:rPr>
        <w:t>商誉所在资产组或资产组组合的相关信息</w:t>
      </w:r>
      <w:r>
        <w:rPr>
          <w:rFonts w:ascii="宋体" w:hAnsi="宋体" w:cs="宋体" w:eastAsia="宋体" w:hint="default"/>
          <w:b/>
          <w:bCs/>
          <w:w w:val="100"/>
        </w:rPr>
        <w:t> </w:t>
      </w:r>
      <w:r>
        <w:rPr>
          <w:spacing w:val="-2"/>
        </w:rPr>
        <w:t>上海追索信息科技有限公司于评估基准日的评估范围是公司形成商誉的资产组涉及的资产，</w:t>
      </w:r>
      <w:r>
        <w:rPr>
          <w:w w:val="100"/>
        </w:rPr>
        <w:t> </w:t>
      </w:r>
      <w:r>
        <w:rPr/>
        <w:t>该资产组与购买日及以前年度商誉减值测试时所确定的资产组一致。</w:t>
      </w:r>
      <w:r>
        <w:rPr>
          <w:w w:val="100"/>
        </w:rPr>
        <w:t> </w:t>
      </w:r>
      <w:r>
        <w:rPr>
          <w:spacing w:val="-3"/>
        </w:rPr>
        <w:t>该资产组预计未来现金流量的现值（可收回金额）利用了江苏中企华中天资产评估有限公司</w:t>
      </w:r>
      <w:r>
        <w:rPr>
          <w:w w:val="100"/>
        </w:rPr>
        <w:t> </w:t>
      </w:r>
      <w:r>
        <w:rPr>
          <w:spacing w:val="-3"/>
        </w:rPr>
        <w:t>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日出具的苏中资评报字</w:t>
      </w:r>
      <w:r>
        <w:rPr>
          <w:rFonts w:ascii="Times New Roman" w:hAnsi="Times New Roman" w:cs="Times New Roman" w:eastAsia="Times New Roman" w:hint="default"/>
          <w:spacing w:val="-3"/>
        </w:rPr>
        <w:t>(2020)</w:t>
      </w:r>
      <w:r>
        <w:rPr>
          <w:spacing w:val="-3"/>
        </w:rPr>
        <w:t>第</w:t>
      </w:r>
      <w:r>
        <w:rPr>
          <w:rFonts w:ascii="Times New Roman" w:hAnsi="Times New Roman" w:cs="Times New Roman" w:eastAsia="Times New Roman" w:hint="default"/>
          <w:spacing w:val="-3"/>
        </w:rPr>
        <w:t>1010</w:t>
      </w:r>
      <w:r>
        <w:rPr>
          <w:spacing w:val="-3"/>
        </w:rPr>
        <w:t>号《上海中信信息发展股份有限公司拟减</w:t>
      </w:r>
      <w:r>
        <w:rPr>
          <w:w w:val="100"/>
        </w:rPr>
        <w:t> </w:t>
      </w:r>
      <w:r>
        <w:rPr>
          <w:spacing w:val="2"/>
        </w:rPr>
        <w:t>值测试涉及的上海追索信息科技有限公司商誉及相关资产组预计未来现金流量现值资产评</w:t>
      </w:r>
      <w:r>
        <w:rPr>
          <w:w w:val="100"/>
        </w:rPr>
        <w:t> </w:t>
      </w:r>
      <w:r>
        <w:rPr>
          <w:spacing w:val="-22"/>
          <w:w w:val="100"/>
        </w:rPr>
        <w:t>估报告》。</w:t>
      </w:r>
    </w:p>
    <w:p>
      <w:pPr>
        <w:spacing w:line="240" w:lineRule="auto" w:before="8"/>
        <w:rPr>
          <w:rFonts w:ascii="宋体" w:hAnsi="宋体" w:cs="宋体" w:eastAsia="宋体" w:hint="default"/>
          <w:sz w:val="24"/>
          <w:szCs w:val="24"/>
        </w:rPr>
      </w:pPr>
    </w:p>
    <w:p>
      <w:pPr>
        <w:pStyle w:val="Heading6"/>
        <w:spacing w:line="273" w:lineRule="auto"/>
        <w:ind w:left="1248" w:right="1133" w:hanging="360"/>
        <w:jc w:val="left"/>
        <w:rPr>
          <w:b w:val="0"/>
          <w:bCs w:val="0"/>
        </w:rPr>
      </w:pPr>
      <w:r>
        <w:rPr>
          <w:spacing w:val="-1"/>
        </w:rPr>
        <w:t>商誉减值测试过程、关键参数（例如预计未来现金流量现值时的预测期增长率、稳定期增长率、</w:t>
      </w:r>
      <w:r>
        <w:rPr>
          <w:spacing w:val="-57"/>
        </w:rPr>
        <w:t> </w:t>
      </w:r>
      <w:r>
        <w:rPr>
          <w:spacing w:val="-57"/>
        </w:rPr>
      </w:r>
      <w:r>
        <w:rPr/>
        <w:t>利润率、折现率、预测期等，如适用）及商誉减值损失的确认方法</w:t>
      </w:r>
      <w:r>
        <w:rPr>
          <w:b w:val="0"/>
          <w:bCs w:val="0"/>
        </w:rPr>
      </w:r>
    </w:p>
    <w:p>
      <w:pPr>
        <w:pStyle w:val="BodyText"/>
        <w:spacing w:line="273" w:lineRule="auto" w:before="7"/>
        <w:ind w:right="1133" w:firstLine="360"/>
        <w:jc w:val="left"/>
      </w:pPr>
      <w:r>
        <w:rPr/>
        <w:t>上述评估报告中的重要假设依据：</w:t>
      </w:r>
      <w:r>
        <w:rPr>
          <w:w w:val="100"/>
        </w:rPr>
        <w:t> </w:t>
      </w:r>
      <w:r>
        <w:rPr>
          <w:spacing w:val="2"/>
        </w:rPr>
        <w:t>假设评估基准日后上海追索信息科技有限公司采用的会计政策和编写此次资产评估报告时</w:t>
      </w:r>
    </w:p>
    <w:p>
      <w:pPr>
        <w:pStyle w:val="BodyText"/>
        <w:spacing w:line="273" w:lineRule="auto" w:before="7"/>
        <w:ind w:right="1133" w:firstLine="360"/>
        <w:jc w:val="left"/>
      </w:pPr>
      <w:r>
        <w:rPr/>
        <w:t>所采用的会计政策在重要方面保持一致；</w:t>
      </w:r>
      <w:r>
        <w:rPr>
          <w:w w:val="100"/>
        </w:rPr>
        <w:t> </w:t>
      </w:r>
      <w:r>
        <w:rPr>
          <w:spacing w:val="-3"/>
        </w:rPr>
        <w:t>假设评估基准日后上海追索信息科技有限公司在现有管理方式和管理水平的基础上，经营范</w:t>
      </w:r>
    </w:p>
    <w:p>
      <w:pPr>
        <w:pStyle w:val="BodyText"/>
        <w:spacing w:line="544" w:lineRule="auto" w:before="7"/>
        <w:ind w:left="1750" w:right="6254"/>
        <w:jc w:val="left"/>
      </w:pPr>
      <w:r>
        <w:rPr/>
        <w:pict>
          <v:shape style="position:absolute;margin-left:92.064003pt;margin-top:47.773685pt;width:403.05pt;height:132.0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0"/>
                    <w:gridCol w:w="1405"/>
                    <w:gridCol w:w="1380"/>
                    <w:gridCol w:w="965"/>
                    <w:gridCol w:w="1385"/>
                    <w:gridCol w:w="1570"/>
                  </w:tblGrid>
                  <w:tr>
                    <w:trPr>
                      <w:trHeight w:val="353" w:hRule="exact"/>
                    </w:trPr>
                    <w:tc>
                      <w:tcPr>
                        <w:tcW w:w="1320" w:type="dxa"/>
                        <w:vMerge w:val="restart"/>
                        <w:tcBorders>
                          <w:top w:val="single" w:sz="6" w:space="0" w:color="000000"/>
                          <w:left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6705" w:type="dxa"/>
                        <w:gridSpan w:val="5"/>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关键参数</w:t>
                        </w:r>
                      </w:p>
                    </w:tc>
                  </w:tr>
                  <w:tr>
                    <w:trPr>
                      <w:trHeight w:val="977" w:hRule="exact"/>
                    </w:trPr>
                    <w:tc>
                      <w:tcPr>
                        <w:tcW w:w="1320" w:type="dxa"/>
                        <w:vMerge/>
                        <w:tcBorders>
                          <w:left w:val="single" w:sz="6" w:space="0" w:color="000000"/>
                          <w:bottom w:val="single" w:sz="12" w:space="0" w:color="000000"/>
                          <w:right w:val="single" w:sz="6" w:space="0" w:color="000000"/>
                        </w:tcBorders>
                      </w:tcPr>
                      <w:p>
                        <w:pP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52" w:right="0"/>
                          <w:jc w:val="left"/>
                          <w:rPr>
                            <w:rFonts w:ascii="宋体" w:hAnsi="宋体" w:cs="宋体" w:eastAsia="宋体" w:hint="default"/>
                            <w:sz w:val="21"/>
                            <w:szCs w:val="21"/>
                          </w:rPr>
                        </w:pPr>
                        <w:r>
                          <w:rPr>
                            <w:rFonts w:ascii="宋体" w:hAnsi="宋体" w:cs="宋体" w:eastAsia="宋体" w:hint="default"/>
                            <w:sz w:val="21"/>
                            <w:szCs w:val="21"/>
                          </w:rPr>
                          <w:t>预测期增长率</w:t>
                        </w:r>
                      </w:p>
                    </w:tc>
                    <w:tc>
                      <w:tcPr>
                        <w:tcW w:w="96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66" w:right="48" w:hanging="209"/>
                          <w:jc w:val="left"/>
                          <w:rPr>
                            <w:rFonts w:ascii="宋体" w:hAnsi="宋体" w:cs="宋体" w:eastAsia="宋体" w:hint="default"/>
                            <w:sz w:val="21"/>
                            <w:szCs w:val="21"/>
                          </w:rPr>
                        </w:pPr>
                        <w:r>
                          <w:rPr>
                            <w:rFonts w:ascii="宋体" w:hAnsi="宋体" w:cs="宋体" w:eastAsia="宋体" w:hint="default"/>
                            <w:sz w:val="21"/>
                            <w:szCs w:val="21"/>
                          </w:rPr>
                          <w:t>稳定期增</w:t>
                        </w:r>
                        <w:r>
                          <w:rPr>
                            <w:rFonts w:ascii="宋体" w:hAnsi="宋体" w:cs="宋体" w:eastAsia="宋体" w:hint="default"/>
                            <w:w w:val="100"/>
                            <w:sz w:val="21"/>
                            <w:szCs w:val="21"/>
                          </w:rPr>
                          <w:t> </w:t>
                        </w:r>
                        <w:r>
                          <w:rPr>
                            <w:rFonts w:ascii="宋体" w:hAnsi="宋体" w:cs="宋体" w:eastAsia="宋体" w:hint="default"/>
                            <w:sz w:val="21"/>
                            <w:szCs w:val="21"/>
                          </w:rPr>
                          <w:t>长率</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sz w:val="21"/>
                            <w:szCs w:val="21"/>
                          </w:rPr>
                          <w:t>利润率</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73" w:lineRule="auto"/>
                          <w:ind w:left="43" w:right="43"/>
                          <w:jc w:val="center"/>
                          <w:rPr>
                            <w:rFonts w:ascii="宋体" w:hAnsi="宋体" w:cs="宋体" w:eastAsia="宋体" w:hint="default"/>
                            <w:sz w:val="21"/>
                            <w:szCs w:val="21"/>
                          </w:rPr>
                        </w:pPr>
                        <w:r>
                          <w:rPr>
                            <w:rFonts w:ascii="宋体" w:hAnsi="宋体" w:cs="宋体" w:eastAsia="宋体" w:hint="default"/>
                            <w:spacing w:val="-1"/>
                            <w:sz w:val="21"/>
                            <w:szCs w:val="21"/>
                          </w:rPr>
                          <w:t>折现率（加权平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均资本成本</w:t>
                        </w:r>
                        <w:r>
                          <w:rPr>
                            <w:rFonts w:ascii="宋体" w:hAnsi="宋体" w:cs="宋体" w:eastAsia="宋体" w:hint="default"/>
                            <w:w w:val="100"/>
                            <w:sz w:val="21"/>
                            <w:szCs w:val="21"/>
                          </w:rPr>
                          <w:t> </w:t>
                        </w:r>
                        <w:r>
                          <w:rPr>
                            <w:rFonts w:ascii="宋体" w:hAnsi="宋体" w:cs="宋体" w:eastAsia="宋体" w:hint="default"/>
                            <w:sz w:val="21"/>
                            <w:szCs w:val="21"/>
                          </w:rPr>
                          <w:t>WACC)</w:t>
                        </w:r>
                      </w:p>
                    </w:tc>
                  </w:tr>
                  <w:tr>
                    <w:trPr>
                      <w:trHeight w:val="1289" w:hRule="exact"/>
                    </w:trPr>
                    <w:tc>
                      <w:tcPr>
                        <w:tcW w:w="132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 w:right="38"/>
                          <w:jc w:val="left"/>
                          <w:rPr>
                            <w:rFonts w:ascii="宋体" w:hAnsi="宋体" w:cs="宋体" w:eastAsia="宋体" w:hint="default"/>
                            <w:sz w:val="21"/>
                            <w:szCs w:val="21"/>
                          </w:rPr>
                        </w:pPr>
                        <w:r>
                          <w:rPr>
                            <w:rFonts w:ascii="宋体" w:hAnsi="宋体" w:cs="宋体" w:eastAsia="宋体" w:hint="default"/>
                            <w:sz w:val="21"/>
                            <w:szCs w:val="21"/>
                          </w:rPr>
                          <w:t>上海追索信息</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405"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r>
                          <w:rPr>
                            <w:rFonts w:ascii="宋体" w:hAnsi="宋体" w:cs="宋体" w:eastAsia="宋体" w:hint="default"/>
                            <w:sz w:val="21"/>
                            <w:szCs w:val="21"/>
                          </w:rPr>
                          <w:t>2024</w:t>
                        </w:r>
                        <w:r>
                          <w:rPr>
                            <w:rFonts w:ascii="宋体" w:hAnsi="宋体" w:cs="宋体" w:eastAsia="宋体" w:hint="default"/>
                            <w:sz w:val="21"/>
                            <w:szCs w:val="21"/>
                          </w:rPr>
                          <w:t>年</w:t>
                        </w:r>
                      </w:p>
                      <w:p>
                        <w:pPr>
                          <w:pStyle w:val="TableParagraph"/>
                          <w:spacing w:line="273" w:lineRule="auto" w:before="21"/>
                          <w:ind w:left="2" w:right="123"/>
                          <w:jc w:val="left"/>
                          <w:rPr>
                            <w:rFonts w:ascii="宋体" w:hAnsi="宋体" w:cs="宋体" w:eastAsia="宋体" w:hint="default"/>
                            <w:sz w:val="21"/>
                            <w:szCs w:val="21"/>
                          </w:rPr>
                        </w:pPr>
                        <w:r>
                          <w:rPr>
                            <w:rFonts w:ascii="宋体" w:hAnsi="宋体" w:cs="宋体" w:eastAsia="宋体" w:hint="default"/>
                            <w:sz w:val="21"/>
                            <w:szCs w:val="21"/>
                          </w:rPr>
                          <w:t>（后续为稳定</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1380"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2021-2024</w:t>
                        </w:r>
                        <w:r>
                          <w:rPr>
                            <w:rFonts w:ascii="宋体" w:hAnsi="宋体" w:cs="宋体" w:eastAsia="宋体" w:hint="default"/>
                            <w:sz w:val="21"/>
                            <w:szCs w:val="21"/>
                          </w:rPr>
                          <w:t>年</w:t>
                        </w:r>
                      </w:p>
                      <w:p>
                        <w:pPr>
                          <w:pStyle w:val="TableParagraph"/>
                          <w:spacing w:line="273" w:lineRule="auto" w:before="37"/>
                          <w:ind w:left="4" w:right="-8"/>
                          <w:jc w:val="left"/>
                          <w:rPr>
                            <w:rFonts w:ascii="宋体" w:hAnsi="宋体" w:cs="宋体" w:eastAsia="宋体" w:hint="default"/>
                            <w:sz w:val="21"/>
                            <w:szCs w:val="21"/>
                          </w:rPr>
                        </w:pPr>
                        <w:r>
                          <w:rPr>
                            <w:rFonts w:ascii="宋体" w:hAnsi="宋体" w:cs="宋体" w:eastAsia="宋体" w:hint="default"/>
                            <w:sz w:val="21"/>
                            <w:szCs w:val="21"/>
                          </w:rPr>
                          <w:t>增长率分别为</w:t>
                        </w:r>
                        <w:r>
                          <w:rPr>
                            <w:rFonts w:ascii="宋体" w:hAnsi="宋体" w:cs="宋体" w:eastAsia="宋体" w:hint="default"/>
                            <w:w w:val="100"/>
                            <w:sz w:val="21"/>
                            <w:szCs w:val="21"/>
                          </w:rPr>
                          <w:t> </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p>
                      <w:p>
                        <w:pPr>
                          <w:pStyle w:val="TableParagraph"/>
                          <w:spacing w:line="240" w:lineRule="auto" w:before="7"/>
                          <w:ind w:left="4" w:right="0"/>
                          <w:jc w:val="left"/>
                          <w:rPr>
                            <w:rFonts w:ascii="宋体" w:hAnsi="宋体" w:cs="宋体" w:eastAsia="宋体" w:hint="default"/>
                            <w:sz w:val="21"/>
                            <w:szCs w:val="21"/>
                          </w:rPr>
                        </w:pPr>
                        <w:r>
                          <w:rPr>
                            <w:rFonts w:ascii="宋体"/>
                            <w:sz w:val="21"/>
                          </w:rPr>
                          <w:t>5%</w:t>
                        </w:r>
                      </w:p>
                    </w:tc>
                    <w:tc>
                      <w:tcPr>
                        <w:tcW w:w="96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sz w:val="21"/>
                          </w:rPr>
                          <w:t>5%</w:t>
                        </w:r>
                      </w:p>
                    </w:tc>
                    <w:tc>
                      <w:tcPr>
                        <w:tcW w:w="1385"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4" w:right="101"/>
                          <w:jc w:val="both"/>
                          <w:rPr>
                            <w:rFonts w:ascii="宋体" w:hAnsi="宋体" w:cs="宋体" w:eastAsia="宋体" w:hint="default"/>
                            <w:sz w:val="21"/>
                            <w:szCs w:val="21"/>
                          </w:rPr>
                        </w:pPr>
                        <w:r>
                          <w:rPr>
                            <w:rFonts w:ascii="宋体" w:hAnsi="宋体" w:cs="宋体" w:eastAsia="宋体" w:hint="default"/>
                            <w:sz w:val="21"/>
                            <w:szCs w:val="21"/>
                          </w:rPr>
                          <w:t>根据预测的收</w:t>
                        </w:r>
                        <w:r>
                          <w:rPr>
                            <w:rFonts w:ascii="宋体" w:hAnsi="宋体" w:cs="宋体" w:eastAsia="宋体" w:hint="default"/>
                            <w:w w:val="100"/>
                            <w:sz w:val="21"/>
                            <w:szCs w:val="21"/>
                          </w:rPr>
                          <w:t> </w:t>
                        </w:r>
                        <w:r>
                          <w:rPr>
                            <w:rFonts w:ascii="宋体" w:hAnsi="宋体" w:cs="宋体" w:eastAsia="宋体" w:hint="default"/>
                            <w:sz w:val="21"/>
                            <w:szCs w:val="21"/>
                          </w:rPr>
                          <w:t>入、成本、费</w:t>
                        </w:r>
                        <w:r>
                          <w:rPr>
                            <w:rFonts w:ascii="宋体" w:hAnsi="宋体" w:cs="宋体" w:eastAsia="宋体" w:hint="default"/>
                            <w:w w:val="100"/>
                            <w:sz w:val="21"/>
                            <w:szCs w:val="21"/>
                          </w:rPr>
                          <w:t> </w:t>
                        </w:r>
                        <w:r>
                          <w:rPr>
                            <w:rFonts w:ascii="宋体" w:hAnsi="宋体" w:cs="宋体" w:eastAsia="宋体" w:hint="default"/>
                            <w:sz w:val="21"/>
                            <w:szCs w:val="21"/>
                          </w:rPr>
                          <w:t>用等计算</w:t>
                        </w:r>
                      </w:p>
                    </w:tc>
                    <w:tc>
                      <w:tcPr>
                        <w:tcW w:w="1570"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924" w:right="0"/>
                          <w:jc w:val="left"/>
                          <w:rPr>
                            <w:rFonts w:ascii="宋体" w:hAnsi="宋体" w:cs="宋体" w:eastAsia="宋体" w:hint="default"/>
                            <w:sz w:val="21"/>
                            <w:szCs w:val="21"/>
                          </w:rPr>
                        </w:pPr>
                        <w:r>
                          <w:rPr>
                            <w:rFonts w:ascii="宋体"/>
                            <w:sz w:val="21"/>
                          </w:rPr>
                          <w:t>15.89%</w:t>
                        </w:r>
                      </w:p>
                    </w:tc>
                  </w:tr>
                </w:tbl>
                <w:p>
                  <w:pPr/>
                </w:p>
              </w:txbxContent>
            </v:textbox>
            <w10:wrap type="none"/>
          </v:shape>
        </w:pict>
      </w:r>
      <w:r>
        <w:rPr>
          <w:spacing w:val="-2"/>
        </w:rPr>
        <w:t>围、方式与目前保持一致；</w:t>
      </w:r>
      <w:r>
        <w:rPr>
          <w:spacing w:val="-82"/>
        </w:rPr>
        <w:t> </w:t>
      </w:r>
      <w:r>
        <w:rPr>
          <w:spacing w:val="-82"/>
        </w:rPr>
      </w:r>
      <w:r>
        <w:rPr/>
        <w:t>关键参数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6"/>
        <w:spacing w:line="240" w:lineRule="auto" w:before="36"/>
        <w:ind w:left="1063" w:right="1133"/>
        <w:jc w:val="left"/>
        <w:rPr>
          <w:b w:val="0"/>
          <w:bCs w:val="0"/>
        </w:rPr>
      </w:pPr>
      <w:r>
        <w:rPr>
          <w:rFonts w:ascii="宋体" w:hAnsi="宋体" w:cs="宋体" w:eastAsia="宋体" w:hint="default"/>
        </w:rPr>
        <w:t>3.</w:t>
      </w:r>
      <w:r>
        <w:rPr/>
        <w:t>商誉减值测试的影响</w:t>
      </w:r>
      <w:r>
        <w:rPr>
          <w:b w:val="0"/>
          <w:bCs w:val="0"/>
        </w:rPr>
      </w:r>
    </w:p>
    <w:p>
      <w:pPr>
        <w:spacing w:line="240" w:lineRule="auto" w:before="10"/>
        <w:rPr>
          <w:rFonts w:ascii="宋体" w:hAnsi="宋体" w:cs="宋体" w:eastAsia="宋体" w:hint="default"/>
          <w:b/>
          <w:bCs/>
          <w:sz w:val="26"/>
          <w:szCs w:val="26"/>
        </w:rPr>
      </w:pPr>
    </w:p>
    <w:p>
      <w:pPr>
        <w:pStyle w:val="BodyText"/>
        <w:spacing w:line="261" w:lineRule="auto"/>
        <w:ind w:right="1126"/>
        <w:jc w:val="both"/>
      </w:pPr>
      <w:r>
        <w:rPr>
          <w:spacing w:val="-3"/>
        </w:rPr>
        <w:t>通过上海追索信息科技有限公司管理层对未来可预测期间的市场行情、经营情况以及未来上</w:t>
      </w:r>
      <w:r>
        <w:rPr>
          <w:spacing w:val="-29"/>
        </w:rPr>
        <w:t> </w:t>
      </w:r>
      <w:r>
        <w:rPr>
          <w:spacing w:val="-29"/>
        </w:rPr>
      </w:r>
      <w:r>
        <w:rPr>
          <w:spacing w:val="-3"/>
        </w:rPr>
        <w:t>下游客户与购销价格情况等综合分析，同时根据江苏中企华中天资产评估有限公司于</w:t>
      </w:r>
      <w:r>
        <w:rPr>
          <w:rFonts w:ascii="Times New Roman" w:hAnsi="Times New Roman" w:cs="Times New Roman" w:eastAsia="Times New Roman" w:hint="default"/>
          <w:spacing w:val="-3"/>
        </w:rPr>
        <w:t>2020</w:t>
      </w:r>
      <w:r>
        <w:rPr>
          <w:spacing w:val="-3"/>
        </w:rPr>
        <w:t>年</w:t>
      </w:r>
      <w:r>
        <w:rPr>
          <w:spacing w:val="-24"/>
        </w:rPr>
        <w:t> </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日出具的以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日为基准日的苏中资评报字</w:t>
      </w:r>
      <w:r>
        <w:rPr>
          <w:rFonts w:ascii="Times New Roman" w:hAnsi="Times New Roman" w:cs="Times New Roman" w:eastAsia="Times New Roman" w:hint="default"/>
          <w:spacing w:val="-3"/>
        </w:rPr>
        <w:t>(2020)</w:t>
      </w:r>
      <w:r>
        <w:rPr>
          <w:spacing w:val="-3"/>
        </w:rPr>
        <w:t>第</w:t>
      </w:r>
      <w:r>
        <w:rPr>
          <w:rFonts w:ascii="Times New Roman" w:hAnsi="Times New Roman" w:cs="Times New Roman" w:eastAsia="Times New Roman" w:hint="default"/>
          <w:spacing w:val="-3"/>
        </w:rPr>
        <w:t>1010</w:t>
      </w:r>
      <w:r>
        <w:rPr>
          <w:spacing w:val="-3"/>
        </w:rPr>
        <w:t>号评估报告结果，截</w:t>
      </w:r>
      <w:r>
        <w:rPr>
          <w:spacing w:val="-33"/>
        </w:rPr>
        <w:t> </w:t>
      </w:r>
      <w:r>
        <w:rPr>
          <w:spacing w:val="-33"/>
        </w:rPr>
      </w:r>
      <w:r>
        <w:rPr/>
        <w:t>至</w:t>
      </w:r>
      <w:r>
        <w:rPr>
          <w:spacing w:val="-7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spacing w:val="10"/>
        </w:rPr>
        <w:t>日，</w:t>
      </w:r>
      <w:r>
        <w:rPr>
          <w:spacing w:val="-72"/>
        </w:rPr>
        <w:t> </w:t>
      </w:r>
      <w:r>
        <w:rPr>
          <w:spacing w:val="19"/>
        </w:rPr>
        <w:t>上海追索信息科技有限公司与商誉相关的资产组的账面价值为</w:t>
      </w:r>
      <w:r>
        <w:rPr>
          <w:spacing w:val="-90"/>
        </w:rPr>
        <w:t> </w:t>
      </w:r>
      <w:r>
        <w:rPr>
          <w:spacing w:val="-90"/>
        </w:rPr>
      </w:r>
      <w:r>
        <w:rPr>
          <w:rFonts w:ascii="Times New Roman" w:hAnsi="Times New Roman" w:cs="Times New Roman" w:eastAsia="Times New Roman" w:hint="default"/>
        </w:rPr>
        <w:t>451,864.29</w:t>
      </w:r>
      <w:r>
        <w:rPr>
          <w:rFonts w:ascii="Times New Roman" w:hAnsi="Times New Roman" w:cs="Times New Roman" w:eastAsia="Times New Roman" w:hint="default"/>
          <w:spacing w:val="-26"/>
        </w:rPr>
        <w:t> </w:t>
      </w:r>
      <w:r>
        <w:rPr/>
        <w:t>元</w:t>
      </w:r>
      <w:r>
        <w:rPr>
          <w:spacing w:val="-78"/>
        </w:rPr>
        <w:t> </w:t>
      </w:r>
      <w:r>
        <w:rPr/>
        <w:t>，</w:t>
      </w:r>
      <w:r>
        <w:rPr>
          <w:spacing w:val="-76"/>
        </w:rPr>
        <w:t> </w:t>
      </w:r>
      <w:r>
        <w:rPr/>
        <w:t>包</w:t>
      </w:r>
      <w:r>
        <w:rPr>
          <w:spacing w:val="-78"/>
        </w:rPr>
        <w:t> </w:t>
      </w:r>
      <w:r>
        <w:rPr/>
        <w:t>含</w:t>
      </w:r>
      <w:r>
        <w:rPr>
          <w:spacing w:val="-78"/>
        </w:rPr>
        <w:t> </w:t>
      </w:r>
      <w:r>
        <w:rPr/>
        <w:t>未</w:t>
      </w:r>
      <w:r>
        <w:rPr>
          <w:spacing w:val="-78"/>
        </w:rPr>
        <w:t> </w:t>
      </w:r>
      <w:r>
        <w:rPr/>
        <w:t>确</w:t>
      </w:r>
      <w:r>
        <w:rPr>
          <w:spacing w:val="-78"/>
        </w:rPr>
        <w:t> </w:t>
      </w:r>
      <w:r>
        <w:rPr/>
        <w:t>认</w:t>
      </w:r>
      <w:r>
        <w:rPr>
          <w:spacing w:val="-78"/>
        </w:rPr>
        <w:t> </w:t>
      </w:r>
      <w:r>
        <w:rPr/>
        <w:t>归</w:t>
      </w:r>
      <w:r>
        <w:rPr>
          <w:spacing w:val="-78"/>
        </w:rPr>
        <w:t> </w:t>
      </w:r>
      <w:r>
        <w:rPr/>
        <w:t>属</w:t>
      </w:r>
      <w:r>
        <w:rPr>
          <w:spacing w:val="-78"/>
        </w:rPr>
        <w:t> </w:t>
      </w:r>
      <w:r>
        <w:rPr/>
        <w:t>于</w:t>
      </w:r>
      <w:r>
        <w:rPr>
          <w:spacing w:val="-78"/>
        </w:rPr>
        <w:t> </w:t>
      </w:r>
      <w:r>
        <w:rPr/>
        <w:t>少</w:t>
      </w:r>
      <w:r>
        <w:rPr>
          <w:spacing w:val="-78"/>
        </w:rPr>
        <w:t> </w:t>
      </w:r>
      <w:r>
        <w:rPr/>
        <w:t>数</w:t>
      </w:r>
      <w:r>
        <w:rPr>
          <w:spacing w:val="-76"/>
        </w:rPr>
        <w:t> </w:t>
      </w:r>
      <w:r>
        <w:rPr/>
        <w:t>股</w:t>
      </w:r>
      <w:r>
        <w:rPr>
          <w:spacing w:val="-78"/>
        </w:rPr>
        <w:t> </w:t>
      </w:r>
      <w:r>
        <w:rPr/>
        <w:t>东</w:t>
      </w:r>
      <w:r>
        <w:rPr>
          <w:spacing w:val="-78"/>
        </w:rPr>
        <w:t> </w:t>
      </w:r>
      <w:r>
        <w:rPr/>
        <w:t>权</w:t>
      </w:r>
      <w:r>
        <w:rPr>
          <w:spacing w:val="-78"/>
        </w:rPr>
        <w:t> </w:t>
      </w:r>
      <w:r>
        <w:rPr/>
        <w:t>益</w:t>
      </w:r>
      <w:r>
        <w:rPr>
          <w:spacing w:val="-78"/>
        </w:rPr>
        <w:t> </w:t>
      </w:r>
      <w:r>
        <w:rPr/>
        <w:t>的</w:t>
      </w:r>
      <w:r>
        <w:rPr>
          <w:spacing w:val="-78"/>
        </w:rPr>
        <w:t> </w:t>
      </w:r>
      <w:r>
        <w:rPr/>
        <w:t>商</w:t>
      </w:r>
      <w:r>
        <w:rPr>
          <w:spacing w:val="-78"/>
        </w:rPr>
        <w:t> </w:t>
      </w:r>
      <w:r>
        <w:rPr/>
        <w:t>誉</w:t>
      </w:r>
      <w:r>
        <w:rPr>
          <w:spacing w:val="-78"/>
        </w:rPr>
        <w:t> </w:t>
      </w:r>
      <w:r>
        <w:rPr/>
        <w:t>价</w:t>
      </w:r>
      <w:r>
        <w:rPr>
          <w:spacing w:val="-78"/>
        </w:rPr>
        <w:t> </w:t>
      </w:r>
      <w:r>
        <w:rPr/>
        <w:t>值</w:t>
      </w:r>
      <w:r>
        <w:rPr>
          <w:spacing w:val="-78"/>
        </w:rPr>
        <w:t> </w:t>
      </w:r>
      <w:r>
        <w:rPr/>
        <w:t>为</w:t>
      </w:r>
      <w:r>
        <w:rPr>
          <w:spacing w:val="-70"/>
        </w:rPr>
        <w:t> </w:t>
      </w:r>
      <w:r>
        <w:rPr>
          <w:rFonts w:ascii="Times New Roman" w:hAnsi="Times New Roman" w:cs="Times New Roman" w:eastAsia="Times New Roman" w:hint="default"/>
        </w:rPr>
        <w:t>21,053,662.12</w:t>
      </w:r>
      <w:r>
        <w:rPr>
          <w:rFonts w:ascii="Times New Roman" w:hAnsi="Times New Roman" w:cs="Times New Roman" w:eastAsia="Times New Roman" w:hint="default"/>
          <w:spacing w:val="-25"/>
        </w:rPr>
        <w:t> </w:t>
      </w:r>
      <w:r>
        <w:rPr/>
        <w:t>元</w:t>
      </w:r>
      <w:r>
        <w:rPr>
          <w:spacing w:val="-78"/>
        </w:rPr>
        <w:t> </w:t>
      </w:r>
      <w:r>
        <w:rPr/>
        <w:t>，</w:t>
      </w:r>
      <w:r>
        <w:rPr>
          <w:spacing w:val="-78"/>
        </w:rPr>
        <w:t> </w:t>
      </w:r>
      <w:r>
        <w:rPr/>
        <w:t>合</w:t>
      </w:r>
      <w:r>
        <w:rPr>
          <w:spacing w:val="-76"/>
        </w:rPr>
        <w:t> </w:t>
      </w:r>
      <w:r>
        <w:rPr/>
        <w:t>计</w:t>
      </w:r>
    </w:p>
    <w:p>
      <w:pPr>
        <w:pStyle w:val="BodyText"/>
        <w:spacing w:line="256" w:lineRule="auto"/>
        <w:ind w:right="1133"/>
        <w:jc w:val="left"/>
      </w:pPr>
      <w:r>
        <w:rPr>
          <w:rFonts w:ascii="Times New Roman" w:hAnsi="Times New Roman" w:cs="Times New Roman" w:eastAsia="Times New Roman" w:hint="default"/>
        </w:rPr>
        <w:t>21,505,526.41</w:t>
      </w:r>
      <w:r>
        <w:rPr/>
        <w:t>元，商誉资产组可收回金额为</w:t>
      </w:r>
      <w:r>
        <w:rPr>
          <w:rFonts w:ascii="Times New Roman" w:hAnsi="Times New Roman" w:cs="Times New Roman" w:eastAsia="Times New Roman" w:hint="default"/>
        </w:rPr>
        <w:t>27,500,000.00</w:t>
      </w:r>
      <w:r>
        <w:rPr/>
        <w:t>元。</w:t>
      </w:r>
      <w:r>
        <w:rPr>
          <w:w w:val="100"/>
        </w:rPr>
        <w:t> </w:t>
      </w:r>
      <w:r>
        <w:rPr>
          <w:spacing w:val="-2"/>
        </w:rPr>
        <w:t>经测试，公司收购上海追索信息科技有限公司形成的商誉本期不存在减值。</w:t>
      </w:r>
    </w:p>
    <w:p>
      <w:pPr>
        <w:spacing w:after="0" w:line="25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9、长期待摊费用" w:id="322"/>
      <w:bookmarkEnd w:id="322"/>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0、递延所得税资产/递延所得税负债" w:id="323"/>
      <w:bookmarkEnd w:id="32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未经抵销的递延所得税资产" w:id="324"/>
      <w:bookmarkEnd w:id="32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28,716,236.09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4,307,435.41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72,605,436.26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10,890,815.45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6,852,841.85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1,027,926.28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10,168,553.70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1,525,283.05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94,214,913.39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14,132,237.01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3,068,886.42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460,332.97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95,325,886.52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14,300,377.86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46,467,500.00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6,970,125.00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17,072,000.00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2,560,800.00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无形资产摊销调整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3,595,251.29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539,287.69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2,451,378.15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367,706.72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275,172,629.14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41,277,389.25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105,366,254.53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15,804,938.19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未经抵销的递延所得税负债" w:id="325"/>
      <w:bookmarkEnd w:id="32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443,333.47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66,500.02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633,333.57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95,000.02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其他非流动金融资产 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375,637.13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56,345.57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818,970.60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122,845.59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633,333.57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95,000.02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以抵销后净额列示的递延所得税资产或负债" w:id="326"/>
      <w:bookmarkEnd w:id="32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139"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43"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41,277,389.25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15,804,938.19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122,845.59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95,000.02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4）未确认递延所得税资产明细" w:id="327"/>
      <w:bookmarkEnd w:id="32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5）未确认递延所得税资产的可抵扣亏损将于以下年度到期" w:id="328"/>
      <w:bookmarkEnd w:id="32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1、其他非流动资产" w:id="329"/>
      <w:bookmarkEnd w:id="329"/>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2、短期借款" w:id="330"/>
      <w:bookmarkEnd w:id="330"/>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短期借款分类" w:id="331"/>
      <w:bookmarkEnd w:id="33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212,500,000.00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保证借款对应的利息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351,205.48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银行承兑汇票贴现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244,351,205.48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222,500,000.00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已逾期未偿还的短期借款情况" w:id="332"/>
      <w:bookmarkEnd w:id="33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3、交易性金融负债" w:id="333"/>
      <w:bookmarkEnd w:id="333"/>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4、衍生金融负债" w:id="334"/>
      <w:bookmarkEnd w:id="334"/>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1"/>
        <w:ind w:right="1133"/>
        <w:jc w:val="left"/>
        <w:rPr>
          <w:b w:val="0"/>
          <w:bCs w:val="0"/>
        </w:rPr>
      </w:pPr>
      <w:bookmarkStart w:name="35、应付票据" w:id="335"/>
      <w:bookmarkEnd w:id="335"/>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52,460,101.11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49,375,341.80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52,460,101.11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49,375,341.80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bookmarkStart w:name="36、应付账款" w:id="336"/>
      <w:bookmarkEnd w:id="336"/>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付账款列示" w:id="337"/>
      <w:bookmarkEnd w:id="33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应付采购货款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117,446,347.54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107,555,881.92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应付长期资产采购款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62,365,665.66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71,357,123.71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179,812,013.20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178,913,005.63</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账龄超过1年的重要应付账款" w:id="338"/>
      <w:bookmarkEnd w:id="338"/>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7、预收款项" w:id="339"/>
      <w:bookmarkEnd w:id="339"/>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1）预收款项列示" w:id="340"/>
      <w:bookmarkEnd w:id="34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预收销售货款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175,965,575.44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139,240,861.02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175,965,575.44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139,240,861.02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账龄超过1年的重要预收款项" w:id="341"/>
      <w:bookmarkEnd w:id="341"/>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期末建造合同形成的已结算未完工项目情况" w:id="342"/>
      <w:bookmarkEnd w:id="34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8、合同负债" w:id="343"/>
      <w:bookmarkEnd w:id="343"/>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9、应付职工薪酬" w:id="344"/>
      <w:bookmarkEnd w:id="344"/>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1）应付职工薪酬列示" w:id="345"/>
      <w:bookmarkEnd w:id="34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19,974,404.07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309,652,138.78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320,989,959.89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8,636,582.96</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1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3,424,196.05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24,009,962.62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24,916,138.35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2,518,020.32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23,398,600.12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333,700,101.40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345,944,098.24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11,154,603.28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短期薪酬列示" w:id="346"/>
      <w:bookmarkEnd w:id="34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16,740,948.03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256,996,919.53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268,649,394.56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5,088,473.00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8,581,636.99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8,581,636.99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1,232,264.63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27,172,962.58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26,819,632.66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1,585,594.55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1,112,126.03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23,868,008.71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23,493,795.64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1,486,339.10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15,406.73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1,877,860.29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1,882,100.57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w w:val="95"/>
                <w:sz w:val="18"/>
              </w:rPr>
              <w:t>11,166.45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104,731.87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1,427,093.58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1,443,736.45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88,089.00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1,576,868.00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16,862,097.80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16,900,773.80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1,538,192.00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424,323.41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38,521.88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38,521.88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424,323.41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19,974,404.07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309,652,138.78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320,989,959.89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8,636,582.96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设定提存计划列示" w:id="347"/>
      <w:bookmarkEnd w:id="34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3,347,246.21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23,301,094.95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24,177,921.23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2,470,419.93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76,949.84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708,867.67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738,217.12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47,600.39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3,424,196.05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24,009,962.62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24,916,138.35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2,518,020.32</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0、应交税费" w:id="348"/>
      <w:bookmarkEnd w:id="348"/>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41,862,198.38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53,701,441.45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882,746.21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1,304,145.03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1,368,363.06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1,007,586.44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1,243,970.92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1,182,809.55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434,017.96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546,704.28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221,917.73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221,917.73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183,191.62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205,695.78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46,195,866.71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58,170,839.43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1、其他应付款" w:id="349"/>
      <w:bookmarkEnd w:id="34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516,104.23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28,700,202.12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38,741,119.34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28,700,202.12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39,257,223.57</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1）应付利息" w:id="350"/>
      <w:bookmarkEnd w:id="350"/>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516,104.23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516,104.23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应付股利" w:id="351"/>
      <w:bookmarkEnd w:id="351"/>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bookmarkStart w:name="（3）其他应付款" w:id="352"/>
      <w:bookmarkEnd w:id="352"/>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按款项性质列示其他应付款" w:id="353"/>
      <w:bookmarkEnd w:id="353"/>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2,137,713.91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1,998,094.98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5,515,488.21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5,796,058.09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股权转让款（注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21,047,000.00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库存股（注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30,946,966.27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28,700,202.12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38,741,119.34</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账龄超过1年的重要其他应付款" w:id="354"/>
      <w:bookmarkEnd w:id="354"/>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112" w:right="1133"/>
        <w:jc w:val="left"/>
      </w:pPr>
      <w:r>
        <w:rPr>
          <w:spacing w:val="-2"/>
        </w:rPr>
        <w:t>注</w:t>
      </w:r>
      <w:r>
        <w:rPr>
          <w:rFonts w:ascii="Times New Roman" w:hAnsi="Times New Roman" w:cs="Times New Roman" w:eastAsia="Times New Roman" w:hint="default"/>
          <w:spacing w:val="-2"/>
        </w:rPr>
        <w:t>1</w:t>
      </w:r>
      <w:r>
        <w:rPr>
          <w:spacing w:val="-2"/>
        </w:rPr>
        <w:t>：系公司购买上海追索信息科技有限公司</w:t>
      </w:r>
      <w:r>
        <w:rPr>
          <w:rFonts w:ascii="Times New Roman" w:hAnsi="Times New Roman" w:cs="Times New Roman" w:eastAsia="Times New Roman" w:hint="default"/>
          <w:spacing w:val="-2"/>
        </w:rPr>
        <w:t>49%</w:t>
      </w:r>
      <w:r>
        <w:rPr>
          <w:spacing w:val="-2"/>
        </w:rPr>
        <w:t>剩余股权应支付的转让款</w:t>
      </w:r>
      <w:r>
        <w:rPr>
          <w:rFonts w:ascii="Times New Roman" w:hAnsi="Times New Roman" w:cs="Times New Roman" w:eastAsia="Times New Roman" w:hint="default"/>
          <w:spacing w:val="-2"/>
        </w:rPr>
        <w:t>17,395,000.00</w:t>
      </w:r>
      <w:r>
        <w:rPr>
          <w:spacing w:val="-2"/>
        </w:rPr>
        <w:t>元以及子公司追溯</w:t>
      </w:r>
      <w:r>
        <w:rPr>
          <w:spacing w:val="-49"/>
        </w:rPr>
        <w:t> </w:t>
      </w:r>
      <w:r>
        <w:rPr>
          <w:spacing w:val="-49"/>
        </w:rPr>
      </w:r>
      <w:r>
        <w:rPr>
          <w:spacing w:val="-2"/>
        </w:rPr>
        <w:t>云信息发展股份有限公司收购上海商情信息中心有限责任公司</w:t>
      </w:r>
      <w:r>
        <w:rPr>
          <w:rFonts w:ascii="Times New Roman" w:hAnsi="Times New Roman" w:cs="Times New Roman" w:eastAsia="Times New Roman" w:hint="default"/>
          <w:spacing w:val="-2"/>
        </w:rPr>
        <w:t>11%</w:t>
      </w:r>
      <w:r>
        <w:rPr>
          <w:spacing w:val="-2"/>
        </w:rPr>
        <w:t>的股权应支付的转让款</w:t>
      </w:r>
      <w:r>
        <w:rPr>
          <w:rFonts w:ascii="Times New Roman" w:hAnsi="Times New Roman" w:cs="Times New Roman" w:eastAsia="Times New Roman" w:hint="default"/>
          <w:spacing w:val="-2"/>
        </w:rPr>
        <w:t>3,652,000.00</w:t>
      </w:r>
      <w:r>
        <w:rPr>
          <w:spacing w:val="-2"/>
        </w:rPr>
        <w:t>元。</w:t>
      </w:r>
      <w:r>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6"/>
        <w:spacing w:line="240" w:lineRule="auto"/>
        <w:ind w:right="1133"/>
        <w:jc w:val="left"/>
        <w:rPr>
          <w:b w:val="0"/>
          <w:bCs w:val="0"/>
        </w:rPr>
      </w:pPr>
      <w:bookmarkStart w:name="42、持有待售负债" w:id="355"/>
      <w:bookmarkEnd w:id="355"/>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3、一年内到期的非流动负债" w:id="356"/>
      <w:bookmarkEnd w:id="35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198,584.61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42,198,584.61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4、其他流动负债" w:id="357"/>
      <w:bookmarkEnd w:id="35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bl>
    <w:p>
      <w:pPr>
        <w:spacing w:after="0" w:line="314"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45、长期借款" w:id="358"/>
      <w:bookmarkEnd w:id="35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长期借款分类" w:id="359"/>
      <w:bookmarkEnd w:id="35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162,000,000.00</w:t>
            </w:r>
          </w:p>
        </w:tc>
      </w:tr>
    </w:tbl>
    <w:p>
      <w:pPr>
        <w:spacing w:line="360" w:lineRule="auto" w:before="49"/>
        <w:ind w:left="112" w:right="8594"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bookmarkStart w:name="46、应付债券" w:id="360"/>
      <w:bookmarkEnd w:id="36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付债券" w:id="361"/>
      <w:bookmarkEnd w:id="36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应付债券的增减变动（不包括划分为金融负债的优先股、永续债等其他金融工具）" w:id="362"/>
      <w:bookmarkEnd w:id="36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5"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120"/>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可转换公司债券的转股条件、转股时间说明" w:id="363"/>
      <w:bookmarkEnd w:id="36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4）划分为金融负债的其他金融工具说明" w:id="364"/>
      <w:bookmarkEnd w:id="36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line="360" w:lineRule="auto"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614" w:space="4215"/>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7" w:right="165"/>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1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57"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47、租赁负债" w:id="365"/>
      <w:bookmarkEnd w:id="365"/>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8、长期应付款" w:id="366"/>
      <w:bookmarkEnd w:id="366"/>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1）按款项性质列示长期应付款" w:id="367"/>
      <w:bookmarkEnd w:id="367"/>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专项应付款" w:id="368"/>
      <w:bookmarkEnd w:id="368"/>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9、长期应付职工薪酬" w:id="369"/>
      <w:bookmarkEnd w:id="369"/>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长期应付职工薪酬表" w:id="370"/>
      <w:bookmarkEnd w:id="370"/>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设定受益计划变动情况" w:id="371"/>
      <w:bookmarkEnd w:id="371"/>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0"/>
        <w:ind w:left="11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0、预计负债" w:id="372"/>
      <w:bookmarkEnd w:id="372"/>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19"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4" w:space="6915"/>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1、递延收益" w:id="373"/>
      <w:bookmarkEnd w:id="373"/>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17,312,000.00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47,673,870.86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17,318,370.86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47,667,500.00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Times New Roman" w:hAnsi="Times New Roman" w:cs="Times New Roman" w:eastAsia="Times New Roman" w:hint="default"/>
                <w:sz w:val="18"/>
                <w:szCs w:val="18"/>
              </w:rPr>
            </w:pPr>
            <w:r>
              <w:rPr>
                <w:rFonts w:ascii="Times New Roman"/>
                <w:sz w:val="18"/>
              </w:rPr>
              <w:t>17,312,000.00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47,673,870.86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9" w:right="0"/>
              <w:jc w:val="left"/>
              <w:rPr>
                <w:rFonts w:ascii="Times New Roman" w:hAnsi="Times New Roman" w:cs="Times New Roman" w:eastAsia="Times New Roman" w:hint="default"/>
                <w:sz w:val="18"/>
                <w:szCs w:val="18"/>
              </w:rPr>
            </w:pPr>
            <w:r>
              <w:rPr>
                <w:rFonts w:ascii="Times New Roman"/>
                <w:sz w:val="18"/>
              </w:rPr>
              <w:t>17,318,370.86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47,667,500.00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6"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41" w:right="13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9" w:right="13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9" w:right="141"/>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9"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0"/>
              <w:ind w:left="117" w:right="110"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都市农业 文化休闲 旅游资源 集成云平 台</w:t>
            </w:r>
            <w:r>
              <w:rPr>
                <w:rFonts w:ascii="Times New Roman" w:hAnsi="Times New Roman" w:cs="Times New Roman" w:eastAsia="Times New Roman" w:hint="default"/>
                <w:sz w:val="18"/>
                <w:szCs w:val="18"/>
              </w:rPr>
              <w:t>"</w:t>
            </w:r>
            <w:r>
              <w:rPr>
                <w:rFonts w:ascii="宋体" w:hAnsi="宋体" w:cs="宋体" w:eastAsia="宋体" w:hint="default"/>
                <w:sz w:val="18"/>
                <w:szCs w:val="18"/>
              </w:rPr>
              <w:t>财政扶 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58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 海市服务 业发展引 导资金</w:t>
            </w:r>
            <w:r>
              <w:rPr>
                <w:rFonts w:ascii="Times New Roman" w:hAnsi="Times New Roman" w:cs="Times New Roman" w:eastAsia="Times New Roman" w:hint="default"/>
                <w:sz w:val="18"/>
                <w:szCs w:val="18"/>
              </w:rPr>
              <w:t>"</w:t>
            </w:r>
            <w:r>
              <w:rPr>
                <w:rFonts w:ascii="宋体" w:hAnsi="宋体" w:cs="宋体" w:eastAsia="宋体" w:hint="default"/>
                <w:sz w:val="18"/>
                <w:szCs w:val="18"/>
              </w:rPr>
              <w:t>特 惠淘</w:t>
            </w:r>
            <w:r>
              <w:rPr>
                <w:rFonts w:ascii="Times New Roman" w:hAnsi="Times New Roman" w:cs="Times New Roman" w:eastAsia="Times New Roman" w:hint="default"/>
                <w:sz w:val="18"/>
                <w:szCs w:val="18"/>
              </w:rPr>
              <w:t>"</w:t>
            </w:r>
            <w:r>
              <w:rPr>
                <w:rFonts w:ascii="宋体" w:hAnsi="宋体" w:cs="宋体" w:eastAsia="宋体" w:hint="default"/>
                <w:sz w:val="18"/>
                <w:szCs w:val="18"/>
              </w:rPr>
              <w:t>在线 比价及尾 货抢购平 台</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78"/>
              <w:jc w:val="left"/>
              <w:rPr>
                <w:rFonts w:ascii="宋体" w:hAnsi="宋体" w:cs="宋体" w:eastAsia="宋体" w:hint="default"/>
                <w:sz w:val="18"/>
                <w:szCs w:val="18"/>
              </w:rPr>
            </w:pPr>
            <w:r>
              <w:rPr>
                <w:rFonts w:ascii="宋体" w:hAnsi="宋体" w:cs="宋体" w:eastAsia="宋体" w:hint="default"/>
                <w:sz w:val="18"/>
                <w:szCs w:val="18"/>
              </w:rPr>
              <w:t>葡萄自适 应生产管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67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8"/>
              <w:jc w:val="left"/>
              <w:rPr>
                <w:rFonts w:ascii="宋体" w:hAnsi="宋体" w:cs="宋体" w:eastAsia="宋体" w:hint="default"/>
                <w:sz w:val="18"/>
                <w:szCs w:val="18"/>
              </w:rPr>
            </w:pPr>
            <w:r>
              <w:rPr>
                <w:rFonts w:ascii="宋体" w:hAnsi="宋体" w:cs="宋体" w:eastAsia="宋体" w:hint="default"/>
                <w:sz w:val="18"/>
                <w:szCs w:val="18"/>
              </w:rPr>
              <w:t>理系统研 究补助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年上海市 企事业专 利工作试 点示范单 位项目补 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 海市企事 业专利工 作试点示 范单位项 目补助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105"/>
              <w:jc w:val="left"/>
              <w:rPr>
                <w:rFonts w:ascii="宋体" w:hAnsi="宋体" w:cs="宋体" w:eastAsia="宋体" w:hint="default"/>
                <w:sz w:val="18"/>
                <w:szCs w:val="18"/>
              </w:rPr>
            </w:pPr>
            <w:r>
              <w:rPr>
                <w:rFonts w:ascii="宋体" w:hAnsi="宋体" w:cs="宋体" w:eastAsia="宋体" w:hint="default"/>
                <w:sz w:val="18"/>
                <w:szCs w:val="18"/>
              </w:rPr>
              <w:t>科技兴农 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互 联网</w:t>
            </w:r>
            <w:r>
              <w:rPr>
                <w:rFonts w:ascii="Times New Roman" w:hAnsi="Times New Roman" w:cs="Times New Roman" w:eastAsia="Times New Roman" w:hint="default"/>
                <w:sz w:val="18"/>
                <w:szCs w:val="18"/>
              </w:rPr>
              <w:t>+"</w:t>
            </w:r>
            <w:r>
              <w:rPr>
                <w:rFonts w:ascii="宋体" w:hAnsi="宋体" w:cs="宋体" w:eastAsia="宋体" w:hint="default"/>
                <w:sz w:val="18"/>
                <w:szCs w:val="18"/>
              </w:rPr>
              <w:t>在 农业领域 的应用</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58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上海市软 件和集成 电路发展 专项资金 项目</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社区智慧 菜场服务 平台</w:t>
            </w:r>
            <w:r>
              <w:rPr>
                <w:rFonts w:ascii="Times New Roman" w:hAnsi="Times New Roman" w:cs="Times New Roman" w:eastAsia="Times New Roman" w:hint="default"/>
                <w:sz w:val="18"/>
                <w:szCs w:val="18"/>
              </w:rPr>
              <w: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2,075,000.00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2,075,000.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78"/>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光典</w:t>
            </w:r>
            <w:r>
              <w:rPr>
                <w:rFonts w:ascii="Times New Roman" w:hAnsi="Times New Roman" w:cs="Times New Roman" w:eastAsia="Times New Roman" w:hint="default"/>
                <w:sz w:val="18"/>
                <w:szCs w:val="18"/>
              </w:rPr>
              <w:t>"</w:t>
            </w:r>
            <w:r>
              <w:rPr>
                <w:rFonts w:ascii="宋体" w:hAnsi="宋体" w:cs="宋体" w:eastAsia="宋体" w:hint="default"/>
                <w:sz w:val="18"/>
                <w:szCs w:val="18"/>
              </w:rPr>
              <w:t>品 牌宣传推 广建设项 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品牌建设 专项资金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上海中信 信息发展 股份有限 公司聘用 优秀青年 人才的资 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上海农业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3,992,000.00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3,992,000.00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与收益相</w:t>
            </w:r>
          </w:p>
        </w:tc>
      </w:tr>
    </w:tbl>
    <w:p>
      <w:pPr>
        <w:spacing w:after="0" w:line="240" w:lineRule="auto"/>
        <w:jc w:val="left"/>
        <w:rPr>
          <w:rFonts w:ascii="宋体" w:hAnsi="宋体" w:cs="宋体" w:eastAsia="宋体" w:hint="default"/>
          <w:sz w:val="18"/>
          <w:szCs w:val="18"/>
        </w:rPr>
        <w:sectPr>
          <w:footerReference w:type="default" r:id="rId21"/>
          <w:pgSz w:w="11910" w:h="16840"/>
          <w:pgMar w:footer="1021" w:header="906"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61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8"/>
              <w:jc w:val="both"/>
              <w:rPr>
                <w:rFonts w:ascii="宋体" w:hAnsi="宋体" w:cs="宋体" w:eastAsia="宋体" w:hint="default"/>
                <w:sz w:val="18"/>
                <w:szCs w:val="18"/>
              </w:rPr>
            </w:pPr>
            <w:r>
              <w:rPr>
                <w:rFonts w:ascii="宋体" w:hAnsi="宋体" w:cs="宋体" w:eastAsia="宋体" w:hint="default"/>
                <w:sz w:val="18"/>
                <w:szCs w:val="18"/>
              </w:rPr>
              <w:t>数据资源 库数据治 理、清洗 及应用系 统建设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张江专项 资助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400,000.00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基于区块 链的长三 角食用农 产品质量 安全追溯 平台项目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4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基于区块 链的酒类 安全追溯 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1,700,000.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核心电子 器件、高 端通用芯 片及基础 软件产品 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31,114,00</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31,114,000.00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专利授权 资助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6,500.00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6,500.00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静安区大 数据产业 发展专项 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pacing w:val="-1"/>
                <w:sz w:val="18"/>
              </w:rPr>
              <w:t>300,000.00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市软集项 目配套</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上海名牌 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追索品牌 推广费</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百家优秀 企业表彰 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78"/>
              <w:jc w:val="left"/>
              <w:rPr>
                <w:rFonts w:ascii="宋体" w:hAnsi="宋体" w:cs="宋体" w:eastAsia="宋体" w:hint="default"/>
                <w:sz w:val="18"/>
                <w:szCs w:val="18"/>
              </w:rPr>
            </w:pPr>
            <w:r>
              <w:rPr>
                <w:rFonts w:ascii="宋体" w:hAnsi="宋体" w:cs="宋体" w:eastAsia="宋体" w:hint="default"/>
                <w:sz w:val="18"/>
                <w:szCs w:val="18"/>
              </w:rPr>
              <w:t>上海市高 转项目奖</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footerReference w:type="default" r:id="rId22"/>
          <w:pgSz w:w="11910" w:h="16840"/>
          <w:pgMar w:footer="1021" w:header="906" w:top="1100" w:bottom="1220" w:left="1020" w:right="0"/>
          <w:pgNumType w:start="201"/>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3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财政扶持 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1,945,500.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2,185,500.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1,437,744.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1,437,744.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职工职业 培训补贴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78"/>
              <w:jc w:val="both"/>
              <w:rPr>
                <w:rFonts w:ascii="宋体" w:hAnsi="宋体" w:cs="宋体" w:eastAsia="宋体" w:hint="default"/>
                <w:sz w:val="18"/>
                <w:szCs w:val="18"/>
              </w:rPr>
            </w:pPr>
            <w:r>
              <w:rPr>
                <w:rFonts w:ascii="宋体" w:hAnsi="宋体" w:cs="宋体" w:eastAsia="宋体" w:hint="default"/>
                <w:sz w:val="18"/>
                <w:szCs w:val="18"/>
              </w:rPr>
              <w:t>上海市静 安区中小 企业服务 中心</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w w:val="95"/>
                <w:sz w:val="18"/>
              </w:rPr>
              <w:t>1,000.00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w w:val="95"/>
                <w:sz w:val="18"/>
              </w:rPr>
              <w:t>1,000.00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431,349.0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431,349.0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残疾人超 比例奖励</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32,777.30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32,777.30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光典新建 厂房补贴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产学研补 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89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上海市软 件和集成 电路产业 发展专项 资金（软 件和信息 服务业领 域）项目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pacing w:val="-1"/>
                <w:sz w:val="18"/>
              </w:rPr>
              <w:t>2,010,000.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17"/>
              <w:jc w:val="left"/>
              <w:rPr>
                <w:rFonts w:ascii="宋体" w:hAnsi="宋体" w:cs="宋体" w:eastAsia="宋体" w:hint="default"/>
                <w:sz w:val="18"/>
                <w:szCs w:val="18"/>
              </w:rPr>
            </w:pPr>
            <w:r>
              <w:rPr>
                <w:rFonts w:ascii="宋体" w:hAnsi="宋体" w:cs="宋体" w:eastAsia="宋体" w:hint="default"/>
                <w:sz w:val="18"/>
                <w:szCs w:val="18"/>
              </w:rPr>
              <w:t>国库存款 补贴</w:t>
            </w:r>
            <w:r>
              <w:rPr>
                <w:rFonts w:ascii="Times New Roman" w:hAnsi="Times New Roman" w:cs="Times New Roman" w:eastAsia="Times New Roman" w:hint="default"/>
                <w:sz w:val="18"/>
                <w:szCs w:val="18"/>
              </w:rPr>
              <w:t>-</w:t>
            </w:r>
            <w:r>
              <w:rPr>
                <w:rFonts w:ascii="宋体" w:hAnsi="宋体" w:cs="宋体" w:eastAsia="宋体" w:hint="default"/>
                <w:sz w:val="18"/>
                <w:szCs w:val="18"/>
              </w:rPr>
              <w:t>基于 区块链的 食品安全 监管云平 台</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595,000.0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595,000.00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103" w:right="178"/>
              <w:jc w:val="left"/>
              <w:rPr>
                <w:rFonts w:ascii="Times New Roman" w:hAnsi="Times New Roman" w:cs="Times New Roman" w:eastAsia="Times New Roman" w:hint="default"/>
                <w:sz w:val="18"/>
                <w:szCs w:val="18"/>
              </w:rPr>
            </w:pPr>
            <w:r>
              <w:rPr>
                <w:rFonts w:ascii="宋体" w:hAnsi="宋体" w:cs="宋体" w:eastAsia="宋体" w:hint="default"/>
                <w:sz w:val="18"/>
                <w:szCs w:val="18"/>
              </w:rPr>
              <w:t>追溯云食 品安全企 业信用平 台 </w:t>
            </w:r>
            <w:r>
              <w:rPr>
                <w:rFonts w:ascii="Times New Roman" w:hAnsi="Times New Roman" w:cs="Times New Roman" w:eastAsia="Times New Roman" w:hint="default"/>
                <w:sz w:val="18"/>
                <w:szCs w:val="18"/>
              </w:rPr>
              <w:t>KH41901</w:t>
            </w:r>
          </w:p>
          <w:p>
            <w:pPr>
              <w:pStyle w:val="TableParagraph"/>
              <w:spacing w:line="240" w:lineRule="auto" w:before="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009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227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基于人工 智能技术 的智慧冷 链物流云 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扶 持项目专 项资金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科研计划 项目资助 课题经费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科技小巨 人企业</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17"/>
              <w:jc w:val="both"/>
              <w:rPr>
                <w:rFonts w:ascii="宋体" w:hAnsi="宋体" w:cs="宋体" w:eastAsia="宋体" w:hint="default"/>
                <w:sz w:val="18"/>
                <w:szCs w:val="18"/>
              </w:rPr>
            </w:pPr>
            <w:r>
              <w:rPr>
                <w:rFonts w:ascii="宋体" w:hAnsi="宋体" w:cs="宋体" w:eastAsia="宋体" w:hint="default"/>
                <w:sz w:val="18"/>
                <w:szCs w:val="18"/>
              </w:rPr>
              <w:t>上海市中 小企业发 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市级资 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96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基于大数 据分析的 档案文件 共享服务 平台</w:t>
            </w:r>
            <w:r>
              <w:rPr>
                <w:rFonts w:ascii="Times New Roman" w:hAnsi="Times New Roman" w:cs="Times New Roman" w:eastAsia="Times New Roman" w:hint="default"/>
                <w:sz w:val="18"/>
                <w:szCs w:val="18"/>
              </w:rPr>
              <w:t>"</w:t>
            </w:r>
            <w:r>
              <w:rPr>
                <w:rFonts w:ascii="宋体" w:hAnsi="宋体" w:cs="宋体" w:eastAsia="宋体" w:hint="default"/>
                <w:sz w:val="18"/>
                <w:szCs w:val="18"/>
              </w:rPr>
              <w:t>财政 扶持资金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33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市中小企 业发展专 项区配资 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-870,000.0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产业发展 专项补助</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3"/>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17,312,000.0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47,673,87</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0.86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15,078,37</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0.86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-2,240,000</w:t>
            </w:r>
          </w:p>
          <w:p>
            <w:pPr>
              <w:pStyle w:val="TableParagraph"/>
              <w:spacing w:line="240" w:lineRule="auto" w:before="102"/>
              <w:ind w:right="97"/>
              <w:jc w:val="right"/>
              <w:rPr>
                <w:rFonts w:ascii="Times New Roman" w:hAnsi="Times New Roman" w:cs="Times New Roman" w:eastAsia="Times New Roman" w:hint="default"/>
                <w:sz w:val="18"/>
                <w:szCs w:val="18"/>
              </w:rPr>
            </w:pPr>
            <w:r>
              <w:rPr>
                <w:rFonts w:ascii="Times New Roman"/>
                <w:sz w:val="18"/>
              </w:rPr>
              <w:t>.00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47,667,500.0</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2、其他非流动负债" w:id="374"/>
      <w:bookmarkEnd w:id="374"/>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19"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12" w:right="-19"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4" w:space="6915"/>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53、股本" w:id="375"/>
      <w:bookmarkEnd w:id="375"/>
      <w:r>
        <w:rPr>
          <w:b w:val="0"/>
          <w:bCs w:val="0"/>
        </w:rPr>
      </w: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121,993,920.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84,143,696.0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-1,002,240.0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83,141,456.0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205,135,376.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94"/>
        <w:ind w:left="112" w:right="986"/>
        <w:jc w:val="left"/>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日，公司召开第四届董事会第二十四次会议，审议通过了《关于调整限制性股票回购价</w:t>
      </w:r>
      <w:r>
        <w:rPr>
          <w:spacing w:val="-40"/>
        </w:rPr>
        <w:t> </w:t>
      </w:r>
      <w:r>
        <w:rPr>
          <w:spacing w:val="-40"/>
        </w:rPr>
      </w:r>
      <w:r>
        <w:rPr>
          <w:spacing w:val="-2"/>
          <w:w w:val="100"/>
        </w:rPr>
        <w:t>格及回购注销部分限制性股票的议案》，公司董事会认定首次授予限制性股票未达到第三个解锁期公司层</w:t>
      </w:r>
      <w:r>
        <w:rPr>
          <w:spacing w:val="-92"/>
          <w:w w:val="100"/>
        </w:rPr>
        <w:t> </w:t>
      </w:r>
      <w:r>
        <w:rPr>
          <w:spacing w:val="-92"/>
          <w:w w:val="100"/>
        </w:rPr>
      </w:r>
      <w:r>
        <w:rPr>
          <w:spacing w:val="-2"/>
        </w:rPr>
        <w:t>面业绩考核条件，依据公司股东大会的授权，按相关程序办理回购注销未达到第三个解锁期解锁条件的首</w:t>
      </w:r>
      <w:r>
        <w:rPr>
          <w:spacing w:val="-43"/>
        </w:rPr>
        <w:t> </w:t>
      </w:r>
      <w:r>
        <w:rPr>
          <w:spacing w:val="-43"/>
        </w:rPr>
      </w:r>
      <w:r>
        <w:rPr>
          <w:spacing w:val="-1"/>
        </w:rPr>
        <w:t>次授予限制性股票。本次回购注销股份数量为</w:t>
      </w:r>
      <w:r>
        <w:rPr>
          <w:rFonts w:ascii="Times New Roman" w:hAnsi="Times New Roman" w:cs="Times New Roman" w:eastAsia="Times New Roman" w:hint="default"/>
          <w:spacing w:val="-1"/>
        </w:rPr>
        <w:t>1,002,240</w:t>
      </w:r>
      <w:r>
        <w:rPr>
          <w:spacing w:val="-1"/>
        </w:rPr>
        <w:t>股，回购总金额为</w:t>
      </w:r>
      <w:r>
        <w:rPr>
          <w:rFonts w:ascii="Times New Roman" w:hAnsi="Times New Roman" w:cs="Times New Roman" w:eastAsia="Times New Roman" w:hint="default"/>
          <w:spacing w:val="-1"/>
        </w:rPr>
        <w:t>30,946,966.27</w:t>
      </w:r>
      <w:r>
        <w:rPr>
          <w:spacing w:val="-1"/>
        </w:rPr>
        <w:t>元，公司股份总数</w:t>
      </w:r>
      <w:r>
        <w:rPr>
          <w:spacing w:val="-23"/>
        </w:rPr>
        <w:t> </w:t>
      </w:r>
      <w:r>
        <w:rPr>
          <w:spacing w:val="-23"/>
        </w:rPr>
      </w:r>
      <w:r>
        <w:rPr/>
        <w:t>由</w:t>
      </w:r>
      <w:r>
        <w:rPr>
          <w:rFonts w:ascii="Times New Roman" w:hAnsi="Times New Roman" w:cs="Times New Roman" w:eastAsia="Times New Roman" w:hint="default"/>
        </w:rPr>
        <w:t>121,993,920</w:t>
      </w:r>
      <w:r>
        <w:rPr/>
        <w:t>股变更为</w:t>
      </w:r>
      <w:r>
        <w:rPr>
          <w:rFonts w:ascii="Times New Roman" w:hAnsi="Times New Roman" w:cs="Times New Roman" w:eastAsia="Times New Roman" w:hint="default"/>
        </w:rPr>
        <w:t>120,991,680</w:t>
      </w:r>
      <w:r>
        <w:rPr/>
        <w:t>股，同时减少资本公积</w:t>
      </w:r>
      <w:r>
        <w:rPr>
          <w:rFonts w:ascii="Times New Roman" w:hAnsi="Times New Roman" w:cs="Times New Roman" w:eastAsia="Times New Roman" w:hint="default"/>
        </w:rPr>
        <w:t>29,944,726.17</w:t>
      </w:r>
      <w:r>
        <w:rPr/>
        <w:t>元。</w:t>
      </w:r>
      <w:r>
        <w:rPr>
          <w:spacing w:val="-3"/>
          <w:w w:val="100"/>
        </w:rPr>
        <w:t> </w:t>
      </w: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月，根据本公司召开的</w:t>
      </w:r>
      <w:r>
        <w:rPr>
          <w:rFonts w:ascii="Times New Roman" w:hAnsi="Times New Roman" w:cs="Times New Roman" w:eastAsia="Times New Roman" w:hint="default"/>
          <w:spacing w:val="-2"/>
        </w:rPr>
        <w:t>2018</w:t>
      </w:r>
      <w:r>
        <w:rPr>
          <w:spacing w:val="-2"/>
        </w:rPr>
        <w:t>年年度股东大会审议通过的</w:t>
      </w:r>
      <w:r>
        <w:rPr>
          <w:rFonts w:ascii="Times New Roman" w:hAnsi="Times New Roman" w:cs="Times New Roman" w:eastAsia="Times New Roman" w:hint="default"/>
          <w:spacing w:val="-2"/>
        </w:rPr>
        <w:t>2018</w:t>
      </w:r>
      <w:r>
        <w:rPr>
          <w:spacing w:val="-2"/>
        </w:rPr>
        <w:t>年年度权益分派方案，以公司现</w:t>
      </w:r>
      <w:r>
        <w:rPr>
          <w:spacing w:val="-29"/>
        </w:rPr>
        <w:t> </w:t>
      </w:r>
      <w:r>
        <w:rPr>
          <w:spacing w:val="-29"/>
        </w:rPr>
      </w:r>
      <w:r>
        <w:rPr>
          <w:spacing w:val="-3"/>
        </w:rPr>
        <w:t>有总股本</w:t>
      </w:r>
      <w:r>
        <w:rPr>
          <w:rFonts w:ascii="Times New Roman" w:hAnsi="Times New Roman" w:cs="Times New Roman" w:eastAsia="Times New Roman" w:hint="default"/>
          <w:spacing w:val="-3"/>
        </w:rPr>
        <w:t>120,991,680</w:t>
      </w:r>
      <w:r>
        <w:rPr>
          <w:spacing w:val="-3"/>
        </w:rPr>
        <w:t>股剔除已回购股份</w:t>
      </w:r>
      <w:r>
        <w:rPr>
          <w:rFonts w:ascii="Times New Roman" w:hAnsi="Times New Roman" w:cs="Times New Roman" w:eastAsia="Times New Roman" w:hint="default"/>
          <w:spacing w:val="-3"/>
        </w:rPr>
        <w:t>786,400</w:t>
      </w:r>
      <w:r>
        <w:rPr>
          <w:spacing w:val="-3"/>
        </w:rPr>
        <w:t>股后可参与分配的总股数</w:t>
      </w:r>
      <w:r>
        <w:rPr>
          <w:rFonts w:ascii="Times New Roman" w:hAnsi="Times New Roman" w:cs="Times New Roman" w:eastAsia="Times New Roman" w:hint="default"/>
          <w:spacing w:val="-3"/>
        </w:rPr>
        <w:t>120,205,280</w:t>
      </w:r>
      <w:r>
        <w:rPr>
          <w:spacing w:val="-3"/>
        </w:rPr>
        <w:t>股为基数，向全体股东</w:t>
      </w:r>
      <w:r>
        <w:rPr>
          <w:spacing w:val="-10"/>
        </w:rPr>
        <w:t> </w:t>
      </w:r>
      <w:r>
        <w:rPr>
          <w:spacing w:val="-10"/>
        </w:rPr>
      </w:r>
      <w:r>
        <w:rPr>
          <w:spacing w:val="-3"/>
        </w:rPr>
        <w:t>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0.30</w:t>
      </w:r>
      <w:r>
        <w:rPr>
          <w:spacing w:val="-3"/>
        </w:rPr>
        <w:t>元人民币现金，同时以资本公积向全体股东每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股，经此次分配完成后，公司注册资</w:t>
      </w:r>
      <w:r>
        <w:rPr>
          <w:spacing w:val="-41"/>
        </w:rPr>
        <w:t> </w:t>
      </w:r>
      <w:r>
        <w:rPr>
          <w:spacing w:val="-41"/>
        </w:rPr>
      </w:r>
      <w:r>
        <w:rPr/>
        <w:t>本、实收资本（股本）变更为</w:t>
      </w:r>
      <w:r>
        <w:rPr>
          <w:rFonts w:ascii="Times New Roman" w:hAnsi="Times New Roman" w:cs="Times New Roman" w:eastAsia="Times New Roman" w:hint="default"/>
        </w:rPr>
        <w:t>205,135,376</w:t>
      </w:r>
      <w:r>
        <w:rPr/>
        <w:t>元，同时资本公积减少</w:t>
      </w:r>
      <w:r>
        <w:rPr>
          <w:rFonts w:ascii="Times New Roman" w:hAnsi="Times New Roman" w:cs="Times New Roman" w:eastAsia="Times New Roman" w:hint="default"/>
        </w:rPr>
        <w:t>84,143,696.00</w:t>
      </w:r>
      <w:r>
        <w:rPr/>
        <w:t>元。</w:t>
      </w:r>
      <w:r>
        <w:rPr>
          <w:w w:val="100"/>
        </w:rPr>
        <w:t> </w:t>
      </w:r>
      <w:r>
        <w:rPr>
          <w:spacing w:val="-5"/>
          <w:w w:val="100"/>
        </w:rPr>
        <w:t>公司股份质押情况详见附注“十四、其他重要事项”（六）</w:t>
      </w:r>
      <w:r>
        <w:rPr>
          <w:rFonts w:ascii="宋体" w:hAnsi="宋体" w:cs="宋体" w:eastAsia="宋体" w:hint="default"/>
          <w:spacing w:val="-5"/>
          <w:w w:val="100"/>
        </w:rPr>
        <w:t>6</w:t>
      </w:r>
      <w:r>
        <w:rPr>
          <w:spacing w:val="-5"/>
          <w:w w:val="100"/>
        </w:rPr>
        <w:t>所述。</w:t>
      </w:r>
    </w:p>
    <w:p>
      <w:pPr>
        <w:spacing w:line="240" w:lineRule="auto" w:before="4"/>
        <w:rPr>
          <w:rFonts w:ascii="宋体" w:hAnsi="宋体" w:cs="宋体" w:eastAsia="宋体" w:hint="default"/>
          <w:sz w:val="24"/>
          <w:szCs w:val="24"/>
        </w:rPr>
      </w:pPr>
    </w:p>
    <w:p>
      <w:pPr>
        <w:pStyle w:val="Heading6"/>
        <w:spacing w:line="240" w:lineRule="auto"/>
        <w:ind w:right="1133"/>
        <w:jc w:val="left"/>
        <w:rPr>
          <w:b w:val="0"/>
          <w:bCs w:val="0"/>
        </w:rPr>
      </w:pPr>
      <w:bookmarkStart w:name="54、其他权益工具" w:id="376"/>
      <w:bookmarkEnd w:id="376"/>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期末发行在外的优先股、永续债等其他金融工具基本情况" w:id="377"/>
      <w:bookmarkEnd w:id="377"/>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bookmarkStart w:name="（2）期末发行在外的优先股、永续债等金融工具变动情况表" w:id="378"/>
      <w:bookmarkEnd w:id="378"/>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67" w:right="165"/>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1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55、资本公积" w:id="379"/>
      <w:bookmarkEnd w:id="379"/>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140,065,907.86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27,835,257.69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121,090,446.61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46,810,718.94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140,065,907.86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27,835,257.69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121,090,446.61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46,810,718.94</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6"/>
        <w:ind w:left="112" w:right="1133"/>
        <w:jc w:val="left"/>
      </w:pPr>
      <w:r>
        <w:rPr>
          <w:spacing w:val="-8"/>
          <w:w w:val="100"/>
        </w:rPr>
        <w:t>注</w:t>
      </w:r>
      <w:r>
        <w:rPr>
          <w:rFonts w:ascii="Times New Roman" w:hAnsi="Times New Roman" w:cs="Times New Roman" w:eastAsia="Times New Roman" w:hint="default"/>
          <w:spacing w:val="-8"/>
          <w:w w:val="100"/>
        </w:rPr>
        <w:t>1</w:t>
      </w:r>
      <w:r>
        <w:rPr>
          <w:spacing w:val="-8"/>
          <w:w w:val="100"/>
        </w:rPr>
        <w:t>：详见附注“五、合并财务报表项目注释”（二十五）所述，公司</w:t>
      </w:r>
      <w:r>
        <w:rPr>
          <w:rFonts w:ascii="Times New Roman" w:hAnsi="Times New Roman" w:cs="Times New Roman" w:eastAsia="Times New Roman" w:hint="default"/>
          <w:spacing w:val="-8"/>
          <w:w w:val="100"/>
        </w:rPr>
        <w:t>2019</w:t>
      </w:r>
      <w:r>
        <w:rPr>
          <w:spacing w:val="-8"/>
          <w:w w:val="100"/>
        </w:rPr>
        <w:t>年度回购注销股份数量为</w:t>
      </w:r>
      <w:r>
        <w:rPr>
          <w:rFonts w:ascii="Times New Roman" w:hAnsi="Times New Roman" w:cs="Times New Roman" w:eastAsia="Times New Roman" w:hint="default"/>
          <w:spacing w:val="-8"/>
          <w:w w:val="100"/>
        </w:rPr>
        <w:t>1,002,240</w:t>
      </w:r>
      <w:r>
        <w:rPr>
          <w:rFonts w:ascii="Times New Roman" w:hAnsi="Times New Roman" w:cs="Times New Roman" w:eastAsia="Times New Roman" w:hint="default"/>
          <w:spacing w:val="-21"/>
          <w:w w:val="100"/>
        </w:rPr>
        <w:t> </w:t>
      </w:r>
      <w:r>
        <w:rPr>
          <w:rFonts w:ascii="Times New Roman" w:hAnsi="Times New Roman" w:cs="Times New Roman" w:eastAsia="Times New Roman" w:hint="default"/>
          <w:spacing w:val="-21"/>
          <w:w w:val="100"/>
        </w:rPr>
      </w:r>
      <w:r>
        <w:rPr>
          <w:spacing w:val="-1"/>
        </w:rPr>
        <w:t>股，回购总金额为</w:t>
      </w:r>
      <w:r>
        <w:rPr>
          <w:rFonts w:ascii="Times New Roman" w:hAnsi="Times New Roman" w:cs="Times New Roman" w:eastAsia="Times New Roman" w:hint="default"/>
          <w:spacing w:val="-1"/>
        </w:rPr>
        <w:t>30,946,966.27</w:t>
      </w:r>
      <w:r>
        <w:rPr>
          <w:spacing w:val="-1"/>
        </w:rPr>
        <w:t>元，公司股份总数由</w:t>
      </w:r>
      <w:r>
        <w:rPr>
          <w:rFonts w:ascii="Times New Roman" w:hAnsi="Times New Roman" w:cs="Times New Roman" w:eastAsia="Times New Roman" w:hint="default"/>
          <w:spacing w:val="-1"/>
        </w:rPr>
        <w:t>121,993,920</w:t>
      </w:r>
      <w:r>
        <w:rPr>
          <w:spacing w:val="-1"/>
        </w:rPr>
        <w:t>股变更为</w:t>
      </w:r>
      <w:r>
        <w:rPr>
          <w:rFonts w:ascii="Times New Roman" w:hAnsi="Times New Roman" w:cs="Times New Roman" w:eastAsia="Times New Roman" w:hint="default"/>
          <w:spacing w:val="-1"/>
        </w:rPr>
        <w:t>120,991,680</w:t>
      </w:r>
      <w:r>
        <w:rPr>
          <w:spacing w:val="-1"/>
        </w:rPr>
        <w:t>股，同时减少资本公</w:t>
      </w:r>
    </w:p>
    <w:p>
      <w:pPr>
        <w:spacing w:after="0" w:line="25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112" w:right="1133"/>
        <w:jc w:val="left"/>
      </w:pPr>
      <w:r>
        <w:rPr/>
        <w:t>积</w:t>
      </w:r>
      <w:r>
        <w:rPr>
          <w:rFonts w:ascii="Times New Roman" w:hAnsi="Times New Roman" w:cs="Times New Roman" w:eastAsia="Times New Roman" w:hint="default"/>
        </w:rPr>
        <w:t>29,944,726.17</w:t>
      </w:r>
      <w:r>
        <w:rPr/>
        <w:t>元。</w:t>
      </w:r>
    </w:p>
    <w:p>
      <w:pPr>
        <w:pStyle w:val="BodyText"/>
        <w:spacing w:line="261" w:lineRule="auto" w:before="21"/>
        <w:ind w:left="112" w:right="986"/>
        <w:jc w:val="left"/>
      </w:pPr>
      <w:r>
        <w:rPr>
          <w:spacing w:val="-4"/>
          <w:w w:val="100"/>
        </w:rPr>
        <w:t>注</w:t>
      </w:r>
      <w:r>
        <w:rPr>
          <w:rFonts w:ascii="Times New Roman" w:hAnsi="Times New Roman" w:cs="Times New Roman" w:eastAsia="Times New Roman" w:hint="default"/>
          <w:spacing w:val="-4"/>
          <w:w w:val="100"/>
        </w:rPr>
        <w:t>2</w:t>
      </w:r>
      <w:r>
        <w:rPr>
          <w:spacing w:val="-4"/>
          <w:w w:val="100"/>
        </w:rPr>
        <w:t>：详见附注“五、合并财务报表项目注释”（二十五）所述，公司以</w:t>
      </w:r>
      <w:r>
        <w:rPr>
          <w:rFonts w:ascii="Times New Roman" w:hAnsi="Times New Roman" w:cs="Times New Roman" w:eastAsia="Times New Roman" w:hint="default"/>
          <w:spacing w:val="-4"/>
          <w:w w:val="100"/>
        </w:rPr>
        <w:t>120,205,280</w:t>
      </w:r>
      <w:r>
        <w:rPr>
          <w:spacing w:val="-4"/>
          <w:w w:val="100"/>
        </w:rPr>
        <w:t>股为基数，向全体股东</w:t>
      </w:r>
      <w:r>
        <w:rPr>
          <w:spacing w:val="-91"/>
          <w:w w:val="100"/>
        </w:rPr>
        <w:t> </w:t>
      </w:r>
      <w:r>
        <w:rPr>
          <w:spacing w:val="-91"/>
          <w:w w:val="100"/>
        </w:rPr>
      </w:r>
      <w:r>
        <w:rPr>
          <w:spacing w:val="-3"/>
        </w:rPr>
        <w:t>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0.30</w:t>
      </w:r>
      <w:r>
        <w:rPr>
          <w:spacing w:val="-3"/>
        </w:rPr>
        <w:t>元人民币现金，同时以资本公积向全体股东每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w:t>
      </w:r>
      <w:r>
        <w:rPr>
          <w:spacing w:val="-3"/>
        </w:rPr>
        <w:t>股，经此次分配完成后，公司注册资</w:t>
      </w:r>
      <w:r>
        <w:rPr>
          <w:spacing w:val="-41"/>
        </w:rPr>
        <w:t> </w:t>
      </w:r>
      <w:r>
        <w:rPr>
          <w:spacing w:val="-41"/>
        </w:rPr>
      </w:r>
      <w:r>
        <w:rPr/>
        <w:t>本、实收资本（股本）变更为</w:t>
      </w:r>
      <w:r>
        <w:rPr>
          <w:rFonts w:ascii="Times New Roman" w:hAnsi="Times New Roman" w:cs="Times New Roman" w:eastAsia="Times New Roman" w:hint="default"/>
        </w:rPr>
        <w:t>205,135,376</w:t>
      </w:r>
      <w:r>
        <w:rPr/>
        <w:t>元，同时资本公积减少</w:t>
      </w:r>
      <w:r>
        <w:rPr>
          <w:rFonts w:ascii="Times New Roman" w:hAnsi="Times New Roman" w:cs="Times New Roman" w:eastAsia="Times New Roman" w:hint="default"/>
        </w:rPr>
        <w:t>84,143,696.00</w:t>
      </w:r>
      <w:r>
        <w:rPr/>
        <w:t>元。 注</w:t>
      </w:r>
      <w:r>
        <w:rPr>
          <w:rFonts w:ascii="Times New Roman" w:hAnsi="Times New Roman" w:cs="Times New Roman" w:eastAsia="Times New Roman" w:hint="default"/>
        </w:rPr>
        <w:t>3</w:t>
      </w:r>
      <w:r>
        <w:rPr/>
        <w:t>：</w:t>
      </w:r>
      <w:r>
        <w:rPr>
          <w:spacing w:val="-84"/>
        </w:rPr>
        <w:t> </w:t>
      </w:r>
      <w:r>
        <w:rPr>
          <w:rFonts w:ascii="Times New Roman" w:hAnsi="Times New Roman" w:cs="Times New Roman" w:eastAsia="Times New Roman" w:hint="default"/>
          <w:spacing w:val="-5"/>
          <w:w w:val="100"/>
        </w:rPr>
        <w:t>2019</w:t>
      </w:r>
      <w:r>
        <w:rPr>
          <w:spacing w:val="-5"/>
          <w:w w:val="100"/>
        </w:rPr>
        <w:t>年度，本公司因购买控股子公司上海追索信息科技有限公司</w:t>
      </w:r>
      <w:r>
        <w:rPr>
          <w:rFonts w:ascii="Times New Roman" w:hAnsi="Times New Roman" w:cs="Times New Roman" w:eastAsia="Times New Roman" w:hint="default"/>
          <w:spacing w:val="-5"/>
          <w:w w:val="100"/>
        </w:rPr>
        <w:t>49%</w:t>
      </w:r>
      <w:r>
        <w:rPr>
          <w:spacing w:val="-5"/>
          <w:w w:val="100"/>
        </w:rPr>
        <w:t>股权，减少资本公积</w:t>
      </w:r>
      <w:r>
        <w:rPr>
          <w:rFonts w:ascii="Times New Roman" w:hAnsi="Times New Roman" w:cs="Times New Roman" w:eastAsia="Times New Roman" w:hint="default"/>
          <w:spacing w:val="-5"/>
          <w:w w:val="100"/>
        </w:rPr>
        <w:t>7,002,024.44</w:t>
      </w:r>
      <w:r>
        <w:rPr>
          <w:rFonts w:ascii="Times New Roman" w:hAnsi="Times New Roman" w:cs="Times New Roman" w:eastAsia="Times New Roman" w:hint="default"/>
          <w:spacing w:val="-16"/>
          <w:w w:val="100"/>
        </w:rPr>
        <w:t> </w:t>
      </w:r>
      <w:r>
        <w:rPr>
          <w:rFonts w:ascii="Times New Roman" w:hAnsi="Times New Roman" w:cs="Times New Roman" w:eastAsia="Times New Roman" w:hint="default"/>
          <w:spacing w:val="-16"/>
          <w:w w:val="100"/>
        </w:rPr>
      </w:r>
      <w:r>
        <w:rPr>
          <w:rFonts w:ascii="Times New Roman" w:hAnsi="Times New Roman" w:cs="Times New Roman" w:eastAsia="Times New Roman" w:hint="default"/>
          <w:spacing w:val="-16"/>
          <w:w w:val="100"/>
        </w:rPr>
      </w:r>
      <w:r>
        <w:rPr/>
        <w:t>元。</w:t>
      </w:r>
      <w:r>
        <w:rPr>
          <w:spacing w:val="-103"/>
        </w:rPr>
        <w:t> </w:t>
      </w:r>
      <w:r>
        <w:rPr/>
        <w:t>注</w:t>
      </w:r>
      <w:r>
        <w:rPr>
          <w:rFonts w:ascii="宋体" w:hAnsi="宋体" w:cs="宋体" w:eastAsia="宋体" w:hint="default"/>
        </w:rPr>
        <w:t>4</w:t>
      </w:r>
      <w:r>
        <w:rPr/>
        <w:t>：本公司的控股子公司追溯云信息发展股份有限公司的少数股东对追溯云信息发展股份有限公司进行</w:t>
      </w:r>
      <w:r>
        <w:rPr>
          <w:w w:val="100"/>
        </w:rPr>
        <w:t> </w:t>
      </w:r>
      <w:r>
        <w:rPr/>
        <w:t>增资，增加资本公积</w:t>
      </w:r>
      <w:r>
        <w:rPr>
          <w:rFonts w:ascii="宋体" w:hAnsi="宋体" w:cs="宋体" w:eastAsia="宋体" w:hint="default"/>
        </w:rPr>
        <w:t>27,835,257.69</w:t>
      </w:r>
      <w:r>
        <w:rPr/>
        <w:t>元。</w:t>
      </w:r>
    </w:p>
    <w:p>
      <w:pPr>
        <w:spacing w:line="240" w:lineRule="auto" w:before="4"/>
        <w:rPr>
          <w:rFonts w:ascii="宋体" w:hAnsi="宋体" w:cs="宋体" w:eastAsia="宋体" w:hint="default"/>
          <w:sz w:val="24"/>
          <w:szCs w:val="24"/>
        </w:rPr>
      </w:pPr>
    </w:p>
    <w:p>
      <w:pPr>
        <w:pStyle w:val="Heading6"/>
        <w:spacing w:line="240" w:lineRule="auto"/>
        <w:ind w:right="1133"/>
        <w:jc w:val="left"/>
        <w:rPr>
          <w:b w:val="0"/>
          <w:bCs w:val="0"/>
        </w:rPr>
      </w:pPr>
      <w:bookmarkStart w:name="56、库存股" w:id="380"/>
      <w:bookmarkEnd w:id="380"/>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回购限制性股票（注</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30,946,966.27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30,946,966.27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集中竞价交易方式回 购公司股份（注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6,464,025.39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13,541,154.81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20,005,180.20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37,410,991.66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13,541,154.81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30,946,966.27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20,005,180.20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57、其他综合收益" w:id="381"/>
      <w:bookmarkEnd w:id="381"/>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3"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2273"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01"/>
              <w:jc w:val="center"/>
              <w:rPr>
                <w:rFonts w:ascii="宋体" w:hAnsi="宋体" w:cs="宋体" w:eastAsia="宋体" w:hint="default"/>
                <w:sz w:val="18"/>
                <w:szCs w:val="18"/>
              </w:rPr>
            </w:pPr>
            <w:r>
              <w:rPr>
                <w:rFonts w:ascii="宋体" w:hAnsi="宋体" w:cs="宋体" w:eastAsia="宋体" w:hint="default"/>
                <w:spacing w:val="-14"/>
                <w:sz w:val="18"/>
                <w:szCs w:val="18"/>
              </w:rPr>
              <w:t>减：前期计</w:t>
            </w:r>
            <w:r>
              <w:rPr>
                <w:rFonts w:ascii="宋体" w:hAnsi="宋体" w:cs="宋体" w:eastAsia="宋体" w:hint="default"/>
                <w:sz w:val="18"/>
                <w:szCs w:val="18"/>
              </w:rPr>
              <w:t> 入其他综 合收益当 期转入损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pacing w:val="-22"/>
                <w:sz w:val="18"/>
                <w:szCs w:val="18"/>
              </w:rPr>
              <w:t>减：前期</w:t>
            </w:r>
            <w:r>
              <w:rPr>
                <w:rFonts w:ascii="宋体" w:hAnsi="宋体" w:cs="宋体" w:eastAsia="宋体" w:hint="default"/>
                <w:sz w:val="18"/>
                <w:szCs w:val="18"/>
              </w:rPr>
              <w:t> 计入其 他综合 收益当 期转入 留存收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51" w:right="101" w:hanging="48"/>
              <w:jc w:val="left"/>
              <w:rPr>
                <w:rFonts w:ascii="宋体" w:hAnsi="宋体" w:cs="宋体" w:eastAsia="宋体" w:hint="default"/>
                <w:sz w:val="18"/>
                <w:szCs w:val="18"/>
              </w:rPr>
            </w:pPr>
            <w:r>
              <w:rPr>
                <w:rFonts w:ascii="宋体" w:hAnsi="宋体" w:cs="宋体" w:eastAsia="宋体" w:hint="default"/>
                <w:spacing w:val="-22"/>
                <w:sz w:val="18"/>
                <w:szCs w:val="18"/>
              </w:rPr>
              <w:t>减：所得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1" w:right="149"/>
              <w:jc w:val="both"/>
              <w:rPr>
                <w:rFonts w:ascii="宋体" w:hAnsi="宋体" w:cs="宋体" w:eastAsia="宋体" w:hint="default"/>
                <w:sz w:val="18"/>
                <w:szCs w:val="18"/>
              </w:rPr>
            </w:pPr>
            <w:r>
              <w:rPr>
                <w:rFonts w:ascii="宋体" w:hAnsi="宋体" w:cs="宋体" w:eastAsia="宋体" w:hint="default"/>
                <w:sz w:val="18"/>
                <w:szCs w:val="18"/>
              </w:rPr>
              <w:t>税后归 属于母 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6"/>
        <w:spacing w:line="240" w:lineRule="auto" w:before="121"/>
        <w:ind w:right="1133"/>
        <w:jc w:val="left"/>
        <w:rPr>
          <w:b w:val="0"/>
          <w:bCs w:val="0"/>
        </w:rPr>
      </w:pPr>
      <w:bookmarkStart w:name="58、专项储备" w:id="382"/>
      <w:bookmarkEnd w:id="382"/>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9、盈余公积" w:id="383"/>
      <w:bookmarkEnd w:id="383"/>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21,201,618.43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21,201,618.43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21,201,618.43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21,201,618.43</w:t>
            </w:r>
          </w:p>
        </w:tc>
      </w:tr>
    </w:tbl>
    <w:p>
      <w:pPr>
        <w:spacing w:before="49"/>
        <w:ind w:left="112" w:right="0" w:firstLine="0"/>
        <w:jc w:val="both"/>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64" w:lineRule="auto" w:before="94"/>
        <w:ind w:left="112" w:right="1126"/>
        <w:jc w:val="both"/>
      </w:pPr>
      <w:r>
        <w:rPr>
          <w:spacing w:val="-2"/>
        </w:rPr>
        <w:t>注：因首次执行新金融工具准则，公司将原在可供出售金融资产中核算的投资重分类至其他非流动金融资</w:t>
      </w:r>
      <w:r>
        <w:rPr>
          <w:spacing w:val="-44"/>
        </w:rPr>
        <w:t> </w:t>
      </w:r>
      <w:r>
        <w:rPr>
          <w:spacing w:val="-44"/>
        </w:rPr>
      </w:r>
      <w:r>
        <w:rPr>
          <w:spacing w:val="-2"/>
        </w:rPr>
        <w:t>产，将因追溯调整产生的累积影响数调增当年年初未分配利润</w:t>
      </w:r>
      <w:r>
        <w:rPr>
          <w:rFonts w:ascii="Times New Roman" w:hAnsi="Times New Roman" w:cs="Times New Roman" w:eastAsia="Times New Roman" w:hint="default"/>
          <w:spacing w:val="-2"/>
        </w:rPr>
        <w:t>83,591.55</w:t>
      </w:r>
      <w:r>
        <w:rPr>
          <w:spacing w:val="-2"/>
        </w:rPr>
        <w:t>元，并相应调增当年年初盈余公积</w:t>
      </w:r>
      <w:r>
        <w:rPr>
          <w:spacing w:val="-32"/>
        </w:rPr>
        <w:t> </w:t>
      </w:r>
      <w:r>
        <w:rPr>
          <w:spacing w:val="-32"/>
        </w:rPr>
      </w:r>
      <w:r>
        <w:rPr>
          <w:rFonts w:ascii="Times New Roman" w:hAnsi="Times New Roman" w:cs="Times New Roman" w:eastAsia="Times New Roman" w:hint="default"/>
        </w:rPr>
        <w:t>43,255.65</w:t>
      </w:r>
      <w:r>
        <w:rPr/>
        <w:t>元。</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Heading6"/>
        <w:spacing w:line="240" w:lineRule="auto"/>
        <w:ind w:right="0"/>
        <w:jc w:val="both"/>
        <w:rPr>
          <w:b w:val="0"/>
          <w:bCs w:val="0"/>
        </w:rPr>
      </w:pPr>
      <w:bookmarkStart w:name="60、未分配利润" w:id="384"/>
      <w:bookmarkEnd w:id="384"/>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206,776,284.56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168,863,947.16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83,591.55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206,859,876.11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168,863,947.16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-150,581,542.58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44,803,214.13</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113,436.73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3,606,158.40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6,777,440.00</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52,672,175.13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206,776,284.56</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83,591.55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1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1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1"/>
        <w:ind w:left="112" w:right="1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6"/>
        <w:spacing w:line="240" w:lineRule="auto"/>
        <w:ind w:right="1133"/>
        <w:jc w:val="left"/>
        <w:rPr>
          <w:b w:val="0"/>
          <w:bCs w:val="0"/>
        </w:rPr>
      </w:pPr>
      <w:bookmarkStart w:name="61、营业收入和营业成本" w:id="385"/>
      <w:bookmarkEnd w:id="385"/>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640,198,270.89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480,746,688.86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706,940,063.53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450,429,814.58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640,198,270.89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480,746,688.86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706,940,063.53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450,429,814.58</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0" w:lineRule="auto" w:before="115"/>
        <w:ind w:left="112" w:right="9761"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其他说明</w:t>
      </w:r>
    </w:p>
    <w:p>
      <w:pPr>
        <w:spacing w:after="0" w:line="36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62、税金及附加" w:id="386"/>
      <w:bookmarkEnd w:id="386"/>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1,042,467.88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437,712.50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505,808.56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242,104.02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1,577,079.40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89,778.00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179,556.00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663,171.16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142,497.14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296,484.23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107,712.97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32,845.28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4,207,634.51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1,109,582.63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63、销售费用" w:id="387"/>
      <w:bookmarkEnd w:id="387"/>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46,760,891.41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29,099,058.12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市外差旅费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5,858,768.62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7,053,960.83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5,018,061.33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5,600,037.51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2,990,640.44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4,088,404.68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2,430,910.13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2,449,617.77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1,977,916.26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1,591,982.53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1,443,487.67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741,251.91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590,704.56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1,196,947.19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4,327,952.65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3,750,269.89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71,399,333.07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55,571,530.43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1"/>
        <w:ind w:right="1133"/>
        <w:jc w:val="left"/>
        <w:rPr>
          <w:b w:val="0"/>
          <w:bCs w:val="0"/>
        </w:rPr>
      </w:pPr>
      <w:bookmarkStart w:name="64、管理费用" w:id="388"/>
      <w:bookmarkEnd w:id="388"/>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44,393,709.22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38,373,082.04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8,950,296.47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7,367,962.67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7,143,275.72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8,849,429.59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4,378,721.04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2,262,778.43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3,652,556.07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3,619,733.19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3,550,106.22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3,469,932.25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2,434,927.15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2,983,004.02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2,361,698.64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1,354,632.23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2,263,696.40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906,852.82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1,583,285.32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1,254,587.21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车辆运杂费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1,546,207.02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2,207,801.81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-1,406,800.00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4,183,899.07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6,251,039.87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86,442,378.34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77,494,036.13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65、研发费用" w:id="389"/>
      <w:bookmarkEnd w:id="389"/>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人员人工费用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93,958,735.56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56,751,273.71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直接投入费用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27,996,859.14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7,335,756.01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3,164,691.87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1,613,732.70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125,120,286.57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65,700,762.42</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66、财务费用" w:id="390"/>
      <w:bookmarkEnd w:id="390"/>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20,720,911.97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10,583,304.36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1,747,838.89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574,450.73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919,115.89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330,877.83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19,892,188.97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10,339,731.46</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67、其他收益" w:id="391"/>
      <w:bookmarkEnd w:id="391"/>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质量奖奖励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财政扶持补助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2,185,500.00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1,786,242.12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产学研补助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软件和信息服务业企业资质奖励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高科技成果转化奖励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知识产权补贴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5,705.00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15,360.00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追溯云第三方重要产品追溯信息平台 建设</w:t>
            </w:r>
            <w:r>
              <w:rPr>
                <w:rFonts w:ascii="Times New Roman" w:hAnsi="Times New Roman" w:cs="Times New Roman" w:eastAsia="Times New Roman" w:hint="default"/>
                <w:sz w:val="18"/>
                <w:szCs w:val="18"/>
              </w:rPr>
              <w:t>"</w:t>
            </w:r>
            <w:r>
              <w:rPr>
                <w:rFonts w:ascii="宋体" w:hAnsi="宋体" w:cs="宋体" w:eastAsia="宋体" w:hint="default"/>
                <w:sz w:val="18"/>
                <w:szCs w:val="18"/>
              </w:rPr>
              <w:t>示范项目专项补助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12,542,454.11</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基于物联网技术的智能冷链物流云平 台专项资金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食品安全智慧服务云平台专项补助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追索品牌推广费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企业核心团队奖励扶持资金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921,000.00</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普陀区认定企业技术中心项目建设项 目补助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基于大数据的猪肉安全与质量综合测 试平台建设专项资金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431,349.00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353,758.00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大数据产业专项资金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上海名牌奖励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年度生产性服务业发展资金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综合改革试点专项资金扶持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普陀区高新技术企业管理团队奖励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残疾人超比例奖励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32,777.30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35,785.10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创新创业促进就业奖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上海市版权协会补助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5,250.00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先进集体奖励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上海市版权协会资助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9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年上海市服务业发展引导资金 “特惠淘”在线比价及尾货抢购平台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83"/>
              <w:jc w:val="left"/>
              <w:rPr>
                <w:rFonts w:ascii="宋体" w:hAnsi="宋体" w:cs="宋体" w:eastAsia="宋体" w:hint="default"/>
                <w:sz w:val="18"/>
                <w:szCs w:val="18"/>
              </w:rPr>
            </w:pPr>
            <w:r>
              <w:rPr>
                <w:rFonts w:ascii="宋体" w:hAnsi="宋体" w:cs="宋体" w:eastAsia="宋体" w:hint="default"/>
                <w:spacing w:val="-6"/>
                <w:sz w:val="18"/>
                <w:szCs w:val="18"/>
              </w:rPr>
              <w:t>科技兴农项目““互联网</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”在农业领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域的应用”项目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8"/>
              <w:jc w:val="left"/>
              <w:rPr>
                <w:rFonts w:ascii="宋体" w:hAnsi="宋体" w:cs="宋体" w:eastAsia="宋体" w:hint="default"/>
                <w:sz w:val="18"/>
                <w:szCs w:val="18"/>
              </w:rPr>
            </w:pPr>
            <w:r>
              <w:rPr>
                <w:rFonts w:ascii="宋体" w:hAnsi="宋体" w:cs="宋体" w:eastAsia="宋体" w:hint="default"/>
                <w:sz w:val="18"/>
                <w:szCs w:val="18"/>
              </w:rPr>
              <w:t>上海市软件和集成电路发展专项资金 项目“</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社区智慧菜场服务平台”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“光典”品牌宣传推广建设项目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品牌建设专项资金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上海中信信息发展股份有限公司聘用 优秀青年人才的资助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市软集项目配套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百家优秀企业表彰奖励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上海市高转项目奖励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1,437,744.56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职工职业培训补贴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上海市静安区中小企业服务中心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科研计划项目资助课题经费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科技小巨人企业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产业发展专项补助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进项税加计抵减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2,849,338.93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代扣个人所得税手续费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79,052.29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3,550.67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18,006,762.08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25,711,525.00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68、投资收益" w:id="392"/>
      <w:bookmarkEnd w:id="392"/>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8,593,340.78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8,593,340.78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69、净敞口套期收益" w:id="393"/>
      <w:bookmarkEnd w:id="393"/>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70、公允价值变动收益" w:id="394"/>
      <w:bookmarkEnd w:id="394"/>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226,405.13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226,405.13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71、信用减值损失" w:id="395"/>
      <w:bookmarkEnd w:id="395"/>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-6,742,787.48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385,178.94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-17,466.35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-16,805,527.13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-23,180,602.02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1"/>
        <w:ind w:right="1133"/>
        <w:jc w:val="left"/>
        <w:rPr>
          <w:b w:val="0"/>
          <w:bCs w:val="0"/>
        </w:rPr>
      </w:pPr>
      <w:bookmarkStart w:name="72、资产减值损失" w:id="396"/>
      <w:bookmarkEnd w:id="396"/>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-21,581,603.67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-28,964,789.01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-28,964,789.01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-21,581,603.67</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73、资产处置收益" w:id="397"/>
      <w:bookmarkEnd w:id="397"/>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85,868.83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42,373.26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74、营业外收入" w:id="398"/>
      <w:bookmarkEnd w:id="398"/>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2,300.00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2,300.00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5" w:right="0"/>
              <w:jc w:val="left"/>
              <w:rPr>
                <w:rFonts w:ascii="宋体" w:hAnsi="宋体" w:cs="宋体" w:eastAsia="宋体" w:hint="default"/>
                <w:sz w:val="18"/>
                <w:szCs w:val="18"/>
              </w:rPr>
            </w:pPr>
            <w:r>
              <w:rPr>
                <w:rFonts w:ascii="宋体" w:hAnsi="宋体" w:cs="宋体" w:eastAsia="宋体" w:hint="default"/>
                <w:sz w:val="18"/>
                <w:szCs w:val="18"/>
              </w:rPr>
              <w:t>补贴是否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是否特殊</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本期发生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8" w:right="0"/>
              <w:jc w:val="left"/>
              <w:rPr>
                <w:rFonts w:ascii="宋体" w:hAnsi="宋体" w:cs="宋体" w:eastAsia="宋体" w:hint="default"/>
                <w:sz w:val="18"/>
                <w:szCs w:val="18"/>
              </w:rPr>
            </w:pPr>
            <w:r>
              <w:rPr>
                <w:rFonts w:ascii="宋体" w:hAnsi="宋体" w:cs="宋体" w:eastAsia="宋体" w:hint="default"/>
                <w:sz w:val="18"/>
                <w:szCs w:val="18"/>
              </w:rPr>
              <w:t>上期发生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67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45" w:right="165" w:hanging="180"/>
              <w:jc w:val="left"/>
              <w:rPr>
                <w:rFonts w:ascii="宋体" w:hAnsi="宋体" w:cs="宋体" w:eastAsia="宋体" w:hint="default"/>
                <w:sz w:val="18"/>
                <w:szCs w:val="18"/>
              </w:rPr>
            </w:pPr>
            <w:r>
              <w:rPr>
                <w:rFonts w:ascii="宋体" w:hAnsi="宋体" w:cs="宋体" w:eastAsia="宋体" w:hint="default"/>
                <w:sz w:val="18"/>
                <w:szCs w:val="18"/>
              </w:rPr>
              <w:t>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347" w:right="137" w:hanging="204"/>
              <w:jc w:val="left"/>
              <w:rPr>
                <w:rFonts w:ascii="宋体" w:hAnsi="宋体" w:cs="宋体" w:eastAsia="宋体" w:hint="default"/>
                <w:sz w:val="18"/>
                <w:szCs w:val="18"/>
              </w:rPr>
            </w:pP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75、营业外支出" w:id="399"/>
      <w:bookmarkEnd w:id="399"/>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61,081.61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609,807.16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193.71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609,807.16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779,807.16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91,275.32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779,807.16</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76、所得税费用" w:id="400"/>
      <w:bookmarkEnd w:id="400"/>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所得税费用表" w:id="401"/>
      <w:bookmarkEnd w:id="40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1,552,063.16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-2,197,548.36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-25,887,834.56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1,221,440.36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-24,335,771.40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-976,108.00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会计利润与所得税费用调整过程" w:id="402"/>
      <w:bookmarkEnd w:id="40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39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-173,620,760.80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-26,040,077.40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-1,659,498.22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1,552,063.16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1,388,302.85</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10,303,524.99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-9,880,086.78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-24,335,771.40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77、其他综合收益" w:id="403"/>
      <w:bookmarkEnd w:id="403"/>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78、现金流量表项目" w:id="404"/>
      <w:bookmarkEnd w:id="404"/>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1）收到的其他与经营活动有关的现金" w:id="405"/>
      <w:bookmarkEnd w:id="4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、收到的各项政府补助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46,315,432.16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30,173,525.00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、收回的项目质保金、保函保证金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46,224,752.94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55,474,336.82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、收到的存款利息收入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512,498.29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574,450.73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、收到的其他零星现金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3,434,605.53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3,586,161.51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96,487,288.92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89,808,474.06</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支付的其他与经营活动有关的现金" w:id="406"/>
      <w:bookmarkEnd w:id="4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、支付付现费用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84,291,144.54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62,364,481.97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919,115.89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330,877.83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、支付项目质保金、保函保证金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44,253,661.23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57,622,284.61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、支付的员工备用金及其他零星现金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3,602,843.65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1,498,790.48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133,066,765.31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121,816,434.89</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收到的其他与投资活动有关的现金" w:id="407"/>
      <w:bookmarkEnd w:id="40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4）支付的其他与投资活动有关的现金" w:id="408"/>
      <w:bookmarkEnd w:id="40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收到的其他与筹资活动有关的现金" w:id="409"/>
      <w:bookmarkEnd w:id="40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收到承兑汇票保证金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947,130.00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947,130.00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21"/>
        <w:ind w:right="1133"/>
        <w:jc w:val="left"/>
        <w:rPr>
          <w:b w:val="0"/>
          <w:bCs w:val="0"/>
        </w:rPr>
      </w:pPr>
      <w:bookmarkStart w:name="（6）支付的其他与筹资活动有关的现金" w:id="410"/>
      <w:bookmarkEnd w:id="41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支付限制性股票回购的资金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30,835,806.17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29,265,408.00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支付回购公司股票的资金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13,541,154.81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6,464,025.39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47,226,960.98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38,729,433.39</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79、现金流量表补充资料" w:id="411"/>
      <w:bookmarkEnd w:id="411"/>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现金流量表补充资料" w:id="412"/>
      <w:bookmarkEnd w:id="41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-149,284,989.40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51,351,733.19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52,145,391.03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21,581,603.67</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7,143,275.72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8,849,429.59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1,583,285.32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1,254,587.21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83,308.23</w:t>
            </w:r>
          </w:p>
        </w:tc>
      </w:tr>
      <w:tr>
        <w:trPr>
          <w:trHeight w:val="102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1" w:firstLine="720"/>
              <w:jc w:val="both"/>
              <w:rPr>
                <w:rFonts w:ascii="宋体" w:hAnsi="宋体" w:cs="宋体" w:eastAsia="宋体" w:hint="default"/>
                <w:sz w:val="18"/>
                <w:szCs w:val="18"/>
              </w:rPr>
            </w:pPr>
            <w:r>
              <w:rPr>
                <w:rFonts w:ascii="宋体" w:hAnsi="宋体" w:cs="宋体" w:eastAsia="宋体" w:hint="default"/>
                <w:sz w:val="18"/>
                <w:szCs w:val="18"/>
              </w:rPr>
              <w:t>处置固定资产、无形资产和其 他长期资产的损失（收益以“－”号填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-85,868.83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-42,373.26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82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61,081.61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36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332" w:firstLine="720"/>
              <w:jc w:val="left"/>
              <w:rPr>
                <w:rFonts w:ascii="宋体" w:hAnsi="宋体" w:cs="宋体" w:eastAsia="宋体" w:hint="default"/>
                <w:sz w:val="18"/>
                <w:szCs w:val="18"/>
              </w:rPr>
            </w:pPr>
            <w:r>
              <w:rPr>
                <w:rFonts w:ascii="宋体" w:hAnsi="宋体" w:cs="宋体" w:eastAsia="宋体" w:hint="default"/>
                <w:sz w:val="18"/>
                <w:szCs w:val="18"/>
              </w:rPr>
              <w:t>公允价值变动损失（收益以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-226,405.13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20,144,650.03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12,473,304.36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-8,593,340.78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-25,839,346.63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1,249,940.36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-48,487.93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-28,500.00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-25,621,201.20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-58,454,803.00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58,609,100.20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39,544,550.32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47,268,740.16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-70,282,615.41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-2,825,477.60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-3,628,829.01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-25,630,675.04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4,012,417.86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6"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203,963,188.10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206,065,056.64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206,065,056.64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220,994,387.06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-2,101,868.54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-14,929,330.42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本期支付的取得子公司的现金净额" w:id="413"/>
      <w:bookmarkEnd w:id="41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本期收到的处置子公司的现金净额" w:id="414"/>
      <w:bookmarkEnd w:id="41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26,500,000.00</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324,256.38</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26,175,743.62</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现金和现金等价物的构成" w:id="415"/>
      <w:bookmarkEnd w:id="41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203,963,188.10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206,065,056.64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225,943.23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140,676.69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203,735,709.17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202,386,762.20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1,535.70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3,537,617.75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203,963,188.10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206,065,056.64</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80、所有者权益变动表项目注释" w:id="416"/>
      <w:bookmarkEnd w:id="416"/>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81、所有权或使用权受到限制的资产" w:id="417"/>
      <w:bookmarkEnd w:id="417"/>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7,394,236.70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90"/>
              <w:jc w:val="left"/>
              <w:rPr>
                <w:rFonts w:ascii="宋体" w:hAnsi="宋体" w:cs="宋体" w:eastAsia="宋体" w:hint="default"/>
                <w:sz w:val="18"/>
                <w:szCs w:val="18"/>
              </w:rPr>
            </w:pPr>
            <w:r>
              <w:rPr>
                <w:rFonts w:ascii="宋体" w:hAnsi="宋体" w:cs="宋体" w:eastAsia="宋体" w:hint="default"/>
                <w:sz w:val="18"/>
                <w:szCs w:val="18"/>
              </w:rPr>
              <w:t>本公司向银行申请开具无条件、不可 撤销的担保函所存入的保证金，</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28,501,985.65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274,376,848.54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2,850,000.00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开具银行承兑汇票所存入的保证金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313,123,070.89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82、外币货币性项目" w:id="418"/>
      <w:bookmarkEnd w:id="418"/>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外币货币性项目" w:id="419"/>
      <w:bookmarkEnd w:id="41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59" w:lineRule="auto" w:before="118"/>
        <w:ind w:right="1133"/>
        <w:jc w:val="left"/>
        <w:rPr>
          <w:b w:val="0"/>
          <w:bCs w:val="0"/>
        </w:rPr>
      </w:pPr>
      <w:bookmarkStart w:name="（2）境外经营实体说明，包括对于重要的境外经营实体，应披露其境外主要经营地、记账" w:id="420"/>
      <w:bookmarkEnd w:id="42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83、套期" w:id="421"/>
      <w:bookmarkEnd w:id="421"/>
      <w:r>
        <w:rPr>
          <w:b w:val="0"/>
          <w:bCs w:val="0"/>
        </w:rPr>
      </w:r>
      <w:r>
        <w:rPr>
          <w:rFonts w:ascii="Times New Roman" w:hAnsi="Times New Roman" w:cs="Times New Roman" w:eastAsia="Times New Roman" w:hint="default"/>
        </w:rPr>
        <w:t>83</w:t>
      </w:r>
      <w:r>
        <w:rPr/>
        <w:t>、套期</w:t>
      </w:r>
      <w:r>
        <w:rPr>
          <w:b w:val="0"/>
          <w:bCs w:val="0"/>
        </w:rPr>
      </w:r>
    </w:p>
    <w:p>
      <w:pPr>
        <w:spacing w:line="240" w:lineRule="auto" w:before="5"/>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84、政府补助" w:id="422"/>
      <w:bookmarkEnd w:id="422"/>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政府补助基本情况" w:id="423"/>
      <w:bookmarkEnd w:id="42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都市农业文化休闲旅游资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4" w:right="0"/>
              <w:jc w:val="left"/>
              <w:rPr>
                <w:rFonts w:ascii="Times New Roman" w:hAnsi="Times New Roman" w:cs="Times New Roman" w:eastAsia="Times New Roman" w:hint="default"/>
                <w:sz w:val="18"/>
                <w:szCs w:val="18"/>
              </w:rPr>
            </w:pPr>
            <w:r>
              <w:rPr>
                <w:rFonts w:ascii="Times New Roman"/>
                <w:sz w:val="18"/>
              </w:rPr>
              <w:t>2,100,000.00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源集成云平台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财政扶持</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葡萄自适应生产管理系统研 究补助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年上海市企事业专利工作试 点示范单位项目补助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年上海市企事业专利 工作试点示范单位项目补助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上海农业数据资源库数据治 理、清洗及应用系统建设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3,992,000.00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张江专项资助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基于区块链的长三角食用农 产品质量安全追溯平台项目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7"/>
              <w:jc w:val="left"/>
              <w:rPr>
                <w:rFonts w:ascii="宋体" w:hAnsi="宋体" w:cs="宋体" w:eastAsia="宋体" w:hint="default"/>
                <w:sz w:val="18"/>
                <w:szCs w:val="18"/>
              </w:rPr>
            </w:pPr>
            <w:r>
              <w:rPr>
                <w:rFonts w:ascii="宋体" w:hAnsi="宋体" w:cs="宋体" w:eastAsia="宋体" w:hint="default"/>
                <w:sz w:val="18"/>
                <w:szCs w:val="18"/>
              </w:rPr>
              <w:t>“基于区块链的酒类安全追 溯云平台”项目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核心电子器件、高端通用芯 片及基础软件产品项目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31,114,000.00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专利授权资助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静安区大数据产业发展专项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年度上海市软件和集 成电路产业发展专项资金</w:t>
            </w:r>
          </w:p>
          <w:p>
            <w:pPr>
              <w:pStyle w:val="TableParagraph"/>
              <w:spacing w:line="316" w:lineRule="auto" w:before="32"/>
              <w:ind w:left="103" w:right="117"/>
              <w:jc w:val="left"/>
              <w:rPr>
                <w:rFonts w:ascii="宋体" w:hAnsi="宋体" w:cs="宋体" w:eastAsia="宋体" w:hint="default"/>
                <w:sz w:val="18"/>
                <w:szCs w:val="18"/>
              </w:rPr>
            </w:pPr>
            <w:r>
              <w:rPr>
                <w:rFonts w:ascii="宋体" w:hAnsi="宋体" w:cs="宋体" w:eastAsia="宋体" w:hint="default"/>
                <w:sz w:val="18"/>
                <w:szCs w:val="18"/>
              </w:rPr>
              <w:t>（软件和信息服务业领域） 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8"/>
              <w:jc w:val="right"/>
              <w:rPr>
                <w:rFonts w:ascii="Times New Roman" w:hAnsi="Times New Roman" w:cs="Times New Roman" w:eastAsia="Times New Roman" w:hint="default"/>
                <w:sz w:val="18"/>
                <w:szCs w:val="18"/>
              </w:rPr>
            </w:pPr>
            <w:r>
              <w:rPr>
                <w:rFonts w:ascii="Times New Roman"/>
                <w:spacing w:val="-1"/>
                <w:sz w:val="18"/>
              </w:rPr>
              <w:t>2,010,000.00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39"/>
              <w:jc w:val="left"/>
              <w:rPr>
                <w:rFonts w:ascii="宋体" w:hAnsi="宋体" w:cs="宋体" w:eastAsia="宋体" w:hint="default"/>
                <w:sz w:val="18"/>
                <w:szCs w:val="18"/>
              </w:rPr>
            </w:pPr>
            <w:r>
              <w:rPr>
                <w:rFonts w:ascii="宋体" w:hAnsi="宋体" w:cs="宋体" w:eastAsia="宋体" w:hint="default"/>
                <w:sz w:val="18"/>
                <w:szCs w:val="18"/>
              </w:rPr>
              <w:t>国库存款补贴</w:t>
            </w:r>
            <w:r>
              <w:rPr>
                <w:rFonts w:ascii="Times New Roman" w:hAnsi="Times New Roman" w:cs="Times New Roman" w:eastAsia="Times New Roman" w:hint="default"/>
                <w:sz w:val="18"/>
                <w:szCs w:val="18"/>
              </w:rPr>
              <w:t>-</w:t>
            </w:r>
            <w:r>
              <w:rPr>
                <w:rFonts w:ascii="宋体" w:hAnsi="宋体" w:cs="宋体" w:eastAsia="宋体" w:hint="default"/>
                <w:sz w:val="18"/>
                <w:szCs w:val="18"/>
              </w:rPr>
              <w:t>基于区块链 的食品安全监管云平台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追溯云食品安全企业信用平 台  </w:t>
            </w:r>
            <w:r>
              <w:rPr>
                <w:rFonts w:ascii="Times New Roman" w:hAnsi="Times New Roman" w:cs="Times New Roman" w:eastAsia="Times New Roman" w:hint="default"/>
                <w:sz w:val="18"/>
                <w:szCs w:val="18"/>
              </w:rPr>
              <w:t>KH41901009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“基于人工智能技术的智慧 冷链物流云平台”</w:t>
            </w:r>
            <w:r>
              <w:rPr>
                <w:rFonts w:ascii="宋体" w:hAnsi="宋体" w:cs="宋体" w:eastAsia="宋体" w:hint="default"/>
                <w:spacing w:val="-74"/>
                <w:sz w:val="18"/>
                <w:szCs w:val="18"/>
              </w:rPr>
              <w:t> </w:t>
            </w:r>
            <w:r>
              <w:rPr>
                <w:rFonts w:ascii="宋体" w:hAnsi="宋体" w:cs="宋体" w:eastAsia="宋体" w:hint="default"/>
                <w:sz w:val="18"/>
                <w:szCs w:val="18"/>
              </w:rPr>
              <w:t>扶持项目</w:t>
            </w:r>
            <w:r>
              <w:rPr>
                <w:rFonts w:ascii="宋体" w:hAnsi="宋体" w:cs="宋体" w:eastAsia="宋体" w:hint="default"/>
                <w:sz w:val="18"/>
                <w:szCs w:val="18"/>
              </w:rPr>
              <w:t> 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财政扶持补助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3,971,742.12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2,185,500.00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产学研补助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追索品牌推广费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785,107.00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431,349.00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上海名牌奖励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残疾人超比例奖励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68,562.40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32,777.30</w:t>
            </w:r>
          </w:p>
        </w:tc>
      </w:tr>
      <w:tr>
        <w:trPr>
          <w:trHeight w:val="67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年上海市服务业发展 引导资金“特惠淘”在线比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价及尾货抢购平台</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8"/>
              <w:jc w:val="left"/>
              <w:rPr>
                <w:rFonts w:ascii="宋体" w:hAnsi="宋体" w:cs="宋体" w:eastAsia="宋体" w:hint="default"/>
                <w:sz w:val="18"/>
                <w:szCs w:val="18"/>
              </w:rPr>
            </w:pPr>
            <w:r>
              <w:rPr>
                <w:rFonts w:ascii="宋体" w:hAnsi="宋体" w:cs="宋体" w:eastAsia="宋体" w:hint="default"/>
                <w:spacing w:val="-8"/>
                <w:sz w:val="18"/>
                <w:szCs w:val="18"/>
              </w:rPr>
              <w:t>科技兴农项目““互联网</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在农业领域的应用”项目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上海市软件和集成电路发展 专项资金项目“</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社区智 慧菜场服务平台”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2,075,000.00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7"/>
              <w:jc w:val="left"/>
              <w:rPr>
                <w:rFonts w:ascii="宋体" w:hAnsi="宋体" w:cs="宋体" w:eastAsia="宋体" w:hint="default"/>
                <w:sz w:val="18"/>
                <w:szCs w:val="18"/>
              </w:rPr>
            </w:pPr>
            <w:r>
              <w:rPr>
                <w:rFonts w:ascii="宋体" w:hAnsi="宋体" w:cs="宋体" w:eastAsia="宋体" w:hint="default"/>
                <w:sz w:val="18"/>
                <w:szCs w:val="18"/>
              </w:rPr>
              <w:t>“光典”品牌宣传推广建设 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品牌建设专项资金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18"/>
              <w:jc w:val="both"/>
              <w:rPr>
                <w:rFonts w:ascii="宋体" w:hAnsi="宋体" w:cs="宋体" w:eastAsia="宋体" w:hint="default"/>
                <w:sz w:val="18"/>
                <w:szCs w:val="18"/>
              </w:rPr>
            </w:pPr>
            <w:r>
              <w:rPr>
                <w:rFonts w:ascii="宋体" w:hAnsi="宋体" w:cs="宋体" w:eastAsia="宋体" w:hint="default"/>
                <w:sz w:val="18"/>
                <w:szCs w:val="18"/>
              </w:rPr>
              <w:t>上海中信信息发展股份有限 公司聘用优秀青年人才的资 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市软集项目配套</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百家优秀企业表彰奖励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上海市高转项目奖励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1,437,744.56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1,437,744.56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职工职业培训补贴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8"/>
              <w:jc w:val="left"/>
              <w:rPr>
                <w:rFonts w:ascii="宋体" w:hAnsi="宋体" w:cs="宋体" w:eastAsia="宋体" w:hint="default"/>
                <w:sz w:val="18"/>
                <w:szCs w:val="18"/>
              </w:rPr>
            </w:pPr>
            <w:r>
              <w:rPr>
                <w:rFonts w:ascii="宋体" w:hAnsi="宋体" w:cs="宋体" w:eastAsia="宋体" w:hint="default"/>
                <w:sz w:val="18"/>
                <w:szCs w:val="18"/>
              </w:rPr>
              <w:t>上海市静安区中小企业服务 中心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科研计划项目资助课题经费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科技小巨人企业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产业发展专项补助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87,453,845.19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15,078,370.86</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6"/>
        <w:ind w:right="1133"/>
        <w:jc w:val="left"/>
        <w:rPr>
          <w:b w:val="0"/>
          <w:bCs w:val="0"/>
        </w:rPr>
      </w:pPr>
      <w:bookmarkStart w:name="（2）政府补助退回情况" w:id="424"/>
      <w:bookmarkEnd w:id="42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其他说明：</w:t>
      </w:r>
    </w:p>
    <w:p>
      <w:pPr>
        <w:spacing w:line="240" w:lineRule="auto" w:before="2"/>
        <w:rPr>
          <w:rFonts w:ascii="宋体" w:hAnsi="宋体" w:cs="宋体" w:eastAsia="宋体" w:hint="default"/>
          <w:sz w:val="20"/>
          <w:szCs w:val="20"/>
        </w:rPr>
      </w:pPr>
    </w:p>
    <w:p>
      <w:pPr>
        <w:spacing w:line="487" w:lineRule="auto" w:before="0"/>
        <w:ind w:left="112" w:right="8330" w:firstLine="0"/>
        <w:jc w:val="left"/>
        <w:rPr>
          <w:rFonts w:ascii="宋体" w:hAnsi="宋体" w:cs="宋体" w:eastAsia="宋体" w:hint="default"/>
          <w:sz w:val="21"/>
          <w:szCs w:val="21"/>
        </w:rPr>
      </w:pPr>
      <w:bookmarkStart w:name="85、其他" w:id="425"/>
      <w:bookmarkEnd w:id="425"/>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26"/>
      <w:bookmarkEnd w:id="426"/>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7"/>
      <w:bookmarkEnd w:id="42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6"/>
        <w:spacing w:line="240" w:lineRule="auto" w:before="81"/>
        <w:ind w:right="1133"/>
        <w:jc w:val="left"/>
        <w:rPr>
          <w:b w:val="0"/>
          <w:bCs w:val="0"/>
        </w:rPr>
      </w:pPr>
      <w:bookmarkStart w:name="（1）本期发生的非同一控制下企业合并" w:id="428"/>
      <w:bookmarkEnd w:id="42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672"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被购买方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股权取得</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股权取得</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股权取得</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股权取得</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购买日的</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67" w:right="164"/>
              <w:jc w:val="left"/>
              <w:rPr>
                <w:rFonts w:ascii="宋体" w:hAnsi="宋体" w:cs="宋体" w:eastAsia="宋体" w:hint="default"/>
                <w:sz w:val="18"/>
                <w:szCs w:val="18"/>
              </w:rPr>
            </w:pPr>
            <w:r>
              <w:rPr>
                <w:rFonts w:ascii="宋体" w:hAnsi="宋体" w:cs="宋体" w:eastAsia="宋体" w:hint="default"/>
                <w:sz w:val="18"/>
                <w:szCs w:val="18"/>
              </w:rPr>
              <w:t>购买日至 期末被购</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65" w:right="163"/>
              <w:jc w:val="left"/>
              <w:rPr>
                <w:rFonts w:ascii="宋体" w:hAnsi="宋体" w:cs="宋体" w:eastAsia="宋体" w:hint="default"/>
                <w:sz w:val="18"/>
                <w:szCs w:val="18"/>
              </w:rPr>
            </w:pPr>
            <w:r>
              <w:rPr>
                <w:rFonts w:ascii="宋体" w:hAnsi="宋体" w:cs="宋体" w:eastAsia="宋体" w:hint="default"/>
                <w:sz w:val="18"/>
                <w:szCs w:val="18"/>
              </w:rPr>
              <w:t>购买日至 期末被购</w:t>
            </w:r>
          </w:p>
        </w:tc>
      </w:tr>
    </w:tbl>
    <w:p>
      <w:pPr>
        <w:spacing w:after="0" w:line="314"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67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39" w:right="164" w:hanging="272"/>
              <w:jc w:val="left"/>
              <w:rPr>
                <w:rFonts w:ascii="宋体" w:hAnsi="宋体" w:cs="宋体" w:eastAsia="宋体" w:hint="default"/>
                <w:sz w:val="18"/>
                <w:szCs w:val="18"/>
              </w:rPr>
            </w:pPr>
            <w:r>
              <w:rPr>
                <w:rFonts w:ascii="宋体" w:hAnsi="宋体" w:cs="宋体" w:eastAsia="宋体" w:hint="default"/>
                <w:sz w:val="18"/>
                <w:szCs w:val="18"/>
              </w:rPr>
              <w:t>买方的收 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45" w:right="163" w:hanging="180"/>
              <w:jc w:val="left"/>
              <w:rPr>
                <w:rFonts w:ascii="宋体" w:hAnsi="宋体" w:cs="宋体" w:eastAsia="宋体" w:hint="default"/>
                <w:sz w:val="18"/>
                <w:szCs w:val="18"/>
              </w:rPr>
            </w:pPr>
            <w:r>
              <w:rPr>
                <w:rFonts w:ascii="宋体" w:hAnsi="宋体" w:cs="宋体" w:eastAsia="宋体" w:hint="default"/>
                <w:sz w:val="18"/>
                <w:szCs w:val="18"/>
              </w:rPr>
              <w:t>买方的净 利润</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合并成本及商誉" w:id="429"/>
      <w:bookmarkEnd w:id="42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2;top:14;width:101;height:392" coordorigin="12,14" coordsize="101,392">
              <v:shape style="position:absolute;left:12;top:14;width:101;height:392" coordorigin="12,14" coordsize="101,392" path="m12,406l113,406,113,14,12,14,12,406xe" filled="true" fillcolor="#d2d2d2" stroked="false">
                <v:path arrowok="t"/>
                <v:fill type="solid"/>
              </v:shape>
            </v:group>
            <v:group style="position:absolute;left:4683;top:14;width:104;height:392" coordorigin="4683,14" coordsize="104,392">
              <v:shape style="position:absolute;left:4683;top:14;width:104;height:392" coordorigin="4683,14" coordsize="104,392" path="m4683,406l4787,406,4787,14,4683,14,4683,406xe" filled="true" fillcolor="#d2d2d2" stroked="false">
                <v:path arrowok="t"/>
                <v:fill type="solid"/>
              </v:shape>
            </v:group>
            <v:group style="position:absolute;left:113;top:14;width:4571;height:392" coordorigin="113,14" coordsize="4571,392">
              <v:shape style="position:absolute;left:113;top:14;width:4571;height:392" coordorigin="113,14" coordsize="4571,392" path="m113,406l4683,406,4683,14,113,14,113,406xe" filled="true" fillcolor="#d2d2d2" stroked="false">
                <v:path arrowok="t"/>
                <v:fill type="solid"/>
              </v:shape>
            </v:group>
            <v:group style="position:absolute;left:4796;top:14;width:104;height:392" coordorigin="4796,14" coordsize="104,392">
              <v:shape style="position:absolute;left:4796;top:14;width:104;height:392" coordorigin="4796,14" coordsize="104,392" path="m4796,406l4899,406,4899,14,4796,14,4796,406xe" filled="true" fillcolor="#d2d2d2" stroked="false">
                <v:path arrowok="t"/>
                <v:fill type="solid"/>
              </v:shape>
            </v:group>
            <v:group style="position:absolute;left:9468;top:14;width:104;height:392" coordorigin="9468,14" coordsize="104,392">
              <v:shape style="position:absolute;left:9468;top:14;width:104;height:392" coordorigin="9468,14" coordsize="104,392" path="m9468,406l9571,406,9571,14,9468,14,9468,406xe" filled="true" fillcolor="#d2d2d2" stroked="false">
                <v:path arrowok="t"/>
                <v:fill type="solid"/>
              </v:shape>
            </v:group>
            <v:group style="position:absolute;left:4899;top:14;width:4569;height:392" coordorigin="4899,14" coordsize="4569,392">
              <v:shape style="position:absolute;left:4899;top:14;width:4569;height:392" coordorigin="4899,14" coordsize="4569,392" path="m4899,406l9468,406,9468,14,4899,14,4899,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2"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1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被购买方于购买日可辨认资产、负债" w:id="430"/>
      <w:bookmarkEnd w:id="43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1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6"/>
        <w:spacing w:line="240" w:lineRule="auto"/>
        <w:ind w:right="0"/>
        <w:jc w:val="both"/>
        <w:rPr>
          <w:b w:val="0"/>
          <w:bCs w:val="0"/>
        </w:rPr>
      </w:pPr>
      <w:bookmarkStart w:name="（4）购买日之前持有的股权按照公允价值重新计量产生的利得或损失" w:id="431"/>
      <w:bookmarkEnd w:id="43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2" w:right="0" w:firstLine="0"/>
        <w:jc w:val="both"/>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6"/>
        <w:spacing w:line="240" w:lineRule="auto" w:before="120"/>
        <w:ind w:right="0"/>
        <w:jc w:val="both"/>
        <w:rPr>
          <w:b w:val="0"/>
          <w:bCs w:val="0"/>
        </w:rPr>
      </w:pPr>
      <w:bookmarkStart w:name="（5）购买日或合并当期期末无法合理确定合并对价或被购买方可辨认资产、负债公允价值" w:id="432"/>
      <w:bookmarkEnd w:id="43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6）其他说明" w:id="433"/>
      <w:bookmarkEnd w:id="43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0"/>
        <w:jc w:val="both"/>
        <w:rPr>
          <w:b w:val="0"/>
          <w:bCs w:val="0"/>
        </w:rPr>
      </w:pPr>
      <w:bookmarkStart w:name="2、同一控制下企业合并" w:id="434"/>
      <w:bookmarkEnd w:id="43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both"/>
        <w:rPr>
          <w:b w:val="0"/>
          <w:bCs w:val="0"/>
        </w:rPr>
      </w:pPr>
      <w:bookmarkStart w:name="（1）本期发生的同一控制下企业合并" w:id="435"/>
      <w:bookmarkEnd w:id="43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650"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1"/>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7"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7" w:right="166"/>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8" w:right="163"/>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8" w:right="166"/>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2）合并成本" w:id="436"/>
      <w:bookmarkEnd w:id="43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2;top:14;width:101;height:394" coordorigin="12,14" coordsize="101,394">
              <v:shape style="position:absolute;left:12;top:14;width:101;height:394" coordorigin="12,14" coordsize="101,394" path="m12,408l113,408,113,14,12,14,12,408xe" filled="true" fillcolor="#d2d2d2" stroked="false">
                <v:path arrowok="t"/>
                <v:fill type="solid"/>
              </v:shape>
            </v:group>
            <v:group style="position:absolute;left:4683;top:14;width:104;height:394" coordorigin="4683,14" coordsize="104,394">
              <v:shape style="position:absolute;left:4683;top:14;width:104;height:394" coordorigin="4683,14" coordsize="104,394" path="m4683,408l4787,408,4787,14,4683,14,4683,408xe" filled="true" fillcolor="#d2d2d2" stroked="false">
                <v:path arrowok="t"/>
                <v:fill type="solid"/>
              </v:shape>
            </v:group>
            <v:group style="position:absolute;left:113;top:14;width:4571;height:394" coordorigin="113,14" coordsize="4571,394">
              <v:shape style="position:absolute;left:113;top:14;width:4571;height:394" coordorigin="113,14" coordsize="4571,394" path="m113,408l4683,408,4683,14,113,14,113,408xe" filled="true" fillcolor="#d2d2d2" stroked="false">
                <v:path arrowok="t"/>
                <v:fill type="solid"/>
              </v:shape>
            </v:group>
            <v:group style="position:absolute;left:4796;top:14;width:104;height:394" coordorigin="4796,14" coordsize="104,394">
              <v:shape style="position:absolute;left:4796;top:14;width:104;height:394" coordorigin="4796,14" coordsize="104,394" path="m4796,408l4899,408,4899,14,4796,14,4796,408xe" filled="true" fillcolor="#d2d2d2" stroked="false">
                <v:path arrowok="t"/>
                <v:fill type="solid"/>
              </v:shape>
            </v:group>
            <v:group style="position:absolute;left:9468;top:14;width:104;height:394" coordorigin="9468,14" coordsize="104,394">
              <v:shape style="position:absolute;left:9468;top:14;width:104;height:394" coordorigin="9468,14" coordsize="104,394" path="m9468,408l9571,408,9571,14,9468,14,9468,408xe" filled="true" fillcolor="#d2d2d2" stroked="false">
                <v:path arrowok="t"/>
                <v:fill type="solid"/>
              </v:shape>
            </v:group>
            <v:group style="position:absolute;left:4899;top:14;width:4569;height:394" coordorigin="4899,14" coordsize="4569,394">
              <v:shape style="position:absolute;left:4899;top:14;width:4569;height:394" coordorigin="4899,14" coordsize="4569,394" path="m4899,408l9468,408,9468,14,4899,14,4899,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1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3）合并日被合并方资产、负债的账面价值" w:id="437"/>
      <w:bookmarkEnd w:id="43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6" w:lineRule="exact"/>
        <w:ind w:left="10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15pt;height:41.35pt;mso-position-horizontal-relative:char;mso-position-vertical-relative:line" coordorigin="0,0" coordsize="9583,827">
            <v:group style="position:absolute;left:12;top:17;width:101;height:392" coordorigin="12,17" coordsize="101,392">
              <v:shape style="position:absolute;left:12;top:17;width:101;height:392" coordorigin="12,17" coordsize="101,392" path="m12,408l113,408,113,17,12,17,12,408xe" filled="true" fillcolor="#d2d2d2" stroked="false">
                <v:path arrowok="t"/>
                <v:fill type="solid"/>
              </v:shape>
            </v:group>
            <v:group style="position:absolute;left:3090;top:17;width:104;height:392" coordorigin="3090,17" coordsize="104,392">
              <v:shape style="position:absolute;left:3090;top:17;width:104;height:392" coordorigin="3090,17" coordsize="104,392" path="m3090,408l3193,408,3193,17,3090,17,3090,408xe" filled="true" fillcolor="#d2d2d2" stroked="false">
                <v:path arrowok="t"/>
                <v:fill type="solid"/>
              </v:shape>
            </v:group>
            <v:group style="position:absolute;left:113;top:17;width:2977;height:392" coordorigin="113,17" coordsize="2977,392">
              <v:shape style="position:absolute;left:113;top:17;width:2977;height:392" coordorigin="113,17" coordsize="2977,392" path="m113,408l3090,408,3090,17,113,17,113,408xe" filled="true" fillcolor="#d2d2d2" stroked="false">
                <v:path arrowok="t"/>
                <v:fill type="solid"/>
              </v:shape>
            </v:group>
            <v:group style="position:absolute;left:3203;top:17;width:104;height:392" coordorigin="3203,17" coordsize="104,392">
              <v:shape style="position:absolute;left:3203;top:17;width:104;height:392" coordorigin="3203,17" coordsize="104,392" path="m3203,408l3306,408,3306,17,3203,17,3203,408xe" filled="true" fillcolor="#d2d2d2" stroked="false">
                <v:path arrowok="t"/>
                <v:fill type="solid"/>
              </v:shape>
            </v:group>
            <v:group style="position:absolute;left:9470;top:17;width:104;height:392" coordorigin="9470,17" coordsize="104,392">
              <v:shape style="position:absolute;left:9470;top:17;width:104;height:392" coordorigin="9470,17" coordsize="104,392" path="m9470,408l9573,408,9573,17,9470,17,9470,408xe" filled="true" fillcolor="#d2d2d2" stroked="false">
                <v:path arrowok="t"/>
                <v:fill type="solid"/>
              </v:shape>
            </v:group>
            <v:group style="position:absolute;left:3306;top:17;width:6165;height:392" coordorigin="3306,17" coordsize="6165,392">
              <v:shape style="position:absolute;left:3306;top:17;width:6165;height:392" coordorigin="3306,17" coordsize="6165,392" path="m3306,408l9470,408,9470,17,3306,17,3306,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12;top:418;width:101;height:392" coordorigin="12,418" coordsize="101,392">
              <v:shape style="position:absolute;left:12;top:418;width:101;height:392" coordorigin="12,418" coordsize="101,392" path="m12,809l113,809,113,418,12,418,12,809xe" filled="true" fillcolor="#d2d2d2" stroked="false">
                <v:path arrowok="t"/>
                <v:fill type="solid"/>
              </v:shape>
            </v:group>
            <v:group style="position:absolute;left:3090;top:418;width:104;height:392" coordorigin="3090,418" coordsize="104,392">
              <v:shape style="position:absolute;left:3090;top:418;width:104;height:392" coordorigin="3090,418" coordsize="104,392" path="m3090,809l3193,809,3193,418,3090,418,3090,809xe" filled="true" fillcolor="#d2d2d2" stroked="false">
                <v:path arrowok="t"/>
                <v:fill type="solid"/>
              </v:shape>
            </v:group>
            <v:group style="position:absolute;left:113;top:418;width:2977;height:392" coordorigin="113,418" coordsize="2977,392">
              <v:shape style="position:absolute;left:113;top:418;width:2977;height:392" coordorigin="113,418" coordsize="2977,392" path="m113,809l3090,809,3090,418,113,418,113,809xe" filled="true" fillcolor="#d2d2d2" stroked="false">
                <v:path arrowok="t"/>
                <v:fill type="solid"/>
              </v:shape>
            </v:group>
            <v:group style="position:absolute;left:3203;top:418;width:104;height:392" coordorigin="3203,418" coordsize="104,392">
              <v:shape style="position:absolute;left:3203;top:418;width:104;height:392" coordorigin="3203,418" coordsize="104,392" path="m3203,809l3306,809,3306,418,3203,418,3203,809xe" filled="true" fillcolor="#d2d2d2" stroked="false">
                <v:path arrowok="t"/>
                <v:fill type="solid"/>
              </v:shape>
            </v:group>
            <v:group style="position:absolute;left:6280;top:418;width:104;height:392" coordorigin="6280,418" coordsize="104,392">
              <v:shape style="position:absolute;left:6280;top:418;width:104;height:392" coordorigin="6280,418" coordsize="104,392" path="m6280,809l6383,809,6383,418,6280,418,6280,809xe" filled="true" fillcolor="#d2d2d2" stroked="false">
                <v:path arrowok="t"/>
                <v:fill type="solid"/>
              </v:shape>
            </v:group>
            <v:group style="position:absolute;left:3306;top:418;width:2974;height:392" coordorigin="3306,418" coordsize="2974,392">
              <v:shape style="position:absolute;left:3306;top:418;width:2974;height:392" coordorigin="3306,418" coordsize="2974,392" path="m3306,809l6280,809,6280,418,3306,418,3306,809xe" filled="true" fillcolor="#d2d2d2" stroked="false">
                <v:path arrowok="t"/>
                <v:fill type="solid"/>
              </v:shape>
            </v:group>
            <v:group style="position:absolute;left:6393;top:418;width:104;height:392" coordorigin="6393,418" coordsize="104,392">
              <v:shape style="position:absolute;left:6393;top:418;width:104;height:392" coordorigin="6393,418" coordsize="104,392" path="m6393,809l6496,809,6496,418,6393,418,6393,809xe" filled="true" fillcolor="#d2d2d2" stroked="false">
                <v:path arrowok="t"/>
                <v:fill type="solid"/>
              </v:shape>
            </v:group>
            <v:group style="position:absolute;left:9470;top:418;width:104;height:392" coordorigin="9470,418" coordsize="104,392">
              <v:shape style="position:absolute;left:9470;top:418;width:104;height:392" coordorigin="9470,418" coordsize="104,392" path="m9470,809l9573,809,9573,418,9470,418,9470,809xe" filled="true" fillcolor="#d2d2d2" stroked="false">
                <v:path arrowok="t"/>
                <v:fill type="solid"/>
              </v:shape>
            </v:group>
            <v:group style="position:absolute;left:6496;top:418;width:2974;height:392" coordorigin="6496,418" coordsize="2974,392">
              <v:shape style="position:absolute;left:6496;top:418;width:2974;height:392" coordorigin="6496,418" coordsize="2974,392" path="m6496,809l9470,809,9470,418,6496,418,6496,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7" coordorigin="5,5" coordsize="2,817">
              <v:shape style="position:absolute;left:5;top:5;width:2;height:817" coordorigin="5,5" coordsize="0,817" path="m5,5l5,821e" filled="false" stroked="true" strokeweight=".48pt" strokecolor="#000000">
                <v:path arrowok="t"/>
              </v:shape>
            </v:group>
            <v:group style="position:absolute;left:10;top:817;width:3181;height:2" coordorigin="10,817" coordsize="3181,2">
              <v:shape style="position:absolute;left:10;top:817;width:3181;height:2" coordorigin="10,817" coordsize="3181,0" path="m10,817l3191,817e" filled="false" stroked="true" strokeweight=".47998pt" strokecolor="#000000">
                <v:path arrowok="t"/>
              </v:shape>
            </v:group>
            <v:group style="position:absolute;left:3195;top:5;width:2;height:817" coordorigin="3195,5" coordsize="2,817">
              <v:shape style="position:absolute;left:3195;top:5;width:2;height:817" coordorigin="3195,5" coordsize="0,817" path="m3195,5l3195,821e" filled="false" stroked="true" strokeweight=".48pt" strokecolor="#000000">
                <v:path arrowok="t"/>
              </v:shape>
            </v:group>
            <v:group style="position:absolute;left:3200;top:817;width:3181;height:2" coordorigin="3200,817" coordsize="3181,2">
              <v:shape style="position:absolute;left:3200;top:817;width:3181;height:2" coordorigin="3200,817" coordsize="3181,0" path="m3200,817l6381,817e" filled="false" stroked="true" strokeweight=".47998pt" strokecolor="#000000">
                <v:path arrowok="t"/>
              </v:shape>
            </v:group>
            <v:group style="position:absolute;left:6385;top:408;width:2;height:414" coordorigin="6385,408" coordsize="2,414">
              <v:shape style="position:absolute;left:6385;top:408;width:2;height:414" coordorigin="6385,408" coordsize="0,414" path="m6385,408l6385,821e" filled="false" stroked="true" strokeweight=".48001pt" strokecolor="#000000">
                <v:path arrowok="t"/>
              </v:shape>
            </v:group>
            <v:group style="position:absolute;left:6390;top:817;width:3183;height:2" coordorigin="6390,817" coordsize="3183,2">
              <v:shape style="position:absolute;left:6390;top:817;width:3183;height:2" coordorigin="6390,817" coordsize="3183,0" path="m6390,817l9573,817e" filled="false" stroked="true" strokeweight=".47998pt" strokecolor="#000000">
                <v:path arrowok="t"/>
              </v:shape>
            </v:group>
            <v:group style="position:absolute;left:9578;top:5;width:2;height:817" coordorigin="9578,5" coordsize="2,817">
              <v:shape style="position:absolute;left:9578;top:5;width:2;height:817" coordorigin="9578,5" coordsize="0,817" path="m9578,5l9578,821e" filled="false" stroked="true" strokeweight=".47998pt" strokecolor="#000000">
                <v:path arrowok="t"/>
              </v:shape>
              <v:shape style="position:absolute;left:3195;top:413;width:3190;height:403" type="#_x0000_t202" filled="false" stroked="false">
                <v:textbox inset="0,0,0,0">
                  <w:txbxContent>
                    <w:p>
                      <w:pPr>
                        <w:spacing w:before="54"/>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3"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7" w:lineRule="auto" w:before="44"/>
        <w:ind w:left="11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3、反向购买" w:id="438"/>
      <w:bookmarkEnd w:id="43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spacing w:line="316" w:lineRule="auto" w:before="0"/>
        <w:ind w:left="112" w:right="1133"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0"/>
        <w:rPr>
          <w:rFonts w:ascii="宋体" w:hAnsi="宋体" w:cs="宋体" w:eastAsia="宋体" w:hint="default"/>
          <w:sz w:val="22"/>
          <w:szCs w:val="22"/>
        </w:rPr>
      </w:pPr>
    </w:p>
    <w:p>
      <w:pPr>
        <w:pStyle w:val="Heading6"/>
        <w:spacing w:line="240" w:lineRule="auto"/>
        <w:ind w:right="1133"/>
        <w:jc w:val="left"/>
        <w:rPr>
          <w:b w:val="0"/>
          <w:bCs w:val="0"/>
        </w:rPr>
      </w:pPr>
      <w:bookmarkStart w:name="4、处置子公司" w:id="439"/>
      <w:bookmarkEnd w:id="43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12" w:right="-2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4253" w:space="457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539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181"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182" w:right="180"/>
              <w:jc w:val="both"/>
              <w:rPr>
                <w:rFonts w:ascii="宋体" w:hAnsi="宋体" w:cs="宋体" w:eastAsia="宋体" w:hint="default"/>
                <w:sz w:val="18"/>
                <w:szCs w:val="18"/>
              </w:rPr>
            </w:pPr>
            <w:r>
              <w:rPr>
                <w:rFonts w:ascii="宋体" w:hAnsi="宋体" w:cs="宋体" w:eastAsia="宋体" w:hint="default"/>
                <w:sz w:val="18"/>
                <w:szCs w:val="18"/>
              </w:rPr>
              <w:t>股权 处置 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184" w:right="180"/>
              <w:jc w:val="both"/>
              <w:rPr>
                <w:rFonts w:ascii="宋体" w:hAnsi="宋体" w:cs="宋体" w:eastAsia="宋体" w:hint="default"/>
                <w:sz w:val="18"/>
                <w:szCs w:val="18"/>
              </w:rPr>
            </w:pPr>
            <w:r>
              <w:rPr>
                <w:rFonts w:ascii="宋体" w:hAnsi="宋体" w:cs="宋体" w:eastAsia="宋体" w:hint="default"/>
                <w:sz w:val="18"/>
                <w:szCs w:val="18"/>
              </w:rPr>
              <w:t>股权 处置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股权 处置 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9"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权时 点的 确定 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处置 价款 与处 置投 资对 应的 合并 财务 报表 层面 享有 该子 公司 净资 产份 额的 差额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账面 价值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权的 公允 价值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按照 公允 价值 重新 计量 剩余 股权 产生 的利 得或 损失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丧失 控制 权之 日剩 余股 权公 允价 值的 确定 方法 及主 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0"/>
              <w:jc w:val="both"/>
              <w:rPr>
                <w:rFonts w:ascii="宋体" w:hAnsi="宋体" w:cs="宋体" w:eastAsia="宋体" w:hint="default"/>
                <w:sz w:val="18"/>
                <w:szCs w:val="18"/>
              </w:rPr>
            </w:pPr>
            <w:r>
              <w:rPr>
                <w:rFonts w:ascii="宋体" w:hAnsi="宋体" w:cs="宋体" w:eastAsia="宋体" w:hint="default"/>
                <w:sz w:val="18"/>
                <w:szCs w:val="18"/>
              </w:rPr>
              <w:t>与原 子公 司股 权投 资相 关的 其他 综合 收益 转入 投资 损益 的金 额</w:t>
            </w:r>
          </w:p>
        </w:tc>
      </w:tr>
    </w:tbl>
    <w:p>
      <w:pPr>
        <w:spacing w:after="0" w:line="316" w:lineRule="auto"/>
        <w:jc w:val="both"/>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4"/>
        <w:gridCol w:w="737"/>
      </w:tblGrid>
      <w:tr>
        <w:trPr>
          <w:trHeight w:val="196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上海 金档 信息 技术 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26,500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协议 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59"/>
              <w:jc w:val="both"/>
              <w:rPr>
                <w:rFonts w:ascii="宋体" w:hAnsi="宋体" w:cs="宋体" w:eastAsia="宋体" w:hint="default"/>
                <w:sz w:val="18"/>
                <w:szCs w:val="18"/>
              </w:rPr>
            </w:pPr>
            <w:r>
              <w:rPr>
                <w:rFonts w:ascii="宋体" w:hAnsi="宋体" w:cs="宋体" w:eastAsia="宋体" w:hint="default"/>
                <w:sz w:val="18"/>
                <w:szCs w:val="18"/>
              </w:rPr>
              <w:t>完成 工商 变更 登记 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8,593,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340.78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5"/>
        <w:ind w:left="112" w:right="1133"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6"/>
        <w:spacing w:line="240" w:lineRule="auto" w:before="121"/>
        <w:ind w:right="1133"/>
        <w:jc w:val="left"/>
        <w:rPr>
          <w:b w:val="0"/>
          <w:bCs w:val="0"/>
        </w:rPr>
      </w:pPr>
      <w:bookmarkStart w:name="5、其他原因的合并范围变动" w:id="440"/>
      <w:bookmarkEnd w:id="44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61" w:lineRule="auto" w:before="96"/>
        <w:ind w:left="112" w:right="1133"/>
        <w:jc w:val="left"/>
      </w:pPr>
      <w:r>
        <w:rPr/>
        <w:t>控股子公司追溯云信息发展股份有限公司于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日发起设立追溯云（上海）信用科技有限公司。</w:t>
      </w:r>
      <w:r>
        <w:rPr>
          <w:spacing w:val="-27"/>
        </w:rPr>
        <w:t> </w:t>
      </w:r>
      <w:r>
        <w:rPr>
          <w:spacing w:val="-27"/>
        </w:rPr>
      </w:r>
      <w:r>
        <w:rPr/>
        <w:t>该公司注册资本为人民币</w:t>
      </w:r>
      <w:r>
        <w:rPr>
          <w:rFonts w:ascii="Times New Roman" w:hAnsi="Times New Roman" w:cs="Times New Roman" w:eastAsia="Times New Roman" w:hint="default"/>
        </w:rPr>
        <w:t>500</w:t>
      </w:r>
      <w:r>
        <w:rPr/>
        <w:t>万元，追溯云信息发展股份有限公司持有该公司</w:t>
      </w:r>
      <w:r>
        <w:rPr>
          <w:rFonts w:ascii="Times New Roman" w:hAnsi="Times New Roman" w:cs="Times New Roman" w:eastAsia="Times New Roman" w:hint="default"/>
        </w:rPr>
        <w:t>100%</w:t>
      </w:r>
      <w:r>
        <w:rPr/>
        <w:t>股权。</w:t>
      </w:r>
      <w:r>
        <w:rPr>
          <w:w w:val="100"/>
        </w:rPr>
        <w:t> </w:t>
      </w:r>
      <w:r>
        <w:rPr>
          <w:spacing w:val="-2"/>
        </w:rPr>
        <w:t>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日，追溯云信息发展股份有限公司对追溯云（上海）信用科技有限公司实际缴纳出资人</w:t>
      </w:r>
      <w:r>
        <w:rPr>
          <w:spacing w:val="-37"/>
        </w:rPr>
        <w:t> </w:t>
      </w:r>
      <w:r>
        <w:rPr>
          <w:spacing w:val="-37"/>
        </w:rPr>
      </w:r>
      <w:r>
        <w:rPr/>
        <w:t>民币</w:t>
      </w:r>
      <w:r>
        <w:rPr>
          <w:rFonts w:ascii="宋体" w:hAnsi="宋体" w:cs="宋体" w:eastAsia="宋体" w:hint="default"/>
        </w:rPr>
        <w:t>5</w:t>
      </w:r>
      <w:r>
        <w:rPr/>
        <w:t>万元。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line="487" w:lineRule="auto" w:before="0"/>
        <w:ind w:left="112" w:right="8104" w:firstLine="0"/>
        <w:jc w:val="left"/>
        <w:rPr>
          <w:rFonts w:ascii="宋体" w:hAnsi="宋体" w:cs="宋体" w:eastAsia="宋体" w:hint="default"/>
          <w:sz w:val="21"/>
          <w:szCs w:val="21"/>
        </w:rPr>
      </w:pPr>
      <w:bookmarkStart w:name="6、其他" w:id="441"/>
      <w:bookmarkEnd w:id="44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2"/>
      <w:bookmarkEnd w:id="442"/>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3"/>
      <w:bookmarkEnd w:id="4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6"/>
        <w:spacing w:line="240" w:lineRule="auto" w:before="81"/>
        <w:ind w:right="1133"/>
        <w:jc w:val="left"/>
        <w:rPr>
          <w:b w:val="0"/>
          <w:bCs w:val="0"/>
        </w:rPr>
      </w:pPr>
      <w:bookmarkStart w:name="（1）企业集团的构成" w:id="444"/>
      <w:bookmarkEnd w:id="44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上海金档信息 技术有限公司</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技术服务、软 硬件销售及开 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光典信息发展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技术服务、软 硬件销售及开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77"/>
              <w:jc w:val="left"/>
              <w:rPr>
                <w:rFonts w:ascii="宋体" w:hAnsi="宋体" w:cs="宋体" w:eastAsia="宋体" w:hint="default"/>
                <w:sz w:val="18"/>
                <w:szCs w:val="18"/>
              </w:rPr>
            </w:pPr>
            <w:r>
              <w:rPr>
                <w:rFonts w:ascii="宋体" w:hAnsi="宋体" w:cs="宋体" w:eastAsia="宋体" w:hint="default"/>
                <w:sz w:val="18"/>
                <w:szCs w:val="18"/>
              </w:rPr>
              <w:t>上海追索信息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技术服务、软 硬件销售及开 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103" w:right="170"/>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追溯云信息发 展股份有限公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left"/>
              <w:rPr>
                <w:rFonts w:ascii="宋体" w:hAnsi="宋体" w:cs="宋体" w:eastAsia="宋体" w:hint="default"/>
                <w:sz w:val="18"/>
                <w:szCs w:val="18"/>
              </w:rPr>
            </w:pPr>
            <w:r>
              <w:rPr>
                <w:rFonts w:ascii="宋体" w:hAnsi="宋体" w:cs="宋体" w:eastAsia="宋体" w:hint="default"/>
                <w:sz w:val="18"/>
                <w:szCs w:val="18"/>
              </w:rPr>
              <w:t>技术服务、软 硬件销售及开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信发资产管理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同一控制下企 业合并</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智秾信息发展 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技术服务、软 硬件销售及开 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
              <w:jc w:val="left"/>
              <w:rPr>
                <w:rFonts w:ascii="宋体" w:hAnsi="宋体" w:cs="宋体" w:eastAsia="宋体" w:hint="default"/>
                <w:sz w:val="18"/>
                <w:szCs w:val="18"/>
              </w:rPr>
            </w:pPr>
            <w:r>
              <w:rPr>
                <w:rFonts w:ascii="宋体" w:hAnsi="宋体" w:cs="宋体" w:eastAsia="宋体" w:hint="default"/>
                <w:spacing w:val="-3"/>
                <w:sz w:val="18"/>
                <w:szCs w:val="18"/>
              </w:rPr>
              <w:t>追溯云（上海）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信用科技有限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1"/>
              <w:jc w:val="both"/>
              <w:rPr>
                <w:rFonts w:ascii="宋体" w:hAnsi="宋体" w:cs="宋体" w:eastAsia="宋体" w:hint="default"/>
                <w:sz w:val="18"/>
                <w:szCs w:val="18"/>
              </w:rPr>
            </w:pPr>
            <w:r>
              <w:rPr>
                <w:rFonts w:ascii="宋体" w:hAnsi="宋体" w:cs="宋体" w:eastAsia="宋体" w:hint="default"/>
                <w:sz w:val="18"/>
                <w:szCs w:val="18"/>
              </w:rPr>
              <w:t>技术服务、软 硬件销售及开 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40" w:lineRule="auto" w:before="96"/>
        <w:ind w:left="112" w:right="1133"/>
        <w:jc w:val="left"/>
      </w:pPr>
      <w:r>
        <w:rPr/>
        <w:t>注：上海金档信息技术有限公司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日因股权转让退出合并报表范围。</w:t>
      </w:r>
    </w:p>
    <w:p>
      <w:pPr>
        <w:spacing w:line="240" w:lineRule="auto" w:before="3"/>
        <w:rPr>
          <w:rFonts w:ascii="宋体" w:hAnsi="宋体" w:cs="宋体" w:eastAsia="宋体" w:hint="default"/>
          <w:sz w:val="30"/>
          <w:szCs w:val="30"/>
        </w:rPr>
      </w:pPr>
    </w:p>
    <w:p>
      <w:pPr>
        <w:spacing w:line="357" w:lineRule="auto" w:before="0"/>
        <w:ind w:left="112" w:right="283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9"/>
        <w:ind w:left="11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2）重要的非全资子公司" w:id="445"/>
      <w:bookmarkEnd w:id="44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681" w:right="141"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03" w:right="137"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864"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80"/>
              <w:jc w:val="left"/>
              <w:rPr>
                <w:rFonts w:ascii="宋体" w:hAnsi="宋体" w:cs="宋体" w:eastAsia="宋体" w:hint="default"/>
                <w:sz w:val="18"/>
                <w:szCs w:val="18"/>
              </w:rPr>
            </w:pPr>
            <w:r>
              <w:rPr>
                <w:rFonts w:ascii="宋体" w:hAnsi="宋体" w:cs="宋体" w:eastAsia="宋体" w:hint="default"/>
                <w:sz w:val="18"/>
                <w:szCs w:val="18"/>
              </w:rPr>
              <w:t>追溯云信息发展股份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8" w:right="0"/>
              <w:jc w:val="left"/>
              <w:rPr>
                <w:rFonts w:ascii="Times New Roman" w:hAnsi="Times New Roman" w:cs="Times New Roman" w:eastAsia="Times New Roman" w:hint="default"/>
                <w:sz w:val="18"/>
                <w:szCs w:val="18"/>
              </w:rPr>
            </w:pPr>
            <w:r>
              <w:rPr>
                <w:rFonts w:ascii="Times New Roman"/>
                <w:sz w:val="18"/>
              </w:rPr>
              <w:t>40.30%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3,357,689.62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52,165,522.64</w:t>
            </w:r>
          </w:p>
        </w:tc>
      </w:tr>
    </w:tbl>
    <w:p>
      <w:pPr>
        <w:spacing w:line="357" w:lineRule="auto" w:before="49"/>
        <w:ind w:left="112" w:right="643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6"/>
        <w:spacing w:line="240" w:lineRule="auto"/>
        <w:ind w:right="1133"/>
        <w:jc w:val="left"/>
        <w:rPr>
          <w:b w:val="0"/>
          <w:bCs w:val="0"/>
        </w:rPr>
      </w:pPr>
      <w:bookmarkStart w:name="（3）重要非全资子公司的主要财务信息" w:id="446"/>
      <w:bookmarkEnd w:id="44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4"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4" w:right="179"/>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92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2"/>
              <w:jc w:val="both"/>
              <w:rPr>
                <w:rFonts w:ascii="宋体" w:hAnsi="宋体" w:cs="宋体" w:eastAsia="宋体" w:hint="default"/>
                <w:sz w:val="18"/>
                <w:szCs w:val="18"/>
              </w:rPr>
            </w:pPr>
            <w:r>
              <w:rPr>
                <w:rFonts w:ascii="宋体" w:hAnsi="宋体" w:cs="宋体" w:eastAsia="宋体" w:hint="default"/>
                <w:sz w:val="18"/>
                <w:szCs w:val="18"/>
              </w:rPr>
              <w:t>追溯 云信 息发 展股 份有 限公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143,45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8,019.</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3,660,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555.07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147,11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8,574.</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14,235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,317.6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15,435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,317.6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,050.7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15,237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68,376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,288.3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2,511,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046.42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2,751,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046.42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34" w:right="163"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163"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6" w:right="166" w:hanging="181"/>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6"/>
              <w:jc w:val="both"/>
              <w:rPr>
                <w:rFonts w:ascii="宋体" w:hAnsi="宋体" w:cs="宋体" w:eastAsia="宋体" w:hint="default"/>
                <w:sz w:val="18"/>
                <w:szCs w:val="18"/>
              </w:rPr>
            </w:pPr>
            <w:r>
              <w:rPr>
                <w:rFonts w:ascii="宋体" w:hAnsi="宋体" w:cs="宋体" w:eastAsia="宋体" w:hint="default"/>
                <w:sz w:val="18"/>
                <w:szCs w:val="18"/>
              </w:rPr>
              <w:t>追溯云信 息发展股 份有限公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21,830,963</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8,558,015.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8,558,015.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-12,774,97</w:t>
            </w:r>
          </w:p>
          <w:p>
            <w:pPr>
              <w:pStyle w:val="TableParagraph"/>
              <w:spacing w:line="240" w:lineRule="auto" w:before="105"/>
              <w:ind w:left="640" w:right="0"/>
              <w:jc w:val="left"/>
              <w:rPr>
                <w:rFonts w:ascii="Times New Roman" w:hAnsi="Times New Roman" w:cs="Times New Roman" w:eastAsia="Times New Roman" w:hint="default"/>
                <w:sz w:val="18"/>
                <w:szCs w:val="18"/>
              </w:rPr>
            </w:pPr>
            <w:r>
              <w:rPr>
                <w:rFonts w:ascii="Times New Roman"/>
                <w:sz w:val="18"/>
              </w:rPr>
              <w:t>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19,855,228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z w:val="18"/>
              </w:rPr>
              <w:t>.93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9,328,564.</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9,328,564.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-1,877,734.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48</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使用企业集团资产和清偿企业集团债务的重大限制" w:id="447"/>
      <w:bookmarkEnd w:id="44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5）向纳入合并财务报表范围的结构化主体提供的财务支持或其他支持" w:id="448"/>
      <w:bookmarkEnd w:id="44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在子公司的所有者权益份额发生变化且仍控制子公司的交易" w:id="449"/>
      <w:bookmarkEnd w:id="44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在子公司所有者权益份额发生变化的情况说明" w:id="450"/>
      <w:bookmarkEnd w:id="45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left="112" w:right="986"/>
        <w:jc w:val="left"/>
      </w:pP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27</w:t>
      </w:r>
      <w:r>
        <w:rPr>
          <w:spacing w:val="-4"/>
        </w:rPr>
        <w:t>日，公司第四届董事会第三十二次会议审议通过了《关于购买上海追索信息科技有限公司</w:t>
      </w:r>
      <w:r>
        <w:rPr>
          <w:rFonts w:ascii="Times New Roman" w:hAnsi="Times New Roman" w:cs="Times New Roman" w:eastAsia="Times New Roman" w:hint="default"/>
          <w:spacing w:val="-4"/>
        </w:rPr>
        <w:t>49%</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2"/>
          <w:w w:val="100"/>
        </w:rPr>
        <w:t>股权的议案》。为进一步促进公司业务拓展，整合内外有效资源，有利于公司的长远持续发展，公司全资</w:t>
      </w:r>
      <w:r>
        <w:rPr>
          <w:spacing w:val="-94"/>
          <w:w w:val="100"/>
        </w:rPr>
        <w:t> </w:t>
      </w:r>
      <w:r>
        <w:rPr>
          <w:spacing w:val="-94"/>
          <w:w w:val="100"/>
        </w:rPr>
      </w:r>
      <w:r>
        <w:rPr>
          <w:spacing w:val="-2"/>
          <w:w w:val="100"/>
        </w:rPr>
        <w:t>子公司光典信息发展有限公司（以下简称“光典信息”）拟购买马连兴、张信定、上海追信管理咨询合伙</w:t>
      </w:r>
      <w:r>
        <w:rPr>
          <w:spacing w:val="-92"/>
          <w:w w:val="100"/>
        </w:rPr>
        <w:t> </w:t>
      </w:r>
      <w:r>
        <w:rPr>
          <w:spacing w:val="-92"/>
          <w:w w:val="100"/>
        </w:rPr>
      </w:r>
      <w:r>
        <w:rPr>
          <w:spacing w:val="-6"/>
          <w:w w:val="100"/>
        </w:rPr>
        <w:t>企业（有限合伙）、刘晓芳、陈延合计持有的追索信息</w:t>
      </w:r>
      <w:r>
        <w:rPr>
          <w:rFonts w:ascii="Times New Roman" w:hAnsi="Times New Roman" w:cs="Times New Roman" w:eastAsia="Times New Roman" w:hint="default"/>
          <w:spacing w:val="-6"/>
          <w:w w:val="100"/>
        </w:rPr>
        <w:t>49%</w:t>
      </w:r>
      <w:r>
        <w:rPr>
          <w:spacing w:val="-6"/>
          <w:w w:val="100"/>
        </w:rPr>
        <w:t>的股权。本次股权转让后，光典信息发展有限公</w:t>
      </w:r>
      <w:r>
        <w:rPr>
          <w:spacing w:val="-83"/>
          <w:w w:val="100"/>
        </w:rPr>
        <w:t> </w:t>
      </w:r>
      <w:r>
        <w:rPr>
          <w:spacing w:val="-83"/>
          <w:w w:val="100"/>
        </w:rPr>
      </w:r>
      <w:r>
        <w:rPr/>
        <w:t>司持有上海追索信息科技有限公司</w:t>
      </w:r>
      <w:r>
        <w:rPr>
          <w:rFonts w:ascii="Times New Roman" w:hAnsi="Times New Roman" w:cs="Times New Roman" w:eastAsia="Times New Roman" w:hint="default"/>
        </w:rPr>
        <w:t>100%</w:t>
      </w:r>
      <w:r>
        <w:rPr/>
        <w:t>的股权。</w:t>
      </w:r>
      <w:r>
        <w:rPr>
          <w:w w:val="100"/>
        </w:rPr>
        <w:t> </w:t>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日，上海追索信息科技有限公司已完成相关工商变更登记手续。</w:t>
      </w:r>
    </w:p>
    <w:p>
      <w:pPr>
        <w:spacing w:line="240" w:lineRule="auto" w:before="2"/>
        <w:rPr>
          <w:rFonts w:ascii="宋体" w:hAnsi="宋体" w:cs="宋体" w:eastAsia="宋体" w:hint="default"/>
          <w:sz w:val="24"/>
          <w:szCs w:val="24"/>
        </w:rPr>
      </w:pPr>
    </w:p>
    <w:p>
      <w:pPr>
        <w:pStyle w:val="Heading6"/>
        <w:spacing w:line="240" w:lineRule="auto"/>
        <w:ind w:right="1133"/>
        <w:jc w:val="left"/>
        <w:rPr>
          <w:b w:val="0"/>
          <w:bCs w:val="0"/>
        </w:rPr>
      </w:pPr>
      <w:bookmarkStart w:name="（2）交易对于少数股东权益及归属于母公司所有者权益的影响" w:id="451"/>
      <w:bookmarkEnd w:id="45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2;top:14;width:101;height:394" coordorigin="12,14" coordsize="101,394">
              <v:shape style="position:absolute;left:12;top:14;width:101;height:394" coordorigin="12,14" coordsize="101,394" path="m12,408l113,408,113,14,12,14,12,408xe" filled="true" fillcolor="#d2d2d2" stroked="false">
                <v:path arrowok="t"/>
                <v:fill type="solid"/>
              </v:shape>
            </v:group>
            <v:group style="position:absolute;left:4683;top:14;width:104;height:394" coordorigin="4683,14" coordsize="104,394">
              <v:shape style="position:absolute;left:4683;top:14;width:104;height:394" coordorigin="4683,14" coordsize="104,394" path="m4683,408l4787,408,4787,14,4683,14,4683,408xe" filled="true" fillcolor="#d2d2d2" stroked="false">
                <v:path arrowok="t"/>
                <v:fill type="solid"/>
              </v:shape>
            </v:group>
            <v:group style="position:absolute;left:113;top:14;width:4571;height:394" coordorigin="113,14" coordsize="4571,394">
              <v:shape style="position:absolute;left:113;top:14;width:4571;height:394" coordorigin="113,14" coordsize="4571,394" path="m113,408l4683,408,4683,14,113,14,113,408xe" filled="true" fillcolor="#d2d2d2" stroked="false">
                <v:path arrowok="t"/>
                <v:fill type="solid"/>
              </v:shape>
            </v:group>
            <v:group style="position:absolute;left:4796;top:14;width:104;height:394" coordorigin="4796,14" coordsize="104,394">
              <v:shape style="position:absolute;left:4796;top:14;width:104;height:394" coordorigin="4796,14" coordsize="104,394" path="m4796,408l4899,408,4899,14,4796,14,4796,408xe" filled="true" fillcolor="#d2d2d2" stroked="false">
                <v:path arrowok="t"/>
                <v:fill type="solid"/>
              </v:shape>
            </v:group>
            <v:group style="position:absolute;left:9468;top:14;width:104;height:394" coordorigin="9468,14" coordsize="104,394">
              <v:shape style="position:absolute;left:9468;top:14;width:104;height:394" coordorigin="9468,14" coordsize="104,394" path="m9468,408l9571,408,9571,14,9468,14,9468,408xe" filled="true" fillcolor="#d2d2d2" stroked="false">
                <v:path arrowok="t"/>
                <v:fill type="solid"/>
              </v:shape>
            </v:group>
            <v:group style="position:absolute;left:4899;top:14;width:4569;height:394" coordorigin="4899,14" coordsize="4569,394">
              <v:shape style="position:absolute;left:4899;top:14;width:4569;height:394" coordorigin="4899,14" coordsize="4569,394" path="m4899,408l9468,408,9468,14,4899,14,4899,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在合营安排或联营企业中的权益" w:id="452"/>
      <w:bookmarkEnd w:id="45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重要的合营企业或联营企业" w:id="453"/>
      <w:bookmarkEnd w:id="45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29" w:right="139" w:hanging="92"/>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12" w:right="1133"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pStyle w:val="Heading6"/>
        <w:spacing w:line="240" w:lineRule="auto"/>
        <w:ind w:right="1133"/>
        <w:jc w:val="left"/>
        <w:rPr>
          <w:b w:val="0"/>
          <w:bCs w:val="0"/>
        </w:rPr>
      </w:pPr>
      <w:bookmarkStart w:name="（2）重要合营企业的主要财务信息" w:id="454"/>
      <w:bookmarkEnd w:id="45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3）重要联营企业的主要财务信息" w:id="455"/>
      <w:bookmarkEnd w:id="45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不重要的合营企业和联营企业的汇总财务信息" w:id="456"/>
      <w:bookmarkEnd w:id="45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合营企业或联营企业向本公司转移资金的能力存在重大限制的说明" w:id="457"/>
      <w:bookmarkEnd w:id="45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6）合营企业或联营企业发生的超额亏损" w:id="458"/>
      <w:bookmarkEnd w:id="45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61" w:right="108" w:hanging="452"/>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7）与合营企业投资相关的未确认承诺" w:id="459"/>
      <w:bookmarkEnd w:id="45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8）与合营企业或联营企业投资相关的或有负债" w:id="460"/>
      <w:bookmarkEnd w:id="46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4、重要的共同经营" w:id="461"/>
      <w:bookmarkEnd w:id="46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1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在未纳入合并财务报表范围的结构化主体中的权益" w:id="462"/>
      <w:bookmarkEnd w:id="46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6、其他" w:id="463"/>
      <w:bookmarkEnd w:id="463"/>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1133"/>
        <w:jc w:val="left"/>
        <w:rPr>
          <w:b w:val="0"/>
          <w:bCs w:val="0"/>
        </w:rPr>
      </w:pPr>
      <w:bookmarkStart w:name="十、与金融工具相关的风险" w:id="464"/>
      <w:bookmarkEnd w:id="464"/>
      <w:r>
        <w:rPr>
          <w:b w:val="0"/>
          <w:bCs w:val="0"/>
        </w:rPr>
      </w: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left="112" w:right="1133"/>
        <w:jc w:val="left"/>
      </w:pPr>
      <w:r>
        <w:rPr>
          <w:spacing w:val="-2"/>
        </w:rPr>
        <w:t>本公司董事会全面负责风险管理目标和政策的确定，并对风险管理目标和政策承担最终责任，管理层对这</w:t>
      </w:r>
      <w:r>
        <w:rPr>
          <w:spacing w:val="-44"/>
        </w:rPr>
        <w:t> </w:t>
      </w:r>
      <w:r>
        <w:rPr>
          <w:spacing w:val="-44"/>
        </w:rPr>
      </w:r>
      <w:r>
        <w:rPr>
          <w:spacing w:val="-2"/>
        </w:rPr>
        <w:t>些风险敞口进行管理和监控以确保将上述风险控制在限定的范围之内。本公司的主要金融工具包括应收账</w:t>
      </w:r>
      <w:r>
        <w:rPr>
          <w:spacing w:val="-43"/>
        </w:rPr>
        <w:t> </w:t>
      </w:r>
      <w:r>
        <w:rPr>
          <w:spacing w:val="-43"/>
        </w:rPr>
      </w:r>
      <w:r>
        <w:rPr>
          <w:spacing w:val="-2"/>
        </w:rPr>
        <w:t>款、应付账款、短期借款等，各项金融工具的详细情况说明见本附注五相关项目。与这些金融工具有关的</w:t>
      </w:r>
      <w:r>
        <w:rPr>
          <w:spacing w:val="-47"/>
        </w:rPr>
        <w:t> </w:t>
      </w:r>
      <w:r>
        <w:rPr>
          <w:spacing w:val="-47"/>
        </w:rPr>
      </w:r>
      <w:r>
        <w:rPr/>
        <w:t>风险，以及本公司为降低这些风险所采取的风险管理政策如下所述：</w:t>
      </w:r>
      <w:r>
        <w:rPr>
          <w:w w:val="100"/>
        </w:rPr>
        <w:t> </w:t>
      </w:r>
      <w:r>
        <w:rPr>
          <w:spacing w:val="-2"/>
        </w:rPr>
        <w:t>本公司采用敏感性分析技术分析风险变量的合理性、可能变化对当期损益或股东权益可能产生的影响。由</w:t>
      </w:r>
      <w:r>
        <w:rPr>
          <w:spacing w:val="-44"/>
        </w:rPr>
        <w:t> </w:t>
      </w:r>
      <w:r>
        <w:rPr>
          <w:spacing w:val="-44"/>
        </w:rPr>
      </w:r>
      <w:r>
        <w:rPr>
          <w:spacing w:val="-2"/>
        </w:rPr>
        <w:t>于任何风险变量很少孤立地发生变化，而变量之间存在的相关性对某一风险变量的变化的最终影响金额将</w:t>
      </w:r>
      <w:r>
        <w:rPr>
          <w:spacing w:val="-43"/>
        </w:rPr>
        <w:t> </w:t>
      </w:r>
      <w:r>
        <w:rPr>
          <w:spacing w:val="-43"/>
        </w:rPr>
      </w:r>
      <w:r>
        <w:rPr/>
        <w:t>产生重大作用，因此下述内容是在假设每一变量的变化是在独立的情况下进行的。</w:t>
      </w:r>
      <w:r>
        <w:rPr>
          <w:w w:val="100"/>
        </w:rPr>
        <w:t> </w:t>
      </w:r>
      <w:r>
        <w:rPr>
          <w:spacing w:val="-2"/>
        </w:rPr>
        <w:t>本公司从事风险管理的目标是在风险和收益之间取得适当的平衡，将风险对本公司经营业绩的负面影响降</w:t>
      </w:r>
      <w:r>
        <w:rPr>
          <w:spacing w:val="-43"/>
        </w:rPr>
        <w:t> </w:t>
      </w:r>
      <w:r>
        <w:rPr>
          <w:spacing w:val="-43"/>
        </w:rPr>
      </w:r>
      <w:r>
        <w:rPr>
          <w:spacing w:val="-2"/>
        </w:rPr>
        <w:t>低到最低水平，使股东及其他权益投资者的利益最大化。基于该风险管理目标，本公司风险管理的基本策</w:t>
      </w:r>
      <w:r>
        <w:rPr>
          <w:spacing w:val="-44"/>
        </w:rPr>
        <w:t> </w:t>
      </w:r>
      <w:r>
        <w:rPr>
          <w:spacing w:val="-44"/>
        </w:rPr>
      </w:r>
      <w:r>
        <w:rPr>
          <w:spacing w:val="-2"/>
        </w:rPr>
        <w:t>略是确定和分析本公司所面临的各种风险，建立适当的风险承受底线和进行风险管理，并及时可靠地对各</w:t>
      </w:r>
      <w:r>
        <w:rPr>
          <w:spacing w:val="-42"/>
        </w:rPr>
        <w:t> </w:t>
      </w:r>
      <w:r>
        <w:rPr>
          <w:spacing w:val="-42"/>
        </w:rPr>
      </w:r>
      <w:r>
        <w:rPr/>
        <w:t>种风险进行监督，在不过度影响公司竞争力和应变力的情况下，制定尽可能降低风险的风险管理政策。</w:t>
      </w:r>
    </w:p>
    <w:p>
      <w:pPr>
        <w:pStyle w:val="Heading6"/>
        <w:spacing w:line="240" w:lineRule="auto" w:before="7"/>
        <w:ind w:left="461" w:right="1133"/>
        <w:jc w:val="left"/>
        <w:rPr>
          <w:b w:val="0"/>
          <w:bCs w:val="0"/>
        </w:rPr>
      </w:pPr>
      <w:r>
        <w:rPr/>
        <w:t>信用风险</w:t>
      </w:r>
      <w:r>
        <w:rPr>
          <w:b w:val="0"/>
          <w:bCs w:val="0"/>
        </w:rPr>
      </w:r>
    </w:p>
    <w:p>
      <w:pPr>
        <w:pStyle w:val="BodyText"/>
        <w:spacing w:line="273" w:lineRule="auto" w:before="37"/>
        <w:ind w:left="826" w:right="1133" w:firstLine="4"/>
        <w:jc w:val="left"/>
      </w:pPr>
      <w:r>
        <w:rPr/>
        <w:t>信用风险是指金融工具的一方不履行义务，造成另一方发生财务损失的风险。本公司主要面临赊</w:t>
      </w:r>
      <w:r>
        <w:rPr>
          <w:spacing w:val="-13"/>
        </w:rPr>
        <w:t> </w:t>
      </w:r>
      <w:r>
        <w:rPr>
          <w:spacing w:val="-13"/>
        </w:rPr>
      </w:r>
      <w:r>
        <w:rPr/>
        <w:t>销导致的客户信用风险。在签订新合同之前，本公司会对新客户的信用风险进行评估，包括外部</w:t>
      </w:r>
      <w:r>
        <w:rPr>
          <w:spacing w:val="-9"/>
        </w:rPr>
        <w:t> </w:t>
      </w:r>
      <w:r>
        <w:rPr>
          <w:spacing w:val="-9"/>
        </w:rPr>
      </w:r>
      <w:r>
        <w:rPr>
          <w:spacing w:val="-5"/>
          <w:w w:val="100"/>
        </w:rPr>
        <w:t>信用评级和在某些情况下的银行资信证明（当此信息可获取时）。</w:t>
      </w:r>
      <w:r>
        <w:rPr>
          <w:spacing w:val="-103"/>
          <w:w w:val="100"/>
        </w:rPr>
        <w:t> </w:t>
      </w:r>
      <w:r>
        <w:rPr>
          <w:spacing w:val="-103"/>
          <w:w w:val="100"/>
        </w:rPr>
      </w:r>
      <w:r>
        <w:rPr/>
        <w:t>公司通过对已有客户信用评级的季度监控以及应收账款账龄分析的月度审核来确保公司的整体信</w:t>
      </w:r>
      <w:r>
        <w:rPr>
          <w:spacing w:val="-9"/>
        </w:rPr>
        <w:t> </w:t>
      </w:r>
      <w:r>
        <w:rPr>
          <w:spacing w:val="-9"/>
        </w:rPr>
      </w:r>
      <w:r>
        <w:rPr/>
        <w:t>用风险在可控的范围内。在监控客户的信用风险时，按照客户的信用特征对其分组。被评为“高</w:t>
      </w:r>
      <w:r>
        <w:rPr>
          <w:spacing w:val="-2"/>
        </w:rPr>
        <w:t> </w:t>
      </w:r>
      <w:r>
        <w:rPr>
          <w:spacing w:val="-2"/>
        </w:rPr>
      </w:r>
      <w:r>
        <w:rPr/>
        <w:t>风险”级别的客户会放在受限制客户名单里，并且只有在额外批准的前提下，公司才可在未来期</w:t>
      </w:r>
      <w:r>
        <w:rPr>
          <w:spacing w:val="-9"/>
        </w:rPr>
        <w:t> </w:t>
      </w:r>
      <w:r>
        <w:rPr>
          <w:spacing w:val="-9"/>
        </w:rPr>
      </w:r>
      <w:r>
        <w:rPr/>
        <w:t>间内对其赊销，否则必须要求其提前支付相应款项。</w:t>
      </w:r>
    </w:p>
    <w:p>
      <w:pPr>
        <w:spacing w:line="240" w:lineRule="auto" w:before="6"/>
        <w:rPr>
          <w:rFonts w:ascii="宋体" w:hAnsi="宋体" w:cs="宋体" w:eastAsia="宋体" w:hint="default"/>
          <w:sz w:val="24"/>
          <w:szCs w:val="24"/>
        </w:rPr>
      </w:pPr>
    </w:p>
    <w:p>
      <w:pPr>
        <w:pStyle w:val="Heading6"/>
        <w:spacing w:line="240" w:lineRule="auto"/>
        <w:ind w:left="461" w:right="1133"/>
        <w:jc w:val="left"/>
        <w:rPr>
          <w:b w:val="0"/>
          <w:bCs w:val="0"/>
        </w:rPr>
      </w:pPr>
      <w:r>
        <w:rPr/>
        <w:t>市场风险</w:t>
      </w:r>
      <w:r>
        <w:rPr>
          <w:b w:val="0"/>
          <w:bCs w:val="0"/>
        </w:rPr>
      </w:r>
    </w:p>
    <w:p>
      <w:pPr>
        <w:pStyle w:val="BodyText"/>
        <w:spacing w:line="273" w:lineRule="auto" w:before="37"/>
        <w:ind w:left="826" w:right="1133"/>
        <w:jc w:val="left"/>
      </w:pPr>
      <w:r>
        <w:rPr/>
        <w:t>金融工具的市场风险，是指金融工具的公允价值或未来现金流量因市场价格变动而发生波动的风</w:t>
      </w:r>
      <w:r>
        <w:rPr>
          <w:spacing w:val="-9"/>
        </w:rPr>
        <w:t> </w:t>
      </w:r>
      <w:r>
        <w:rPr>
          <w:spacing w:val="-9"/>
        </w:rPr>
      </w:r>
      <w:r>
        <w:rPr/>
        <w:t>险，本公司的风险主要为利率风险。</w:t>
      </w:r>
      <w:r>
        <w:rPr>
          <w:w w:val="100"/>
        </w:rPr>
        <w:t> </w:t>
      </w:r>
      <w:r>
        <w:rPr/>
        <w:t>利率风险，是指金融工具的公允价值或未来现金流量因市场利率变动而发生波动的风险。本公司</w:t>
      </w:r>
    </w:p>
    <w:p>
      <w:pPr>
        <w:spacing w:after="0" w:line="273"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73" w:lineRule="auto" w:before="36"/>
        <w:ind w:left="826" w:right="1134"/>
        <w:jc w:val="both"/>
      </w:pPr>
      <w:r>
        <w:rPr/>
        <w:t>面临的利率风险主要来源于银行借款。公司通过建立良好的银企关系，对授信额度、授信品种以</w:t>
      </w:r>
      <w:r>
        <w:rPr>
          <w:spacing w:val="-9"/>
        </w:rPr>
        <w:t> </w:t>
      </w:r>
      <w:r>
        <w:rPr>
          <w:spacing w:val="-9"/>
        </w:rPr>
      </w:r>
      <w:r>
        <w:rPr/>
        <w:t>及授信期限进行合理的设计，保障银行授信额度充足，满足公司各类融资需求。并且通过缩短单</w:t>
      </w:r>
      <w:r>
        <w:rPr>
          <w:spacing w:val="-5"/>
        </w:rPr>
        <w:t> </w:t>
      </w:r>
      <w:r>
        <w:rPr>
          <w:spacing w:val="-5"/>
        </w:rPr>
      </w:r>
      <w:r>
        <w:rPr/>
        <w:t>笔借款的期限，特别约定提前还款条款，合理降低利率波动风险。</w:t>
      </w:r>
    </w:p>
    <w:p>
      <w:pPr>
        <w:spacing w:line="240" w:lineRule="auto" w:before="6"/>
        <w:rPr>
          <w:rFonts w:ascii="宋体" w:hAnsi="宋体" w:cs="宋体" w:eastAsia="宋体" w:hint="default"/>
          <w:sz w:val="24"/>
          <w:szCs w:val="24"/>
        </w:rPr>
      </w:pPr>
    </w:p>
    <w:p>
      <w:pPr>
        <w:pStyle w:val="Heading6"/>
        <w:spacing w:line="240" w:lineRule="auto"/>
        <w:ind w:left="461" w:right="1133"/>
        <w:jc w:val="left"/>
        <w:rPr>
          <w:b w:val="0"/>
          <w:bCs w:val="0"/>
        </w:rPr>
      </w:pPr>
      <w:r>
        <w:rPr/>
        <w:t>流动性风险</w:t>
      </w:r>
      <w:r>
        <w:rPr>
          <w:b w:val="0"/>
          <w:bCs w:val="0"/>
        </w:rPr>
      </w:r>
    </w:p>
    <w:p>
      <w:pPr>
        <w:pStyle w:val="BodyText"/>
        <w:spacing w:line="266" w:lineRule="auto" w:before="37"/>
        <w:ind w:left="826" w:right="986"/>
        <w:jc w:val="left"/>
      </w:pPr>
      <w:r>
        <w:rPr>
          <w:spacing w:val="-2"/>
        </w:rPr>
        <w:t>流动风险，是指公司在履行以交付现金或其他金融资产的方式结算的义务时发生资金短缺的风险。</w:t>
      </w:r>
      <w:r>
        <w:rPr>
          <w:spacing w:val="-28"/>
        </w:rPr>
        <w:t> </w:t>
      </w:r>
      <w:r>
        <w:rPr>
          <w:spacing w:val="-28"/>
        </w:rPr>
      </w:r>
      <w:r>
        <w:rPr>
          <w:spacing w:val="-2"/>
        </w:rPr>
        <w:t>本公司的政策是确保拥有充足的现金以偿还到期债务。流动性风险由本公司的财务部门集中控制。</w:t>
      </w:r>
      <w:r>
        <w:rPr>
          <w:spacing w:val="-28"/>
        </w:rPr>
        <w:t> </w:t>
      </w:r>
      <w:r>
        <w:rPr>
          <w:spacing w:val="-28"/>
        </w:rPr>
      </w:r>
      <w:r>
        <w:rPr/>
        <w:t>财务部门通过监控现金余额、可随时变现的有价证券以及对未来</w:t>
      </w:r>
      <w:r>
        <w:rPr>
          <w:rFonts w:ascii="Times New Roman" w:hAnsi="Times New Roman" w:cs="Times New Roman" w:eastAsia="Times New Roman" w:hint="default"/>
        </w:rPr>
        <w:t>12</w:t>
      </w:r>
      <w:r>
        <w:rPr/>
        <w:t>个月现金流量的滚动预测，确</w:t>
      </w:r>
      <w:r>
        <w:rPr>
          <w:spacing w:val="-4"/>
        </w:rPr>
        <w:t> </w:t>
      </w:r>
      <w:r>
        <w:rPr>
          <w:spacing w:val="-4"/>
        </w:rPr>
      </w:r>
      <w:r>
        <w:rPr/>
        <w:t>保公司在所有合理预测的情况下拥有充足的资金偿还债务。</w:t>
      </w:r>
    </w:p>
    <w:p>
      <w:pPr>
        <w:spacing w:line="240" w:lineRule="auto" w:before="1"/>
        <w:rPr>
          <w:rFonts w:ascii="宋体" w:hAnsi="宋体" w:cs="宋体" w:eastAsia="宋体" w:hint="default"/>
          <w:sz w:val="22"/>
          <w:szCs w:val="22"/>
        </w:rPr>
      </w:pPr>
    </w:p>
    <w:p>
      <w:pPr>
        <w:pStyle w:val="Heading4"/>
        <w:spacing w:line="240" w:lineRule="auto"/>
        <w:ind w:right="1133"/>
        <w:jc w:val="left"/>
        <w:rPr>
          <w:b w:val="0"/>
          <w:bCs w:val="0"/>
        </w:rPr>
      </w:pPr>
      <w:bookmarkStart w:name="十一、公允价值的披露" w:id="465"/>
      <w:bookmarkEnd w:id="465"/>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以公允价值计量的资产和负债的期末公允价值" w:id="466"/>
      <w:bookmarkEnd w:id="46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3" w:right="137"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 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13,027,637.13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13,027,637.13</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13,027,637.13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8" w:right="0"/>
              <w:jc w:val="left"/>
              <w:rPr>
                <w:rFonts w:ascii="Times New Roman" w:hAnsi="Times New Roman" w:cs="Times New Roman" w:eastAsia="Times New Roman" w:hint="default"/>
                <w:sz w:val="18"/>
                <w:szCs w:val="18"/>
              </w:rPr>
            </w:pPr>
            <w:r>
              <w:rPr>
                <w:rFonts w:ascii="Times New Roman"/>
                <w:sz w:val="18"/>
              </w:rPr>
              <w:t>13,027,637.13</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持续以公允价值计量 的资产总额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13,027,637.13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13,027,637.13</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持续和非持续第一层次公允价值计量项目市价的确定依据" w:id="467"/>
      <w:bookmarkEnd w:id="46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3、持续和非持续第二层次公允价值计量项目，采用的估值技术和重要参数的定性及定量信" w:id="468"/>
      <w:bookmarkEnd w:id="46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614" w:lineRule="exact" w:before="76"/>
        <w:ind w:left="112" w:right="1133" w:firstLine="0"/>
        <w:jc w:val="left"/>
        <w:rPr>
          <w:rFonts w:ascii="宋体" w:hAnsi="宋体" w:cs="宋体" w:eastAsia="宋体" w:hint="default"/>
          <w:sz w:val="21"/>
          <w:szCs w:val="21"/>
        </w:rPr>
      </w:pPr>
      <w:bookmarkStart w:name="4、持续和非持续第三层次公允价值计量项目，采用的估值技术和重要参数的定性及定量信" w:id="469"/>
      <w:bookmarkEnd w:id="46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b/>
          <w:bCs/>
          <w:w w:val="100"/>
          <w:sz w:val="21"/>
          <w:szCs w:val="21"/>
        </w:rPr>
        <w:t> </w:t>
      </w:r>
      <w:r>
        <w:rPr>
          <w:rFonts w:ascii="宋体" w:hAnsi="宋体" w:cs="宋体" w:eastAsia="宋体" w:hint="default"/>
          <w:sz w:val="21"/>
          <w:szCs w:val="21"/>
        </w:rPr>
        <w:t>其他非流动金融资产中权益工具投资</w:t>
      </w:r>
      <w:r>
        <w:rPr>
          <w:rFonts w:ascii="Times New Roman" w:hAnsi="Times New Roman" w:cs="Times New Roman" w:eastAsia="Times New Roman" w:hint="default"/>
          <w:sz w:val="21"/>
          <w:szCs w:val="21"/>
        </w:rPr>
        <w:t>13,027,637.13</w:t>
      </w:r>
      <w:r>
        <w:rPr>
          <w:rFonts w:ascii="宋体" w:hAnsi="宋体" w:cs="宋体" w:eastAsia="宋体" w:hint="default"/>
          <w:sz w:val="21"/>
          <w:szCs w:val="21"/>
        </w:rPr>
        <w:t>元，其中：</w:t>
      </w:r>
    </w:p>
    <w:p>
      <w:pPr>
        <w:pStyle w:val="BodyText"/>
        <w:spacing w:line="235" w:lineRule="exact"/>
        <w:ind w:left="112" w:right="1133"/>
        <w:jc w:val="left"/>
      </w:pPr>
      <w:r>
        <w:rPr>
          <w:rFonts w:ascii="Times New Roman" w:hAnsi="Times New Roman" w:cs="Times New Roman" w:eastAsia="Times New Roman" w:hint="default"/>
        </w:rPr>
        <w:t>1</w:t>
      </w:r>
      <w:r>
        <w:rPr/>
        <w:t>、公司持有的杭州华亭科技有限公司</w:t>
      </w:r>
      <w:r>
        <w:rPr>
          <w:rFonts w:ascii="Times New Roman" w:hAnsi="Times New Roman" w:cs="Times New Roman" w:eastAsia="Times New Roman" w:hint="default"/>
        </w:rPr>
        <w:t>10%</w:t>
      </w:r>
      <w:r>
        <w:rPr/>
        <w:t>的股权，按期末评估值确定公允价值</w:t>
      </w:r>
      <w:r>
        <w:rPr>
          <w:rFonts w:ascii="Times New Roman" w:hAnsi="Times New Roman" w:cs="Times New Roman" w:eastAsia="Times New Roman" w:hint="default"/>
        </w:rPr>
        <w:t>3,375,637.13</w:t>
      </w:r>
      <w:r>
        <w:rPr/>
        <w:t>元；</w:t>
      </w:r>
    </w:p>
    <w:p>
      <w:pPr>
        <w:pStyle w:val="BodyText"/>
        <w:spacing w:line="256" w:lineRule="auto" w:before="21"/>
        <w:ind w:left="112" w:right="1133"/>
        <w:jc w:val="left"/>
      </w:pPr>
      <w:r>
        <w:rPr>
          <w:rFonts w:ascii="Times New Roman" w:hAnsi="Times New Roman" w:cs="Times New Roman" w:eastAsia="Times New Roman" w:hint="default"/>
          <w:spacing w:val="-1"/>
        </w:rPr>
        <w:t>2</w:t>
      </w:r>
      <w:r>
        <w:rPr>
          <w:spacing w:val="-1"/>
        </w:rPr>
        <w:t>、子公司追溯云信息发展股份有限公司</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8</w:t>
      </w:r>
      <w:r>
        <w:rPr>
          <w:spacing w:val="-1"/>
        </w:rPr>
        <w:t>月收购上海商情信息中心有限责任公司</w:t>
      </w:r>
      <w:r>
        <w:rPr>
          <w:rFonts w:ascii="Times New Roman" w:hAnsi="Times New Roman" w:cs="Times New Roman" w:eastAsia="Times New Roman" w:hint="default"/>
          <w:spacing w:val="-1"/>
        </w:rPr>
        <w:t>11%</w:t>
      </w:r>
      <w:r>
        <w:rPr>
          <w:spacing w:val="-1"/>
        </w:rPr>
        <w:t>的股权。由于</w:t>
      </w:r>
      <w:r>
        <w:rPr>
          <w:spacing w:val="-48"/>
        </w:rPr>
        <w:t> </w:t>
      </w:r>
      <w:r>
        <w:rPr>
          <w:spacing w:val="-48"/>
        </w:rPr>
      </w:r>
      <w:r>
        <w:rPr/>
        <w:t>距离</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日时间较近，以投资成本作为公允价值</w:t>
      </w:r>
      <w:r>
        <w:rPr>
          <w:rFonts w:ascii="Times New Roman" w:hAnsi="Times New Roman" w:cs="Times New Roman" w:eastAsia="Times New Roman" w:hint="default"/>
        </w:rPr>
        <w:t>3,652,000.00</w:t>
      </w:r>
      <w:r>
        <w:rPr/>
        <w:t>元；</w:t>
      </w:r>
      <w:r>
        <w:rPr>
          <w:w w:val="100"/>
        </w:rPr>
        <w:t> </w:t>
      </w:r>
      <w:r>
        <w:rPr>
          <w:rFonts w:ascii="Times New Roman" w:hAnsi="Times New Roman" w:cs="Times New Roman" w:eastAsia="Times New Roman" w:hint="default"/>
          <w:spacing w:val="-2"/>
        </w:rPr>
        <w:t>3</w:t>
      </w:r>
      <w:r>
        <w:rPr>
          <w:spacing w:val="-2"/>
        </w:rPr>
        <w:t>、子公司信发资产管理有限责任公司于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月投资的苏民投君信（上海）产业升级与科技创新股权投</w:t>
      </w:r>
      <w:r>
        <w:rPr>
          <w:spacing w:val="-44"/>
        </w:rPr>
        <w:t> </w:t>
      </w:r>
      <w:r>
        <w:rPr>
          <w:spacing w:val="-44"/>
        </w:rPr>
      </w:r>
      <w:r>
        <w:rPr/>
        <w:t>资合伙企业（有限合伙）</w:t>
      </w:r>
      <w:r>
        <w:rPr>
          <w:rFonts w:ascii="Times New Roman" w:hAnsi="Times New Roman" w:cs="Times New Roman" w:eastAsia="Times New Roman" w:hint="default"/>
        </w:rPr>
        <w:t>0.86%</w:t>
      </w:r>
      <w:r>
        <w:rPr/>
        <w:t>的股权。由于该合伙企业期末资产价值变化很小，以投资成本作为公允价</w:t>
      </w:r>
      <w:r>
        <w:rPr>
          <w:spacing w:val="-41"/>
        </w:rPr>
        <w:t> </w:t>
      </w:r>
      <w:r>
        <w:rPr>
          <w:spacing w:val="-41"/>
        </w:rPr>
      </w:r>
      <w:r>
        <w:rPr/>
        <w:t>值</w:t>
      </w:r>
      <w:r>
        <w:rPr>
          <w:rFonts w:ascii="Times New Roman" w:hAnsi="Times New Roman" w:cs="Times New Roman" w:eastAsia="Times New Roman" w:hint="default"/>
        </w:rPr>
        <w:t>6,000,000.00</w:t>
      </w:r>
      <w:r>
        <w:rPr/>
        <w:t>元。</w:t>
      </w:r>
    </w:p>
    <w:p>
      <w:pPr>
        <w:spacing w:after="0" w:line="25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5、持续的第三层次公允价值计量项目，期初与期末账面价值间的调节信息及不可观察参数" w:id="470"/>
      <w:bookmarkEnd w:id="47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6、持续的公允价值计量项目，本期内发生各层级之间转换的，转换的原因及确定转换时点" w:id="471"/>
      <w:bookmarkEnd w:id="47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7、本期内发生的估值技术变更及变更原因" w:id="472"/>
      <w:bookmarkEnd w:id="47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8、不以公允价值计量的金融资产和金融负债的公允价值情况" w:id="473"/>
      <w:bookmarkEnd w:id="47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8104" w:firstLine="0"/>
        <w:jc w:val="left"/>
        <w:rPr>
          <w:rFonts w:ascii="宋体" w:hAnsi="宋体" w:cs="宋体" w:eastAsia="宋体" w:hint="default"/>
          <w:sz w:val="21"/>
          <w:szCs w:val="21"/>
        </w:rPr>
      </w:pPr>
      <w:bookmarkStart w:name="9、其他" w:id="474"/>
      <w:bookmarkEnd w:id="47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75"/>
      <w:bookmarkEnd w:id="475"/>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6"/>
      <w:bookmarkEnd w:id="4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159"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4" w:right="158"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上海中信电子发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人民币 </w:t>
            </w:r>
            <w:r>
              <w:rPr>
                <w:rFonts w:ascii="Times New Roman" w:hAnsi="Times New Roman" w:cs="Times New Roman" w:eastAsia="Times New Roman" w:hint="default"/>
                <w:sz w:val="18"/>
                <w:szCs w:val="18"/>
              </w:rPr>
              <w:t>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8" w:right="0"/>
              <w:jc w:val="left"/>
              <w:rPr>
                <w:rFonts w:ascii="Times New Roman" w:hAnsi="Times New Roman" w:cs="Times New Roman" w:eastAsia="Times New Roman" w:hint="default"/>
                <w:sz w:val="18"/>
                <w:szCs w:val="18"/>
              </w:rPr>
            </w:pPr>
            <w:r>
              <w:rPr>
                <w:rFonts w:ascii="Times New Roman"/>
                <w:sz w:val="18"/>
              </w:rPr>
              <w:t>26.35%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26.35%</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56" w:lineRule="auto" w:before="94"/>
        <w:ind w:left="112" w:right="1133"/>
        <w:jc w:val="left"/>
      </w:pPr>
      <w:r>
        <w:rPr>
          <w:spacing w:val="-2"/>
        </w:rPr>
        <w:t>上海中信电子发展有限公司是张曙华出资成立的一人有限公司，同时截止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日张曙华还直接持</w:t>
      </w:r>
      <w:r>
        <w:rPr>
          <w:spacing w:val="-39"/>
        </w:rPr>
        <w:t> </w:t>
      </w:r>
      <w:r>
        <w:rPr>
          <w:spacing w:val="-39"/>
        </w:rPr>
      </w:r>
      <w:r>
        <w:rPr/>
        <w:t>有本公司股份</w:t>
      </w:r>
      <w:r>
        <w:rPr>
          <w:rFonts w:ascii="Times New Roman" w:hAnsi="Times New Roman" w:cs="Times New Roman" w:eastAsia="Times New Roman" w:hint="default"/>
        </w:rPr>
        <w:t>36,020,479</w:t>
      </w:r>
      <w:r>
        <w:rPr/>
        <w:t>股，持股比例</w:t>
      </w:r>
      <w:r>
        <w:rPr>
          <w:rFonts w:ascii="Times New Roman" w:hAnsi="Times New Roman" w:cs="Times New Roman" w:eastAsia="Times New Roman" w:hint="default"/>
        </w:rPr>
        <w:t>17.56%</w:t>
      </w:r>
      <w:r>
        <w:rPr/>
        <w:t>，本公司的实际控制人为张曙华。</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0"/>
          <w:szCs w:val="30"/>
        </w:rPr>
      </w:pPr>
    </w:p>
    <w:p>
      <w:pPr>
        <w:spacing w:line="360" w:lineRule="auto" w:before="0"/>
        <w:ind w:left="112" w:right="8414" w:firstLine="0"/>
        <w:jc w:val="left"/>
        <w:rPr>
          <w:rFonts w:ascii="宋体" w:hAnsi="宋体" w:cs="宋体" w:eastAsia="宋体" w:hint="default"/>
          <w:sz w:val="18"/>
          <w:szCs w:val="18"/>
        </w:rPr>
      </w:pPr>
      <w:r>
        <w:rPr>
          <w:rFonts w:ascii="宋体" w:hAnsi="宋体" w:cs="宋体" w:eastAsia="宋体" w:hint="default"/>
          <w:sz w:val="18"/>
          <w:szCs w:val="18"/>
        </w:rPr>
        <w:t>本企业最终控制方是张曙华。 其他说明：</w:t>
      </w:r>
    </w:p>
    <w:p>
      <w:pPr>
        <w:spacing w:line="240" w:lineRule="auto" w:before="2"/>
        <w:rPr>
          <w:rFonts w:ascii="宋体" w:hAnsi="宋体" w:cs="宋体" w:eastAsia="宋体" w:hint="default"/>
          <w:sz w:val="20"/>
          <w:szCs w:val="20"/>
        </w:rPr>
      </w:pPr>
    </w:p>
    <w:p>
      <w:pPr>
        <w:pStyle w:val="Heading6"/>
        <w:spacing w:line="240" w:lineRule="auto"/>
        <w:ind w:right="1133"/>
        <w:jc w:val="left"/>
        <w:rPr>
          <w:b w:val="0"/>
          <w:bCs w:val="0"/>
        </w:rPr>
      </w:pPr>
      <w:bookmarkStart w:name="2、本企业的子公司情况" w:id="477"/>
      <w:bookmarkEnd w:id="47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本企业合营和联营企业情况" w:id="478"/>
      <w:bookmarkEnd w:id="47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1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7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其他关联方情况" w:id="479"/>
      <w:bookmarkEnd w:id="47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庞文莉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实际控制人张曙华之配偶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淘菜猫信息发展股份有限公司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易批生鲜信息发展股份有限公司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武汉达梦数据库有限公司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公司独立董事同时在该公司任职董事</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关联交易情况" w:id="480"/>
      <w:bookmarkEnd w:id="48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购销商品、提供和接受劳务的关联交易" w:id="481"/>
      <w:bookmarkEnd w:id="48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淘菜猫信息发展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7" w:right="0"/>
              <w:jc w:val="left"/>
              <w:rPr>
                <w:rFonts w:ascii="Times New Roman" w:hAnsi="Times New Roman" w:cs="Times New Roman" w:eastAsia="Times New Roman" w:hint="default"/>
                <w:sz w:val="18"/>
                <w:szCs w:val="18"/>
              </w:rPr>
            </w:pPr>
            <w:r>
              <w:rPr>
                <w:rFonts w:ascii="Times New Roman"/>
                <w:sz w:val="18"/>
              </w:rPr>
              <w:t>2,407,001.60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武汉达梦数据库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0"/>
              <w:jc w:val="left"/>
              <w:rPr>
                <w:rFonts w:ascii="宋体" w:hAnsi="宋体" w:cs="宋体" w:eastAsia="宋体" w:hint="default"/>
                <w:sz w:val="18"/>
                <w:szCs w:val="18"/>
              </w:rPr>
            </w:pPr>
            <w:r>
              <w:rPr>
                <w:rFonts w:ascii="宋体" w:hAnsi="宋体" w:cs="宋体" w:eastAsia="宋体" w:hint="default"/>
                <w:sz w:val="18"/>
                <w:szCs w:val="18"/>
              </w:rPr>
              <w:t>数据库系统采 购及服务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38,196.69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上海中信电子发 展有限公司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95,402.40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23"/>
              <w:jc w:val="left"/>
              <w:rPr>
                <w:rFonts w:ascii="宋体" w:hAnsi="宋体" w:cs="宋体" w:eastAsia="宋体" w:hint="default"/>
                <w:sz w:val="18"/>
                <w:szCs w:val="18"/>
              </w:rPr>
            </w:pPr>
            <w:r>
              <w:rPr>
                <w:rFonts w:ascii="宋体" w:hAnsi="宋体" w:cs="宋体" w:eastAsia="宋体" w:hint="default"/>
                <w:sz w:val="18"/>
                <w:szCs w:val="18"/>
              </w:rPr>
              <w:t>淘菜猫信息发展股份有限公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83,018.87</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易批生鲜信息发展股份有限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16,946.89</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关联受托管理/承包及委托管理/出包情况" w:id="482"/>
      <w:bookmarkEnd w:id="48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90" w:right="110"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139" w:right="110"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5" w:right="110" w:firstLine="2"/>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7" w:lineRule="auto"/>
        <w:jc w:val="center"/>
        <w:rPr>
          <w:rFonts w:ascii="宋体" w:hAnsi="宋体" w:cs="宋体" w:eastAsia="宋体" w:hint="default"/>
          <w:sz w:val="18"/>
          <w:szCs w:val="18"/>
        </w:rPr>
        <w:sectPr>
          <w:pgSz w:w="11910" w:h="16840"/>
          <w:pgMar w:header="906" w:footer="1021" w:top="1100" w:bottom="1220" w:left="1020" w:right="0"/>
        </w:sectPr>
      </w:pPr>
    </w:p>
    <w:p>
      <w:pPr>
        <w:spacing w:line="340" w:lineRule="auto" w:before="49"/>
        <w:ind w:left="11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504" w:space="6325"/>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111"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110"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9" w:right="111" w:hanging="20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134"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after="0"/>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3）关联租赁情况" w:id="483"/>
      <w:bookmarkEnd w:id="48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393"/>
        <w:gridCol w:w="239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0"/>
        <w:ind w:left="112" w:right="1133"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4）关联担保情况" w:id="484"/>
      <w:bookmarkEnd w:id="48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9"/>
              <w:jc w:val="left"/>
              <w:rPr>
                <w:rFonts w:ascii="宋体" w:hAnsi="宋体" w:cs="宋体" w:eastAsia="宋体" w:hint="default"/>
                <w:sz w:val="18"/>
                <w:szCs w:val="18"/>
              </w:rPr>
            </w:pPr>
            <w:r>
              <w:rPr>
                <w:rFonts w:ascii="宋体" w:hAnsi="宋体" w:cs="宋体" w:eastAsia="宋体" w:hint="default"/>
                <w:sz w:val="18"/>
                <w:szCs w:val="18"/>
              </w:rPr>
              <w:t>光典信息发展有限公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9" w:right="0"/>
              <w:jc w:val="left"/>
              <w:rPr>
                <w:rFonts w:ascii="Times New Roman" w:hAnsi="Times New Roman" w:cs="Times New Roman" w:eastAsia="Times New Roman" w:hint="default"/>
                <w:sz w:val="18"/>
                <w:szCs w:val="18"/>
              </w:rPr>
            </w:pPr>
            <w:r>
              <w:rPr>
                <w:rFonts w:ascii="Times New Roman"/>
                <w:sz w:val="18"/>
              </w:rPr>
              <w:t>162,000,000.00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张曙华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张曙华、庞文莉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5）关联方资金拆借" w:id="485"/>
      <w:bookmarkEnd w:id="48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上海中信电子发展有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6）关联方资产转让、债务重组情况" w:id="486"/>
      <w:bookmarkEnd w:id="48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7）关键管理人员报酬" w:id="487"/>
      <w:bookmarkEnd w:id="48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5,016,100.00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4,852,100.00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8）其他关联交易" w:id="488"/>
      <w:bookmarkEnd w:id="48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12"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日，公司召开了第四届董事会第三十四次会议，审议通过了：</w:t>
      </w:r>
    </w:p>
    <w:p>
      <w:pPr>
        <w:pStyle w:val="BodyText"/>
        <w:spacing w:line="266" w:lineRule="auto" w:before="21"/>
        <w:ind w:left="112" w:right="1130"/>
        <w:jc w:val="both"/>
      </w:pPr>
      <w:r>
        <w:rPr>
          <w:spacing w:val="2"/>
          <w:w w:val="100"/>
        </w:rPr>
        <w:t>《</w:t>
      </w:r>
      <w:r>
        <w:rPr>
          <w:w w:val="100"/>
        </w:rPr>
        <w:t>关于向</w:t>
      </w:r>
      <w:r>
        <w:rPr>
          <w:spacing w:val="2"/>
          <w:w w:val="100"/>
        </w:rPr>
        <w:t>控</w:t>
      </w:r>
      <w:r>
        <w:rPr>
          <w:w w:val="100"/>
        </w:rPr>
        <w:t>股股东</w:t>
      </w:r>
      <w:r>
        <w:rPr>
          <w:spacing w:val="2"/>
          <w:w w:val="100"/>
        </w:rPr>
        <w:t>出</w:t>
      </w:r>
      <w:r>
        <w:rPr>
          <w:w w:val="100"/>
        </w:rPr>
        <w:t>售二</w:t>
      </w:r>
      <w:r>
        <w:rPr>
          <w:spacing w:val="2"/>
          <w:w w:val="100"/>
        </w:rPr>
        <w:t>级</w:t>
      </w:r>
      <w:r>
        <w:rPr>
          <w:w w:val="100"/>
        </w:rPr>
        <w:t>控股子</w:t>
      </w:r>
      <w:r>
        <w:rPr>
          <w:spacing w:val="2"/>
          <w:w w:val="100"/>
        </w:rPr>
        <w:t>公</w:t>
      </w:r>
      <w:r>
        <w:rPr>
          <w:w w:val="100"/>
        </w:rPr>
        <w:t>司易批</w:t>
      </w:r>
      <w:r>
        <w:rPr>
          <w:spacing w:val="2"/>
          <w:w w:val="100"/>
        </w:rPr>
        <w:t>生</w:t>
      </w:r>
      <w:r>
        <w:rPr>
          <w:w w:val="100"/>
        </w:rPr>
        <w:t>鲜信</w:t>
      </w:r>
      <w:r>
        <w:rPr>
          <w:spacing w:val="2"/>
          <w:w w:val="100"/>
        </w:rPr>
        <w:t>息</w:t>
      </w:r>
      <w:r>
        <w:rPr>
          <w:w w:val="100"/>
        </w:rPr>
        <w:t>发展股</w:t>
      </w:r>
      <w:r>
        <w:rPr>
          <w:spacing w:val="2"/>
          <w:w w:val="100"/>
        </w:rPr>
        <w:t>份</w:t>
      </w:r>
      <w:r>
        <w:rPr>
          <w:w w:val="100"/>
        </w:rPr>
        <w:t>有限公</w:t>
      </w:r>
      <w:r>
        <w:rPr>
          <w:spacing w:val="2"/>
          <w:w w:val="100"/>
        </w:rPr>
        <w:t>司</w:t>
      </w:r>
      <w:r>
        <w:rPr>
          <w:w w:val="100"/>
        </w:rPr>
        <w:t>股权</w:t>
      </w:r>
      <w:r>
        <w:rPr>
          <w:spacing w:val="2"/>
          <w:w w:val="100"/>
        </w:rPr>
        <w:t>暨</w:t>
      </w:r>
      <w:r>
        <w:rPr>
          <w:w w:val="100"/>
        </w:rPr>
        <w:t>关</w:t>
      </w:r>
      <w:r>
        <w:rPr>
          <w:spacing w:val="4"/>
          <w:w w:val="100"/>
        </w:rPr>
        <w:t>联</w:t>
      </w:r>
      <w:r>
        <w:rPr>
          <w:w w:val="100"/>
        </w:rPr>
        <w:t>交</w:t>
      </w:r>
      <w:r>
        <w:rPr>
          <w:spacing w:val="2"/>
          <w:w w:val="100"/>
        </w:rPr>
        <w:t>易</w:t>
      </w:r>
      <w:r>
        <w:rPr>
          <w:w w:val="100"/>
        </w:rPr>
        <w:t>的议</w:t>
      </w:r>
      <w:r>
        <w:rPr>
          <w:spacing w:val="2"/>
          <w:w w:val="100"/>
        </w:rPr>
        <w:t>案</w:t>
      </w:r>
      <w:r>
        <w:rPr>
          <w:spacing w:val="-106"/>
          <w:w w:val="100"/>
        </w:rPr>
        <w:t>》</w:t>
      </w:r>
      <w:r>
        <w:rPr>
          <w:w w:val="100"/>
        </w:rPr>
        <w:t>，</w:t>
      </w:r>
      <w:r>
        <w:rPr>
          <w:spacing w:val="2"/>
          <w:w w:val="100"/>
        </w:rPr>
        <w:t>公</w:t>
      </w:r>
      <w:r>
        <w:rPr>
          <w:w w:val="100"/>
        </w:rPr>
        <w:t>司拟</w:t>
      </w:r>
      <w:r>
        <w:rPr>
          <w:w w:val="100"/>
        </w:rPr>
        <w:t> </w:t>
      </w:r>
      <w:r>
        <w:rPr>
          <w:spacing w:val="2"/>
          <w:w w:val="100"/>
        </w:rPr>
        <w:t>将</w:t>
      </w:r>
      <w:r>
        <w:rPr>
          <w:w w:val="100"/>
        </w:rPr>
        <w:t>全资子</w:t>
      </w:r>
      <w:r>
        <w:rPr>
          <w:spacing w:val="2"/>
          <w:w w:val="100"/>
        </w:rPr>
        <w:t>公</w:t>
      </w:r>
      <w:r>
        <w:rPr>
          <w:w w:val="100"/>
        </w:rPr>
        <w:t>司光典</w:t>
      </w:r>
      <w:r>
        <w:rPr>
          <w:spacing w:val="2"/>
          <w:w w:val="100"/>
        </w:rPr>
        <w:t>信</w:t>
      </w:r>
      <w:r>
        <w:rPr>
          <w:w w:val="100"/>
        </w:rPr>
        <w:t>息发</w:t>
      </w:r>
      <w:r>
        <w:rPr>
          <w:spacing w:val="2"/>
          <w:w w:val="100"/>
        </w:rPr>
        <w:t>展</w:t>
      </w:r>
      <w:r>
        <w:rPr>
          <w:w w:val="100"/>
        </w:rPr>
        <w:t>有限公</w:t>
      </w:r>
      <w:r>
        <w:rPr>
          <w:spacing w:val="2"/>
          <w:w w:val="100"/>
        </w:rPr>
        <w:t>司</w:t>
      </w:r>
      <w:r>
        <w:rPr>
          <w:w w:val="100"/>
        </w:rPr>
        <w:t>（以下</w:t>
      </w:r>
      <w:r>
        <w:rPr>
          <w:spacing w:val="2"/>
          <w:w w:val="100"/>
        </w:rPr>
        <w:t>简称</w:t>
      </w:r>
      <w:r>
        <w:rPr>
          <w:w w:val="100"/>
        </w:rPr>
        <w:t>“</w:t>
      </w:r>
      <w:r>
        <w:rPr>
          <w:spacing w:val="2"/>
          <w:w w:val="100"/>
        </w:rPr>
        <w:t>光</w:t>
      </w:r>
      <w:r>
        <w:rPr>
          <w:w w:val="100"/>
        </w:rPr>
        <w:t>典信</w:t>
      </w:r>
      <w:r>
        <w:rPr>
          <w:spacing w:val="3"/>
          <w:w w:val="100"/>
        </w:rPr>
        <w:t>息</w:t>
      </w:r>
      <w:r>
        <w:rPr>
          <w:spacing w:val="-106"/>
          <w:w w:val="100"/>
        </w:rPr>
        <w:t>”</w:t>
      </w:r>
      <w:r>
        <w:rPr>
          <w:w w:val="100"/>
        </w:rPr>
        <w:t>）合</w:t>
      </w:r>
      <w:r>
        <w:rPr>
          <w:spacing w:val="2"/>
          <w:w w:val="100"/>
        </w:rPr>
        <w:t>法</w:t>
      </w:r>
      <w:r>
        <w:rPr>
          <w:w w:val="100"/>
        </w:rPr>
        <w:t>持有</w:t>
      </w:r>
      <w:r>
        <w:rPr>
          <w:spacing w:val="2"/>
          <w:w w:val="100"/>
        </w:rPr>
        <w:t>并</w:t>
      </w:r>
      <w:r>
        <w:rPr>
          <w:w w:val="100"/>
        </w:rPr>
        <w:t>正</w:t>
      </w:r>
      <w:r>
        <w:rPr>
          <w:spacing w:val="2"/>
          <w:w w:val="100"/>
        </w:rPr>
        <w:t>常</w:t>
      </w:r>
      <w:r>
        <w:rPr>
          <w:w w:val="100"/>
        </w:rPr>
        <w:t>经营的</w:t>
      </w:r>
      <w:r>
        <w:rPr>
          <w:spacing w:val="2"/>
          <w:w w:val="100"/>
        </w:rPr>
        <w:t>易</w:t>
      </w:r>
      <w:r>
        <w:rPr>
          <w:w w:val="100"/>
        </w:rPr>
        <w:t>批生鲜</w:t>
      </w:r>
      <w:r>
        <w:rPr>
          <w:spacing w:val="2"/>
          <w:w w:val="100"/>
        </w:rPr>
        <w:t>信</w:t>
      </w:r>
      <w:r>
        <w:rPr>
          <w:w w:val="100"/>
        </w:rPr>
        <w:t>息发展</w:t>
      </w:r>
      <w:r>
        <w:rPr>
          <w:w w:val="100"/>
        </w:rPr>
        <w:t> 股份</w:t>
      </w:r>
      <w:r>
        <w:rPr>
          <w:spacing w:val="-3"/>
          <w:w w:val="100"/>
        </w:rPr>
        <w:t>有</w:t>
      </w:r>
      <w:r>
        <w:rPr>
          <w:w w:val="100"/>
        </w:rPr>
        <w:t>限</w:t>
      </w:r>
      <w:r>
        <w:rPr>
          <w:spacing w:val="-3"/>
          <w:w w:val="100"/>
        </w:rPr>
        <w:t>公</w:t>
      </w:r>
      <w:r>
        <w:rPr>
          <w:spacing w:val="-10"/>
          <w:w w:val="100"/>
        </w:rPr>
        <w:t>司</w:t>
      </w:r>
      <w:r>
        <w:rPr>
          <w:w w:val="100"/>
        </w:rPr>
        <w:t>（</w:t>
      </w:r>
      <w:r>
        <w:rPr>
          <w:spacing w:val="-3"/>
          <w:w w:val="100"/>
        </w:rPr>
        <w:t>以</w:t>
      </w:r>
      <w:r>
        <w:rPr>
          <w:w w:val="100"/>
        </w:rPr>
        <w:t>下</w:t>
      </w:r>
      <w:r>
        <w:rPr>
          <w:spacing w:val="-3"/>
          <w:w w:val="100"/>
        </w:rPr>
        <w:t>简</w:t>
      </w:r>
      <w:r>
        <w:rPr>
          <w:spacing w:val="-10"/>
          <w:w w:val="100"/>
        </w:rPr>
        <w:t>称</w:t>
      </w:r>
      <w:r>
        <w:rPr>
          <w:w w:val="100"/>
        </w:rPr>
        <w:t>“</w:t>
      </w:r>
      <w:r>
        <w:rPr>
          <w:spacing w:val="-3"/>
          <w:w w:val="100"/>
        </w:rPr>
        <w:t>易</w:t>
      </w:r>
      <w:r>
        <w:rPr>
          <w:w w:val="100"/>
        </w:rPr>
        <w:t>批</w:t>
      </w:r>
      <w:r>
        <w:rPr>
          <w:spacing w:val="-3"/>
          <w:w w:val="100"/>
        </w:rPr>
        <w:t>生</w:t>
      </w:r>
      <w:r>
        <w:rPr>
          <w:w w:val="100"/>
        </w:rPr>
        <w:t>鲜</w:t>
      </w:r>
      <w:r>
        <w:rPr>
          <w:spacing w:val="-108"/>
          <w:w w:val="100"/>
        </w:rPr>
        <w:t>”</w:t>
      </w:r>
      <w:r>
        <w:rPr>
          <w:spacing w:val="-8"/>
          <w:w w:val="100"/>
        </w:rPr>
        <w:t>）</w:t>
      </w:r>
      <w:r>
        <w:rPr>
          <w:spacing w:val="-3"/>
          <w:w w:val="100"/>
        </w:rPr>
        <w:t>的</w:t>
      </w:r>
      <w:r>
        <w:rPr>
          <w:rFonts w:ascii="Times New Roman" w:hAnsi="Times New Roman" w:cs="Times New Roman" w:eastAsia="Times New Roman" w:hint="default"/>
          <w:w w:val="100"/>
        </w:rPr>
        <w:t>1,000</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3"/>
          <w:w w:val="100"/>
        </w:rPr>
        <w:t>万</w:t>
      </w:r>
      <w:r>
        <w:rPr>
          <w:w w:val="100"/>
        </w:rPr>
        <w:t>元出</w:t>
      </w:r>
      <w:r>
        <w:rPr>
          <w:spacing w:val="-3"/>
          <w:w w:val="100"/>
        </w:rPr>
        <w:t>资</w:t>
      </w:r>
      <w:r>
        <w:rPr>
          <w:spacing w:val="-10"/>
          <w:w w:val="100"/>
        </w:rPr>
        <w:t>额</w:t>
      </w:r>
      <w:r>
        <w:rPr>
          <w:w w:val="100"/>
        </w:rPr>
        <w:t>（</w:t>
      </w:r>
      <w:r>
        <w:rPr>
          <w:spacing w:val="-3"/>
          <w:w w:val="100"/>
        </w:rPr>
        <w:t>股</w:t>
      </w:r>
      <w:r>
        <w:rPr>
          <w:w w:val="100"/>
        </w:rPr>
        <w:t>权</w:t>
      </w:r>
      <w:r>
        <w:rPr>
          <w:spacing w:val="-3"/>
          <w:w w:val="100"/>
        </w:rPr>
        <w:t>比</w:t>
      </w:r>
      <w:r>
        <w:rPr>
          <w:w w:val="100"/>
        </w:rPr>
        <w:t>例</w:t>
      </w:r>
      <w:r>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667</w:t>
      </w:r>
      <w:r>
        <w:rPr>
          <w:rFonts w:ascii="Times New Roman" w:hAnsi="Times New Roman" w:cs="Times New Roman" w:eastAsia="Times New Roman" w:hint="default"/>
          <w:spacing w:val="-4"/>
          <w:w w:val="100"/>
        </w:rPr>
        <w:t>%</w:t>
      </w:r>
      <w:r>
        <w:rPr>
          <w:spacing w:val="-8"/>
          <w:w w:val="100"/>
        </w:rPr>
        <w:t>）</w:t>
      </w:r>
      <w:r>
        <w:rPr>
          <w:spacing w:val="-3"/>
          <w:w w:val="100"/>
        </w:rPr>
        <w:t>以</w:t>
      </w:r>
      <w:r>
        <w:rPr>
          <w:w w:val="100"/>
        </w:rPr>
        <w:t>人</w:t>
      </w:r>
      <w:r>
        <w:rPr>
          <w:spacing w:val="-3"/>
          <w:w w:val="100"/>
        </w:rPr>
        <w:t>民</w:t>
      </w:r>
      <w:r>
        <w:rPr>
          <w:w w:val="100"/>
        </w:rPr>
        <w:t>币</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0</w:t>
      </w:r>
      <w:r>
        <w:rPr>
          <w:spacing w:val="-3"/>
          <w:w w:val="100"/>
        </w:rPr>
        <w:t>万元全 </w:t>
      </w:r>
      <w:r>
        <w:rPr>
          <w:w w:val="100"/>
        </w:rPr>
        <w:t>部转</w:t>
      </w:r>
      <w:r>
        <w:rPr>
          <w:spacing w:val="-3"/>
          <w:w w:val="100"/>
        </w:rPr>
        <w:t>让</w:t>
      </w:r>
      <w:r>
        <w:rPr>
          <w:w w:val="100"/>
        </w:rPr>
        <w:t>给</w:t>
      </w:r>
      <w:r>
        <w:rPr>
          <w:spacing w:val="-3"/>
          <w:w w:val="100"/>
        </w:rPr>
        <w:t>控</w:t>
      </w:r>
      <w:r>
        <w:rPr>
          <w:w w:val="100"/>
        </w:rPr>
        <w:t>股</w:t>
      </w:r>
      <w:r>
        <w:rPr>
          <w:spacing w:val="-3"/>
          <w:w w:val="100"/>
        </w:rPr>
        <w:t>股</w:t>
      </w:r>
      <w:r>
        <w:rPr>
          <w:w w:val="100"/>
        </w:rPr>
        <w:t>东</w:t>
      </w:r>
      <w:r>
        <w:rPr>
          <w:spacing w:val="-3"/>
          <w:w w:val="100"/>
        </w:rPr>
        <w:t>上</w:t>
      </w:r>
      <w:r>
        <w:rPr>
          <w:w w:val="100"/>
        </w:rPr>
        <w:t>海</w:t>
      </w:r>
      <w:r>
        <w:rPr>
          <w:spacing w:val="-3"/>
          <w:w w:val="100"/>
        </w:rPr>
        <w:t>中</w:t>
      </w:r>
      <w:r>
        <w:rPr>
          <w:w w:val="100"/>
        </w:rPr>
        <w:t>信电</w:t>
      </w:r>
      <w:r>
        <w:rPr>
          <w:spacing w:val="-3"/>
          <w:w w:val="100"/>
        </w:rPr>
        <w:t>子</w:t>
      </w:r>
      <w:r>
        <w:rPr>
          <w:w w:val="100"/>
        </w:rPr>
        <w:t>发</w:t>
      </w:r>
      <w:r>
        <w:rPr>
          <w:spacing w:val="-3"/>
          <w:w w:val="100"/>
        </w:rPr>
        <w:t>展</w:t>
      </w:r>
      <w:r>
        <w:rPr>
          <w:w w:val="100"/>
        </w:rPr>
        <w:t>有</w:t>
      </w:r>
      <w:r>
        <w:rPr>
          <w:spacing w:val="-3"/>
          <w:w w:val="100"/>
        </w:rPr>
        <w:t>限</w:t>
      </w:r>
      <w:r>
        <w:rPr>
          <w:w w:val="100"/>
        </w:rPr>
        <w:t>公</w:t>
      </w:r>
      <w:r>
        <w:rPr>
          <w:spacing w:val="-3"/>
          <w:w w:val="100"/>
        </w:rPr>
        <w:t>司</w:t>
      </w:r>
      <w:r>
        <w:rPr>
          <w:w w:val="100"/>
        </w:rPr>
        <w:t>（</w:t>
      </w:r>
      <w:r>
        <w:rPr>
          <w:spacing w:val="-3"/>
          <w:w w:val="100"/>
        </w:rPr>
        <w:t>以</w:t>
      </w:r>
      <w:r>
        <w:rPr>
          <w:w w:val="100"/>
        </w:rPr>
        <w:t>下简</w:t>
      </w:r>
      <w:r>
        <w:rPr>
          <w:spacing w:val="-2"/>
          <w:w w:val="100"/>
        </w:rPr>
        <w:t>称</w:t>
      </w:r>
      <w:r>
        <w:rPr>
          <w:w w:val="100"/>
        </w:rPr>
        <w:t>“</w:t>
      </w:r>
      <w:r>
        <w:rPr>
          <w:spacing w:val="-3"/>
          <w:w w:val="100"/>
        </w:rPr>
        <w:t>中</w:t>
      </w:r>
      <w:r>
        <w:rPr>
          <w:w w:val="100"/>
        </w:rPr>
        <w:t>信</w:t>
      </w:r>
      <w:r>
        <w:rPr>
          <w:spacing w:val="-3"/>
          <w:w w:val="100"/>
        </w:rPr>
        <w:t>电</w:t>
      </w:r>
      <w:r>
        <w:rPr>
          <w:spacing w:val="-1"/>
          <w:w w:val="100"/>
        </w:rPr>
        <w:t>子</w:t>
      </w:r>
      <w:r>
        <w:rPr>
          <w:spacing w:val="-106"/>
          <w:w w:val="100"/>
        </w:rPr>
        <w:t>”</w:t>
      </w:r>
      <w:r>
        <w:rPr>
          <w:spacing w:val="-108"/>
          <w:w w:val="100"/>
        </w:rPr>
        <w:t>）。</w:t>
      </w:r>
      <w:r>
        <w:rPr>
          <w:w w:val="100"/>
        </w:rPr>
      </w:r>
    </w:p>
    <w:p>
      <w:pPr>
        <w:pStyle w:val="BodyText"/>
        <w:spacing w:line="268" w:lineRule="auto" w:before="14"/>
        <w:ind w:left="112" w:right="986"/>
        <w:jc w:val="left"/>
      </w:pPr>
      <w:r>
        <w:rPr>
          <w:spacing w:val="-2"/>
          <w:w w:val="100"/>
        </w:rPr>
        <w:t>《关于向控股股东出售二级控股子公司淘菜猫信息发展股份有限公司股权暨关联交易的议案》，公司拟将</w:t>
      </w:r>
      <w:r>
        <w:rPr>
          <w:spacing w:val="-94"/>
          <w:w w:val="100"/>
        </w:rPr>
        <w:t> </w:t>
      </w:r>
      <w:r>
        <w:rPr>
          <w:spacing w:val="-94"/>
          <w:w w:val="100"/>
        </w:rPr>
      </w:r>
      <w:r>
        <w:rPr>
          <w:spacing w:val="-2"/>
          <w:w w:val="100"/>
        </w:rPr>
        <w:t>全资子公司光典信息发展有限公司（以下简称“光典信息”）合法持有并正常经营的淘菜猫信息发展股份</w:t>
      </w:r>
      <w:r>
        <w:rPr>
          <w:spacing w:val="-92"/>
          <w:w w:val="100"/>
        </w:rPr>
        <w:t> </w:t>
      </w:r>
      <w:r>
        <w:rPr>
          <w:spacing w:val="-92"/>
          <w:w w:val="100"/>
        </w:rPr>
      </w:r>
      <w:r>
        <w:rPr>
          <w:spacing w:val="-12"/>
          <w:w w:val="100"/>
        </w:rPr>
        <w:t>有限公司（以下简称“淘菜猫”）的</w:t>
      </w:r>
      <w:r>
        <w:rPr>
          <w:w w:val="100"/>
        </w:rPr>
        <w:t> </w:t>
      </w:r>
      <w:r>
        <w:rPr>
          <w:rFonts w:ascii="Times New Roman" w:hAnsi="Times New Roman" w:cs="Times New Roman" w:eastAsia="Times New Roman" w:hint="default"/>
          <w:spacing w:val="-1"/>
          <w:w w:val="100"/>
        </w:rPr>
        <w:t>1,000</w:t>
      </w:r>
      <w:r>
        <w:rPr>
          <w:rFonts w:ascii="Times New Roman" w:hAnsi="Times New Roman" w:cs="Times New Roman" w:eastAsia="Times New Roman" w:hint="default"/>
          <w:w w:val="100"/>
        </w:rPr>
        <w:t> </w:t>
      </w:r>
      <w:r>
        <w:rPr>
          <w:spacing w:val="-4"/>
          <w:w w:val="100"/>
        </w:rPr>
        <w:t>万元出资额（股权比例</w:t>
      </w:r>
      <w:r>
        <w:rPr>
          <w:w w:val="100"/>
        </w:rPr>
        <w:t> </w:t>
      </w:r>
      <w:r>
        <w:rPr>
          <w:rFonts w:ascii="Times New Roman" w:hAnsi="Times New Roman" w:cs="Times New Roman" w:eastAsia="Times New Roman" w:hint="default"/>
          <w:spacing w:val="-4"/>
          <w:w w:val="100"/>
        </w:rPr>
        <w:t>10%</w:t>
      </w:r>
      <w:r>
        <w:rPr>
          <w:spacing w:val="-4"/>
          <w:w w:val="100"/>
        </w:rPr>
        <w:t>）以人民币</w:t>
      </w:r>
      <w:r>
        <w:rPr>
          <w:w w:val="100"/>
        </w:rPr>
        <w:t> </w:t>
      </w:r>
      <w:r>
        <w:rPr>
          <w:rFonts w:ascii="Times New Roman" w:hAnsi="Times New Roman" w:cs="Times New Roman" w:eastAsia="Times New Roman" w:hint="default"/>
          <w:spacing w:val="-1"/>
          <w:w w:val="100"/>
        </w:rPr>
        <w:t>1,000</w:t>
      </w:r>
      <w:r>
        <w:rPr>
          <w:rFonts w:ascii="Times New Roman" w:hAnsi="Times New Roman" w:cs="Times New Roman" w:eastAsia="Times New Roman" w:hint="default"/>
          <w:spacing w:val="17"/>
          <w:w w:val="100"/>
        </w:rPr>
        <w:t> </w:t>
      </w:r>
      <w:r>
        <w:rPr>
          <w:spacing w:val="-2"/>
          <w:w w:val="100"/>
        </w:rPr>
        <w:t>万元全部转让给</w:t>
      </w:r>
      <w:r>
        <w:rPr>
          <w:w w:val="100"/>
        </w:rPr>
        <w:t> </w:t>
      </w:r>
      <w:r>
        <w:rPr/>
        <w:t>控股股东中信电子。</w:t>
      </w:r>
      <w:r>
        <w:rPr>
          <w:w w:val="100"/>
        </w:rPr>
        <w:t> </w:t>
      </w:r>
      <w:r>
        <w:rPr>
          <w:spacing w:val="-2"/>
        </w:rPr>
        <w:t>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日，易批生鲜信息发展股份有限公司和淘菜猫信息发展股份有限公司已完成相关工商变</w:t>
      </w:r>
      <w:r>
        <w:rPr>
          <w:spacing w:val="-36"/>
        </w:rPr>
        <w:t> </w:t>
      </w:r>
      <w:r>
        <w:rPr>
          <w:spacing w:val="-36"/>
        </w:rPr>
      </w:r>
      <w:r>
        <w:rPr/>
        <w:t>更登记手续。光典信息已收到中信电子支付的股权转让款</w:t>
      </w:r>
      <w:r>
        <w:rPr>
          <w:rFonts w:ascii="宋体" w:hAnsi="宋体" w:cs="宋体" w:eastAsia="宋体" w:hint="default"/>
        </w:rPr>
        <w:t>1,100</w:t>
      </w:r>
      <w:r>
        <w:rPr/>
        <w:t>万元。</w:t>
      </w:r>
    </w:p>
    <w:p>
      <w:pPr>
        <w:spacing w:line="240" w:lineRule="auto" w:before="12"/>
        <w:rPr>
          <w:rFonts w:ascii="宋体" w:hAnsi="宋体" w:cs="宋体" w:eastAsia="宋体" w:hint="default"/>
          <w:sz w:val="23"/>
          <w:szCs w:val="23"/>
        </w:rPr>
      </w:pPr>
    </w:p>
    <w:p>
      <w:pPr>
        <w:pStyle w:val="Heading6"/>
        <w:spacing w:line="240" w:lineRule="auto"/>
        <w:ind w:right="1133"/>
        <w:jc w:val="left"/>
        <w:rPr>
          <w:b w:val="0"/>
          <w:bCs w:val="0"/>
        </w:rPr>
      </w:pPr>
      <w:bookmarkStart w:name="6、关联方应收应付款项" w:id="489"/>
      <w:bookmarkEnd w:id="48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收项目" w:id="490"/>
      <w:bookmarkEnd w:id="49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淘菜猫信息发展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上海中信电子发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应付项目" w:id="491"/>
      <w:bookmarkEnd w:id="49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武汉达梦数据库有限公司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1" w:right="0"/>
              <w:jc w:val="left"/>
              <w:rPr>
                <w:rFonts w:ascii="Times New Roman" w:hAnsi="Times New Roman" w:cs="Times New Roman" w:eastAsia="Times New Roman" w:hint="default"/>
                <w:sz w:val="18"/>
                <w:szCs w:val="18"/>
              </w:rPr>
            </w:pPr>
            <w:r>
              <w:rPr>
                <w:rFonts w:ascii="Times New Roman"/>
                <w:sz w:val="18"/>
              </w:rPr>
              <w:t>225,000.00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9" w:right="0"/>
              <w:jc w:val="left"/>
              <w:rPr>
                <w:rFonts w:ascii="Times New Roman" w:hAnsi="Times New Roman" w:cs="Times New Roman" w:eastAsia="Times New Roman" w:hint="default"/>
                <w:sz w:val="18"/>
                <w:szCs w:val="18"/>
              </w:rPr>
            </w:pPr>
            <w:r>
              <w:rPr>
                <w:rFonts w:ascii="Times New Roman"/>
                <w:sz w:val="18"/>
              </w:rPr>
              <w:t>193,965.52</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7、关联方承诺" w:id="492"/>
      <w:bookmarkEnd w:id="49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8752" w:firstLine="0"/>
        <w:jc w:val="left"/>
        <w:rPr>
          <w:rFonts w:ascii="宋体" w:hAnsi="宋体" w:cs="宋体" w:eastAsia="宋体" w:hint="default"/>
          <w:sz w:val="21"/>
          <w:szCs w:val="21"/>
        </w:rPr>
      </w:pPr>
      <w:bookmarkStart w:name="8、其他" w:id="493"/>
      <w:bookmarkEnd w:id="49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4"/>
      <w:bookmarkEnd w:id="494"/>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5"/>
      <w:bookmarkEnd w:id="49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09"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103" w:right="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）根据公司《关于首期限制性股票授予完成的 </w:t>
            </w:r>
            <w:r>
              <w:rPr>
                <w:rFonts w:ascii="宋体" w:hAnsi="宋体" w:cs="宋体" w:eastAsia="宋体" w:hint="default"/>
                <w:spacing w:val="-23"/>
                <w:sz w:val="18"/>
                <w:szCs w:val="18"/>
              </w:rPr>
              <w:t>公告》，公司于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月完成向激励对象授予限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制性股票。（</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）信息发展限制性股票激励计划拟在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授予日的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个月后、</w:t>
            </w:r>
            <w:r>
              <w:rPr>
                <w:rFonts w:ascii="Times New Roman" w:hAnsi="Times New Roman" w:cs="Times New Roman" w:eastAsia="Times New Roman" w:hint="default"/>
                <w:spacing w:val="-6"/>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个月后、</w:t>
            </w:r>
            <w:r>
              <w:rPr>
                <w:rFonts w:ascii="Times New Roman" w:hAnsi="Times New Roman" w:cs="Times New Roman" w:eastAsia="Times New Roman" w:hint="default"/>
                <w:spacing w:val="-6"/>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个月后分三次 </w:t>
            </w:r>
            <w:r>
              <w:rPr>
                <w:rFonts w:ascii="宋体" w:hAnsi="宋体" w:cs="宋体" w:eastAsia="宋体" w:hint="default"/>
                <w:spacing w:val="-3"/>
                <w:sz w:val="18"/>
                <w:szCs w:val="18"/>
              </w:rPr>
              <w:t>解锁，每次解锁的限制性股票比例分别为授予总量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）限制性股票激励计划中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的解锁业绩条件为信息发展相比</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16"/>
                <w:sz w:val="18"/>
                <w:szCs w:val="18"/>
              </w:rPr>
              <w:t>年，</w:t>
            </w:r>
            <w:r>
              <w:rPr>
                <w:rFonts w:ascii="Times New Roman" w:hAnsi="Times New Roman" w:cs="Times New Roman" w:eastAsia="Times New Roman" w:hint="default"/>
                <w:spacing w:val="-16"/>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年扣除非经常性损益和股份支付费 用影响后的净利润增长率分别不低于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2、以权益结算的股份支付情况" w:id="496"/>
      <w:bookmarkEnd w:id="49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75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w:t>
            </w:r>
            <w:r>
              <w:rPr>
                <w:rFonts w:ascii="Times New Roman" w:hAnsi="Times New Roman" w:cs="Times New Roman" w:eastAsia="Times New Roman" w:hint="default"/>
                <w:sz w:val="18"/>
                <w:szCs w:val="18"/>
              </w:rPr>
              <w:t>B-S</w:t>
            </w:r>
            <w:r>
              <w:rPr>
                <w:rFonts w:ascii="宋体" w:hAnsi="宋体" w:cs="宋体" w:eastAsia="宋体" w:hint="default"/>
                <w:sz w:val="18"/>
                <w:szCs w:val="18"/>
              </w:rPr>
              <w:t>）期权定价模型。</w:t>
            </w:r>
          </w:p>
        </w:tc>
      </w:tr>
      <w:tr>
        <w:trPr>
          <w:trHeight w:val="196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
              <w:jc w:val="left"/>
              <w:rPr>
                <w:rFonts w:ascii="宋体" w:hAnsi="宋体" w:cs="宋体" w:eastAsia="宋体" w:hint="default"/>
                <w:sz w:val="18"/>
                <w:szCs w:val="18"/>
              </w:rPr>
            </w:pPr>
            <w:r>
              <w:rPr>
                <w:rFonts w:ascii="宋体" w:hAnsi="宋体" w:cs="宋体" w:eastAsia="宋体" w:hint="default"/>
                <w:spacing w:val="-6"/>
                <w:sz w:val="18"/>
                <w:szCs w:val="18"/>
              </w:rPr>
              <w:t>对可行权权益工具数量的最佳估计的确定方法：依据《公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7"/>
                <w:sz w:val="18"/>
                <w:szCs w:val="18"/>
              </w:rPr>
              <w:t>司法》、《证券法》、《上市公司股权激励管理办法（试行）》、</w:t>
            </w:r>
          </w:p>
          <w:p>
            <w:pPr>
              <w:pStyle w:val="TableParagraph"/>
              <w:spacing w:line="240" w:lineRule="auto" w:before="19"/>
              <w:ind w:left="105" w:right="0"/>
              <w:jc w:val="both"/>
              <w:rPr>
                <w:rFonts w:ascii="宋体" w:hAnsi="宋体" w:cs="宋体" w:eastAsia="宋体" w:hint="default"/>
                <w:sz w:val="18"/>
                <w:szCs w:val="18"/>
              </w:rPr>
            </w:pPr>
            <w:r>
              <w:rPr>
                <w:rFonts w:ascii="宋体" w:hAnsi="宋体" w:cs="宋体" w:eastAsia="宋体" w:hint="default"/>
                <w:sz w:val="18"/>
                <w:szCs w:val="18"/>
              </w:rPr>
              <w:t>《股权激励有关事项备忘录</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《股权激励有关事项</w:t>
            </w:r>
          </w:p>
          <w:p>
            <w:pPr>
              <w:pStyle w:val="TableParagraph"/>
              <w:spacing w:line="309" w:lineRule="auto" w:before="63"/>
              <w:ind w:left="105" w:right="146"/>
              <w:jc w:val="both"/>
              <w:rPr>
                <w:rFonts w:ascii="宋体" w:hAnsi="宋体" w:cs="宋体" w:eastAsia="宋体" w:hint="default"/>
                <w:sz w:val="18"/>
                <w:szCs w:val="18"/>
              </w:rPr>
            </w:pPr>
            <w:r>
              <w:rPr>
                <w:rFonts w:ascii="宋体" w:hAnsi="宋体" w:cs="宋体" w:eastAsia="宋体" w:hint="default"/>
                <w:sz w:val="18"/>
                <w:szCs w:val="18"/>
              </w:rPr>
              <w:t>备忘录</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号》、《股权激励有关事项备忘录</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号》及《上 海中信信息发展股份有限公司章程》的相关规定，并结 合公司实际情况确定。</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13,824,200.00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以现金结算的股份支付情况" w:id="497"/>
      <w:bookmarkEnd w:id="49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股份支付的修改、终止情况" w:id="498"/>
      <w:bookmarkEnd w:id="49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left="826" w:right="98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日，公司召开第四届董事会第二十四次会议，审议通过了《关于调整限制性股票回购</w:t>
      </w:r>
      <w:r>
        <w:rPr>
          <w:w w:val="100"/>
        </w:rPr>
        <w:t> </w:t>
      </w:r>
      <w:r>
        <w:rPr>
          <w:spacing w:val="-4"/>
          <w:w w:val="100"/>
        </w:rPr>
        <w:t>价格及回购注销部分限制性股票的议案》，根据《</w:t>
      </w:r>
      <w:r>
        <w:rPr>
          <w:rFonts w:ascii="Times New Roman" w:hAnsi="Times New Roman" w:cs="Times New Roman" w:eastAsia="Times New Roman" w:hint="default"/>
          <w:spacing w:val="-4"/>
          <w:w w:val="100"/>
        </w:rPr>
        <w:t>2018</w:t>
      </w:r>
      <w:r>
        <w:rPr>
          <w:spacing w:val="-4"/>
          <w:w w:val="100"/>
        </w:rPr>
        <w:t>年业绩快报》出具的数据，按照《上海中信</w:t>
      </w:r>
      <w:r>
        <w:rPr>
          <w:spacing w:val="-95"/>
          <w:w w:val="100"/>
        </w:rPr>
        <w:t> </w:t>
      </w:r>
      <w:r>
        <w:rPr>
          <w:spacing w:val="-95"/>
          <w:w w:val="100"/>
        </w:rPr>
      </w:r>
      <w:r>
        <w:rPr>
          <w:spacing w:val="-4"/>
          <w:w w:val="100"/>
        </w:rPr>
        <w:t>信息发展股份有限公司首期限制性股票激励计划（草案）》的相关规定，公司董事会认定首次授予</w:t>
      </w:r>
      <w:r>
        <w:rPr>
          <w:spacing w:val="-99"/>
          <w:w w:val="100"/>
        </w:rPr>
        <w:t> </w:t>
      </w:r>
      <w:r>
        <w:rPr>
          <w:spacing w:val="-99"/>
          <w:w w:val="100"/>
        </w:rPr>
      </w:r>
      <w:r>
        <w:rPr/>
        <w:t>限制性股票未达到第三个解锁期公司层面业绩考核条件，依据公司股东大会的授权，按相关程序</w:t>
      </w:r>
      <w:r>
        <w:rPr>
          <w:spacing w:val="-6"/>
        </w:rPr>
        <w:t> </w:t>
      </w:r>
      <w:r>
        <w:rPr>
          <w:spacing w:val="-6"/>
        </w:rPr>
      </w:r>
      <w:r>
        <w:rPr/>
        <w:t>办理回购注销未达到第三个解锁期解锁条件的首次授予限制性股票。</w:t>
      </w:r>
      <w:r>
        <w:rPr>
          <w:w w:val="100"/>
        </w:rPr>
        <w:t> </w:t>
      </w:r>
      <w:r>
        <w:rPr/>
        <w:t>因公司于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日实施</w:t>
      </w:r>
      <w:r>
        <w:rPr>
          <w:rFonts w:ascii="Times New Roman" w:hAnsi="Times New Roman" w:cs="Times New Roman" w:eastAsia="Times New Roman" w:hint="default"/>
        </w:rPr>
        <w:t>2016</w:t>
      </w:r>
      <w:r>
        <w:rPr/>
        <w:t>年度权益分派、</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日实施</w:t>
      </w:r>
      <w:r>
        <w:rPr>
          <w:rFonts w:ascii="Times New Roman" w:hAnsi="Times New Roman" w:cs="Times New Roman" w:eastAsia="Times New Roman" w:hint="default"/>
        </w:rPr>
        <w:t>2017</w:t>
      </w:r>
      <w:r>
        <w:rPr>
          <w:rFonts w:ascii="Times New Roman" w:hAnsi="Times New Roman" w:cs="Times New Roman" w:eastAsia="Times New Roman" w:hint="default"/>
          <w:spacing w:val="38"/>
        </w:rPr>
        <w:t> </w:t>
      </w:r>
      <w:r>
        <w:rPr>
          <w:spacing w:val="-8"/>
        </w:rPr>
        <w:t>年度权益分派，根据《公</w:t>
      </w:r>
      <w:r>
        <w:rPr>
          <w:w w:val="100"/>
        </w:rPr>
        <w:t> </w:t>
      </w:r>
      <w:r>
        <w:rPr>
          <w:spacing w:val="-7"/>
          <w:w w:val="100"/>
        </w:rPr>
        <w:t>司</w:t>
      </w:r>
      <w:r>
        <w:rPr>
          <w:rFonts w:ascii="Times New Roman" w:hAnsi="Times New Roman" w:cs="Times New Roman" w:eastAsia="Times New Roman" w:hint="default"/>
          <w:spacing w:val="-7"/>
          <w:w w:val="100"/>
        </w:rPr>
        <w:t>&lt;</w:t>
      </w:r>
      <w:r>
        <w:rPr>
          <w:spacing w:val="-7"/>
          <w:w w:val="100"/>
        </w:rPr>
        <w:t>首期限制性股票激励计划（草案）</w:t>
      </w:r>
      <w:r>
        <w:rPr>
          <w:rFonts w:ascii="Times New Roman" w:hAnsi="Times New Roman" w:cs="Times New Roman" w:eastAsia="Times New Roman" w:hint="default"/>
          <w:spacing w:val="-7"/>
          <w:w w:val="100"/>
        </w:rPr>
        <w:t>&gt;</w:t>
      </w:r>
      <w:r>
        <w:rPr>
          <w:spacing w:val="-7"/>
          <w:w w:val="100"/>
        </w:rPr>
        <w:t>及其摘要的议案》，限制性股票的回购价格应相应予以调整，</w:t>
      </w:r>
      <w:r>
        <w:rPr>
          <w:spacing w:val="-92"/>
          <w:w w:val="100"/>
        </w:rPr>
        <w:t> </w:t>
      </w:r>
      <w:r>
        <w:rPr>
          <w:spacing w:val="-92"/>
          <w:w w:val="100"/>
        </w:rPr>
      </w:r>
      <w:r>
        <w:rPr/>
        <w:t>同意限制性股票的回购价格由</w:t>
      </w:r>
      <w:r>
        <w:rPr>
          <w:rFonts w:ascii="Times New Roman" w:hAnsi="Times New Roman" w:cs="Times New Roman" w:eastAsia="Times New Roman" w:hint="default"/>
        </w:rPr>
        <w:t>55.7900</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30.8778</w:t>
      </w:r>
      <w:r>
        <w:rPr/>
        <w:t>元</w:t>
      </w:r>
      <w:r>
        <w:rPr>
          <w:rFonts w:ascii="Times New Roman" w:hAnsi="Times New Roman" w:cs="Times New Roman" w:eastAsia="Times New Roman" w:hint="default"/>
        </w:rPr>
        <w:t>/</w:t>
      </w:r>
      <w:r>
        <w:rPr/>
        <w:t>股。本次回购注销股份数量由</w:t>
      </w:r>
      <w:r>
        <w:rPr>
          <w:rFonts w:ascii="Times New Roman" w:hAnsi="Times New Roman" w:cs="Times New Roman" w:eastAsia="Times New Roman" w:hint="default"/>
        </w:rPr>
        <w:t>556,800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3"/>
        </w:rPr>
        <w:t>股（包括因员工离职应予回购注销的股份）转增至</w:t>
      </w:r>
      <w:r>
        <w:rPr>
          <w:rFonts w:ascii="Times New Roman" w:hAnsi="Times New Roman" w:cs="Times New Roman" w:eastAsia="Times New Roman" w:hint="default"/>
          <w:spacing w:val="-3"/>
        </w:rPr>
        <w:t>1,002,240</w:t>
      </w:r>
      <w:r>
        <w:rPr>
          <w:spacing w:val="-3"/>
        </w:rPr>
        <w:t>股。回购总金额为</w:t>
      </w:r>
      <w:r>
        <w:rPr>
          <w:rFonts w:ascii="Times New Roman" w:hAnsi="Times New Roman" w:cs="Times New Roman" w:eastAsia="Times New Roman" w:hint="default"/>
          <w:spacing w:val="-3"/>
        </w:rPr>
        <w:t>30,946,966.27</w:t>
      </w:r>
      <w:r>
        <w:rPr>
          <w:spacing w:val="-3"/>
        </w:rPr>
        <w:t>元，回</w:t>
      </w:r>
      <w:r>
        <w:rPr>
          <w:spacing w:val="-4"/>
        </w:rPr>
        <w:t> </w:t>
      </w:r>
      <w:r>
        <w:rPr>
          <w:spacing w:val="-4"/>
        </w:rPr>
      </w:r>
      <w:r>
        <w:rPr/>
        <w:t>购资金为公司自有资金。</w:t>
      </w:r>
    </w:p>
    <w:p>
      <w:pPr>
        <w:pStyle w:val="BodyText"/>
        <w:spacing w:line="256" w:lineRule="auto" w:before="18"/>
        <w:ind w:left="826"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日，公司完成上述回购注销的限制性股票为</w:t>
      </w:r>
      <w:r>
        <w:rPr>
          <w:rFonts w:ascii="Times New Roman" w:hAnsi="Times New Roman" w:cs="Times New Roman" w:eastAsia="Times New Roman" w:hint="default"/>
        </w:rPr>
        <w:t>1,002,240</w:t>
      </w:r>
      <w:r>
        <w:rPr>
          <w:rFonts w:ascii="Times New Roman" w:hAnsi="Times New Roman" w:cs="Times New Roman" w:eastAsia="Times New Roman" w:hint="default"/>
          <w:spacing w:val="35"/>
        </w:rPr>
        <w:t> </w:t>
      </w:r>
      <w:r>
        <w:rPr/>
        <w:t>股，上述限制性股票已在中国</w:t>
      </w:r>
      <w:r>
        <w:rPr>
          <w:spacing w:val="-96"/>
        </w:rPr>
        <w:t> </w:t>
      </w:r>
      <w:r>
        <w:rPr>
          <w:spacing w:val="-96"/>
        </w:rPr>
      </w:r>
      <w:r>
        <w:rPr/>
        <w:t>证券登记结算有限责任公司深圳分公司完成回购、注销手续。</w:t>
      </w:r>
    </w:p>
    <w:p>
      <w:pPr>
        <w:spacing w:line="240" w:lineRule="auto" w:before="8"/>
        <w:rPr>
          <w:rFonts w:ascii="宋体" w:hAnsi="宋体" w:cs="宋体" w:eastAsia="宋体" w:hint="default"/>
          <w:sz w:val="24"/>
          <w:szCs w:val="24"/>
        </w:rPr>
      </w:pPr>
    </w:p>
    <w:p>
      <w:pPr>
        <w:spacing w:line="487" w:lineRule="auto" w:before="0"/>
        <w:ind w:left="112" w:right="8345" w:firstLine="0"/>
        <w:jc w:val="left"/>
        <w:rPr>
          <w:rFonts w:ascii="宋体" w:hAnsi="宋体" w:cs="宋体" w:eastAsia="宋体" w:hint="default"/>
          <w:sz w:val="21"/>
          <w:szCs w:val="21"/>
        </w:rPr>
      </w:pPr>
      <w:bookmarkStart w:name="5、其他" w:id="499"/>
      <w:bookmarkEnd w:id="49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0"/>
      <w:bookmarkEnd w:id="500"/>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1"/>
      <w:bookmarkEnd w:id="50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5"/>
        <w:ind w:left="112" w:right="1133"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56" w:lineRule="auto" w:before="94"/>
        <w:ind w:left="112" w:right="1127"/>
        <w:jc w:val="left"/>
      </w:pPr>
      <w:r>
        <w:rPr/>
        <w:t>（</w:t>
      </w:r>
      <w:r>
        <w:rPr>
          <w:rFonts w:ascii="宋体" w:hAnsi="宋体" w:cs="宋体" w:eastAsia="宋体" w:hint="default"/>
        </w:rPr>
        <w:t>1</w:t>
      </w:r>
      <w:r>
        <w:rPr/>
        <w:t>）</w:t>
      </w:r>
      <w:r>
        <w:rPr>
          <w:spacing w:val="19"/>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日，本公司开具的尚未到期保函总额为</w:t>
      </w:r>
      <w:r>
        <w:rPr>
          <w:rFonts w:ascii="Times New Roman" w:hAnsi="Times New Roman" w:cs="Times New Roman" w:eastAsia="Times New Roman" w:hint="default"/>
        </w:rPr>
        <w:t>29,085,012.45</w:t>
      </w:r>
      <w:r>
        <w:rPr/>
        <w:t>元，开具上述保函，公司存</w:t>
      </w:r>
      <w:r>
        <w:rPr>
          <w:spacing w:val="-102"/>
        </w:rPr>
        <w:t> </w:t>
      </w:r>
      <w:r>
        <w:rPr>
          <w:spacing w:val="-102"/>
        </w:rPr>
      </w:r>
      <w:r>
        <w:rPr/>
        <w:t>入的保证金金额为</w:t>
      </w:r>
      <w:r>
        <w:rPr>
          <w:rFonts w:ascii="Times New Roman" w:hAnsi="Times New Roman" w:cs="Times New Roman" w:eastAsia="Times New Roman" w:hint="default"/>
        </w:rPr>
        <w:t>7,394,236.70</w:t>
      </w:r>
      <w:r>
        <w:rPr/>
        <w:t>元。公司已贴现未到期的银行承兑汇票金额为</w:t>
      </w:r>
      <w:r>
        <w:rPr>
          <w:rFonts w:ascii="宋体" w:hAnsi="宋体" w:cs="宋体" w:eastAsia="宋体" w:hint="default"/>
        </w:rPr>
        <w:t>9</w:t>
      </w:r>
      <w:r>
        <w:rPr>
          <w:rFonts w:ascii="Times New Roman" w:hAnsi="Times New Roman" w:cs="Times New Roman" w:eastAsia="Times New Roman" w:hint="default"/>
        </w:rPr>
        <w:t>,50</w:t>
      </w:r>
      <w:r>
        <w:rPr>
          <w:rFonts w:ascii="宋体" w:hAnsi="宋体" w:cs="宋体" w:eastAsia="宋体" w:hint="default"/>
        </w:rPr>
        <w:t>0</w:t>
      </w:r>
      <w:r>
        <w:rPr>
          <w:rFonts w:ascii="Times New Roman" w:hAnsi="Times New Roman" w:cs="Times New Roman" w:eastAsia="Times New Roman" w:hint="default"/>
        </w:rPr>
        <w:t>,000</w:t>
      </w:r>
      <w:r>
        <w:rPr>
          <w:rFonts w:ascii="宋体" w:hAnsi="宋体" w:cs="宋体" w:eastAsia="宋体" w:hint="default"/>
        </w:rPr>
        <w:t>.</w:t>
      </w:r>
      <w:r>
        <w:rPr>
          <w:rFonts w:ascii="Times New Roman" w:hAnsi="Times New Roman" w:cs="Times New Roman" w:eastAsia="Times New Roman" w:hint="default"/>
        </w:rPr>
        <w:t>00</w:t>
      </w:r>
      <w:r>
        <w:rPr/>
        <w:t>元。</w:t>
      </w:r>
    </w:p>
    <w:p>
      <w:pPr>
        <w:spacing w:line="240" w:lineRule="auto" w:before="3"/>
        <w:rPr>
          <w:rFonts w:ascii="宋体" w:hAnsi="宋体" w:cs="宋体" w:eastAsia="宋体" w:hint="default"/>
          <w:sz w:val="24"/>
          <w:szCs w:val="24"/>
        </w:rPr>
      </w:pPr>
    </w:p>
    <w:p>
      <w:pPr>
        <w:pStyle w:val="BodyText"/>
        <w:spacing w:line="240" w:lineRule="auto"/>
        <w:ind w:left="112" w:right="1133"/>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日，抵押资产的情况子公司光典信息发展有限公司新建“光典智能物联网、档案</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66" w:lineRule="auto" w:before="36"/>
        <w:ind w:left="112" w:right="1133"/>
        <w:jc w:val="left"/>
      </w:pPr>
      <w:r>
        <w:rPr>
          <w:spacing w:val="-2"/>
        </w:rPr>
        <w:t>数据处理中试基地新建厂房”项目，该项目位于青浦区崧泽大道</w:t>
      </w:r>
      <w:r>
        <w:rPr>
          <w:rFonts w:ascii="Times New Roman" w:hAnsi="Times New Roman" w:cs="Times New Roman" w:eastAsia="Times New Roman" w:hint="default"/>
          <w:spacing w:val="-2"/>
        </w:rPr>
        <w:t>6011</w:t>
      </w:r>
      <w:r>
        <w:rPr>
          <w:spacing w:val="-2"/>
        </w:rPr>
        <w:t>号，土地面积</w:t>
      </w:r>
      <w:r>
        <w:rPr>
          <w:rFonts w:ascii="Times New Roman" w:hAnsi="Times New Roman" w:cs="Times New Roman" w:eastAsia="Times New Roman" w:hint="default"/>
          <w:spacing w:val="-2"/>
        </w:rPr>
        <w:t>29,926.30</w:t>
      </w:r>
      <w:r>
        <w:rPr>
          <w:spacing w:val="-2"/>
        </w:rPr>
        <w:t>平方米，在建</w:t>
      </w:r>
      <w:r>
        <w:rPr>
          <w:spacing w:val="-29"/>
        </w:rPr>
        <w:t> </w:t>
      </w:r>
      <w:r>
        <w:rPr>
          <w:spacing w:val="-29"/>
        </w:rPr>
      </w:r>
      <w:r>
        <w:rPr>
          <w:spacing w:val="-2"/>
        </w:rPr>
        <w:t>厂房面积</w:t>
      </w:r>
      <w:r>
        <w:rPr>
          <w:rFonts w:ascii="Times New Roman" w:hAnsi="Times New Roman" w:cs="Times New Roman" w:eastAsia="Times New Roman" w:hint="default"/>
          <w:spacing w:val="-2"/>
        </w:rPr>
        <w:t>81,650.75</w:t>
      </w:r>
      <w:r>
        <w:rPr>
          <w:spacing w:val="-2"/>
        </w:rPr>
        <w:t>平方米，土地产权证：沪房地青字（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015219</w:t>
      </w:r>
      <w:r>
        <w:rPr>
          <w:spacing w:val="-2"/>
        </w:rPr>
        <w:t>号。光典信息发展有限公司以此土</w:t>
      </w:r>
      <w:r>
        <w:rPr>
          <w:spacing w:val="-24"/>
        </w:rPr>
        <w:t> </w:t>
      </w:r>
      <w:r>
        <w:rPr>
          <w:spacing w:val="-24"/>
        </w:rPr>
      </w:r>
      <w:r>
        <w:rPr>
          <w:spacing w:val="-2"/>
        </w:rPr>
        <w:t>地产权证及在建工程作为抵押，向中国建设银行股份有限公司上海静安支行申请办理了固定资产贷款，贷</w:t>
      </w:r>
      <w:r>
        <w:rPr>
          <w:spacing w:val="-43"/>
        </w:rPr>
        <w:t> </w:t>
      </w:r>
      <w:r>
        <w:rPr>
          <w:spacing w:val="-43"/>
        </w:rPr>
      </w:r>
      <w:r>
        <w:rPr>
          <w:spacing w:val="15"/>
        </w:rPr>
        <w:t>款用途为投资“</w:t>
      </w:r>
      <w:r>
        <w:rPr>
          <w:spacing w:val="-58"/>
        </w:rPr>
        <w:t> </w:t>
      </w:r>
      <w:r>
        <w:rPr>
          <w:spacing w:val="15"/>
        </w:rPr>
        <w:t>光典智能物联网、</w:t>
      </w:r>
      <w:r>
        <w:rPr>
          <w:spacing w:val="-58"/>
        </w:rPr>
        <w:t> </w:t>
      </w:r>
      <w:r>
        <w:rPr>
          <w:spacing w:val="16"/>
        </w:rPr>
        <w:t>档案数据处理中试基地新建厂房”项目，贷款总金额为人民币</w:t>
      </w:r>
      <w:r>
        <w:rPr>
          <w:spacing w:val="-49"/>
        </w:rPr>
        <w:t> </w:t>
      </w:r>
      <w:r>
        <w:rPr>
          <w:rFonts w:ascii="Times New Roman" w:hAnsi="Times New Roman" w:cs="Times New Roman" w:eastAsia="Times New Roman" w:hint="default"/>
          <w:spacing w:val="-3"/>
        </w:rPr>
        <w:t>165,000,000.00</w:t>
      </w:r>
      <w:r>
        <w:rPr>
          <w:spacing w:val="-3"/>
        </w:rPr>
        <w:t>元，贷款总期限为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11</w:t>
      </w:r>
      <w:r>
        <w:rPr>
          <w:spacing w:val="-3"/>
        </w:rPr>
        <w:t>日至</w:t>
      </w:r>
      <w:r>
        <w:rPr>
          <w:rFonts w:ascii="Times New Roman" w:hAnsi="Times New Roman" w:cs="Times New Roman" w:eastAsia="Times New Roman" w:hint="default"/>
          <w:spacing w:val="-3"/>
        </w:rPr>
        <w:t>2022</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10</w:t>
      </w:r>
      <w:r>
        <w:rPr>
          <w:spacing w:val="-3"/>
        </w:rPr>
        <w:t>日，还款方式为按还款计划进行还款。本公</w:t>
      </w:r>
      <w:r>
        <w:rPr>
          <w:spacing w:val="-13"/>
        </w:rPr>
        <w:t> </w:t>
      </w:r>
      <w:r>
        <w:rPr>
          <w:spacing w:val="-13"/>
        </w:rPr>
      </w:r>
      <w:r>
        <w:rPr>
          <w:spacing w:val="2"/>
        </w:rPr>
        <w:t>司、法定代表人张曙华及其配偶庞文莉为光典信息发展有限公司提供连带责任保证，保证金额为人民币</w:t>
      </w:r>
      <w:r>
        <w:rPr>
          <w:spacing w:val="-30"/>
        </w:rPr>
        <w:t> </w:t>
      </w:r>
      <w:r>
        <w:rPr>
          <w:spacing w:val="-30"/>
        </w:rPr>
      </w:r>
      <w:r>
        <w:rPr>
          <w:rFonts w:ascii="Times New Roman" w:hAnsi="Times New Roman" w:cs="Times New Roman" w:eastAsia="Times New Roman" w:hint="default"/>
        </w:rPr>
        <w:t>165,000,000.00</w:t>
      </w:r>
      <w:r>
        <w:rPr/>
        <w:t>元，期限自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r>
        <w:rPr>
          <w:spacing w:val="-3"/>
          <w:w w:val="100"/>
        </w:rPr>
        <w:t> </w:t>
      </w:r>
      <w:r>
        <w:rPr>
          <w:spacing w:val="-4"/>
        </w:rPr>
        <w:t>截止</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日，公司尚未偿付的长期借款为人民币</w:t>
      </w:r>
      <w:r>
        <w:rPr>
          <w:rFonts w:ascii="宋体" w:hAnsi="宋体" w:cs="宋体" w:eastAsia="宋体" w:hint="default"/>
          <w:spacing w:val="-4"/>
        </w:rPr>
        <w:t>16,200</w:t>
      </w:r>
      <w:r>
        <w:rPr>
          <w:spacing w:val="-4"/>
        </w:rPr>
        <w:t>万元，其中记入一年内到期的金额为</w:t>
      </w:r>
      <w:r>
        <w:rPr>
          <w:rFonts w:ascii="宋体" w:hAnsi="宋体" w:cs="宋体" w:eastAsia="宋体" w:hint="default"/>
          <w:spacing w:val="-4"/>
        </w:rPr>
        <w:t>4,200</w:t>
      </w:r>
      <w:r>
        <w:rPr>
          <w:rFonts w:ascii="宋体" w:hAnsi="宋体" w:cs="宋体" w:eastAsia="宋体" w:hint="default"/>
          <w:spacing w:val="-20"/>
        </w:rPr>
        <w:t> </w:t>
      </w:r>
      <w:r>
        <w:rPr>
          <w:rFonts w:ascii="宋体" w:hAnsi="宋体" w:cs="宋体" w:eastAsia="宋体" w:hint="default"/>
          <w:spacing w:val="-20"/>
        </w:rPr>
      </w:r>
      <w:r>
        <w:rPr>
          <w:spacing w:val="-2"/>
        </w:rPr>
        <w:t>万元，记入长期借款的金额为</w:t>
      </w:r>
      <w:r>
        <w:rPr>
          <w:rFonts w:ascii="宋体" w:hAnsi="宋体" w:cs="宋体" w:eastAsia="宋体" w:hint="default"/>
          <w:spacing w:val="-2"/>
        </w:rPr>
        <w:t>12,000</w:t>
      </w:r>
      <w:r>
        <w:rPr>
          <w:spacing w:val="-2"/>
        </w:rPr>
        <w:t>万元。上述抵押中在建工程合计人民币</w:t>
      </w:r>
      <w:r>
        <w:rPr>
          <w:rFonts w:ascii="宋体" w:hAnsi="宋体" w:cs="宋体" w:eastAsia="宋体" w:hint="default"/>
          <w:spacing w:val="-2"/>
        </w:rPr>
        <w:t>274,376,848.54</w:t>
      </w:r>
      <w:r>
        <w:rPr>
          <w:spacing w:val="-2"/>
        </w:rPr>
        <w:t>元，无形资产</w:t>
      </w:r>
      <w:r>
        <w:rPr>
          <w:spacing w:val="-27"/>
        </w:rPr>
        <w:t> </w:t>
      </w:r>
      <w:r>
        <w:rPr>
          <w:spacing w:val="-27"/>
        </w:rPr>
      </w:r>
      <w:r>
        <w:rPr/>
        <w:t>的原值人民币</w:t>
      </w:r>
      <w:r>
        <w:rPr>
          <w:rFonts w:ascii="宋体" w:hAnsi="宋体" w:cs="宋体" w:eastAsia="宋体" w:hint="default"/>
        </w:rPr>
        <w:t>32,388,620.00</w:t>
      </w:r>
      <w:r>
        <w:rPr/>
        <w:t>元、净值人民币</w:t>
      </w:r>
      <w:r>
        <w:rPr>
          <w:rFonts w:ascii="宋体" w:hAnsi="宋体" w:cs="宋体" w:eastAsia="宋体" w:hint="default"/>
        </w:rPr>
        <w:t>28,501,985.68</w:t>
      </w:r>
      <w:r>
        <w:rPr/>
        <w:t>元。</w:t>
      </w:r>
    </w:p>
    <w:p>
      <w:pPr>
        <w:spacing w:line="240" w:lineRule="auto" w:before="0"/>
        <w:rPr>
          <w:rFonts w:ascii="宋体" w:hAnsi="宋体" w:cs="宋体" w:eastAsia="宋体" w:hint="default"/>
          <w:sz w:val="24"/>
          <w:szCs w:val="24"/>
        </w:rPr>
      </w:pPr>
    </w:p>
    <w:p>
      <w:pPr>
        <w:pStyle w:val="Heading6"/>
        <w:spacing w:line="240" w:lineRule="auto"/>
        <w:ind w:right="1133"/>
        <w:jc w:val="left"/>
        <w:rPr>
          <w:b w:val="0"/>
          <w:bCs w:val="0"/>
        </w:rPr>
      </w:pPr>
      <w:bookmarkStart w:name="2、或有事项" w:id="502"/>
      <w:bookmarkEnd w:id="50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12" w:right="2654" w:firstLine="0"/>
        <w:jc w:val="left"/>
        <w:rPr>
          <w:rFonts w:ascii="宋体" w:hAnsi="宋体" w:cs="宋体" w:eastAsia="宋体" w:hint="default"/>
          <w:sz w:val="21"/>
          <w:szCs w:val="21"/>
        </w:rPr>
      </w:pPr>
      <w:bookmarkStart w:name="（1）资产负债表日存在的重要或有事项" w:id="503"/>
      <w:bookmarkEnd w:id="5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日，本公司无需要披露的或有事项。</w:t>
      </w:r>
    </w:p>
    <w:p>
      <w:pPr>
        <w:spacing w:line="240" w:lineRule="auto" w:before="9"/>
        <w:rPr>
          <w:rFonts w:ascii="宋体" w:hAnsi="宋体" w:cs="宋体" w:eastAsia="宋体" w:hint="default"/>
          <w:sz w:val="28"/>
          <w:szCs w:val="28"/>
        </w:rPr>
      </w:pPr>
    </w:p>
    <w:p>
      <w:pPr>
        <w:pStyle w:val="Heading6"/>
        <w:spacing w:line="240" w:lineRule="auto"/>
        <w:ind w:right="1133"/>
        <w:jc w:val="left"/>
        <w:rPr>
          <w:b w:val="0"/>
          <w:bCs w:val="0"/>
        </w:rPr>
      </w:pPr>
      <w:bookmarkStart w:name="（2）公司没有需要披露的重要或有事项，也应予以说明" w:id="504"/>
      <w:bookmarkEnd w:id="50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12" w:right="7863" w:firstLine="0"/>
        <w:jc w:val="left"/>
        <w:rPr>
          <w:rFonts w:ascii="宋体" w:hAnsi="宋体" w:cs="宋体" w:eastAsia="宋体" w:hint="default"/>
          <w:sz w:val="21"/>
          <w:szCs w:val="21"/>
        </w:rPr>
      </w:pPr>
      <w:bookmarkStart w:name="3、其他" w:id="505"/>
      <w:bookmarkEnd w:id="50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06"/>
      <w:bookmarkEnd w:id="506"/>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07"/>
      <w:bookmarkEnd w:id="5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6"/>
        <w:spacing w:line="240" w:lineRule="auto" w:before="36"/>
        <w:ind w:right="1133"/>
        <w:jc w:val="left"/>
        <w:rPr>
          <w:b w:val="0"/>
          <w:bCs w:val="0"/>
        </w:rPr>
      </w:pPr>
      <w:bookmarkStart w:name="2、利润分配情况" w:id="508"/>
      <w:bookmarkEnd w:id="50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6"/>
        <w:spacing w:line="240" w:lineRule="auto" w:before="36"/>
        <w:ind w:right="1133"/>
        <w:jc w:val="left"/>
        <w:rPr>
          <w:b w:val="0"/>
          <w:bCs w:val="0"/>
        </w:rPr>
      </w:pPr>
      <w:bookmarkStart w:name="3、销售退回" w:id="509"/>
      <w:bookmarkEnd w:id="509"/>
      <w:r>
        <w:rPr>
          <w:b w:val="0"/>
          <w:bCs w:val="0"/>
        </w:rPr>
      </w:r>
      <w:r>
        <w:rPr>
          <w:rFonts w:ascii="Times New Roman" w:hAnsi="Times New Roman" w:cs="Times New Roman" w:eastAsia="Times New Roman" w:hint="default"/>
        </w:rPr>
        <w:t>3</w:t>
      </w:r>
      <w:r>
        <w:rPr/>
        <w:t>、销售退回</w:t>
      </w:r>
      <w:r>
        <w:rPr>
          <w:b w:val="0"/>
          <w:bCs w:val="0"/>
        </w:rPr>
      </w:r>
    </w:p>
    <w:p>
      <w:pPr>
        <w:pStyle w:val="Heading6"/>
        <w:spacing w:line="590" w:lineRule="atLeast" w:before="24"/>
        <w:ind w:left="461" w:right="7712" w:hanging="349"/>
        <w:jc w:val="left"/>
        <w:rPr>
          <w:b w:val="0"/>
          <w:bCs w:val="0"/>
        </w:rPr>
      </w:pPr>
      <w:bookmarkStart w:name="4、其他资产负债表日后事项说明" w:id="510"/>
      <w:bookmarkEnd w:id="510"/>
      <w:r>
        <w:rPr>
          <w:b w:val="0"/>
          <w:bCs w:val="0"/>
        </w:rPr>
      </w:r>
      <w:r>
        <w:rPr>
          <w:rFonts w:ascii="Times New Roman" w:hAnsi="Times New Roman" w:cs="Times New Roman" w:eastAsia="Times New Roman" w:hint="default"/>
          <w:spacing w:val="-1"/>
        </w:rPr>
        <w:t>4</w:t>
      </w:r>
      <w:r>
        <w:rPr>
          <w:spacing w:val="-1"/>
        </w:rPr>
        <w:t>、其他资产负债表日后事项说明</w:t>
      </w:r>
      <w:r>
        <w:rPr>
          <w:spacing w:val="-91"/>
        </w:rPr>
        <w:t> </w:t>
      </w:r>
      <w:r>
        <w:rPr>
          <w:spacing w:val="-91"/>
        </w:rPr>
      </w:r>
      <w:r>
        <w:rPr/>
        <w:t>利润分配情况</w:t>
      </w:r>
      <w:r>
        <w:rPr>
          <w:b w:val="0"/>
          <w:bCs w:val="0"/>
        </w:rPr>
      </w:r>
    </w:p>
    <w:p>
      <w:pPr>
        <w:pStyle w:val="BodyText"/>
        <w:spacing w:line="256" w:lineRule="auto" w:before="37"/>
        <w:ind w:left="826" w:right="1128"/>
        <w:jc w:val="both"/>
      </w:pPr>
      <w:r>
        <w:rPr>
          <w:spacing w:val="-2"/>
        </w:rPr>
        <w:t>本公司</w:t>
      </w:r>
      <w:r>
        <w:rPr>
          <w:rFonts w:ascii="Times New Roman" w:hAnsi="Times New Roman" w:cs="Times New Roman" w:eastAsia="Times New Roman" w:hint="default"/>
          <w:spacing w:val="-2"/>
        </w:rPr>
        <w:t>2019</w:t>
      </w:r>
      <w:r>
        <w:rPr>
          <w:spacing w:val="-2"/>
        </w:rPr>
        <w:t>年度利润分配预案已经</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日召开的第四届董事会第四十一次会议审议通过，</w:t>
      </w:r>
      <w:r>
        <w:rPr>
          <w:spacing w:val="-19"/>
        </w:rPr>
        <w:t> </w:t>
      </w:r>
      <w:r>
        <w:rPr>
          <w:spacing w:val="-19"/>
        </w:rPr>
      </w:r>
      <w:r>
        <w:rPr>
          <w:rFonts w:ascii="Times New Roman" w:hAnsi="Times New Roman" w:cs="Times New Roman" w:eastAsia="Times New Roman" w:hint="default"/>
          <w:spacing w:val="-3"/>
        </w:rPr>
        <w:t>2019</w:t>
      </w:r>
      <w:r>
        <w:rPr>
          <w:spacing w:val="-3"/>
        </w:rPr>
        <w:t>年，公司通过集中竞价方式累计回购公司股份</w:t>
      </w:r>
      <w:r>
        <w:rPr>
          <w:rFonts w:ascii="Times New Roman" w:hAnsi="Times New Roman" w:cs="Times New Roman" w:eastAsia="Times New Roman" w:hint="default"/>
          <w:spacing w:val="-3"/>
        </w:rPr>
        <w:t>796,820</w:t>
      </w:r>
      <w:r>
        <w:rPr>
          <w:spacing w:val="-3"/>
        </w:rPr>
        <w:t>股，支付现金总额为</w:t>
      </w:r>
      <w:r>
        <w:rPr>
          <w:rFonts w:ascii="Times New Roman" w:hAnsi="Times New Roman" w:cs="Times New Roman" w:eastAsia="Times New Roman" w:hint="default"/>
          <w:spacing w:val="-3"/>
        </w:rPr>
        <w:t>13,538,693.02</w:t>
      </w:r>
      <w:r>
        <w:rPr>
          <w:spacing w:val="-3"/>
        </w:rPr>
        <w:t>元（不</w:t>
      </w:r>
      <w:r>
        <w:rPr>
          <w:spacing w:val="-55"/>
        </w:rPr>
        <w:t> </w:t>
      </w:r>
      <w:r>
        <w:rPr>
          <w:spacing w:val="-55"/>
        </w:rPr>
      </w:r>
      <w:r>
        <w:rPr>
          <w:spacing w:val="-4"/>
          <w:w w:val="100"/>
        </w:rPr>
        <w:t>含交易费用）。根据《深圳证券交易所上市公司回购股份实施细则》有关规定，公司当年已实施的</w:t>
      </w:r>
    </w:p>
    <w:p>
      <w:pPr>
        <w:spacing w:after="0" w:line="256"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66" w:lineRule="auto" w:before="36"/>
        <w:ind w:left="826" w:right="1131"/>
        <w:jc w:val="both"/>
      </w:pPr>
      <w:r>
        <w:rPr/>
        <w:t>股份回购金额视同现金分红，纳入该年度现金分红的相关比例计算。基于上述规定，公司拟</w:t>
      </w:r>
      <w:r>
        <w:rPr>
          <w:rFonts w:ascii="Times New Roman" w:hAnsi="Times New Roman" w:cs="Times New Roman" w:eastAsia="Times New Roman" w:hint="default"/>
        </w:rPr>
        <w:t>2019</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t>年度不派发现金红利，不送红股，不以公积金转增股本。上述利润分配方案，尚需提交公司股东</w:t>
      </w:r>
      <w:r>
        <w:rPr>
          <w:spacing w:val="-9"/>
        </w:rPr>
        <w:t> </w:t>
      </w:r>
      <w:r>
        <w:rPr>
          <w:spacing w:val="-9"/>
        </w:rPr>
      </w:r>
      <w:r>
        <w:rPr/>
        <w:t>大会表决。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6"/>
        <w:spacing w:line="240" w:lineRule="auto"/>
        <w:ind w:left="461" w:right="1133"/>
        <w:jc w:val="left"/>
        <w:rPr>
          <w:b w:val="0"/>
          <w:bCs w:val="0"/>
        </w:rPr>
      </w:pPr>
      <w:r>
        <w:rPr/>
        <w:t>其他资产负债表日后事项说明</w:t>
      </w:r>
      <w:r>
        <w:rPr>
          <w:b w:val="0"/>
          <w:bCs w:val="0"/>
        </w:rPr>
      </w:r>
    </w:p>
    <w:p>
      <w:pPr>
        <w:pStyle w:val="Heading6"/>
        <w:spacing w:line="240" w:lineRule="auto" w:before="37"/>
        <w:ind w:left="821" w:right="1133"/>
        <w:jc w:val="left"/>
        <w:rPr>
          <w:b w:val="0"/>
          <w:bCs w:val="0"/>
        </w:rPr>
      </w:pPr>
      <w:r>
        <w:rPr>
          <w:rFonts w:ascii="Times New Roman" w:hAnsi="Times New Roman" w:cs="Times New Roman" w:eastAsia="Times New Roman" w:hint="default"/>
        </w:rPr>
        <w:t>1</w:t>
      </w:r>
      <w:r>
        <w:rPr/>
        <w:t>、关于全资子公司存续分立的事项</w:t>
      </w:r>
      <w:r>
        <w:rPr>
          <w:b w:val="0"/>
          <w:bCs w:val="0"/>
        </w:rPr>
      </w:r>
    </w:p>
    <w:p>
      <w:pPr>
        <w:pStyle w:val="BodyText"/>
        <w:spacing w:line="266" w:lineRule="auto" w:before="21"/>
        <w:ind w:left="826" w:right="986"/>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日，公司召开了第四届第四十一次董事会并审议通过了《关于全资子公司存续分立的</w:t>
      </w:r>
      <w:r>
        <w:rPr>
          <w:spacing w:val="-9"/>
        </w:rPr>
        <w:t> </w:t>
      </w:r>
      <w:r>
        <w:rPr>
          <w:spacing w:val="-9"/>
        </w:rPr>
      </w:r>
      <w:r>
        <w:rPr>
          <w:spacing w:val="-4"/>
          <w:w w:val="100"/>
        </w:rPr>
        <w:t>议案》，公司将对下属全资子公司光典信息发展有限公司进行存续分立，分立后光典信息发展有限</w:t>
      </w:r>
      <w:r>
        <w:rPr>
          <w:spacing w:val="-99"/>
          <w:w w:val="100"/>
        </w:rPr>
        <w:t> </w:t>
      </w:r>
      <w:r>
        <w:rPr>
          <w:spacing w:val="-99"/>
          <w:w w:val="100"/>
        </w:rPr>
      </w:r>
      <w:r>
        <w:rPr>
          <w:spacing w:val="-2"/>
        </w:rPr>
        <w:t>公司继续存续，同时在上海市青浦区新设立全资子公司上海信发智谷信息发展有限公司（暂定名，</w:t>
      </w:r>
      <w:r>
        <w:rPr>
          <w:spacing w:val="-28"/>
        </w:rPr>
        <w:t> </w:t>
      </w:r>
      <w:r>
        <w:rPr>
          <w:spacing w:val="-28"/>
        </w:rPr>
      </w:r>
      <w:r>
        <w:rPr>
          <w:spacing w:val="-13"/>
          <w:w w:val="100"/>
        </w:rPr>
        <w:t>以工商部门核准登记的名称为准，以下简称“信发智谷”）。</w:t>
      </w:r>
      <w:r>
        <w:rPr>
          <w:w w:val="100"/>
        </w:rPr>
      </w:r>
    </w:p>
    <w:p>
      <w:pPr>
        <w:spacing w:line="240" w:lineRule="auto" w:before="13"/>
        <w:rPr>
          <w:rFonts w:ascii="宋体" w:hAnsi="宋体" w:cs="宋体" w:eastAsia="宋体" w:hint="default"/>
          <w:sz w:val="24"/>
          <w:szCs w:val="24"/>
        </w:rPr>
      </w:pPr>
    </w:p>
    <w:p>
      <w:pPr>
        <w:pStyle w:val="BodyText"/>
        <w:spacing w:line="268" w:lineRule="auto"/>
        <w:ind w:left="826" w:right="1133" w:hanging="5"/>
        <w:jc w:val="left"/>
      </w:pPr>
      <w:r>
        <w:rPr>
          <w:rFonts w:ascii="Times New Roman" w:hAnsi="Times New Roman" w:cs="Times New Roman" w:eastAsia="Times New Roman" w:hint="default"/>
          <w:b/>
          <w:bCs/>
        </w:rPr>
        <w:t>2</w:t>
      </w:r>
      <w:r>
        <w:rPr>
          <w:rFonts w:ascii="宋体" w:hAnsi="宋体" w:cs="宋体" w:eastAsia="宋体" w:hint="default"/>
          <w:b/>
          <w:bCs/>
        </w:rPr>
        <w:t>、关于新型冠状病毒疫情的影响</w:t>
      </w:r>
      <w:r>
        <w:rPr>
          <w:rFonts w:ascii="宋体" w:hAnsi="宋体" w:cs="宋体" w:eastAsia="宋体" w:hint="default"/>
          <w:b/>
          <w:bCs/>
          <w:w w:val="100"/>
        </w:rPr>
        <w:t> </w:t>
      </w:r>
      <w:r>
        <w:rPr>
          <w:spacing w:val="-2"/>
        </w:rPr>
        <w:t>新型冠状病毒肺炎疫情自</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月在全国爆发以来，政府采取了各项措施推进疫情防控，疫情防</w:t>
      </w:r>
      <w:r>
        <w:rPr>
          <w:spacing w:val="-33"/>
        </w:rPr>
        <w:t> </w:t>
      </w:r>
      <w:r>
        <w:rPr>
          <w:spacing w:val="-33"/>
        </w:rPr>
      </w:r>
      <w:r>
        <w:rPr/>
        <w:t>控形势持续向好、生产生活秩序加快恢复，但仍然面临境外疫情扩散蔓延和国内人员流动和聚集</w:t>
      </w:r>
      <w:r>
        <w:rPr>
          <w:spacing w:val="-10"/>
        </w:rPr>
        <w:t> </w:t>
      </w:r>
      <w:r>
        <w:rPr>
          <w:spacing w:val="-10"/>
        </w:rPr>
      </w:r>
      <w:r>
        <w:rPr/>
        <w:t>增加带来疫情反弹的风险。公司积极响应并严格执行各级政府对新冠肺炎疫情的各项防控规定和</w:t>
      </w:r>
      <w:r>
        <w:rPr>
          <w:spacing w:val="-14"/>
        </w:rPr>
        <w:t> </w:t>
      </w:r>
      <w:r>
        <w:rPr>
          <w:spacing w:val="-14"/>
        </w:rPr>
      </w:r>
      <w:r>
        <w:rPr/>
        <w:t>要求，在做好疫情防控工作的基础上有序生产。本公司预计此次新冠肺炎疫情及防控措施将对公</w:t>
      </w:r>
      <w:r>
        <w:rPr>
          <w:spacing w:val="-14"/>
        </w:rPr>
        <w:t> </w:t>
      </w:r>
      <w:r>
        <w:rPr>
          <w:spacing w:val="-14"/>
        </w:rPr>
      </w:r>
      <w:r>
        <w:rPr/>
        <w:t>司的生产和经营造成一定的暂时性影响，包括春节后员工延缓复工及客户延缓复工导致公司的各</w:t>
      </w:r>
      <w:r>
        <w:rPr>
          <w:spacing w:val="-14"/>
        </w:rPr>
        <w:t> </w:t>
      </w:r>
      <w:r>
        <w:rPr>
          <w:spacing w:val="-14"/>
        </w:rPr>
      </w:r>
      <w:r>
        <w:rPr/>
        <w:t>项业务均受到影响，影响程度取决于疫情防控的进展情况、持续时间以及各地防控政策的实施情</w:t>
      </w:r>
      <w:r>
        <w:rPr>
          <w:spacing w:val="-14"/>
        </w:rPr>
        <w:t> </w:t>
      </w:r>
      <w:r>
        <w:rPr>
          <w:spacing w:val="-14"/>
        </w:rPr>
      </w:r>
      <w:r>
        <w:rPr/>
        <w:t>况。本公司将继续密切关注新冠肺炎疫情发展情况，评估和积极应对其对本公司财务状况、经营</w:t>
      </w:r>
      <w:r>
        <w:rPr>
          <w:spacing w:val="-14"/>
        </w:rPr>
        <w:t> </w:t>
      </w:r>
      <w:r>
        <w:rPr>
          <w:spacing w:val="-14"/>
        </w:rPr>
      </w:r>
      <w:r>
        <w:rPr/>
        <w:t>成果等方面的影响。</w:t>
      </w:r>
    </w:p>
    <w:p>
      <w:pPr>
        <w:spacing w:line="240" w:lineRule="auto" w:before="10"/>
        <w:rPr>
          <w:rFonts w:ascii="宋体" w:hAnsi="宋体" w:cs="宋体" w:eastAsia="宋体" w:hint="default"/>
          <w:sz w:val="24"/>
          <w:szCs w:val="24"/>
        </w:rPr>
      </w:pPr>
    </w:p>
    <w:p>
      <w:pPr>
        <w:pStyle w:val="Heading6"/>
        <w:spacing w:line="240" w:lineRule="auto"/>
        <w:ind w:left="821" w:right="1133"/>
        <w:jc w:val="left"/>
        <w:rPr>
          <w:b w:val="0"/>
          <w:bCs w:val="0"/>
        </w:rPr>
      </w:pPr>
      <w:r>
        <w:rPr>
          <w:rFonts w:ascii="Times New Roman" w:hAnsi="Times New Roman" w:cs="Times New Roman" w:eastAsia="Times New Roman" w:hint="default"/>
        </w:rPr>
        <w:t>3</w:t>
      </w:r>
      <w:r>
        <w:rPr/>
        <w:t>、关于募集资金投资项目中止的事项</w:t>
      </w:r>
      <w:r>
        <w:rPr>
          <w:b w:val="0"/>
          <w:bCs w:val="0"/>
        </w:rPr>
      </w:r>
    </w:p>
    <w:p>
      <w:pPr>
        <w:pStyle w:val="BodyText"/>
        <w:spacing w:line="261" w:lineRule="auto" w:before="21"/>
        <w:ind w:left="847" w:right="1133"/>
        <w:jc w:val="left"/>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日，公司召开的第四届董事会第三十八次会议审议通过了《关于中止募集资金投资项</w:t>
      </w:r>
      <w:r>
        <w:rPr>
          <w:spacing w:val="-42"/>
        </w:rPr>
        <w:t> </w:t>
      </w:r>
      <w:r>
        <w:rPr>
          <w:spacing w:val="-42"/>
        </w:rPr>
      </w:r>
      <w:r>
        <w:rPr>
          <w:spacing w:val="-5"/>
          <w:w w:val="100"/>
        </w:rPr>
        <w:t>目并将剩余募集资金永久补充流动资金的议案》，同意公司中止</w:t>
      </w:r>
      <w:r>
        <w:rPr>
          <w:rFonts w:ascii="Times New Roman" w:hAnsi="Times New Roman" w:cs="Times New Roman" w:eastAsia="Times New Roman" w:hint="default"/>
          <w:spacing w:val="-5"/>
          <w:w w:val="100"/>
        </w:rPr>
        <w:t>2015</w:t>
      </w:r>
      <w:r>
        <w:rPr>
          <w:spacing w:val="-5"/>
          <w:w w:val="100"/>
        </w:rPr>
        <w:t>年首次公开发行股票募集资金</w:t>
      </w:r>
      <w:r>
        <w:rPr>
          <w:spacing w:val="-66"/>
          <w:w w:val="100"/>
        </w:rPr>
        <w:t> </w:t>
      </w:r>
      <w:r>
        <w:rPr>
          <w:spacing w:val="-66"/>
          <w:w w:val="100"/>
        </w:rPr>
      </w:r>
      <w:r>
        <w:rPr>
          <w:spacing w:val="-3"/>
        </w:rPr>
        <w:t>项目，并将剩余募集资金</w:t>
      </w:r>
      <w:r>
        <w:rPr>
          <w:rFonts w:ascii="Times New Roman" w:hAnsi="Times New Roman" w:cs="Times New Roman" w:eastAsia="Times New Roman" w:hint="default"/>
          <w:spacing w:val="-3"/>
        </w:rPr>
        <w:t>20,724,315.11</w:t>
      </w:r>
      <w:r>
        <w:rPr>
          <w:spacing w:val="-3"/>
        </w:rPr>
        <w:t>元（具体金额以实际结转时专户资金余额为准）永久补充公</w:t>
      </w:r>
      <w:r>
        <w:rPr>
          <w:spacing w:val="-42"/>
        </w:rPr>
        <w:t> </w:t>
      </w:r>
      <w:r>
        <w:rPr>
          <w:spacing w:val="-42"/>
        </w:rPr>
      </w:r>
      <w:r>
        <w:rPr/>
        <w:t>司流动资金。</w:t>
      </w:r>
      <w:r>
        <w:rPr>
          <w:w w:val="100"/>
        </w:rPr>
        <w:t> </w:t>
      </w:r>
      <w:r>
        <w:rPr>
          <w:spacing w:val="-3"/>
        </w:rPr>
        <w:t>截止本报告日，公司已将剩余募集资金</w:t>
      </w:r>
      <w:r>
        <w:rPr>
          <w:rFonts w:ascii="Times New Roman" w:hAnsi="Times New Roman" w:cs="Times New Roman" w:eastAsia="Times New Roman" w:hint="default"/>
          <w:spacing w:val="-3"/>
        </w:rPr>
        <w:t>20,743,048.82</w:t>
      </w:r>
      <w:r>
        <w:rPr>
          <w:spacing w:val="-3"/>
        </w:rPr>
        <w:t>元（含利息收入）全部转入公司一般账户，并</w:t>
      </w:r>
    </w:p>
    <w:p>
      <w:pPr>
        <w:pStyle w:val="BodyText"/>
        <w:spacing w:line="240" w:lineRule="auto"/>
        <w:ind w:left="112" w:right="1133"/>
        <w:jc w:val="left"/>
      </w:pPr>
      <w:r>
        <w:rPr/>
        <w:t>办理了募集资金专用账户的注销手续。</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ind w:right="1133"/>
        <w:jc w:val="left"/>
        <w:rPr>
          <w:b w:val="0"/>
          <w:bCs w:val="0"/>
        </w:rPr>
      </w:pPr>
      <w:bookmarkStart w:name="十六、其他重要事项" w:id="511"/>
      <w:bookmarkEnd w:id="511"/>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前期会计差错更正" w:id="512"/>
      <w:bookmarkEnd w:id="51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133"/>
        <w:jc w:val="left"/>
        <w:rPr>
          <w:b w:val="0"/>
          <w:bCs w:val="0"/>
        </w:rPr>
      </w:pPr>
      <w:bookmarkStart w:name="（1）追溯重述法" w:id="513"/>
      <w:bookmarkEnd w:id="51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未来适用法" w:id="514"/>
      <w:bookmarkEnd w:id="51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b/>
          <w:bCs/>
          <w:sz w:val="21"/>
          <w:szCs w:val="21"/>
        </w:rPr>
      </w:pPr>
    </w:p>
    <w:p>
      <w:pPr>
        <w:spacing w:line="506" w:lineRule="auto" w:before="36"/>
        <w:ind w:left="112" w:right="6794" w:firstLine="0"/>
        <w:jc w:val="left"/>
        <w:rPr>
          <w:rFonts w:ascii="宋体" w:hAnsi="宋体" w:cs="宋体" w:eastAsia="宋体" w:hint="default"/>
          <w:sz w:val="21"/>
          <w:szCs w:val="21"/>
        </w:rPr>
      </w:pPr>
      <w:bookmarkStart w:name="2、债务重组" w:id="515"/>
      <w:bookmarkEnd w:id="51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本报告期未发生重要的债务重组事项。</w:t>
      </w:r>
    </w:p>
    <w:p>
      <w:pPr>
        <w:spacing w:line="240" w:lineRule="auto" w:before="0"/>
        <w:rPr>
          <w:rFonts w:ascii="宋体" w:hAnsi="宋体" w:cs="宋体" w:eastAsia="宋体" w:hint="default"/>
          <w:sz w:val="20"/>
          <w:szCs w:val="20"/>
        </w:rPr>
      </w:pPr>
    </w:p>
    <w:p>
      <w:pPr>
        <w:pStyle w:val="Heading6"/>
        <w:spacing w:line="240" w:lineRule="auto" w:before="154"/>
        <w:ind w:right="1133"/>
        <w:jc w:val="left"/>
        <w:rPr>
          <w:b w:val="0"/>
          <w:bCs w:val="0"/>
        </w:rPr>
      </w:pPr>
      <w:bookmarkStart w:name="3、资产置换" w:id="516"/>
      <w:bookmarkEnd w:id="51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spacing w:line="506" w:lineRule="auto" w:before="0"/>
        <w:ind w:left="112" w:right="4994" w:firstLine="0"/>
        <w:jc w:val="left"/>
        <w:rPr>
          <w:rFonts w:ascii="宋体" w:hAnsi="宋体" w:cs="宋体" w:eastAsia="宋体" w:hint="default"/>
          <w:sz w:val="21"/>
          <w:szCs w:val="21"/>
        </w:rPr>
      </w:pPr>
      <w:bookmarkStart w:name="（1）非货币性资产交换" w:id="517"/>
      <w:bookmarkEnd w:id="5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本报告期未发生重要的非货币性资产交换。</w:t>
      </w:r>
    </w:p>
    <w:p>
      <w:pPr>
        <w:pStyle w:val="Heading6"/>
        <w:spacing w:line="240" w:lineRule="auto" w:before="104"/>
        <w:ind w:right="1133"/>
        <w:jc w:val="left"/>
        <w:rPr>
          <w:b w:val="0"/>
          <w:bCs w:val="0"/>
        </w:rPr>
      </w:pPr>
      <w:bookmarkStart w:name="（2）其他资产置换" w:id="518"/>
      <w:bookmarkEnd w:id="51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29"/>
          <w:szCs w:val="29"/>
        </w:rPr>
      </w:pPr>
    </w:p>
    <w:p>
      <w:pPr>
        <w:spacing w:line="506" w:lineRule="auto" w:before="0"/>
        <w:ind w:left="112" w:right="8284" w:firstLine="0"/>
        <w:jc w:val="left"/>
        <w:rPr>
          <w:rFonts w:ascii="宋体" w:hAnsi="宋体" w:cs="宋体" w:eastAsia="宋体" w:hint="default"/>
          <w:sz w:val="21"/>
          <w:szCs w:val="21"/>
        </w:rPr>
      </w:pPr>
      <w:bookmarkStart w:name="4、年金计划" w:id="519"/>
      <w:bookmarkEnd w:id="51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本报告期无年金计划。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6"/>
        <w:spacing w:line="240" w:lineRule="auto"/>
        <w:ind w:right="1133"/>
        <w:jc w:val="left"/>
        <w:rPr>
          <w:b w:val="0"/>
          <w:bCs w:val="0"/>
        </w:rPr>
      </w:pPr>
      <w:bookmarkStart w:name="5、终止经营" w:id="520"/>
      <w:bookmarkEnd w:id="52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上海金档信息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50,567,718.82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59,490,906.78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-8,161,521.58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181,082.27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-8,342,603.85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-8,342,603.85</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6、分部信息" w:id="521"/>
      <w:bookmarkEnd w:id="52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报告分部的确定依据与会计政策" w:id="522"/>
      <w:bookmarkEnd w:id="52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2）报告分部的财务信息" w:id="523"/>
      <w:bookmarkEnd w:id="52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3）公司无报告分部的，或者不能披露各报告分部的资产总额和负债总额的，应说明原因" w:id="524"/>
      <w:bookmarkEnd w:id="52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4）其他说明" w:id="525"/>
      <w:bookmarkEnd w:id="52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7、其他对投资者决策有影响的重要交易和事项" w:id="526"/>
      <w:bookmarkEnd w:id="52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8、其他" w:id="527"/>
      <w:bookmarkEnd w:id="527"/>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826" w:right="986" w:firstLine="62"/>
        <w:jc w:val="left"/>
      </w:pPr>
      <w:r>
        <w:rPr>
          <w:rFonts w:ascii="宋体" w:hAnsi="宋体" w:cs="宋体" w:eastAsia="宋体" w:hint="default"/>
          <w:b/>
          <w:bCs/>
        </w:rPr>
        <w:t>关于公司限制性股票的事项</w:t>
      </w:r>
      <w:r>
        <w:rPr>
          <w:rFonts w:ascii="宋体" w:hAnsi="宋体" w:cs="宋体" w:eastAsia="宋体" w:hint="default"/>
          <w:b/>
          <w:bCs/>
          <w:w w:val="10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日，经公司第三届董事会第九次会议审议并通过了《关于</w:t>
      </w:r>
      <w:r>
        <w:rPr>
          <w:rFonts w:ascii="Times New Roman" w:hAnsi="Times New Roman" w:cs="Times New Roman" w:eastAsia="Times New Roman" w:hint="default"/>
        </w:rPr>
        <w:t>&lt;</w:t>
      </w:r>
      <w:r>
        <w:rPr/>
        <w:t>上海中信信息发展股份</w:t>
      </w:r>
      <w:r>
        <w:rPr>
          <w:w w:val="100"/>
        </w:rPr>
        <w:t> </w:t>
      </w:r>
      <w:r>
        <w:rPr>
          <w:spacing w:val="-7"/>
          <w:w w:val="100"/>
        </w:rPr>
        <w:t>有限公司首期限制性股票激励计划（草案）</w:t>
      </w:r>
      <w:r>
        <w:rPr>
          <w:rFonts w:ascii="Times New Roman" w:hAnsi="Times New Roman" w:cs="Times New Roman" w:eastAsia="Times New Roman" w:hint="default"/>
          <w:spacing w:val="-7"/>
          <w:w w:val="100"/>
        </w:rPr>
        <w:t>&gt;</w:t>
      </w:r>
      <w:r>
        <w:rPr>
          <w:spacing w:val="-7"/>
          <w:w w:val="100"/>
        </w:rPr>
        <w:t>及其摘要的议案》、《上海中信信息发展股份有限公司</w:t>
      </w:r>
      <w:r>
        <w:rPr>
          <w:spacing w:val="-81"/>
          <w:w w:val="100"/>
        </w:rPr>
        <w:t> </w:t>
      </w:r>
      <w:r>
        <w:rPr>
          <w:spacing w:val="-81"/>
          <w:w w:val="100"/>
        </w:rPr>
      </w:r>
      <w:r>
        <w:rPr>
          <w:spacing w:val="-4"/>
          <w:w w:val="100"/>
        </w:rPr>
        <w:t>首期限制性股票激励计划实施考核管理办法》，并于</w:t>
      </w:r>
      <w:r>
        <w:rPr>
          <w:rFonts w:ascii="Times New Roman" w:hAnsi="Times New Roman" w:cs="Times New Roman" w:eastAsia="Times New Roman" w:hint="default"/>
          <w:spacing w:val="-4"/>
          <w:w w:val="100"/>
        </w:rPr>
        <w:t>2016</w:t>
      </w:r>
      <w:r>
        <w:rPr>
          <w:spacing w:val="-4"/>
          <w:w w:val="100"/>
        </w:rPr>
        <w:t>年</w:t>
      </w:r>
      <w:r>
        <w:rPr>
          <w:rFonts w:ascii="Times New Roman" w:hAnsi="Times New Roman" w:cs="Times New Roman" w:eastAsia="Times New Roman" w:hint="default"/>
          <w:spacing w:val="-4"/>
          <w:w w:val="100"/>
        </w:rPr>
        <w:t>6</w:t>
      </w:r>
      <w:r>
        <w:rPr>
          <w:spacing w:val="-4"/>
          <w:w w:val="100"/>
        </w:rPr>
        <w:t>月</w:t>
      </w:r>
      <w:r>
        <w:rPr>
          <w:rFonts w:ascii="Times New Roman" w:hAnsi="Times New Roman" w:cs="Times New Roman" w:eastAsia="Times New Roman" w:hint="default"/>
          <w:spacing w:val="-4"/>
          <w:w w:val="100"/>
        </w:rPr>
        <w:t>6</w:t>
      </w:r>
      <w:r>
        <w:rPr>
          <w:spacing w:val="-4"/>
          <w:w w:val="100"/>
        </w:rPr>
        <w:t>日召开的</w:t>
      </w:r>
      <w:r>
        <w:rPr>
          <w:rFonts w:ascii="Times New Roman" w:hAnsi="Times New Roman" w:cs="Times New Roman" w:eastAsia="Times New Roman" w:hint="default"/>
          <w:spacing w:val="-4"/>
          <w:w w:val="100"/>
        </w:rPr>
        <w:t>2016</w:t>
      </w:r>
      <w:r>
        <w:rPr>
          <w:spacing w:val="-4"/>
          <w:w w:val="100"/>
        </w:rPr>
        <w:t>年第一次临时股东大</w:t>
      </w:r>
      <w:r>
        <w:rPr>
          <w:spacing w:val="-75"/>
          <w:w w:val="100"/>
        </w:rPr>
        <w:t> </w:t>
      </w:r>
      <w:r>
        <w:rPr>
          <w:spacing w:val="-75"/>
          <w:w w:val="100"/>
        </w:rPr>
      </w:r>
      <w:r>
        <w:rPr/>
        <w:t>会审议并通过。</w:t>
      </w:r>
      <w:r>
        <w:rPr>
          <w:spacing w:val="-103"/>
        </w:rPr>
        <w:t> </w:t>
      </w:r>
      <w:r>
        <w:rPr>
          <w:spacing w:val="-103"/>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日，经公司第三届董事会第十次会议审议并通过《关于向激励对象授予限制性股票的</w:t>
      </w:r>
      <w:r>
        <w:rPr>
          <w:w w:val="100"/>
        </w:rPr>
        <w:t> </w:t>
      </w:r>
      <w:r>
        <w:rPr>
          <w:spacing w:val="-2"/>
          <w:w w:val="100"/>
        </w:rPr>
        <w:t>议案》，公司向符合授予条件的</w:t>
      </w:r>
      <w:r>
        <w:rPr>
          <w:rFonts w:ascii="Times New Roman" w:hAnsi="Times New Roman" w:cs="Times New Roman" w:eastAsia="Times New Roman" w:hint="default"/>
          <w:spacing w:val="-2"/>
          <w:w w:val="100"/>
        </w:rPr>
        <w:t>83</w:t>
      </w:r>
      <w:r>
        <w:rPr>
          <w:spacing w:val="-2"/>
          <w:w w:val="100"/>
        </w:rPr>
        <w:t>名激励对象授予</w:t>
      </w:r>
      <w:r>
        <w:rPr>
          <w:rFonts w:ascii="Times New Roman" w:hAnsi="Times New Roman" w:cs="Times New Roman" w:eastAsia="Times New Roman" w:hint="default"/>
          <w:spacing w:val="-2"/>
          <w:w w:val="100"/>
        </w:rPr>
        <w:t>150</w:t>
      </w:r>
      <w:r>
        <w:rPr>
          <w:spacing w:val="-2"/>
          <w:w w:val="100"/>
        </w:rPr>
        <w:t>万股限制性股票。独立董事发表了相关事项</w:t>
      </w:r>
      <w:r>
        <w:rPr>
          <w:spacing w:val="-72"/>
          <w:w w:val="100"/>
        </w:rPr>
        <w:t> </w:t>
      </w:r>
      <w:r>
        <w:rPr>
          <w:spacing w:val="-72"/>
          <w:w w:val="100"/>
        </w:rPr>
      </w:r>
      <w:r>
        <w:rPr/>
        <w:t>的独立意见。</w:t>
      </w:r>
      <w:r>
        <w:rPr>
          <w:w w:val="100"/>
        </w:rPr>
        <w:t> </w:t>
      </w:r>
      <w:r>
        <w:rPr>
          <w:rFonts w:ascii="Times New Roman" w:hAnsi="Times New Roman" w:cs="Times New Roman" w:eastAsia="Times New Roman" w:hint="default"/>
          <w:spacing w:val="-2"/>
          <w:w w:val="100"/>
        </w:rPr>
        <w:t>2016</w:t>
      </w:r>
      <w:r>
        <w:rPr>
          <w:spacing w:val="-2"/>
          <w:w w:val="100"/>
        </w:rPr>
        <w:t>年</w:t>
      </w:r>
      <w:r>
        <w:rPr>
          <w:rFonts w:ascii="Times New Roman" w:hAnsi="Times New Roman" w:cs="Times New Roman" w:eastAsia="Times New Roman" w:hint="default"/>
          <w:spacing w:val="-2"/>
          <w:w w:val="100"/>
        </w:rPr>
        <w:t>8</w:t>
      </w:r>
      <w:r>
        <w:rPr>
          <w:spacing w:val="-2"/>
          <w:w w:val="100"/>
        </w:rPr>
        <w:t>月</w:t>
      </w:r>
      <w:r>
        <w:rPr>
          <w:rFonts w:ascii="Times New Roman" w:hAnsi="Times New Roman" w:cs="Times New Roman" w:eastAsia="Times New Roman" w:hint="default"/>
          <w:spacing w:val="-2"/>
          <w:w w:val="100"/>
        </w:rPr>
        <w:t>19</w:t>
      </w:r>
      <w:r>
        <w:rPr>
          <w:spacing w:val="-2"/>
          <w:w w:val="100"/>
        </w:rPr>
        <w:t>日，公司披露《关于首期限制性股票授予完成的公告》，授予的限制性股票已于</w:t>
      </w:r>
      <w:r>
        <w:rPr>
          <w:rFonts w:ascii="Times New Roman" w:hAnsi="Times New Roman" w:cs="Times New Roman" w:eastAsia="Times New Roman" w:hint="default"/>
          <w:spacing w:val="-2"/>
          <w:w w:val="100"/>
        </w:rPr>
        <w:t>2016</w:t>
      </w:r>
      <w:r>
        <w:rPr>
          <w:rFonts w:ascii="Times New Roman" w:hAnsi="Times New Roman" w:cs="Times New Roman" w:eastAsia="Times New Roman" w:hint="default"/>
          <w:spacing w:val="-10"/>
          <w:w w:val="100"/>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日上市，为限售流通股。</w:t>
      </w:r>
      <w:r>
        <w:rPr>
          <w:w w:val="10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日，公司召开第四届董事会第二十四次会议，审议通过了《关于调整限制性股票回购</w:t>
      </w:r>
      <w:r>
        <w:rPr>
          <w:w w:val="100"/>
        </w:rPr>
        <w:t> </w:t>
      </w:r>
      <w:r>
        <w:rPr>
          <w:spacing w:val="-4"/>
          <w:w w:val="100"/>
        </w:rPr>
        <w:t>价格及回购注销部分限制性股票的议案》，根据《</w:t>
      </w:r>
      <w:r>
        <w:rPr>
          <w:rFonts w:ascii="Times New Roman" w:hAnsi="Times New Roman" w:cs="Times New Roman" w:eastAsia="Times New Roman" w:hint="default"/>
          <w:spacing w:val="-4"/>
          <w:w w:val="100"/>
        </w:rPr>
        <w:t>2018</w:t>
      </w:r>
      <w:r>
        <w:rPr>
          <w:spacing w:val="-4"/>
          <w:w w:val="100"/>
        </w:rPr>
        <w:t>年业绩快报》出具的数据，按照《上海中信</w:t>
      </w:r>
      <w:r>
        <w:rPr>
          <w:spacing w:val="-95"/>
          <w:w w:val="100"/>
        </w:rPr>
        <w:t> </w:t>
      </w:r>
      <w:r>
        <w:rPr>
          <w:spacing w:val="-95"/>
          <w:w w:val="100"/>
        </w:rPr>
      </w:r>
      <w:r>
        <w:rPr>
          <w:spacing w:val="-4"/>
          <w:w w:val="100"/>
        </w:rPr>
        <w:t>信息发展股份有限公司首期限制性股票激励计划（草案）》的相关规定，公司董事会认定首次授予</w:t>
      </w:r>
      <w:r>
        <w:rPr>
          <w:spacing w:val="-99"/>
          <w:w w:val="100"/>
        </w:rPr>
        <w:t> </w:t>
      </w:r>
      <w:r>
        <w:rPr>
          <w:spacing w:val="-99"/>
          <w:w w:val="100"/>
        </w:rPr>
      </w:r>
      <w:r>
        <w:rPr/>
        <w:t>限制性股票未达到第三个解锁期公司层面业绩考核条件，依据公司股东大会的授权，按相关程序</w:t>
      </w:r>
      <w:r>
        <w:rPr>
          <w:spacing w:val="-9"/>
        </w:rPr>
        <w:t> </w:t>
      </w:r>
      <w:r>
        <w:rPr>
          <w:spacing w:val="-9"/>
        </w:rPr>
      </w:r>
      <w:r>
        <w:rPr/>
        <w:t>办理回购注销未达到第三个解锁期解锁条件的首次授予限制性股票。</w:t>
      </w:r>
      <w:r>
        <w:rPr>
          <w:w w:val="100"/>
        </w:rPr>
        <w:t> </w:t>
      </w:r>
      <w:r>
        <w:rPr>
          <w:spacing w:val="-3"/>
        </w:rPr>
        <w:t>上述限制性股票为</w:t>
      </w:r>
      <w:r>
        <w:rPr>
          <w:rFonts w:ascii="Times New Roman" w:hAnsi="Times New Roman" w:cs="Times New Roman" w:eastAsia="Times New Roman" w:hint="default"/>
          <w:spacing w:val="-3"/>
        </w:rPr>
        <w:t>30.8778</w:t>
      </w:r>
      <w:r>
        <w:rPr>
          <w:spacing w:val="-3"/>
        </w:rPr>
        <w:t>元</w:t>
      </w:r>
      <w:r>
        <w:rPr>
          <w:rFonts w:ascii="Times New Roman" w:hAnsi="Times New Roman" w:cs="Times New Roman" w:eastAsia="Times New Roman" w:hint="default"/>
          <w:spacing w:val="-3"/>
        </w:rPr>
        <w:t>/</w:t>
      </w:r>
      <w:r>
        <w:rPr>
          <w:spacing w:val="-3"/>
        </w:rPr>
        <w:t>股，回购注销股份数量为</w:t>
      </w:r>
      <w:r>
        <w:rPr>
          <w:rFonts w:ascii="Times New Roman" w:hAnsi="Times New Roman" w:cs="Times New Roman" w:eastAsia="Times New Roman" w:hint="default"/>
          <w:spacing w:val="-3"/>
        </w:rPr>
        <w:t>1,002,240</w:t>
      </w:r>
      <w:r>
        <w:rPr>
          <w:spacing w:val="-3"/>
        </w:rPr>
        <w:t>股，回购总金额为</w:t>
      </w:r>
      <w:r>
        <w:rPr>
          <w:rFonts w:ascii="Times New Roman" w:hAnsi="Times New Roman" w:cs="Times New Roman" w:eastAsia="Times New Roman" w:hint="default"/>
          <w:spacing w:val="-3"/>
        </w:rPr>
        <w:t>30,946,966.27</w:t>
      </w:r>
      <w:r>
        <w:rPr>
          <w:spacing w:val="-3"/>
        </w:rPr>
        <w:t>元，</w:t>
      </w:r>
      <w:r>
        <w:rPr>
          <w:spacing w:val="-1"/>
        </w:rPr>
        <w:t> </w:t>
      </w:r>
      <w:r>
        <w:rPr/>
        <w:t>回购资金为公司自有资金。</w:t>
      </w:r>
    </w:p>
    <w:p>
      <w:pPr>
        <w:pStyle w:val="BodyText"/>
        <w:spacing w:line="256" w:lineRule="auto" w:before="16"/>
        <w:ind w:left="826" w:right="1133"/>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26</w:t>
      </w:r>
      <w:r>
        <w:rPr>
          <w:spacing w:val="-3"/>
        </w:rPr>
        <w:t>日，公司完成上述回购注销的限制性股票为</w:t>
      </w:r>
      <w:r>
        <w:rPr>
          <w:rFonts w:ascii="Times New Roman" w:hAnsi="Times New Roman" w:cs="Times New Roman" w:eastAsia="Times New Roman" w:hint="default"/>
          <w:spacing w:val="-3"/>
        </w:rPr>
        <w:t>1,002,240 </w:t>
      </w:r>
      <w:r>
        <w:rPr>
          <w:spacing w:val="-5"/>
        </w:rPr>
        <w:t>股，上述限制性股票已在中国证</w:t>
      </w:r>
      <w:r>
        <w:rPr>
          <w:spacing w:val="-81"/>
        </w:rPr>
        <w:t> </w:t>
      </w:r>
      <w:r>
        <w:rPr>
          <w:spacing w:val="-81"/>
        </w:rPr>
      </w:r>
      <w:r>
        <w:rPr/>
        <w:t>券登记结算有限责任公司深圳分公司完成回购、注销手续。</w:t>
      </w:r>
    </w:p>
    <w:p>
      <w:pPr>
        <w:spacing w:line="240" w:lineRule="auto" w:before="7"/>
        <w:rPr>
          <w:rFonts w:ascii="宋体" w:hAnsi="宋体" w:cs="宋体" w:eastAsia="宋体" w:hint="default"/>
          <w:sz w:val="25"/>
          <w:szCs w:val="25"/>
        </w:rPr>
      </w:pPr>
    </w:p>
    <w:p>
      <w:pPr>
        <w:pStyle w:val="BodyText"/>
        <w:spacing w:line="261" w:lineRule="auto"/>
        <w:ind w:left="826" w:right="986" w:firstLine="62"/>
        <w:jc w:val="left"/>
      </w:pPr>
      <w:r>
        <w:rPr>
          <w:rFonts w:ascii="宋体" w:hAnsi="宋体" w:cs="宋体" w:eastAsia="宋体" w:hint="default"/>
          <w:b/>
          <w:bCs/>
        </w:rPr>
        <w:t>关于回购公司股份的事项</w:t>
      </w:r>
      <w:r>
        <w:rPr>
          <w:rFonts w:ascii="宋体" w:hAnsi="宋体" w:cs="宋体" w:eastAsia="宋体" w:hint="default"/>
          <w:b/>
          <w:bCs/>
          <w:w w:val="100"/>
        </w:rPr>
        <w:t> </w:t>
      </w:r>
      <w:r>
        <w:rPr>
          <w:rFonts w:ascii="Times New Roman" w:hAnsi="Times New Roman" w:cs="Times New Roman" w:eastAsia="Times New Roman" w:hint="default"/>
          <w:spacing w:val="-8"/>
          <w:w w:val="100"/>
        </w:rPr>
        <w:t>2018</w:t>
      </w:r>
      <w:r>
        <w:rPr>
          <w:spacing w:val="-8"/>
          <w:w w:val="100"/>
        </w:rPr>
        <w:t>年</w:t>
      </w:r>
      <w:r>
        <w:rPr>
          <w:rFonts w:ascii="Times New Roman" w:hAnsi="Times New Roman" w:cs="Times New Roman" w:eastAsia="Times New Roman" w:hint="default"/>
          <w:spacing w:val="-8"/>
          <w:w w:val="100"/>
        </w:rPr>
        <w:t>9</w:t>
      </w:r>
      <w:r>
        <w:rPr>
          <w:spacing w:val="-8"/>
          <w:w w:val="100"/>
        </w:rPr>
        <w:t>月</w:t>
      </w:r>
      <w:r>
        <w:rPr>
          <w:rFonts w:ascii="Times New Roman" w:hAnsi="Times New Roman" w:cs="Times New Roman" w:eastAsia="Times New Roman" w:hint="default"/>
          <w:spacing w:val="-8"/>
          <w:w w:val="100"/>
        </w:rPr>
        <w:t>20</w:t>
      </w:r>
      <w:r>
        <w:rPr>
          <w:spacing w:val="-8"/>
          <w:w w:val="100"/>
        </w:rPr>
        <w:t>日，公司召开第四届董事会第十九次会议，审议并通过了《关于回购公司股份的预案》，</w:t>
      </w:r>
      <w:r>
        <w:rPr>
          <w:spacing w:val="-99"/>
          <w:w w:val="100"/>
        </w:rPr>
        <w:t> </w:t>
      </w:r>
      <w:r>
        <w:rPr>
          <w:spacing w:val="-99"/>
          <w:w w:val="100"/>
        </w:rPr>
      </w:r>
      <w:r>
        <w:rPr/>
        <w:t>公司拟使用自筹资金以集中竞价、大宗交易及中国证监会认可的其他方式回购公司股份，用于后</w:t>
      </w:r>
      <w:r>
        <w:rPr>
          <w:spacing w:val="-9"/>
        </w:rPr>
        <w:t> </w:t>
      </w:r>
      <w:r>
        <w:rPr>
          <w:spacing w:val="-9"/>
        </w:rPr>
      </w:r>
      <w:r>
        <w:rPr/>
        <w:t>期实施股权激励计划、员工持股计划或依法予以注销并相应减少注册资本。</w:t>
      </w:r>
      <w:r>
        <w:rPr>
          <w:w w:val="100"/>
        </w:rPr>
        <w:t> </w:t>
      </w:r>
      <w:r>
        <w:rPr>
          <w:spacing w:val="-4"/>
        </w:rPr>
        <w:t>本次回购股份的种类为本公司发行的</w:t>
      </w:r>
      <w:r>
        <w:rPr>
          <w:rFonts w:ascii="Times New Roman" w:hAnsi="Times New Roman" w:cs="Times New Roman" w:eastAsia="Times New Roman" w:hint="default"/>
          <w:spacing w:val="-4"/>
        </w:rPr>
        <w:t>A</w:t>
      </w:r>
      <w:r>
        <w:rPr>
          <w:spacing w:val="-4"/>
        </w:rPr>
        <w:t>股股份。回购资金总额不超过（含）人民币</w:t>
      </w:r>
      <w:r>
        <w:rPr>
          <w:rFonts w:ascii="Times New Roman" w:hAnsi="Times New Roman" w:cs="Times New Roman" w:eastAsia="Times New Roman" w:hint="default"/>
          <w:spacing w:val="-4"/>
        </w:rPr>
        <w:t>3,000</w:t>
      </w:r>
      <w:r>
        <w:rPr>
          <w:spacing w:val="-4"/>
        </w:rPr>
        <w:t>万元，且不</w:t>
      </w:r>
      <w:r>
        <w:rPr>
          <w:spacing w:val="-33"/>
        </w:rPr>
        <w:t> </w:t>
      </w:r>
      <w:r>
        <w:rPr>
          <w:spacing w:val="-33"/>
        </w:rPr>
      </w:r>
      <w:r>
        <w:rPr>
          <w:spacing w:val="-3"/>
        </w:rPr>
        <w:t>低于（含）人民币</w:t>
      </w:r>
      <w:r>
        <w:rPr>
          <w:rFonts w:ascii="Times New Roman" w:hAnsi="Times New Roman" w:cs="Times New Roman" w:eastAsia="Times New Roman" w:hint="default"/>
          <w:spacing w:val="-3"/>
        </w:rPr>
        <w:t>2,000</w:t>
      </w:r>
      <w:r>
        <w:rPr>
          <w:spacing w:val="-3"/>
        </w:rPr>
        <w:t>万元，回购股份价格不超过（含）人民币</w:t>
      </w:r>
      <w:r>
        <w:rPr>
          <w:rFonts w:ascii="Times New Roman" w:hAnsi="Times New Roman" w:cs="Times New Roman" w:eastAsia="Times New Roman" w:hint="default"/>
          <w:spacing w:val="-3"/>
        </w:rPr>
        <w:t>30.00</w:t>
      </w:r>
      <w:r>
        <w:rPr>
          <w:spacing w:val="-3"/>
        </w:rPr>
        <w:t>元</w:t>
      </w:r>
      <w:r>
        <w:rPr>
          <w:rFonts w:ascii="Times New Roman" w:hAnsi="Times New Roman" w:cs="Times New Roman" w:eastAsia="Times New Roman" w:hint="default"/>
          <w:spacing w:val="-3"/>
        </w:rPr>
        <w:t>/</w:t>
      </w:r>
      <w:r>
        <w:rPr>
          <w:spacing w:val="-3"/>
        </w:rPr>
        <w:t>股，预计回购股票数量不</w:t>
      </w:r>
      <w:r>
        <w:rPr>
          <w:spacing w:val="-33"/>
        </w:rPr>
        <w:t> </w:t>
      </w:r>
      <w:r>
        <w:rPr>
          <w:spacing w:val="-33"/>
        </w:rPr>
      </w:r>
      <w:r>
        <w:rPr>
          <w:spacing w:val="-2"/>
        </w:rPr>
        <w:t>少于</w:t>
      </w:r>
      <w:r>
        <w:rPr>
          <w:rFonts w:ascii="Times New Roman" w:hAnsi="Times New Roman" w:cs="Times New Roman" w:eastAsia="Times New Roman" w:hint="default"/>
          <w:spacing w:val="-2"/>
        </w:rPr>
        <w:t>100</w:t>
      </w:r>
      <w:r>
        <w:rPr>
          <w:spacing w:val="-2"/>
        </w:rPr>
        <w:t>万股，占公司目前已发行总股本比例约</w:t>
      </w:r>
      <w:r>
        <w:rPr>
          <w:rFonts w:ascii="Times New Roman" w:hAnsi="Times New Roman" w:cs="Times New Roman" w:eastAsia="Times New Roman" w:hint="default"/>
          <w:spacing w:val="-2"/>
        </w:rPr>
        <w:t>0.82%</w:t>
      </w:r>
      <w:r>
        <w:rPr>
          <w:spacing w:val="-2"/>
        </w:rPr>
        <w:t>。本次回购股份的资金来源为公司自筹资金。</w:t>
      </w:r>
      <w:r>
        <w:rPr>
          <w:spacing w:val="-39"/>
        </w:rPr>
        <w:t> </w:t>
      </w:r>
      <w:r>
        <w:rPr>
          <w:spacing w:val="-39"/>
        </w:rPr>
      </w:r>
      <w:r>
        <w:rPr/>
        <w:t>本次回购股份的实施期限为自股东大会审议通过本次回购预案之日起不超过</w:t>
      </w:r>
      <w:r>
        <w:rPr>
          <w:rFonts w:ascii="Times New Roman" w:hAnsi="Times New Roman" w:cs="Times New Roman" w:eastAsia="Times New Roman" w:hint="default"/>
        </w:rPr>
        <w:t>12</w:t>
      </w:r>
      <w:r>
        <w:rPr/>
        <w:t>个月。</w:t>
      </w:r>
      <w:r>
        <w:rPr>
          <w:w w:val="100"/>
        </w:rPr>
        <w:t> </w:t>
      </w:r>
      <w:r>
        <w:rPr/>
        <w:t>上述议案于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2018</w:t>
      </w:r>
      <w:r>
        <w:rPr/>
        <w:t>年第六次临时股东大会审议并通过。</w:t>
      </w:r>
      <w:r>
        <w:rPr>
          <w:w w:val="100"/>
        </w:rPr>
        <w:t> </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日，公司累计通过股票回购专用证券账户以集中竞价交易方式回购公司股份数</w:t>
      </w:r>
      <w:r>
        <w:rPr>
          <w:spacing w:val="-10"/>
        </w:rPr>
        <w:t> </w:t>
      </w:r>
      <w:r>
        <w:rPr>
          <w:spacing w:val="-10"/>
        </w:rPr>
      </w:r>
      <w:r>
        <w:rPr>
          <w:spacing w:val="-2"/>
          <w:w w:val="100"/>
        </w:rPr>
        <w:t>量为</w:t>
      </w:r>
      <w:r>
        <w:rPr>
          <w:rFonts w:ascii="Times New Roman" w:hAnsi="Times New Roman" w:cs="Times New Roman" w:eastAsia="Times New Roman" w:hint="default"/>
          <w:spacing w:val="-2"/>
          <w:w w:val="100"/>
        </w:rPr>
        <w:t>1,122,200</w:t>
      </w:r>
      <w:r>
        <w:rPr>
          <w:spacing w:val="-2"/>
          <w:w w:val="100"/>
        </w:rPr>
        <w:t>股，支付的总金额为</w:t>
      </w:r>
      <w:r>
        <w:rPr>
          <w:rFonts w:ascii="Times New Roman" w:hAnsi="Times New Roman" w:cs="Times New Roman" w:eastAsia="Times New Roman" w:hint="default"/>
          <w:spacing w:val="-2"/>
          <w:w w:val="100"/>
        </w:rPr>
        <w:t>20,001,619.42</w:t>
      </w:r>
      <w:r>
        <w:rPr>
          <w:spacing w:val="-2"/>
          <w:w w:val="100"/>
        </w:rPr>
        <w:t>元（不含交易费用）。公司实际回购资金总额已达</w:t>
      </w:r>
      <w:r>
        <w:rPr>
          <w:spacing w:val="-104"/>
          <w:w w:val="100"/>
        </w:rPr>
        <w:t> </w:t>
      </w:r>
      <w:r>
        <w:rPr>
          <w:spacing w:val="-104"/>
          <w:w w:val="100"/>
        </w:rPr>
      </w:r>
      <w:r>
        <w:rPr/>
        <w:t>回购方案中回购资金总额的下限，且不超过回购方案中回购资金总额的上限，本次回购公司股份</w:t>
      </w:r>
      <w:r>
        <w:rPr>
          <w:spacing w:val="-9"/>
        </w:rPr>
        <w:t> </w:t>
      </w:r>
      <w:r>
        <w:rPr>
          <w:spacing w:val="-9"/>
        </w:rPr>
      </w:r>
      <w:r>
        <w:rPr/>
        <w:t>方案已实施完毕。</w:t>
      </w:r>
    </w:p>
    <w:p>
      <w:pPr>
        <w:spacing w:line="240" w:lineRule="auto" w:before="3"/>
        <w:rPr>
          <w:rFonts w:ascii="宋体" w:hAnsi="宋体" w:cs="宋体" w:eastAsia="宋体" w:hint="default"/>
          <w:sz w:val="25"/>
          <w:szCs w:val="25"/>
        </w:rPr>
      </w:pPr>
    </w:p>
    <w:p>
      <w:pPr>
        <w:pStyle w:val="Heading6"/>
        <w:spacing w:line="240" w:lineRule="auto"/>
        <w:ind w:left="888" w:right="1133"/>
        <w:jc w:val="left"/>
        <w:rPr>
          <w:b w:val="0"/>
          <w:bCs w:val="0"/>
        </w:rPr>
      </w:pPr>
      <w:r>
        <w:rPr/>
        <w:t>关于公司发行股份购买资产并募集配套资金方案暨关联交易方案的事项</w:t>
      </w:r>
      <w:r>
        <w:rPr>
          <w:b w:val="0"/>
          <w:bCs w:val="0"/>
        </w:rPr>
      </w:r>
    </w:p>
    <w:p>
      <w:pPr>
        <w:pStyle w:val="BodyText"/>
        <w:spacing w:line="240" w:lineRule="auto" w:before="37"/>
        <w:ind w:left="826" w:right="1133"/>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日，公司第四届董事会第二十二次会议审议通过的《关于公司发行股份购买资产并</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BodyText"/>
        <w:spacing w:line="240" w:lineRule="auto" w:before="36"/>
        <w:ind w:left="826" w:right="986"/>
        <w:jc w:val="left"/>
      </w:pPr>
      <w:r>
        <w:rPr>
          <w:w w:val="100"/>
        </w:rPr>
        <w:t>募集</w:t>
      </w:r>
      <w:r>
        <w:rPr>
          <w:spacing w:val="-3"/>
          <w:w w:val="100"/>
        </w:rPr>
        <w:t>配</w:t>
      </w:r>
      <w:r>
        <w:rPr>
          <w:w w:val="100"/>
        </w:rPr>
        <w:t>套</w:t>
      </w:r>
      <w:r>
        <w:rPr>
          <w:spacing w:val="-3"/>
          <w:w w:val="100"/>
        </w:rPr>
        <w:t>资</w:t>
      </w:r>
      <w:r>
        <w:rPr>
          <w:w w:val="100"/>
        </w:rPr>
        <w:t>金</w:t>
      </w:r>
      <w:r>
        <w:rPr>
          <w:spacing w:val="-3"/>
          <w:w w:val="100"/>
        </w:rPr>
        <w:t>方</w:t>
      </w:r>
      <w:r>
        <w:rPr>
          <w:w w:val="100"/>
        </w:rPr>
        <w:t>案</w:t>
      </w:r>
      <w:r>
        <w:rPr>
          <w:spacing w:val="-3"/>
          <w:w w:val="100"/>
        </w:rPr>
        <w:t>暨</w:t>
      </w:r>
      <w:r>
        <w:rPr>
          <w:w w:val="100"/>
        </w:rPr>
        <w:t>关</w:t>
      </w:r>
      <w:r>
        <w:rPr>
          <w:spacing w:val="-3"/>
          <w:w w:val="100"/>
        </w:rPr>
        <w:t>联</w:t>
      </w:r>
      <w:r>
        <w:rPr>
          <w:w w:val="100"/>
        </w:rPr>
        <w:t>交易</w:t>
      </w:r>
      <w:r>
        <w:rPr>
          <w:spacing w:val="-3"/>
          <w:w w:val="100"/>
        </w:rPr>
        <w:t>方</w:t>
      </w:r>
      <w:r>
        <w:rPr>
          <w:w w:val="100"/>
        </w:rPr>
        <w:t>案</w:t>
      </w:r>
      <w:r>
        <w:rPr>
          <w:spacing w:val="-3"/>
          <w:w w:val="100"/>
        </w:rPr>
        <w:t>的</w:t>
      </w:r>
      <w:r>
        <w:rPr>
          <w:w w:val="100"/>
        </w:rPr>
        <w:t>议</w:t>
      </w:r>
      <w:r>
        <w:rPr>
          <w:spacing w:val="-3"/>
          <w:w w:val="100"/>
        </w:rPr>
        <w:t>案</w:t>
      </w:r>
      <w:r>
        <w:rPr>
          <w:spacing w:val="-108"/>
          <w:w w:val="100"/>
        </w:rPr>
        <w:t>》</w:t>
      </w:r>
      <w:r>
        <w:rPr>
          <w:w w:val="100"/>
        </w:rPr>
        <w:t>，</w:t>
      </w:r>
      <w:r>
        <w:rPr>
          <w:spacing w:val="-3"/>
          <w:w w:val="100"/>
        </w:rPr>
        <w:t>审</w:t>
      </w:r>
      <w:r>
        <w:rPr>
          <w:w w:val="100"/>
        </w:rPr>
        <w:t>议</w:t>
      </w:r>
      <w:r>
        <w:rPr>
          <w:spacing w:val="-3"/>
          <w:w w:val="100"/>
        </w:rPr>
        <w:t>通</w:t>
      </w:r>
      <w:r>
        <w:rPr>
          <w:w w:val="100"/>
        </w:rPr>
        <w:t>过并</w:t>
      </w:r>
      <w:r>
        <w:rPr>
          <w:spacing w:val="-3"/>
          <w:w w:val="100"/>
        </w:rPr>
        <w:t>与</w:t>
      </w:r>
      <w:r>
        <w:rPr>
          <w:w w:val="100"/>
        </w:rPr>
        <w:t>各</w:t>
      </w:r>
      <w:r>
        <w:rPr>
          <w:spacing w:val="-3"/>
          <w:w w:val="100"/>
        </w:rPr>
        <w:t>标</w:t>
      </w:r>
      <w:r>
        <w:rPr>
          <w:w w:val="100"/>
        </w:rPr>
        <w:t>的</w:t>
      </w:r>
      <w:r>
        <w:rPr>
          <w:spacing w:val="-3"/>
          <w:w w:val="100"/>
        </w:rPr>
        <w:t>资</w:t>
      </w:r>
      <w:r>
        <w:rPr>
          <w:w w:val="100"/>
        </w:rPr>
        <w:t>产</w:t>
      </w:r>
      <w:r>
        <w:rPr>
          <w:spacing w:val="-3"/>
          <w:w w:val="100"/>
        </w:rPr>
        <w:t>交</w:t>
      </w:r>
      <w:r>
        <w:rPr>
          <w:w w:val="100"/>
        </w:rPr>
        <w:t>易</w:t>
      </w:r>
      <w:r>
        <w:rPr>
          <w:spacing w:val="-3"/>
          <w:w w:val="100"/>
        </w:rPr>
        <w:t>对</w:t>
      </w:r>
      <w:r>
        <w:rPr>
          <w:w w:val="100"/>
        </w:rPr>
        <w:t>方签</w:t>
      </w:r>
      <w:r>
        <w:rPr>
          <w:spacing w:val="-3"/>
          <w:w w:val="100"/>
        </w:rPr>
        <w:t>署</w:t>
      </w:r>
      <w:r>
        <w:rPr>
          <w:w w:val="100"/>
        </w:rPr>
        <w:t>附</w:t>
      </w:r>
      <w:r>
        <w:rPr>
          <w:spacing w:val="-3"/>
          <w:w w:val="100"/>
        </w:rPr>
        <w:t>条</w:t>
      </w:r>
      <w:r>
        <w:rPr>
          <w:w w:val="100"/>
        </w:rPr>
        <w:t>件</w:t>
      </w:r>
      <w:r>
        <w:rPr>
          <w:spacing w:val="-3"/>
          <w:w w:val="100"/>
        </w:rPr>
        <w:t>生</w:t>
      </w:r>
      <w:r>
        <w:rPr>
          <w:w w:val="100"/>
        </w:rPr>
        <w:t>效的</w:t>
      </w:r>
    </w:p>
    <w:p>
      <w:pPr>
        <w:pStyle w:val="BodyText"/>
        <w:spacing w:line="261" w:lineRule="auto" w:before="37"/>
        <w:ind w:left="826" w:right="986"/>
        <w:jc w:val="left"/>
      </w:pPr>
      <w:r>
        <w:rPr>
          <w:spacing w:val="-4"/>
          <w:w w:val="100"/>
        </w:rPr>
        <w:t>《公司发行股份购买资产协议》及《盈利预测补偿协议》。本公司拟发行股份购买杭州华亭科技有</w:t>
      </w:r>
      <w:r>
        <w:rPr>
          <w:spacing w:val="-99"/>
          <w:w w:val="100"/>
        </w:rPr>
        <w:t> </w:t>
      </w:r>
      <w:r>
        <w:rPr>
          <w:spacing w:val="-99"/>
          <w:w w:val="100"/>
        </w:rPr>
      </w:r>
      <w:r>
        <w:rPr/>
        <w:t>限公司</w:t>
      </w:r>
      <w:r>
        <w:rPr>
          <w:rFonts w:ascii="Times New Roman" w:hAnsi="Times New Roman" w:cs="Times New Roman" w:eastAsia="Times New Roman" w:hint="default"/>
        </w:rPr>
        <w:t>90%</w:t>
      </w:r>
      <w:r>
        <w:rPr/>
        <w:t>股权，并募集配套资金。</w:t>
      </w:r>
      <w:r>
        <w:rPr>
          <w:w w:val="100"/>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日，公司第四届董事会第二十七次会议审议通过的《关于终止发行股份购买资产并募</w:t>
      </w:r>
      <w:r>
        <w:rPr>
          <w:spacing w:val="-23"/>
        </w:rPr>
        <w:t> </w:t>
      </w:r>
      <w:r>
        <w:rPr>
          <w:spacing w:val="-23"/>
        </w:rPr>
      </w:r>
      <w:r>
        <w:rPr>
          <w:spacing w:val="-5"/>
          <w:w w:val="100"/>
        </w:rPr>
        <w:t>集配套资金的议案》，经公司审慎研究，决定终止本次重组事项。</w:t>
      </w:r>
    </w:p>
    <w:p>
      <w:pPr>
        <w:spacing w:line="240" w:lineRule="auto" w:before="3"/>
        <w:rPr>
          <w:rFonts w:ascii="宋体" w:hAnsi="宋体" w:cs="宋体" w:eastAsia="宋体" w:hint="default"/>
          <w:sz w:val="25"/>
          <w:szCs w:val="25"/>
        </w:rPr>
      </w:pPr>
    </w:p>
    <w:p>
      <w:pPr>
        <w:pStyle w:val="BodyText"/>
        <w:spacing w:line="264" w:lineRule="auto"/>
        <w:ind w:left="826" w:right="1121" w:firstLine="62"/>
        <w:jc w:val="left"/>
      </w:pPr>
      <w:r>
        <w:rPr>
          <w:rFonts w:ascii="宋体" w:hAnsi="宋体" w:cs="宋体" w:eastAsia="宋体" w:hint="default"/>
          <w:b/>
          <w:bCs/>
        </w:rPr>
        <w:t>关于公司符合公开发行可转换公司债券条件的议案的事项</w:t>
      </w:r>
      <w:r>
        <w:rPr>
          <w:rFonts w:ascii="宋体" w:hAnsi="宋体" w:cs="宋体" w:eastAsia="宋体" w:hint="default"/>
          <w:b/>
          <w:bCs/>
          <w:w w:val="100"/>
        </w:rPr>
        <w:t> </w:t>
      </w:r>
      <w:r>
        <w:rPr/>
        <w:t>公司第四届董事会第二十九次会议及</w:t>
      </w:r>
      <w:r>
        <w:rPr>
          <w:rFonts w:ascii="Times New Roman" w:hAnsi="Times New Roman" w:cs="Times New Roman" w:eastAsia="Times New Roman" w:hint="default"/>
        </w:rPr>
        <w:t>2019</w:t>
      </w:r>
      <w:r>
        <w:rPr>
          <w:rFonts w:ascii="Times New Roman" w:hAnsi="Times New Roman" w:cs="Times New Roman" w:eastAsia="Times New Roman" w:hint="default"/>
          <w:spacing w:val="46"/>
        </w:rPr>
        <w:t> </w:t>
      </w:r>
      <w:r>
        <w:rPr/>
        <w:t>年第二次临时股东大会审议并通过《关于公司符合公开</w:t>
      </w:r>
      <w:r>
        <w:rPr>
          <w:spacing w:val="-103"/>
        </w:rPr>
        <w:t> </w:t>
      </w:r>
      <w:r>
        <w:rPr>
          <w:spacing w:val="-103"/>
        </w:rPr>
      </w:r>
      <w:r>
        <w:rPr>
          <w:spacing w:val="-4"/>
          <w:w w:val="100"/>
        </w:rPr>
        <w:t>发行可转换公司债券条件的议案》，公司拟申请创业板公开发行可转换公司债券。公司计划发行可</w:t>
      </w:r>
      <w:r>
        <w:rPr>
          <w:spacing w:val="-100"/>
          <w:w w:val="100"/>
        </w:rPr>
        <w:t> </w:t>
      </w:r>
      <w:r>
        <w:rPr>
          <w:spacing w:val="-100"/>
          <w:w w:val="100"/>
        </w:rPr>
      </w:r>
      <w:r>
        <w:rPr>
          <w:spacing w:val="-2"/>
          <w:w w:val="100"/>
        </w:rPr>
        <w:t>转债的总规模不超过人民币</w:t>
      </w:r>
      <w:r>
        <w:rPr>
          <w:w w:val="100"/>
        </w:rPr>
        <w:t> </w:t>
      </w:r>
      <w:r>
        <w:rPr>
          <w:rFonts w:ascii="Times New Roman" w:hAnsi="Times New Roman" w:cs="Times New Roman" w:eastAsia="Times New Roman" w:hint="default"/>
          <w:spacing w:val="-1"/>
          <w:w w:val="100"/>
        </w:rPr>
        <w:t>18,500.00</w:t>
      </w:r>
      <w:r>
        <w:rPr>
          <w:rFonts w:ascii="Times New Roman" w:hAnsi="Times New Roman" w:cs="Times New Roman" w:eastAsia="Times New Roman" w:hint="default"/>
          <w:w w:val="100"/>
        </w:rPr>
        <w:t> </w:t>
      </w:r>
      <w:r>
        <w:rPr>
          <w:spacing w:val="-1"/>
          <w:w w:val="100"/>
        </w:rPr>
        <w:t>万元（含</w:t>
      </w:r>
      <w:r>
        <w:rPr>
          <w:w w:val="100"/>
        </w:rPr>
        <w:t> </w:t>
      </w:r>
      <w:r>
        <w:rPr>
          <w:rFonts w:ascii="Times New Roman" w:hAnsi="Times New Roman" w:cs="Times New Roman" w:eastAsia="Times New Roman" w:hint="default"/>
          <w:spacing w:val="-1"/>
          <w:w w:val="100"/>
        </w:rPr>
        <w:t>18,500.00</w:t>
      </w:r>
      <w:r>
        <w:rPr>
          <w:rFonts w:ascii="Times New Roman" w:hAnsi="Times New Roman" w:cs="Times New Roman" w:eastAsia="Times New Roman" w:hint="default"/>
          <w:w w:val="100"/>
        </w:rPr>
        <w:t> </w:t>
      </w:r>
      <w:r>
        <w:rPr>
          <w:spacing w:val="-28"/>
          <w:w w:val="100"/>
        </w:rPr>
        <w:t>万元）。</w:t>
      </w:r>
      <w:r>
        <w:rPr>
          <w:spacing w:val="-71"/>
          <w:w w:val="100"/>
        </w:rPr>
        <w:t> </w:t>
      </w:r>
      <w:r>
        <w:rPr>
          <w:spacing w:val="-71"/>
          <w:w w:val="100"/>
        </w:rPr>
      </w:r>
      <w:r>
        <w:rPr/>
        <w:t>截止本报告日，该议案尚未具体实施。</w:t>
      </w:r>
    </w:p>
    <w:p>
      <w:pPr>
        <w:spacing w:line="240" w:lineRule="auto" w:before="2"/>
        <w:rPr>
          <w:rFonts w:ascii="宋体" w:hAnsi="宋体" w:cs="宋体" w:eastAsia="宋体" w:hint="default"/>
          <w:sz w:val="25"/>
          <w:szCs w:val="25"/>
        </w:rPr>
      </w:pPr>
    </w:p>
    <w:p>
      <w:pPr>
        <w:pStyle w:val="BodyText"/>
        <w:spacing w:line="261" w:lineRule="auto"/>
        <w:ind w:left="826" w:right="1133" w:firstLine="62"/>
        <w:jc w:val="left"/>
      </w:pPr>
      <w:r>
        <w:rPr>
          <w:rFonts w:ascii="宋体" w:hAnsi="宋体" w:cs="宋体" w:eastAsia="宋体" w:hint="default"/>
          <w:b/>
          <w:bCs/>
        </w:rPr>
        <w:t>关于控股子公司追溯云信息发展股份有限公司引进战略投资者的事项</w:t>
      </w:r>
      <w:r>
        <w:rPr>
          <w:rFonts w:ascii="宋体" w:hAnsi="宋体" w:cs="宋体" w:eastAsia="宋体" w:hint="default"/>
          <w:b/>
          <w:bCs/>
          <w:w w:val="100"/>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日，经公司第四届董事会第二十三次会议审议并通过了《关于公司二级控股子公司</w:t>
      </w:r>
      <w:r>
        <w:rPr>
          <w:spacing w:val="-10"/>
        </w:rPr>
        <w:t> </w:t>
      </w:r>
      <w:r>
        <w:rPr>
          <w:spacing w:val="-10"/>
        </w:rPr>
      </w:r>
      <w:r>
        <w:rPr>
          <w:spacing w:val="-2"/>
          <w:w w:val="100"/>
        </w:rPr>
        <w:t>追溯云信息发展股份有限公司引进战略投资者的议案》，并于</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1</w:t>
      </w:r>
      <w:r>
        <w:rPr>
          <w:spacing w:val="-2"/>
          <w:w w:val="100"/>
        </w:rPr>
        <w:t>月</w:t>
      </w:r>
      <w:r>
        <w:rPr>
          <w:rFonts w:ascii="Times New Roman" w:hAnsi="Times New Roman" w:cs="Times New Roman" w:eastAsia="Times New Roman" w:hint="default"/>
          <w:spacing w:val="-2"/>
          <w:w w:val="100"/>
        </w:rPr>
        <w:t>17</w:t>
      </w:r>
      <w:r>
        <w:rPr>
          <w:spacing w:val="-2"/>
          <w:w w:val="100"/>
        </w:rPr>
        <w:t>日召开的</w:t>
      </w:r>
      <w:r>
        <w:rPr>
          <w:rFonts w:ascii="Times New Roman" w:hAnsi="Times New Roman" w:cs="Times New Roman" w:eastAsia="Times New Roman" w:hint="default"/>
          <w:spacing w:val="-2"/>
          <w:w w:val="100"/>
        </w:rPr>
        <w:t>2019</w:t>
      </w:r>
      <w:r>
        <w:rPr>
          <w:spacing w:val="-2"/>
          <w:w w:val="100"/>
        </w:rPr>
        <w:t>年第一次</w:t>
      </w:r>
      <w:r>
        <w:rPr>
          <w:spacing w:val="-67"/>
          <w:w w:val="100"/>
        </w:rPr>
        <w:t> </w:t>
      </w:r>
      <w:r>
        <w:rPr>
          <w:spacing w:val="-67"/>
          <w:w w:val="100"/>
        </w:rPr>
      </w:r>
      <w:r>
        <w:rPr>
          <w:spacing w:val="-4"/>
        </w:rPr>
        <w:t>临时股东大会审议并通过，北海石基信息技术有限公司（以下简称</w:t>
      </w:r>
      <w:r>
        <w:rPr>
          <w:rFonts w:ascii="Times New Roman" w:hAnsi="Times New Roman" w:cs="Times New Roman" w:eastAsia="Times New Roman" w:hint="default"/>
          <w:spacing w:val="-4"/>
        </w:rPr>
        <w:t>“</w:t>
      </w:r>
      <w:r>
        <w:rPr>
          <w:spacing w:val="-4"/>
        </w:rPr>
        <w:t>北海石基</w:t>
      </w:r>
      <w:r>
        <w:rPr>
          <w:rFonts w:ascii="Times New Roman" w:hAnsi="Times New Roman" w:cs="Times New Roman" w:eastAsia="Times New Roman" w:hint="default"/>
          <w:spacing w:val="-4"/>
        </w:rPr>
        <w:t>”</w:t>
      </w:r>
      <w:r>
        <w:rPr>
          <w:spacing w:val="-4"/>
        </w:rPr>
        <w:t>）拟对信息发展二级</w:t>
      </w:r>
      <w:r>
        <w:rPr>
          <w:spacing w:val="-21"/>
        </w:rPr>
        <w:t> </w:t>
      </w:r>
      <w:r>
        <w:rPr>
          <w:spacing w:val="-21"/>
        </w:rPr>
      </w:r>
      <w:r>
        <w:rPr>
          <w:spacing w:val="-3"/>
        </w:rPr>
        <w:t>控股子公司追溯云信息发展股份有限公司（以下简称</w:t>
      </w:r>
      <w:r>
        <w:rPr>
          <w:rFonts w:ascii="Times New Roman" w:hAnsi="Times New Roman" w:cs="Times New Roman" w:eastAsia="Times New Roman" w:hint="default"/>
          <w:spacing w:val="-3"/>
        </w:rPr>
        <w:t>“</w:t>
      </w:r>
      <w:r>
        <w:rPr>
          <w:spacing w:val="-3"/>
        </w:rPr>
        <w:t>追溯云</w:t>
      </w:r>
      <w:r>
        <w:rPr>
          <w:rFonts w:ascii="Times New Roman" w:hAnsi="Times New Roman" w:cs="Times New Roman" w:eastAsia="Times New Roman" w:hint="default"/>
          <w:spacing w:val="-3"/>
        </w:rPr>
        <w:t>”</w:t>
      </w:r>
      <w:r>
        <w:rPr>
          <w:spacing w:val="-3"/>
        </w:rPr>
        <w:t>）进行投资，总投资金额为</w:t>
      </w:r>
      <w:r>
        <w:rPr>
          <w:rFonts w:ascii="Times New Roman" w:hAnsi="Times New Roman" w:cs="Times New Roman" w:eastAsia="Times New Roman" w:hint="default"/>
          <w:spacing w:val="-3"/>
        </w:rPr>
        <w:t>10,000</w:t>
      </w:r>
      <w:r>
        <w:rPr>
          <w:spacing w:val="-3"/>
        </w:rPr>
        <w:t>万</w:t>
      </w:r>
      <w:r>
        <w:rPr>
          <w:spacing w:val="-8"/>
        </w:rPr>
        <w:t> </w:t>
      </w:r>
      <w:r>
        <w:rPr/>
        <w:t>元。</w:t>
      </w:r>
      <w:r>
        <w:rPr>
          <w:spacing w:val="-103"/>
        </w:rPr>
        <w:t> </w:t>
      </w:r>
      <w:r>
        <w:rPr>
          <w:spacing w:val="-2"/>
        </w:rPr>
        <w:t>北海石基拟以</w:t>
      </w:r>
      <w:r>
        <w:rPr>
          <w:rFonts w:ascii="Times New Roman" w:hAnsi="Times New Roman" w:cs="Times New Roman" w:eastAsia="Times New Roman" w:hint="default"/>
          <w:spacing w:val="-2"/>
        </w:rPr>
        <w:t>2,000.00</w:t>
      </w:r>
      <w:r>
        <w:rPr>
          <w:spacing w:val="-2"/>
        </w:rPr>
        <w:t>万元的价格受让追溯云现有股东张曙华所持追溯云</w:t>
      </w:r>
      <w:r>
        <w:rPr>
          <w:rFonts w:ascii="Times New Roman" w:hAnsi="Times New Roman" w:cs="Times New Roman" w:eastAsia="Times New Roman" w:hint="default"/>
          <w:spacing w:val="-2"/>
        </w:rPr>
        <w:t>300</w:t>
      </w:r>
      <w:r>
        <w:rPr>
          <w:spacing w:val="-2"/>
        </w:rPr>
        <w:t>万股股份，以</w:t>
      </w:r>
      <w:r>
        <w:rPr>
          <w:rFonts w:ascii="Times New Roman" w:hAnsi="Times New Roman" w:cs="Times New Roman" w:eastAsia="Times New Roman" w:hint="default"/>
          <w:spacing w:val="-2"/>
        </w:rPr>
        <w:t>2,250.00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2"/>
        </w:rPr>
        <w:t>万元的价格受让追溯云现有股东上海中信电子发展有限公司所持追溯云</w:t>
      </w:r>
      <w:r>
        <w:rPr>
          <w:rFonts w:ascii="Times New Roman" w:hAnsi="Times New Roman" w:cs="Times New Roman" w:eastAsia="Times New Roman" w:hint="default"/>
          <w:spacing w:val="2"/>
        </w:rPr>
        <w:t>337.51</w:t>
      </w:r>
      <w:r>
        <w:rPr>
          <w:spacing w:val="2"/>
        </w:rPr>
        <w:t>万股股份；同时以</w:t>
      </w:r>
      <w:r>
        <w:rPr>
          <w:spacing w:val="-45"/>
        </w:rPr>
        <w:t> </w:t>
      </w:r>
      <w:r>
        <w:rPr>
          <w:spacing w:val="-45"/>
        </w:rPr>
      </w:r>
      <w:r>
        <w:rPr>
          <w:rFonts w:ascii="Times New Roman" w:hAnsi="Times New Roman" w:cs="Times New Roman" w:eastAsia="Times New Roman" w:hint="default"/>
          <w:spacing w:val="-2"/>
        </w:rPr>
        <w:t>5,750</w:t>
      </w:r>
      <w:r>
        <w:rPr>
          <w:spacing w:val="-2"/>
        </w:rPr>
        <w:t>万元的价格认购追溯云新增的注册资本</w:t>
      </w:r>
      <w:r>
        <w:rPr>
          <w:rFonts w:ascii="Times New Roman" w:hAnsi="Times New Roman" w:cs="Times New Roman" w:eastAsia="Times New Roman" w:hint="default"/>
          <w:spacing w:val="-2"/>
        </w:rPr>
        <w:t>862.49</w:t>
      </w:r>
      <w:r>
        <w:rPr>
          <w:spacing w:val="-2"/>
        </w:rPr>
        <w:t>万元，其中：</w:t>
      </w:r>
      <w:r>
        <w:rPr>
          <w:rFonts w:ascii="Times New Roman" w:hAnsi="Times New Roman" w:cs="Times New Roman" w:eastAsia="Times New Roman" w:hint="default"/>
          <w:spacing w:val="-2"/>
        </w:rPr>
        <w:t>862.49</w:t>
      </w:r>
      <w:r>
        <w:rPr>
          <w:spacing w:val="-2"/>
        </w:rPr>
        <w:t>万元计入追溯云注册资本，</w:t>
      </w:r>
      <w:r>
        <w:rPr>
          <w:spacing w:val="-11"/>
        </w:rPr>
        <w:t> </w:t>
      </w:r>
      <w:r>
        <w:rPr>
          <w:spacing w:val="-11"/>
        </w:rPr>
      </w:r>
      <w:r>
        <w:rPr/>
        <w:t>剩余</w:t>
      </w:r>
      <w:r>
        <w:rPr>
          <w:rFonts w:ascii="Times New Roman" w:hAnsi="Times New Roman" w:cs="Times New Roman" w:eastAsia="Times New Roman" w:hint="default"/>
        </w:rPr>
        <w:t>4,887.51</w:t>
      </w:r>
      <w:r>
        <w:rPr/>
        <w:t>万元作为溢价进入追溯云资本公积。</w:t>
      </w:r>
      <w:r>
        <w:rPr>
          <w:w w:val="100"/>
        </w:rPr>
        <w:t> </w:t>
      </w:r>
      <w:r>
        <w:rPr/>
        <w:t>截止本报告日，上述股权转让款及增资款已实际到位，追溯云已完成工商变更登记。</w:t>
      </w:r>
    </w:p>
    <w:p>
      <w:pPr>
        <w:spacing w:line="240" w:lineRule="auto" w:before="4"/>
        <w:rPr>
          <w:rFonts w:ascii="宋体" w:hAnsi="宋体" w:cs="宋体" w:eastAsia="宋体" w:hint="default"/>
          <w:sz w:val="25"/>
          <w:szCs w:val="25"/>
        </w:rPr>
      </w:pPr>
    </w:p>
    <w:p>
      <w:pPr>
        <w:pStyle w:val="Heading6"/>
        <w:spacing w:line="240" w:lineRule="auto"/>
        <w:ind w:left="888" w:right="1133"/>
        <w:jc w:val="left"/>
        <w:rPr>
          <w:b w:val="0"/>
          <w:bCs w:val="0"/>
        </w:rPr>
      </w:pPr>
      <w:r>
        <w:rPr/>
        <w:t>关于公司股权质押等的事项</w:t>
      </w:r>
      <w:r>
        <w:rPr>
          <w:b w:val="0"/>
          <w:bCs w:val="0"/>
        </w:rPr>
      </w:r>
    </w:p>
    <w:p>
      <w:pPr>
        <w:pStyle w:val="BodyText"/>
        <w:spacing w:line="240" w:lineRule="auto" w:before="37"/>
        <w:ind w:left="847" w:right="1133"/>
        <w:jc w:val="left"/>
      </w:pPr>
      <w:r>
        <w:rPr/>
        <w:t>（</w:t>
      </w: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日，公司实际控制人张曙华持有公司股份</w:t>
      </w:r>
      <w:r>
        <w:rPr>
          <w:rFonts w:ascii="Times New Roman" w:hAnsi="Times New Roman" w:cs="Times New Roman" w:eastAsia="Times New Roman" w:hint="default"/>
        </w:rPr>
        <w:t>36,020,479</w:t>
      </w:r>
      <w:r>
        <w:rPr/>
        <w:t>股，占公司总股本的</w:t>
      </w:r>
    </w:p>
    <w:p>
      <w:pPr>
        <w:pStyle w:val="BodyText"/>
        <w:spacing w:line="240" w:lineRule="auto" w:before="21"/>
        <w:ind w:left="847" w:right="1133"/>
        <w:jc w:val="left"/>
      </w:pPr>
      <w:r>
        <w:rPr>
          <w:rFonts w:ascii="Times New Roman" w:hAnsi="Times New Roman" w:cs="Times New Roman" w:eastAsia="Times New Roman" w:hint="default"/>
        </w:rPr>
        <w:t>17.56%</w:t>
      </w:r>
      <w:r>
        <w:rPr/>
        <w:t>。质押的股份总数为</w:t>
      </w:r>
      <w:r>
        <w:rPr>
          <w:rFonts w:ascii="Times New Roman" w:hAnsi="Times New Roman" w:cs="Times New Roman" w:eastAsia="Times New Roman" w:hint="default"/>
        </w:rPr>
        <w:t>33,769,834</w:t>
      </w:r>
      <w:r>
        <w:rPr/>
        <w:t>股，占其持有公司股份总数的</w:t>
      </w:r>
      <w:r>
        <w:rPr>
          <w:rFonts w:ascii="Times New Roman" w:hAnsi="Times New Roman" w:cs="Times New Roman" w:eastAsia="Times New Roman" w:hint="default"/>
        </w:rPr>
        <w:t>93.75%</w:t>
      </w:r>
      <w:r>
        <w:rPr/>
        <w:t>，占公司总股本的</w:t>
      </w:r>
    </w:p>
    <w:p>
      <w:pPr>
        <w:pStyle w:val="BodyText"/>
        <w:spacing w:line="240" w:lineRule="auto" w:before="21"/>
        <w:ind w:left="847" w:right="1133"/>
        <w:jc w:val="left"/>
      </w:pPr>
      <w:r>
        <w:rPr>
          <w:rFonts w:ascii="Times New Roman" w:hAnsi="Times New Roman" w:cs="Times New Roman" w:eastAsia="Times New Roman" w:hint="default"/>
        </w:rPr>
        <w:t>16.46%</w:t>
      </w:r>
      <w:r>
        <w:rPr/>
        <w:t>。</w:t>
      </w:r>
    </w:p>
    <w:p>
      <w:pPr>
        <w:pStyle w:val="BodyText"/>
        <w:spacing w:line="256" w:lineRule="auto" w:before="21"/>
        <w:ind w:left="847" w:right="1126"/>
        <w:jc w:val="both"/>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日止，公司控股股东上海中信电子发展有限公司持有公司股份</w:t>
      </w:r>
      <w:r>
        <w:rPr>
          <w:rFonts w:ascii="Times New Roman" w:hAnsi="Times New Roman" w:cs="Times New Roman" w:eastAsia="Times New Roman" w:hint="default"/>
          <w:spacing w:val="-2"/>
        </w:rPr>
        <w:t>54,064,744</w:t>
      </w:r>
      <w:r>
        <w:rPr>
          <w:spacing w:val="-2"/>
        </w:rPr>
        <w:t>股，占</w:t>
      </w:r>
      <w:r>
        <w:rPr>
          <w:spacing w:val="-31"/>
        </w:rPr>
        <w:t> </w:t>
      </w:r>
      <w:r>
        <w:rPr>
          <w:spacing w:val="-31"/>
        </w:rPr>
      </w:r>
      <w:r>
        <w:rPr>
          <w:spacing w:val="-3"/>
        </w:rPr>
        <w:t>公司总股本的</w:t>
      </w:r>
      <w:r>
        <w:rPr>
          <w:rFonts w:ascii="Times New Roman" w:hAnsi="Times New Roman" w:cs="Times New Roman" w:eastAsia="Times New Roman" w:hint="default"/>
          <w:spacing w:val="-3"/>
        </w:rPr>
        <w:t>26.35%</w:t>
      </w:r>
      <w:r>
        <w:rPr>
          <w:spacing w:val="-3"/>
        </w:rPr>
        <w:t>。质押股份总数为</w:t>
      </w:r>
      <w:r>
        <w:rPr>
          <w:rFonts w:ascii="Times New Roman" w:hAnsi="Times New Roman" w:cs="Times New Roman" w:eastAsia="Times New Roman" w:hint="default"/>
          <w:spacing w:val="-3"/>
        </w:rPr>
        <w:t>13,600,000</w:t>
      </w:r>
      <w:r>
        <w:rPr>
          <w:spacing w:val="-3"/>
        </w:rPr>
        <w:t>股，占其持有公司股份总数的</w:t>
      </w:r>
      <w:r>
        <w:rPr>
          <w:rFonts w:ascii="Times New Roman" w:hAnsi="Times New Roman" w:cs="Times New Roman" w:eastAsia="Times New Roman" w:hint="default"/>
          <w:spacing w:val="-3"/>
        </w:rPr>
        <w:t>25.16%</w:t>
      </w:r>
      <w:r>
        <w:rPr>
          <w:spacing w:val="-3"/>
        </w:rPr>
        <w:t>，占公司总</w:t>
      </w:r>
      <w:r>
        <w:rPr>
          <w:spacing w:val="-11"/>
        </w:rPr>
        <w:t> </w:t>
      </w:r>
      <w:r>
        <w:rPr>
          <w:spacing w:val="-11"/>
        </w:rPr>
      </w:r>
      <w:r>
        <w:rPr/>
        <w:t>股本的</w:t>
      </w:r>
      <w:r>
        <w:rPr>
          <w:rFonts w:ascii="Times New Roman" w:hAnsi="Times New Roman" w:cs="Times New Roman" w:eastAsia="Times New Roman" w:hint="default"/>
        </w:rPr>
        <w:t>6.63%</w:t>
      </w:r>
      <w:r>
        <w:rPr/>
        <w:t>。</w:t>
      </w:r>
    </w:p>
    <w:p>
      <w:pPr>
        <w:pStyle w:val="BodyText"/>
        <w:spacing w:line="256" w:lineRule="auto" w:before="5"/>
        <w:ind w:left="847" w:right="986"/>
        <w:jc w:val="left"/>
      </w:pPr>
      <w:r>
        <w:rPr>
          <w:spacing w:val="-6"/>
          <w:w w:val="100"/>
        </w:rPr>
        <w:t>（</w:t>
      </w:r>
      <w:r>
        <w:rPr>
          <w:rFonts w:ascii="Times New Roman" w:hAnsi="Times New Roman" w:cs="Times New Roman" w:eastAsia="Times New Roman" w:hint="default"/>
          <w:spacing w:val="-6"/>
          <w:w w:val="100"/>
        </w:rPr>
        <w:t>2</w:t>
      </w:r>
      <w:r>
        <w:rPr>
          <w:spacing w:val="-6"/>
          <w:w w:val="100"/>
        </w:rPr>
        <w:t>）截至本报告日止，公司实际控制人张曙华持有公司股份</w:t>
      </w:r>
      <w:r>
        <w:rPr>
          <w:rFonts w:ascii="Times New Roman" w:hAnsi="Times New Roman" w:cs="Times New Roman" w:eastAsia="Times New Roman" w:hint="default"/>
          <w:spacing w:val="-6"/>
          <w:w w:val="100"/>
        </w:rPr>
        <w:t>31,920,479</w:t>
      </w:r>
      <w:r>
        <w:rPr>
          <w:spacing w:val="-6"/>
          <w:w w:val="100"/>
        </w:rPr>
        <w:t>股，占公司总股本的</w:t>
      </w:r>
      <w:r>
        <w:rPr>
          <w:rFonts w:ascii="Times New Roman" w:hAnsi="Times New Roman" w:cs="Times New Roman" w:eastAsia="Times New Roman" w:hint="default"/>
          <w:spacing w:val="-6"/>
          <w:w w:val="100"/>
        </w:rPr>
        <w:t>15.56%</w:t>
      </w:r>
      <w:r>
        <w:rPr>
          <w:spacing w:val="-6"/>
          <w:w w:val="100"/>
        </w:rPr>
        <w:t>。</w:t>
      </w:r>
      <w:r>
        <w:rPr>
          <w:spacing w:val="-98"/>
          <w:w w:val="100"/>
        </w:rPr>
        <w:t> </w:t>
      </w:r>
      <w:r>
        <w:rPr/>
        <w:t>质押的股份总数为</w:t>
      </w:r>
      <w:r>
        <w:rPr>
          <w:rFonts w:ascii="Times New Roman" w:hAnsi="Times New Roman" w:cs="Times New Roman" w:eastAsia="Times New Roman" w:hint="default"/>
        </w:rPr>
        <w:t>27,188,000</w:t>
      </w:r>
      <w:r>
        <w:rPr/>
        <w:t>股，占其持有公司股份总数的</w:t>
      </w:r>
      <w:r>
        <w:rPr>
          <w:rFonts w:ascii="Times New Roman" w:hAnsi="Times New Roman" w:cs="Times New Roman" w:eastAsia="Times New Roman" w:hint="default"/>
        </w:rPr>
        <w:t>85.17%</w:t>
      </w:r>
      <w:r>
        <w:rPr/>
        <w:t>，占公司总股本的</w:t>
      </w:r>
      <w:r>
        <w:rPr>
          <w:rFonts w:ascii="Times New Roman" w:hAnsi="Times New Roman" w:cs="Times New Roman" w:eastAsia="Times New Roman" w:hint="default"/>
        </w:rPr>
        <w:t>13.25%</w:t>
      </w:r>
      <w:r>
        <w:rPr/>
        <w:t>。</w:t>
      </w:r>
      <w:r>
        <w:rPr>
          <w:w w:val="100"/>
        </w:rPr>
        <w:t> </w:t>
      </w:r>
      <w:r>
        <w:rPr/>
        <w:t>截至本报告日止，公司控股股东上海中信电子发展有限公司持有公司股份</w:t>
      </w:r>
      <w:r>
        <w:rPr>
          <w:rFonts w:ascii="Times New Roman" w:hAnsi="Times New Roman" w:cs="Times New Roman" w:eastAsia="Times New Roman" w:hint="default"/>
        </w:rPr>
        <w:t>54,064,744</w:t>
      </w:r>
      <w:r>
        <w:rPr/>
        <w:t>股，占公司总</w:t>
      </w:r>
      <w:r>
        <w:rPr>
          <w:w w:val="100"/>
        </w:rPr>
        <w:t> </w:t>
      </w:r>
      <w:r>
        <w:rPr/>
        <w:t>股本的</w:t>
      </w:r>
      <w:r>
        <w:rPr>
          <w:rFonts w:ascii="Times New Roman" w:hAnsi="Times New Roman" w:cs="Times New Roman" w:eastAsia="Times New Roman" w:hint="default"/>
        </w:rPr>
        <w:t>26.35%</w:t>
      </w:r>
      <w:r>
        <w:rPr/>
        <w:t>。质押股份总数为</w:t>
      </w:r>
      <w:r>
        <w:rPr>
          <w:rFonts w:ascii="Times New Roman" w:hAnsi="Times New Roman" w:cs="Times New Roman" w:eastAsia="Times New Roman" w:hint="default"/>
        </w:rPr>
        <w:t>7,700,000</w:t>
      </w:r>
      <w:r>
        <w:rPr/>
        <w:t>股，占其持有公司股份总数的</w:t>
      </w:r>
      <w:r>
        <w:rPr>
          <w:rFonts w:ascii="Times New Roman" w:hAnsi="Times New Roman" w:cs="Times New Roman" w:eastAsia="Times New Roman" w:hint="default"/>
        </w:rPr>
        <w:t>14.24%</w:t>
      </w:r>
      <w:r>
        <w:rPr/>
        <w:t>，占公司总股本的</w:t>
      </w:r>
      <w:r>
        <w:rPr>
          <w:w w:val="100"/>
        </w:rPr>
        <w:t> </w:t>
      </w:r>
      <w:r>
        <w:rPr>
          <w:rFonts w:ascii="Times New Roman" w:hAnsi="Times New Roman" w:cs="Times New Roman" w:eastAsia="Times New Roman" w:hint="default"/>
        </w:rPr>
        <w:t>3.75%</w:t>
      </w:r>
      <w:r>
        <w:rPr/>
        <w:t>。</w:t>
      </w:r>
    </w:p>
    <w:p>
      <w:pPr>
        <w:pStyle w:val="BodyText"/>
        <w:spacing w:line="264" w:lineRule="auto" w:before="5"/>
        <w:ind w:left="847" w:right="1133"/>
        <w:jc w:val="left"/>
      </w:pPr>
      <w:r>
        <w:rPr>
          <w:spacing w:val="-2"/>
        </w:rPr>
        <w:t>（</w:t>
      </w:r>
      <w:r>
        <w:rPr>
          <w:rFonts w:ascii="Times New Roman" w:hAnsi="Times New Roman" w:cs="Times New Roman" w:eastAsia="Times New Roman" w:hint="default"/>
          <w:spacing w:val="-2"/>
        </w:rPr>
        <w:t>3</w:t>
      </w:r>
      <w:r>
        <w:rPr>
          <w:spacing w:val="-2"/>
        </w:rPr>
        <w:t>）公司控股股东上海中信电子发展有限公司与东北证券股份有限公司开展融资融券业务，将其</w:t>
      </w:r>
      <w:r>
        <w:rPr>
          <w:spacing w:val="-48"/>
        </w:rPr>
        <w:t> </w:t>
      </w:r>
      <w:r>
        <w:rPr>
          <w:spacing w:val="-48"/>
        </w:rPr>
      </w:r>
      <w:r>
        <w:rPr/>
        <w:t>持有的公司部分股份转入东北证券客户信用交易担保证券账户中，该部分股份的所有权未发生转</w:t>
      </w:r>
      <w:r>
        <w:rPr>
          <w:w w:val="100"/>
        </w:rPr>
        <w:t> </w:t>
      </w:r>
      <w:r>
        <w:rPr/>
        <w:t>移。</w:t>
      </w:r>
      <w:r>
        <w:rPr>
          <w:spacing w:val="-103"/>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日止，上海中信电子发展有限公司持有公司股份</w:t>
      </w:r>
      <w:r>
        <w:rPr>
          <w:rFonts w:ascii="Times New Roman" w:hAnsi="Times New Roman" w:cs="Times New Roman" w:eastAsia="Times New Roman" w:hint="default"/>
          <w:spacing w:val="-2"/>
        </w:rPr>
        <w:t>54,064,744</w:t>
      </w:r>
      <w:r>
        <w:rPr>
          <w:spacing w:val="-2"/>
        </w:rPr>
        <w:t>股，占公司总股本的</w:t>
      </w:r>
      <w:r>
        <w:rPr>
          <w:spacing w:val="-33"/>
        </w:rPr>
        <w:t> </w:t>
      </w:r>
      <w:r>
        <w:rPr>
          <w:spacing w:val="-33"/>
        </w:rPr>
      </w:r>
      <w:r>
        <w:rPr>
          <w:rFonts w:ascii="Times New Roman" w:hAnsi="Times New Roman" w:cs="Times New Roman" w:eastAsia="Times New Roman" w:hint="default"/>
        </w:rPr>
        <w:t>26.35%</w:t>
      </w:r>
      <w:r>
        <w:rPr/>
        <w:t>。其中，上海中信电子发展有限公司累计存在于东北证券客户信用交易担保证券账户的公</w:t>
      </w:r>
      <w:r>
        <w:rPr>
          <w:w w:val="100"/>
        </w:rPr>
        <w:t> </w:t>
      </w:r>
      <w:r>
        <w:rPr/>
        <w:t>司股份为</w:t>
      </w:r>
      <w:r>
        <w:rPr>
          <w:rFonts w:ascii="Times New Roman" w:hAnsi="Times New Roman" w:cs="Times New Roman" w:eastAsia="Times New Roman" w:hint="default"/>
        </w:rPr>
        <w:t>19,670,000</w:t>
      </w:r>
      <w:r>
        <w:rPr/>
        <w:t>股，占其持有公司股份总数的</w:t>
      </w:r>
      <w:r>
        <w:rPr>
          <w:rFonts w:ascii="Times New Roman" w:hAnsi="Times New Roman" w:cs="Times New Roman" w:eastAsia="Times New Roman" w:hint="default"/>
        </w:rPr>
        <w:t>36.38%</w:t>
      </w:r>
      <w:r>
        <w:rPr/>
        <w:t>，占公司总股本的</w:t>
      </w:r>
      <w:r>
        <w:rPr>
          <w:rFonts w:ascii="Times New Roman" w:hAnsi="Times New Roman" w:cs="Times New Roman" w:eastAsia="Times New Roman" w:hint="default"/>
        </w:rPr>
        <w:t>9.59%</w:t>
      </w:r>
      <w:r>
        <w:rPr/>
        <w:t>。</w:t>
      </w:r>
      <w:r>
        <w:rPr>
          <w:w w:val="100"/>
        </w:rPr>
        <w:t> </w:t>
      </w:r>
      <w:r>
        <w:rPr/>
        <w:t>截至本报告日止，上海中信电子发展有限公司累计存在于东北证券客户信用交易担保证券账户的</w:t>
      </w:r>
      <w:r>
        <w:rPr>
          <w:w w:val="100"/>
        </w:rPr>
        <w:t> </w:t>
      </w:r>
      <w:r>
        <w:rPr/>
        <w:t>公司股份为</w:t>
      </w:r>
      <w:r>
        <w:rPr>
          <w:rFonts w:ascii="Times New Roman" w:hAnsi="Times New Roman" w:cs="Times New Roman" w:eastAsia="Times New Roman" w:hint="default"/>
        </w:rPr>
        <w:t>20,7000,000</w:t>
      </w:r>
      <w:r>
        <w:rPr/>
        <w:t>股，占其持有公司股份总数的</w:t>
      </w:r>
      <w:r>
        <w:rPr>
          <w:rFonts w:ascii="Times New Roman" w:hAnsi="Times New Roman" w:cs="Times New Roman" w:eastAsia="Times New Roman" w:hint="default"/>
        </w:rPr>
        <w:t>38.28%</w:t>
      </w:r>
      <w:r>
        <w:rPr/>
        <w:t>，占公司总股本的</w:t>
      </w:r>
      <w:r>
        <w:rPr>
          <w:rFonts w:ascii="Times New Roman" w:hAnsi="Times New Roman" w:cs="Times New Roman" w:eastAsia="Times New Roman" w:hint="default"/>
        </w:rPr>
        <w:t>10.09%</w:t>
      </w:r>
      <w:r>
        <w:rPr/>
        <w:t>。</w:t>
      </w:r>
    </w:p>
    <w:p>
      <w:pPr>
        <w:spacing w:after="0" w:line="264"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36"/>
        <w:ind w:left="850" w:right="1133"/>
        <w:jc w:val="left"/>
      </w:pPr>
      <w:r>
        <w:rPr/>
        <w:t>截至本报告日止，除上述事项外，本公司无需要披露的其他重要事项。</w:t>
      </w:r>
    </w:p>
    <w:p>
      <w:pPr>
        <w:spacing w:line="240" w:lineRule="auto" w:before="11"/>
        <w:rPr>
          <w:rFonts w:ascii="宋体" w:hAnsi="宋体" w:cs="宋体" w:eastAsia="宋体" w:hint="default"/>
          <w:sz w:val="23"/>
          <w:szCs w:val="23"/>
        </w:rPr>
      </w:pPr>
    </w:p>
    <w:p>
      <w:pPr>
        <w:pStyle w:val="Heading4"/>
        <w:spacing w:line="240" w:lineRule="auto"/>
        <w:ind w:right="1133"/>
        <w:jc w:val="left"/>
        <w:rPr>
          <w:b w:val="0"/>
          <w:bCs w:val="0"/>
        </w:rPr>
      </w:pPr>
      <w:bookmarkStart w:name="十七、母公司财务报表主要项目注释" w:id="528"/>
      <w:bookmarkEnd w:id="528"/>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6"/>
        <w:spacing w:line="240" w:lineRule="auto"/>
        <w:ind w:right="1133"/>
        <w:jc w:val="left"/>
        <w:rPr>
          <w:b w:val="0"/>
          <w:bCs w:val="0"/>
        </w:rPr>
      </w:pPr>
      <w:bookmarkStart w:name="1、应收账款" w:id="529"/>
      <w:bookmarkEnd w:id="52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1）应收账款分类披露" w:id="530"/>
      <w:bookmarkEnd w:id="5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1,178,7</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18.87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1,178,7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18.87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403,08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3,167.0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99.71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71,243,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893.54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17.67</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331,83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9,273.4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5,859.8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55,885,</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397.25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345,340,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462.61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404,26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1,885.8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72,422,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612.41</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331,83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9,273.4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401,22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5,859.8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55,885,</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397.25</w:t>
            </w: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345,340,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462.61</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银川北环蔬菜果品综 合批发市场管理有限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59" w:right="0"/>
              <w:jc w:val="left"/>
              <w:rPr>
                <w:rFonts w:ascii="Times New Roman" w:hAnsi="Times New Roman" w:cs="Times New Roman" w:eastAsia="Times New Roman" w:hint="default"/>
                <w:sz w:val="18"/>
                <w:szCs w:val="18"/>
              </w:rPr>
            </w:pPr>
            <w:r>
              <w:rPr>
                <w:rFonts w:ascii="Times New Roman"/>
                <w:sz w:val="18"/>
              </w:rPr>
              <w:t>1,178,718.87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1,178,718.87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3" w:right="180"/>
              <w:jc w:val="left"/>
              <w:rPr>
                <w:rFonts w:ascii="宋体" w:hAnsi="宋体" w:cs="宋体" w:eastAsia="宋体" w:hint="default"/>
                <w:sz w:val="18"/>
                <w:szCs w:val="18"/>
              </w:rPr>
            </w:pPr>
            <w:r>
              <w:rPr>
                <w:rFonts w:ascii="宋体" w:hAnsi="宋体" w:cs="宋体" w:eastAsia="宋体" w:hint="default"/>
                <w:sz w:val="18"/>
                <w:szCs w:val="18"/>
              </w:rPr>
              <w:t>预计可收回金额与账 面价值的差异</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201,311,049.15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10,065,552.46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99,409,214.93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9,940,921.49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43,403,472.13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13,021,041.64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35,007,320.46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17,503,660.23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10,797,975.45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7,558,582.82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13,154,134.90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13,154,134.90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403,083,167.02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71,243,893.54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357" w:lineRule="auto"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2093" w:space="6736"/>
            <w:col w:w="2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60" w:lineRule="auto" w:before="49"/>
        <w:ind w:left="11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60" w:lineRule="auto" w:before="25"/>
        <w:ind w:left="112" w:right="9221"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201,311,049.15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99,409,214.93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44,582,191.00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58,959,430.81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35,007,320.46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10,797,975.45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13,154,134.90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404,261,885.89</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本期计提、收回或转回的坏账准备情况" w:id="531"/>
      <w:bookmarkEnd w:id="5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按单项计提坏 账准备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1,178,718.87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1,178,718.87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按组合计提坏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55,885,397.25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15,358,496.29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71,243,893.54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账准备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55,885,397.25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16,537,215.16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72,422,612.41</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1"/>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本期实际核销的应收账款情况" w:id="532"/>
      <w:bookmarkEnd w:id="5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4）按欠款方归集的期末余额前五名的应收账款情况" w:id="533"/>
      <w:bookmarkEnd w:id="5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924" w:right="108"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15,839,430.99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1,504,753.19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14,678,269.73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733,913.49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12,265,257.95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613,262.90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11,709,351.26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752,607.56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11,310,639.97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1,099,052.75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65,802,949.90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16.28%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5）因金融资产转移而终止确认的应收账款" w:id="534"/>
      <w:bookmarkEnd w:id="5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6）转移应收账款且继续涉入形成的资产、负债金额" w:id="535"/>
      <w:bookmarkEnd w:id="5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其他应收款" w:id="536"/>
      <w:bookmarkEnd w:id="53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3,643,181.71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126,290,547.66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95,687,524.76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151,933,729.37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95,687,524.76</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1）应收利息" w:id="537"/>
      <w:bookmarkEnd w:id="53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right="1133"/>
        <w:jc w:val="left"/>
        <w:rPr>
          <w:b w:val="0"/>
          <w:bCs w:val="0"/>
        </w:rPr>
      </w:pPr>
      <w:bookmarkStart w:name="1）应收利息分类" w:id="538"/>
      <w:bookmarkEnd w:id="538"/>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企业借款利息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3,643,181.71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3,643,181.71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重要逾期利息" w:id="539"/>
      <w:bookmarkEnd w:id="539"/>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坏账准备计提情况" w:id="540"/>
      <w:bookmarkEnd w:id="54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应收股利" w:id="541"/>
      <w:bookmarkEnd w:id="54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应收股利分类" w:id="542"/>
      <w:bookmarkEnd w:id="542"/>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上海金档信息技术有限公司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重要的账龄超过1年的应收股利" w:id="543"/>
      <w:bookmarkEnd w:id="543"/>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坏账准备计提情况" w:id="544"/>
      <w:bookmarkEnd w:id="54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其他应收款" w:id="545"/>
      <w:bookmarkEnd w:id="54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其他应收款按款项性质分类情况" w:id="546"/>
      <w:bookmarkEnd w:id="546"/>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49,579,139.97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52,441,835.85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2,834,206.53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4,899,185.23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企业间借款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52,000,000.00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1,782,132.91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511,160.00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146,045,479.41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109,852,181.08</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坏账准备计提情况" w:id="547"/>
      <w:bookmarkEnd w:id="547"/>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14,164,656.32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7" w:right="0"/>
              <w:jc w:val="left"/>
              <w:rPr>
                <w:rFonts w:ascii="Times New Roman" w:hAnsi="Times New Roman" w:cs="Times New Roman" w:eastAsia="Times New Roman" w:hint="default"/>
                <w:sz w:val="18"/>
                <w:szCs w:val="18"/>
              </w:rPr>
            </w:pPr>
            <w:r>
              <w:rPr>
                <w:rFonts w:ascii="Times New Roman"/>
                <w:sz w:val="18"/>
              </w:rPr>
              <w:t>14,164,656.32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4,850,000.00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5,590,275.43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5,590,275.43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 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14,904,931.75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4,850,000.00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19,754,931.75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60" w:lineRule="auto" w:before="115"/>
        <w:ind w:left="112" w:right="2227"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3893" w:space="4936"/>
            <w:col w:w="2061"/>
          </w:cols>
        </w:sectPr>
      </w:pP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90,854,785.25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13,270,007.89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39,835,646.22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2,085,040.05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255,748.00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619,656.00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1,209,636.05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146,045,479.41</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本期计提、收回或转回的坏账准备情况" w:id="548"/>
      <w:bookmarkEnd w:id="548"/>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按单项计提坏账 准备</w:t>
            </w:r>
          </w:p>
        </w:tc>
        <w:tc>
          <w:tcPr>
            <w:tcW w:w="1088"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4,850,000.00</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4,850,000.00</w:t>
            </w: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按账龄组合计提 坏账准备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14,164,656.</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740,275.43</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14,904,931.75</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14,164,656.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5,590,275.43</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19,754,931.75</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4）本期实际核销的其他应收款情况" w:id="549"/>
      <w:bookmarkEnd w:id="549"/>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6"/>
        <w:spacing w:line="240" w:lineRule="auto" w:before="118"/>
        <w:ind w:right="1133"/>
        <w:jc w:val="left"/>
        <w:rPr>
          <w:b w:val="0"/>
          <w:bCs w:val="0"/>
        </w:rPr>
      </w:pPr>
      <w:bookmarkStart w:name="5）按欠款方归集的期末余额前五名的其他应收款情况" w:id="550"/>
      <w:bookmarkEnd w:id="550"/>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102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17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5" w:right="16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企业间借款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32.18%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企业间借款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27.39%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企业间借款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4,850,000.00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2,046,383.00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59"/>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306,957.45</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96,896,383.00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08"/>
              <w:jc w:val="right"/>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66.34%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7,606,957.45</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6）涉及政府补助的应收款项" w:id="551"/>
      <w:bookmarkEnd w:id="551"/>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98" w:hanging="593"/>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7）因金融资产转移而终止确认的其他应收款" w:id="552"/>
      <w:bookmarkEnd w:id="552"/>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8）转移其他应收款且继续涉入形成的资产、负债金额" w:id="553"/>
      <w:bookmarkEnd w:id="553"/>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3、长期股权投资" w:id="554"/>
      <w:bookmarkEnd w:id="55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102,810,000.00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102,810,000.00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106,100,000.00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106,100,000.00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102,810,000.00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102,810,000.00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106,100,000.00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106,100,000.00</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1）对子公司投资" w:id="555"/>
      <w:bookmarkEnd w:id="55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97" w:lineRule="auto"/>
              <w:ind w:left="299" w:right="12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33" w:right="149"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0" w:right="125" w:hanging="361"/>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上海金档信 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left"/>
              <w:rPr>
                <w:rFonts w:ascii="宋体" w:hAnsi="宋体" w:cs="宋体" w:eastAsia="宋体" w:hint="default"/>
                <w:sz w:val="18"/>
                <w:szCs w:val="18"/>
              </w:rPr>
            </w:pPr>
            <w:r>
              <w:rPr>
                <w:rFonts w:ascii="宋体" w:hAnsi="宋体" w:cs="宋体" w:eastAsia="宋体" w:hint="default"/>
                <w:sz w:val="18"/>
                <w:szCs w:val="18"/>
              </w:rPr>
              <w:t>光典信息发 展有限公司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89,100,000.0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信发资产管 理有限责任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2"/>
              <w:jc w:val="both"/>
              <w:rPr>
                <w:rFonts w:ascii="宋体" w:hAnsi="宋体" w:cs="宋体" w:eastAsia="宋体" w:hint="default"/>
                <w:sz w:val="18"/>
                <w:szCs w:val="18"/>
              </w:rPr>
            </w:pPr>
            <w:r>
              <w:rPr>
                <w:rFonts w:ascii="宋体" w:hAnsi="宋体" w:cs="宋体" w:eastAsia="宋体" w:hint="default"/>
                <w:sz w:val="18"/>
                <w:szCs w:val="18"/>
              </w:rPr>
              <w:t>智秾信息发 展股份有限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66"/>
        <w:gridCol w:w="1166"/>
        <w:gridCol w:w="1167"/>
        <w:gridCol w:w="1164"/>
        <w:gridCol w:w="1167"/>
        <w:gridCol w:w="1214"/>
        <w:gridCol w:w="1213"/>
        <w:gridCol w:w="1214"/>
      </w:tblGrid>
      <w:tr>
        <w:trPr>
          <w:trHeight w:val="716"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106,100,000.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11,710,000.0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102,810,000.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2）对联营、合营企业投资" w:id="556"/>
      <w:bookmarkEnd w:id="55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301"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6"/>
        <w:spacing w:line="240" w:lineRule="auto" w:before="36"/>
        <w:ind w:right="1133"/>
        <w:jc w:val="left"/>
        <w:rPr>
          <w:b w:val="0"/>
          <w:bCs w:val="0"/>
        </w:rPr>
      </w:pPr>
      <w:bookmarkStart w:name="（3）其他说明" w:id="557"/>
      <w:bookmarkEnd w:id="55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4、营业收入和营业成本" w:id="558"/>
      <w:bookmarkEnd w:id="55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572,468,715.25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462,318,685.78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666,588,254.82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502,750,621.43</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572,468,715.25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462,318,685.78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666,588,254.82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502,750,621.43</w:t>
            </w:r>
          </w:p>
        </w:tc>
      </w:tr>
    </w:tbl>
    <w:p>
      <w:pPr>
        <w:spacing w:before="49"/>
        <w:ind w:left="112" w:right="1133"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60" w:lineRule="auto" w:before="115"/>
        <w:ind w:left="112" w:right="91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其他说明：</w:t>
      </w:r>
    </w:p>
    <w:p>
      <w:pPr>
        <w:spacing w:line="240" w:lineRule="auto" w:before="4"/>
        <w:rPr>
          <w:rFonts w:ascii="宋体" w:hAnsi="宋体" w:cs="宋体" w:eastAsia="宋体" w:hint="default"/>
          <w:sz w:val="20"/>
          <w:szCs w:val="20"/>
        </w:rPr>
      </w:pPr>
    </w:p>
    <w:p>
      <w:pPr>
        <w:pStyle w:val="Heading6"/>
        <w:spacing w:line="240" w:lineRule="auto"/>
        <w:ind w:right="1133"/>
        <w:jc w:val="left"/>
        <w:rPr>
          <w:b w:val="0"/>
          <w:bCs w:val="0"/>
        </w:rPr>
      </w:pPr>
      <w:bookmarkStart w:name="5、投资收益" w:id="559"/>
      <w:bookmarkEnd w:id="55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58,500,000.00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6"/>
        <w:spacing w:line="240" w:lineRule="auto" w:before="36"/>
        <w:ind w:right="1133"/>
        <w:jc w:val="left"/>
        <w:rPr>
          <w:b w:val="0"/>
          <w:bCs w:val="0"/>
        </w:rPr>
      </w:pPr>
      <w:bookmarkStart w:name="6、其他" w:id="560"/>
      <w:bookmarkEnd w:id="560"/>
      <w:r>
        <w:rPr>
          <w:b w:val="0"/>
          <w:bCs w:val="0"/>
        </w:rPr>
      </w: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ind w:right="1133"/>
        <w:jc w:val="left"/>
        <w:rPr>
          <w:b w:val="0"/>
          <w:bCs w:val="0"/>
        </w:rPr>
      </w:pPr>
      <w:bookmarkStart w:name="十八、补充资料" w:id="561"/>
      <w:bookmarkEnd w:id="561"/>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bookmarkStart w:name="1、当期非经常性损益明细表" w:id="562"/>
      <w:bookmarkEnd w:id="56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spacing w:before="44"/>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8,679,209.61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18,006,762.08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226,405.13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-777,507.16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3,796,849.25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331,483.41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22,006,537.00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号——非经常性损益》定义界定的非经常性损益项目，以及把《公</w:t>
      </w:r>
    </w:p>
    <w:p>
      <w:pPr>
        <w:spacing w:line="300" w:lineRule="auto" w:before="63"/>
        <w:ind w:left="11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7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净资产收益率及每股收益" w:id="563"/>
      <w:bookmarkEnd w:id="56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3"/>
        <w:gridCol w:w="3082"/>
        <w:gridCol w:w="1913"/>
        <w:gridCol w:w="1913"/>
      </w:tblGrid>
      <w:tr>
        <w:trPr>
          <w:trHeight w:val="403" w:hRule="exact"/>
        </w:trPr>
        <w:tc>
          <w:tcPr>
            <w:tcW w:w="2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3" w:type="dxa"/>
            <w:vMerge/>
            <w:tcBorders>
              <w:left w:val="single" w:sz="4" w:space="0" w:color="000000"/>
              <w:bottom w:val="single" w:sz="4" w:space="0" w:color="000000"/>
              <w:right w:val="single" w:sz="4" w:space="0" w:color="000000"/>
            </w:tcBorders>
            <w:shd w:val="clear" w:color="auto" w:fill="D2D2D2"/>
          </w:tcPr>
          <w:p>
            <w:pPr/>
          </w:p>
        </w:tc>
        <w:tc>
          <w:tcPr>
            <w:tcW w:w="308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-0.73</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b/>
          <w:bCs/>
          <w:sz w:val="21"/>
          <w:szCs w:val="21"/>
        </w:rPr>
      </w:pPr>
    </w:p>
    <w:p>
      <w:pPr>
        <w:pStyle w:val="Heading6"/>
        <w:spacing w:line="240" w:lineRule="auto" w:before="36"/>
        <w:ind w:right="1133"/>
        <w:jc w:val="left"/>
        <w:rPr>
          <w:b w:val="0"/>
          <w:bCs w:val="0"/>
        </w:rPr>
      </w:pPr>
      <w:bookmarkStart w:name="3、境内外会计准则下会计数据差异" w:id="564"/>
      <w:bookmarkEnd w:id="56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1133"/>
        <w:jc w:val="left"/>
        <w:rPr>
          <w:b w:val="0"/>
          <w:bCs w:val="0"/>
        </w:rPr>
      </w:pPr>
      <w:bookmarkStart w:name="（1）同时按照国际会计准则与按中国会计准则披露的财务报告中净利润和净资产差异情况" w:id="565"/>
      <w:bookmarkEnd w:id="56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40" w:lineRule="auto" w:before="120"/>
        <w:ind w:right="1133"/>
        <w:jc w:val="left"/>
        <w:rPr>
          <w:b w:val="0"/>
          <w:bCs w:val="0"/>
        </w:rPr>
      </w:pPr>
      <w:bookmarkStart w:name="（2）同时按照境外会计准则与按中国会计准则披露的财务报告中净利润和净资产差异情况" w:id="566"/>
      <w:bookmarkEnd w:id="56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12" w:right="1133"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6"/>
        <w:spacing w:line="259" w:lineRule="auto" w:before="118"/>
        <w:ind w:right="1133"/>
        <w:jc w:val="left"/>
        <w:rPr>
          <w:b w:val="0"/>
          <w:bCs w:val="0"/>
        </w:rPr>
      </w:pPr>
      <w:bookmarkStart w:name="（3）境内外会计准则下会计数据差异原因说明，对已经境外审计机构审计的数据进行差异" w:id="567"/>
      <w:bookmarkEnd w:id="56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1133"/>
        <w:jc w:val="left"/>
        <w:rPr>
          <w:b w:val="0"/>
          <w:bCs w:val="0"/>
        </w:rPr>
      </w:pPr>
      <w:bookmarkStart w:name="4、其他" w:id="568"/>
      <w:bookmarkEnd w:id="56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325" w:right="1133"/>
        <w:jc w:val="left"/>
        <w:rPr>
          <w:b w:val="0"/>
          <w:bCs w:val="0"/>
        </w:rPr>
      </w:pPr>
      <w:bookmarkStart w:name="第十三节备查文件目录" w:id="569"/>
      <w:bookmarkEnd w:id="569"/>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spacing w:line="316" w:lineRule="auto" w:before="0"/>
        <w:ind w:left="112" w:right="1394" w:firstLine="0"/>
        <w:jc w:val="left"/>
        <w:rPr>
          <w:rFonts w:ascii="宋体" w:hAnsi="宋体" w:cs="宋体" w:eastAsia="宋体" w:hint="default"/>
          <w:sz w:val="18"/>
          <w:szCs w:val="18"/>
        </w:rPr>
      </w:pPr>
      <w:r>
        <w:rPr>
          <w:rFonts w:ascii="宋体" w:hAnsi="宋体" w:cs="宋体" w:eastAsia="宋体" w:hint="default"/>
          <w:sz w:val="18"/>
          <w:szCs w:val="18"/>
        </w:rPr>
        <w:t>一、载有法定代表人张曙华先生、主管会计工作负责人张颖女士、会计机构负责人范燕青女士签名并盖章的财务报表。 二、载有会计师事务所盖章、注册会计师签名并盖章的审计报告原件。 三、报告期内在中国证监会指定信息披露网站上披露的所有公司文件的正本及公告的原稿。 以上备查文件备置地点：公司董事会秘书办公室。</w:t>
      </w:r>
    </w:p>
    <w:sectPr>
      <w:pgSz w:w="11910" w:h="16840"/>
      <w:pgMar w:header="906" w:footer="1021"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5088" type="#_x0000_t75" stroked="false">
          <v:imagedata r:id="rId1" o:title=""/>
        </v:shape>
      </w:pict>
    </w:r>
    <w:r>
      <w:rPr/>
      <w:pict>
        <v:shape style="position:absolute;margin-left:55.639999pt;margin-top:793.453918pt;width:6.5pt;height:11pt;mso-position-horizontal-relative:page;mso-position-vertical-relative:page;z-index:-10950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608" type="#_x0000_t75" stroked="false">
          <v:imagedata r:id="rId1" o:title=""/>
        </v:shape>
      </w:pict>
    </w:r>
    <w:r>
      <w:rPr/>
      <w:pict>
        <v:shape style="position:absolute;margin-left:54.639999pt;margin-top:779.893921pt;width:17.7pt;height:11pt;mso-position-horizontal-relative:page;mso-position-vertical-relative:page;z-index:-1094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5040" type="#_x0000_t75" stroked="false">
          <v:imagedata r:id="rId1" o:title=""/>
        </v:shape>
      </w:pict>
    </w:r>
    <w:r>
      <w:rPr/>
      <w:pict>
        <v:shape style="position:absolute;margin-left:54.639999pt;margin-top:779.893921pt;width:13.15pt;height:11pt;mso-position-horizontal-relative:page;mso-position-vertical-relative:page;z-index:-1095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944" type="#_x0000_t75" stroked="false">
          <v:imagedata r:id="rId1" o:title=""/>
        </v:shape>
      </w:pict>
    </w:r>
    <w:r>
      <w:rPr/>
      <w:pict>
        <v:shape style="position:absolute;margin-left:55.639999pt;margin-top:779.893921pt;width:15.7pt;height:11pt;mso-position-horizontal-relative:page;mso-position-vertical-relative:page;z-index:-1094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896" type="#_x0000_t75" stroked="false">
          <v:imagedata r:id="rId1" o:title=""/>
        </v:shape>
      </w:pict>
    </w:r>
    <w:r>
      <w:rPr/>
      <w:pict>
        <v:shape style="position:absolute;margin-left:54.639999pt;margin-top:779.893921pt;width:17.7pt;height:11pt;mso-position-horizontal-relative:page;mso-position-vertical-relative:page;z-index:-109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848" type="#_x0000_t75" stroked="false">
          <v:imagedata r:id="rId1" o:title=""/>
        </v:shape>
      </w:pict>
    </w:r>
    <w:r>
      <w:rPr/>
      <w:pict>
        <v:shape style="position:absolute;margin-left:54.639999pt;margin-top:779.893921pt;width:17.3pt;height:11pt;mso-position-horizontal-relative:page;mso-position-vertical-relative:page;z-index:-1094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800" type="#_x0000_t75" stroked="false">
          <v:imagedata r:id="rId1" o:title=""/>
        </v:shape>
      </w:pict>
    </w:r>
    <w:r>
      <w:rPr/>
      <w:pict>
        <v:shape style="position:absolute;margin-left:54.639999pt;margin-top:779.893921pt;width:17.7pt;height:11pt;mso-position-horizontal-relative:page;mso-position-vertical-relative:page;z-index:-1094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752" type="#_x0000_t75" stroked="false">
          <v:imagedata r:id="rId1" o:title=""/>
        </v:shape>
      </w:pict>
    </w:r>
    <w:r>
      <w:rPr/>
      <w:pict>
        <v:shape style="position:absolute;margin-left:54.639999pt;margin-top:779.893921pt;width:17.7pt;height:11pt;mso-position-horizontal-relative:page;mso-position-vertical-relative:page;z-index:-1094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135</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704" type="#_x0000_t75" stroked="false">
          <v:imagedata r:id="rId1" o:title=""/>
        </v:shape>
      </w:pict>
    </w:r>
    <w:r>
      <w:rPr/>
      <w:pict>
        <v:shape style="position:absolute;margin-left:54.639999pt;margin-top:779.893921pt;width:17.7pt;height:11pt;mso-position-horizontal-relative:page;mso-position-vertical-relative:page;z-index:-1094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167</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94656" type="#_x0000_t75" stroked="false">
          <v:imagedata r:id="rId1" o:title=""/>
        </v:shape>
      </w:pict>
    </w:r>
    <w:r>
      <w:rPr/>
      <w:pict>
        <v:shape style="position:absolute;margin-left:55.639999pt;margin-top:779.893921pt;width:15.7pt;height:11pt;mso-position-horizontal-relative:page;mso-position-vertical-relative:page;z-index:-1094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185608pt;width:213.75pt;height:11.5pt;mso-position-horizontal-relative:page;mso-position-vertical-relative:page;z-index:-1095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213.75pt;height:11.5pt;mso-position-horizontal-relative:page;mso-position-vertical-relative:page;z-index:-1094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213.75pt;height:11.5pt;mso-position-horizontal-relative:page;mso-position-vertical-relative:page;z-index:-10949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上海中信信息发展股份有限公司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390"/>
    </w:pPr>
    <w:rPr>
      <w:rFonts w:ascii="宋体" w:hAnsi="宋体" w:eastAsia="宋体"/>
      <w:sz w:val="21"/>
      <w:szCs w:val="21"/>
    </w:rPr>
  </w:style>
  <w:style w:styleId="Heading1" w:type="paragraph">
    <w:name w:val="Heading 1"/>
    <w:basedOn w:val="Normal"/>
    <w:uiPriority w:val="1"/>
    <w:qFormat/>
    <w:pPr>
      <w:ind w:left="2381"/>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ind w:left="112" w:firstLine="566"/>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sz w:val="24"/>
      <w:szCs w:val="24"/>
    </w:rPr>
  </w:style>
  <w:style w:styleId="Heading6" w:type="paragraph">
    <w:name w:val="Heading 6"/>
    <w:basedOn w:val="Normal"/>
    <w:uiPriority w:val="1"/>
    <w:qFormat/>
    <w:pPr>
      <w:ind w:left="112"/>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cesgroup.com.cn/" TargetMode="External"/><Relationship Id="rId10" Type="http://schemas.openxmlformats.org/officeDocument/2006/relationships/hyperlink" Target="mailto:ir@cesgroup.com.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hyperlink" Target="http://www.cninfo.com.c/"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anson</dc:creator>
  <dcterms:created xsi:type="dcterms:W3CDTF">2020-05-19T14:16:55Z</dcterms:created>
  <dcterms:modified xsi:type="dcterms:W3CDTF">2020-05-19T14:16:55Z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